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A65B2">
      <w:pPr>
        <w:pStyle w:val="2"/>
        <w:spacing w:line="252" w:lineRule="auto"/>
        <w:rPr>
          <w:color w:val="auto"/>
          <w:highlight w:val="none"/>
        </w:rPr>
      </w:pPr>
    </w:p>
    <w:p w14:paraId="157C80CD">
      <w:pPr>
        <w:pStyle w:val="2"/>
        <w:spacing w:line="253" w:lineRule="auto"/>
        <w:rPr>
          <w:color w:val="auto"/>
          <w:highlight w:val="none"/>
        </w:rPr>
      </w:pPr>
    </w:p>
    <w:p w14:paraId="556C5327">
      <w:pPr>
        <w:pStyle w:val="2"/>
        <w:spacing w:line="253" w:lineRule="auto"/>
        <w:rPr>
          <w:color w:val="auto"/>
          <w:highlight w:val="none"/>
        </w:rPr>
      </w:pPr>
    </w:p>
    <w:p w14:paraId="1F22286B">
      <w:pPr>
        <w:pStyle w:val="2"/>
        <w:spacing w:line="474" w:lineRule="auto"/>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5483225" cy="7753350"/>
            <wp:effectExtent l="0" t="0" r="3175" b="0"/>
            <wp:docPr id="1" name="图片 1" descr="盖章封面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盖章封面_01"/>
                    <pic:cNvPicPr>
                      <a:picLocks noChangeAspect="1"/>
                    </pic:cNvPicPr>
                  </pic:nvPicPr>
                  <pic:blipFill>
                    <a:blip r:embed="rId257"/>
                    <a:stretch>
                      <a:fillRect/>
                    </a:stretch>
                  </pic:blipFill>
                  <pic:spPr>
                    <a:xfrm>
                      <a:off x="0" y="0"/>
                      <a:ext cx="5483225" cy="7753350"/>
                    </a:xfrm>
                    <a:prstGeom prst="rect">
                      <a:avLst/>
                    </a:prstGeom>
                  </pic:spPr>
                </pic:pic>
              </a:graphicData>
            </a:graphic>
          </wp:inline>
        </w:drawing>
      </w:r>
    </w:p>
    <w:p w14:paraId="7C1F1A50">
      <w:pPr>
        <w:pStyle w:val="2"/>
        <w:spacing w:line="474" w:lineRule="auto"/>
        <w:rPr>
          <w:rFonts w:hint="eastAsia" w:eastAsia="宋体"/>
          <w:color w:val="auto"/>
          <w:highlight w:val="none"/>
          <w:lang w:eastAsia="zh-CN"/>
        </w:rPr>
      </w:pPr>
    </w:p>
    <w:p w14:paraId="70A85CB2">
      <w:pPr>
        <w:pStyle w:val="2"/>
        <w:spacing w:line="474" w:lineRule="auto"/>
        <w:rPr>
          <w:rFonts w:hint="eastAsia" w:eastAsia="宋体"/>
          <w:color w:val="auto"/>
          <w:highlight w:val="none"/>
          <w:lang w:eastAsia="zh-CN"/>
        </w:rPr>
      </w:pPr>
    </w:p>
    <w:p w14:paraId="1B0B7F0D">
      <w:pPr>
        <w:pStyle w:val="2"/>
        <w:spacing w:line="474" w:lineRule="auto"/>
        <w:rPr>
          <w:rFonts w:hint="eastAsia" w:eastAsia="宋体"/>
          <w:color w:val="auto"/>
          <w:highlight w:val="none"/>
          <w:lang w:eastAsia="zh-CN"/>
        </w:rPr>
      </w:pPr>
    </w:p>
    <w:p w14:paraId="296CE61B">
      <w:pPr>
        <w:pStyle w:val="2"/>
        <w:spacing w:line="474" w:lineRule="auto"/>
        <w:rPr>
          <w:rFonts w:hint="eastAsia" w:eastAsia="宋体"/>
          <w:color w:val="auto"/>
          <w:highlight w:val="none"/>
          <w:lang w:eastAsia="zh-CN"/>
        </w:rPr>
      </w:pPr>
      <w:bookmarkStart w:id="145" w:name="_GoBack"/>
      <w:bookmarkEnd w:id="145"/>
    </w:p>
    <w:sdt>
      <w:sdtPr>
        <w:rPr>
          <w:rFonts w:ascii="宋体" w:hAnsi="宋体" w:eastAsia="宋体" w:cs="Arial"/>
          <w:snapToGrid w:val="0"/>
          <w:color w:val="000000"/>
          <w:kern w:val="0"/>
          <w:sz w:val="21"/>
          <w:szCs w:val="21"/>
          <w:highlight w:val="none"/>
          <w:lang w:val="en-US" w:eastAsia="en-US" w:bidi="ar-SA"/>
        </w:rPr>
        <w:id w:val="147475068"/>
        <w15:color w:val="DBDBDB"/>
        <w:docPartObj>
          <w:docPartGallery w:val="Table of Contents"/>
          <w:docPartUnique/>
        </w:docPartObj>
      </w:sdtPr>
      <w:sdtEndPr>
        <w:rPr>
          <w:rFonts w:ascii="Times New Roman" w:hAnsi="Times New Roman" w:eastAsia="Times New Roman" w:cs="Times New Roman"/>
          <w:snapToGrid w:val="0"/>
          <w:color w:val="auto"/>
          <w:kern w:val="0"/>
          <w:sz w:val="21"/>
          <w:szCs w:val="30"/>
          <w:highlight w:val="none"/>
          <w:lang w:val="en-US" w:eastAsia="en-US" w:bidi="ar-SA"/>
        </w:rPr>
      </w:sdtEndPr>
      <w:sdtContent>
        <w:p w14:paraId="35D15B41">
          <w:pPr>
            <w:spacing w:before="0" w:beforeLines="0" w:after="0" w:afterLines="0" w:line="240" w:lineRule="auto"/>
            <w:ind w:left="0" w:leftChars="0" w:right="0" w:rightChars="0" w:firstLine="0" w:firstLineChars="0"/>
            <w:jc w:val="center"/>
            <w:rPr>
              <w:rFonts w:ascii="宋体" w:hAnsi="宋体" w:eastAsia="宋体"/>
              <w:sz w:val="36"/>
              <w:szCs w:val="36"/>
              <w:highlight w:val="none"/>
            </w:rPr>
          </w:pPr>
          <w:r>
            <w:rPr>
              <w:rFonts w:ascii="宋体" w:hAnsi="宋体" w:eastAsia="宋体"/>
              <w:sz w:val="36"/>
              <w:szCs w:val="36"/>
              <w:highlight w:val="none"/>
            </w:rPr>
            <w:t>目</w:t>
          </w:r>
          <w:r>
            <w:rPr>
              <w:rFonts w:hint="eastAsia" w:ascii="宋体" w:hAnsi="宋体" w:eastAsia="宋体"/>
              <w:sz w:val="36"/>
              <w:szCs w:val="36"/>
              <w:highlight w:val="none"/>
              <w:lang w:val="en-US" w:eastAsia="zh-CN"/>
            </w:rPr>
            <w:t xml:space="preserve"> </w:t>
          </w:r>
          <w:r>
            <w:rPr>
              <w:rFonts w:ascii="宋体" w:hAnsi="宋体" w:eastAsia="宋体"/>
              <w:sz w:val="36"/>
              <w:szCs w:val="36"/>
              <w:highlight w:val="none"/>
            </w:rPr>
            <w:t>录</w:t>
          </w:r>
        </w:p>
        <w:p w14:paraId="62A7E754">
          <w:pPr>
            <w:spacing w:before="0" w:beforeLines="0" w:after="0" w:afterLines="0" w:line="240" w:lineRule="auto"/>
            <w:ind w:left="0" w:leftChars="0" w:right="0" w:rightChars="0" w:firstLine="0" w:firstLineChars="0"/>
            <w:jc w:val="center"/>
            <w:rPr>
              <w:rFonts w:ascii="宋体" w:hAnsi="宋体" w:eastAsia="宋体"/>
              <w:sz w:val="36"/>
              <w:szCs w:val="36"/>
              <w:highlight w:val="none"/>
            </w:rPr>
          </w:pPr>
        </w:p>
        <w:p w14:paraId="70EC9DDD">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 w:val="30"/>
              <w:szCs w:val="30"/>
              <w:highlight w:val="none"/>
            </w:rPr>
            <w:fldChar w:fldCharType="begin"/>
          </w:r>
          <w:r>
            <w:rPr>
              <w:rFonts w:ascii="Times New Roman" w:hAnsi="Times New Roman" w:eastAsia="Times New Roman" w:cs="Times New Roman"/>
              <w:color w:val="auto"/>
              <w:sz w:val="30"/>
              <w:szCs w:val="30"/>
              <w:highlight w:val="none"/>
            </w:rPr>
            <w:instrText xml:space="preserve">TOC \o "1-3" \h \u </w:instrText>
          </w:r>
          <w:r>
            <w:rPr>
              <w:rFonts w:ascii="Times New Roman" w:hAnsi="Times New Roman" w:eastAsia="Times New Roman" w:cs="Times New Roman"/>
              <w:color w:val="auto"/>
              <w:sz w:val="30"/>
              <w:szCs w:val="30"/>
              <w:highlight w:val="none"/>
            </w:rPr>
            <w:fldChar w:fldCharType="separate"/>
          </w: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_Toc7357 </w:instrText>
          </w:r>
          <w:r>
            <w:rPr>
              <w:rFonts w:ascii="Times New Roman" w:hAnsi="Times New Roman" w:eastAsia="Times New Roman" w:cs="Times New Roman"/>
              <w:szCs w:val="30"/>
              <w:highlight w:val="none"/>
            </w:rPr>
            <w:fldChar w:fldCharType="separate"/>
          </w:r>
          <w:r>
            <w:rPr>
              <w:rFonts w:ascii="宋体" w:hAnsi="宋体" w:eastAsia="宋体" w:cs="宋体"/>
              <w:bCs/>
              <w:spacing w:val="5"/>
              <w:szCs w:val="43"/>
              <w:highlight w:val="none"/>
            </w:rPr>
            <w:t>第一章</w:t>
          </w:r>
          <w:r>
            <w:rPr>
              <w:rFonts w:ascii="宋体" w:hAnsi="宋体" w:eastAsia="宋体" w:cs="宋体"/>
              <w:spacing w:val="5"/>
              <w:szCs w:val="43"/>
              <w:highlight w:val="none"/>
            </w:rPr>
            <w:t xml:space="preserve"> </w:t>
          </w:r>
          <w:r>
            <w:rPr>
              <w:rFonts w:ascii="宋体" w:hAnsi="宋体" w:eastAsia="宋体" w:cs="宋体"/>
              <w:bCs/>
              <w:spacing w:val="5"/>
              <w:szCs w:val="43"/>
              <w:highlight w:val="none"/>
            </w:rPr>
            <w:t>竞争性磋商公告</w:t>
          </w:r>
          <w:r>
            <w:rPr>
              <w:highlight w:val="none"/>
            </w:rPr>
            <w:tab/>
          </w:r>
          <w:r>
            <w:rPr>
              <w:highlight w:val="none"/>
            </w:rPr>
            <w:fldChar w:fldCharType="begin"/>
          </w:r>
          <w:r>
            <w:rPr>
              <w:highlight w:val="none"/>
            </w:rPr>
            <w:instrText xml:space="preserve"> PAGEREF _Toc7357 \h </w:instrText>
          </w:r>
          <w:r>
            <w:rPr>
              <w:highlight w:val="none"/>
            </w:rPr>
            <w:fldChar w:fldCharType="separate"/>
          </w:r>
          <w:r>
            <w:rPr>
              <w:highlight w:val="none"/>
            </w:rPr>
            <w:t>3</w:t>
          </w:r>
          <w:r>
            <w:rPr>
              <w:highlight w:val="none"/>
            </w:rPr>
            <w:fldChar w:fldCharType="end"/>
          </w:r>
          <w:r>
            <w:rPr>
              <w:rFonts w:ascii="Times New Roman" w:hAnsi="Times New Roman" w:eastAsia="Times New Roman" w:cs="Times New Roman"/>
              <w:color w:val="auto"/>
              <w:szCs w:val="30"/>
              <w:highlight w:val="none"/>
            </w:rPr>
            <w:fldChar w:fldCharType="end"/>
          </w:r>
        </w:p>
        <w:p w14:paraId="1DCC77CD">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_Toc25993 </w:instrText>
          </w:r>
          <w:r>
            <w:rPr>
              <w:rFonts w:ascii="Times New Roman" w:hAnsi="Times New Roman" w:eastAsia="Times New Roman" w:cs="Times New Roman"/>
              <w:szCs w:val="30"/>
              <w:highlight w:val="none"/>
            </w:rPr>
            <w:fldChar w:fldCharType="separate"/>
          </w:r>
          <w:r>
            <w:rPr>
              <w:rFonts w:ascii="宋体" w:hAnsi="宋体" w:eastAsia="宋体" w:cs="宋体"/>
              <w:bCs/>
              <w:strike w:val="0"/>
              <w:dstrike w:val="0"/>
              <w:spacing w:val="4"/>
              <w:szCs w:val="43"/>
              <w:highlight w:val="none"/>
            </w:rPr>
            <w:t>第二章</w:t>
          </w:r>
          <w:r>
            <w:rPr>
              <w:rFonts w:ascii="宋体" w:hAnsi="宋体" w:eastAsia="宋体" w:cs="宋体"/>
              <w:strike w:val="0"/>
              <w:dstrike w:val="0"/>
              <w:spacing w:val="4"/>
              <w:szCs w:val="43"/>
              <w:highlight w:val="none"/>
            </w:rPr>
            <w:t xml:space="preserve"> </w:t>
          </w:r>
          <w:r>
            <w:rPr>
              <w:rFonts w:ascii="宋体" w:hAnsi="宋体" w:eastAsia="宋体" w:cs="宋体"/>
              <w:bCs/>
              <w:strike w:val="0"/>
              <w:dstrike w:val="0"/>
              <w:spacing w:val="4"/>
              <w:szCs w:val="43"/>
              <w:highlight w:val="none"/>
            </w:rPr>
            <w:t>采购需求</w:t>
          </w:r>
          <w:r>
            <w:rPr>
              <w:highlight w:val="none"/>
            </w:rPr>
            <w:tab/>
          </w:r>
          <w:r>
            <w:rPr>
              <w:highlight w:val="none"/>
            </w:rPr>
            <w:fldChar w:fldCharType="begin"/>
          </w:r>
          <w:r>
            <w:rPr>
              <w:highlight w:val="none"/>
            </w:rPr>
            <w:instrText xml:space="preserve"> PAGEREF _Toc25993 \h </w:instrText>
          </w:r>
          <w:r>
            <w:rPr>
              <w:highlight w:val="none"/>
            </w:rPr>
            <w:fldChar w:fldCharType="separate"/>
          </w:r>
          <w:r>
            <w:rPr>
              <w:highlight w:val="none"/>
            </w:rPr>
            <w:t>8</w:t>
          </w:r>
          <w:r>
            <w:rPr>
              <w:highlight w:val="none"/>
            </w:rPr>
            <w:fldChar w:fldCharType="end"/>
          </w:r>
          <w:r>
            <w:rPr>
              <w:rFonts w:ascii="Times New Roman" w:hAnsi="Times New Roman" w:eastAsia="Times New Roman" w:cs="Times New Roman"/>
              <w:color w:val="auto"/>
              <w:szCs w:val="30"/>
              <w:highlight w:val="none"/>
            </w:rPr>
            <w:fldChar w:fldCharType="end"/>
          </w:r>
        </w:p>
        <w:p w14:paraId="1CEFFCE3">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_Toc18396 </w:instrText>
          </w:r>
          <w:r>
            <w:rPr>
              <w:rFonts w:ascii="Times New Roman" w:hAnsi="Times New Roman" w:eastAsia="Times New Roman" w:cs="Times New Roman"/>
              <w:szCs w:val="30"/>
              <w:highlight w:val="none"/>
            </w:rPr>
            <w:fldChar w:fldCharType="separate"/>
          </w:r>
          <w:r>
            <w:rPr>
              <w:rFonts w:ascii="宋体" w:hAnsi="宋体" w:eastAsia="宋体" w:cs="宋体"/>
              <w:bCs/>
              <w:spacing w:val="4"/>
              <w:szCs w:val="36"/>
              <w:highlight w:val="none"/>
            </w:rPr>
            <w:t>第三章</w:t>
          </w:r>
          <w:r>
            <w:rPr>
              <w:rFonts w:ascii="宋体" w:hAnsi="宋体" w:eastAsia="宋体" w:cs="宋体"/>
              <w:spacing w:val="4"/>
              <w:szCs w:val="36"/>
              <w:highlight w:val="none"/>
            </w:rPr>
            <w:t xml:space="preserve"> </w:t>
          </w:r>
          <w:r>
            <w:rPr>
              <w:rFonts w:ascii="宋体" w:hAnsi="宋体" w:eastAsia="宋体" w:cs="宋体"/>
              <w:bCs/>
              <w:spacing w:val="4"/>
              <w:szCs w:val="36"/>
              <w:highlight w:val="none"/>
            </w:rPr>
            <w:t>供应商须知</w:t>
          </w:r>
          <w:r>
            <w:rPr>
              <w:highlight w:val="none"/>
            </w:rPr>
            <w:tab/>
          </w:r>
          <w:r>
            <w:rPr>
              <w:highlight w:val="none"/>
            </w:rPr>
            <w:fldChar w:fldCharType="begin"/>
          </w:r>
          <w:r>
            <w:rPr>
              <w:highlight w:val="none"/>
            </w:rPr>
            <w:instrText xml:space="preserve"> PAGEREF _Toc18396 \h </w:instrText>
          </w:r>
          <w:r>
            <w:rPr>
              <w:highlight w:val="none"/>
            </w:rPr>
            <w:fldChar w:fldCharType="separate"/>
          </w:r>
          <w:r>
            <w:rPr>
              <w:highlight w:val="none"/>
            </w:rPr>
            <w:t>15</w:t>
          </w:r>
          <w:r>
            <w:rPr>
              <w:highlight w:val="none"/>
            </w:rPr>
            <w:fldChar w:fldCharType="end"/>
          </w:r>
          <w:r>
            <w:rPr>
              <w:rFonts w:ascii="Times New Roman" w:hAnsi="Times New Roman" w:eastAsia="Times New Roman" w:cs="Times New Roman"/>
              <w:color w:val="auto"/>
              <w:szCs w:val="30"/>
              <w:highlight w:val="none"/>
            </w:rPr>
            <w:fldChar w:fldCharType="end"/>
          </w:r>
        </w:p>
        <w:p w14:paraId="366AA309">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_Toc15533 </w:instrText>
          </w:r>
          <w:r>
            <w:rPr>
              <w:rFonts w:ascii="Times New Roman" w:hAnsi="Times New Roman" w:eastAsia="Times New Roman" w:cs="Times New Roman"/>
              <w:szCs w:val="30"/>
              <w:highlight w:val="none"/>
            </w:rPr>
            <w:fldChar w:fldCharType="separate"/>
          </w:r>
          <w:r>
            <w:rPr>
              <w:rFonts w:ascii="宋体" w:hAnsi="宋体" w:eastAsia="宋体" w:cs="宋体"/>
              <w:bCs/>
              <w:spacing w:val="6"/>
              <w:szCs w:val="43"/>
              <w:highlight w:val="none"/>
            </w:rPr>
            <w:t>第四章</w:t>
          </w:r>
          <w:r>
            <w:rPr>
              <w:rFonts w:ascii="宋体" w:hAnsi="宋体" w:eastAsia="宋体" w:cs="宋体"/>
              <w:spacing w:val="6"/>
              <w:szCs w:val="43"/>
              <w:highlight w:val="none"/>
            </w:rPr>
            <w:t xml:space="preserve"> </w:t>
          </w:r>
          <w:r>
            <w:rPr>
              <w:rFonts w:ascii="宋体" w:hAnsi="宋体" w:eastAsia="宋体" w:cs="宋体"/>
              <w:bCs/>
              <w:spacing w:val="6"/>
              <w:szCs w:val="43"/>
              <w:highlight w:val="none"/>
            </w:rPr>
            <w:t>评审程序、评审方法和评审标准</w:t>
          </w:r>
          <w:r>
            <w:rPr>
              <w:highlight w:val="none"/>
            </w:rPr>
            <w:tab/>
          </w:r>
          <w:r>
            <w:rPr>
              <w:highlight w:val="none"/>
            </w:rPr>
            <w:fldChar w:fldCharType="begin"/>
          </w:r>
          <w:r>
            <w:rPr>
              <w:highlight w:val="none"/>
            </w:rPr>
            <w:instrText xml:space="preserve"> PAGEREF _Toc15533 \h </w:instrText>
          </w:r>
          <w:r>
            <w:rPr>
              <w:highlight w:val="none"/>
            </w:rPr>
            <w:fldChar w:fldCharType="separate"/>
          </w:r>
          <w:r>
            <w:rPr>
              <w:highlight w:val="none"/>
            </w:rPr>
            <w:t>33</w:t>
          </w:r>
          <w:r>
            <w:rPr>
              <w:highlight w:val="none"/>
            </w:rPr>
            <w:fldChar w:fldCharType="end"/>
          </w:r>
          <w:r>
            <w:rPr>
              <w:rFonts w:ascii="Times New Roman" w:hAnsi="Times New Roman" w:eastAsia="Times New Roman" w:cs="Times New Roman"/>
              <w:color w:val="auto"/>
              <w:szCs w:val="30"/>
              <w:highlight w:val="none"/>
            </w:rPr>
            <w:fldChar w:fldCharType="end"/>
          </w:r>
        </w:p>
        <w:p w14:paraId="6502BA25">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_Toc22844 </w:instrText>
          </w:r>
          <w:r>
            <w:rPr>
              <w:rFonts w:ascii="Times New Roman" w:hAnsi="Times New Roman" w:eastAsia="Times New Roman" w:cs="Times New Roman"/>
              <w:szCs w:val="30"/>
              <w:highlight w:val="none"/>
            </w:rPr>
            <w:fldChar w:fldCharType="separate"/>
          </w:r>
          <w:r>
            <w:rPr>
              <w:rFonts w:ascii="宋体" w:hAnsi="宋体" w:eastAsia="宋体" w:cs="宋体"/>
              <w:bCs/>
              <w:szCs w:val="43"/>
              <w:highlight w:val="none"/>
            </w:rPr>
            <w:t>第五章</w:t>
          </w:r>
          <w:r>
            <w:rPr>
              <w:rFonts w:ascii="宋体" w:hAnsi="宋体" w:eastAsia="宋体" w:cs="宋体"/>
              <w:spacing w:val="48"/>
              <w:szCs w:val="43"/>
              <w:highlight w:val="none"/>
            </w:rPr>
            <w:t xml:space="preserve"> </w:t>
          </w:r>
          <w:r>
            <w:rPr>
              <w:rFonts w:ascii="宋体" w:hAnsi="宋体" w:eastAsia="宋体" w:cs="宋体"/>
              <w:bCs/>
              <w:szCs w:val="43"/>
              <w:highlight w:val="none"/>
            </w:rPr>
            <w:t>响应文件格式</w:t>
          </w:r>
          <w:r>
            <w:rPr>
              <w:highlight w:val="none"/>
            </w:rPr>
            <w:tab/>
          </w:r>
          <w:r>
            <w:rPr>
              <w:highlight w:val="none"/>
            </w:rPr>
            <w:fldChar w:fldCharType="begin"/>
          </w:r>
          <w:r>
            <w:rPr>
              <w:highlight w:val="none"/>
            </w:rPr>
            <w:instrText xml:space="preserve"> PAGEREF _Toc22844 \h </w:instrText>
          </w:r>
          <w:r>
            <w:rPr>
              <w:highlight w:val="none"/>
            </w:rPr>
            <w:fldChar w:fldCharType="separate"/>
          </w:r>
          <w:r>
            <w:rPr>
              <w:highlight w:val="none"/>
            </w:rPr>
            <w:t>44</w:t>
          </w:r>
          <w:r>
            <w:rPr>
              <w:highlight w:val="none"/>
            </w:rPr>
            <w:fldChar w:fldCharType="end"/>
          </w:r>
          <w:r>
            <w:rPr>
              <w:rFonts w:ascii="Times New Roman" w:hAnsi="Times New Roman" w:eastAsia="Times New Roman" w:cs="Times New Roman"/>
              <w:color w:val="auto"/>
              <w:szCs w:val="30"/>
              <w:highlight w:val="none"/>
            </w:rPr>
            <w:fldChar w:fldCharType="end"/>
          </w:r>
        </w:p>
        <w:p w14:paraId="10EB5892">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_Toc20678 </w:instrText>
          </w:r>
          <w:r>
            <w:rPr>
              <w:rFonts w:ascii="Times New Roman" w:hAnsi="Times New Roman" w:eastAsia="Times New Roman" w:cs="Times New Roman"/>
              <w:szCs w:val="30"/>
              <w:highlight w:val="none"/>
            </w:rPr>
            <w:fldChar w:fldCharType="separate"/>
          </w:r>
          <w:r>
            <w:rPr>
              <w:rFonts w:ascii="宋体" w:hAnsi="宋体" w:eastAsia="宋体" w:cs="宋体"/>
              <w:bCs/>
              <w:spacing w:val="4"/>
              <w:szCs w:val="43"/>
              <w:highlight w:val="none"/>
            </w:rPr>
            <w:t>第六章</w:t>
          </w:r>
          <w:r>
            <w:rPr>
              <w:rFonts w:ascii="宋体" w:hAnsi="宋体" w:eastAsia="宋体" w:cs="宋体"/>
              <w:spacing w:val="4"/>
              <w:szCs w:val="43"/>
              <w:highlight w:val="none"/>
            </w:rPr>
            <w:t xml:space="preserve"> </w:t>
          </w:r>
          <w:r>
            <w:rPr>
              <w:rFonts w:ascii="宋体" w:hAnsi="宋体" w:eastAsia="宋体" w:cs="宋体"/>
              <w:bCs/>
              <w:spacing w:val="4"/>
              <w:szCs w:val="43"/>
              <w:highlight w:val="none"/>
            </w:rPr>
            <w:t>合同文本</w:t>
          </w:r>
          <w:r>
            <w:rPr>
              <w:highlight w:val="none"/>
            </w:rPr>
            <w:tab/>
          </w:r>
          <w:r>
            <w:rPr>
              <w:highlight w:val="none"/>
            </w:rPr>
            <w:fldChar w:fldCharType="begin"/>
          </w:r>
          <w:r>
            <w:rPr>
              <w:highlight w:val="none"/>
            </w:rPr>
            <w:instrText xml:space="preserve"> PAGEREF _Toc20678 \h </w:instrText>
          </w:r>
          <w:r>
            <w:rPr>
              <w:highlight w:val="none"/>
            </w:rPr>
            <w:fldChar w:fldCharType="separate"/>
          </w:r>
          <w:r>
            <w:rPr>
              <w:highlight w:val="none"/>
            </w:rPr>
            <w:t>83</w:t>
          </w:r>
          <w:r>
            <w:rPr>
              <w:highlight w:val="none"/>
            </w:rPr>
            <w:fldChar w:fldCharType="end"/>
          </w:r>
          <w:r>
            <w:rPr>
              <w:rFonts w:ascii="Times New Roman" w:hAnsi="Times New Roman" w:eastAsia="Times New Roman" w:cs="Times New Roman"/>
              <w:color w:val="auto"/>
              <w:szCs w:val="30"/>
              <w:highlight w:val="none"/>
            </w:rPr>
            <w:fldChar w:fldCharType="end"/>
          </w:r>
        </w:p>
        <w:p w14:paraId="3B1C9F22">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_Toc29065 </w:instrText>
          </w:r>
          <w:r>
            <w:rPr>
              <w:rFonts w:ascii="Times New Roman" w:hAnsi="Times New Roman" w:eastAsia="Times New Roman" w:cs="Times New Roman"/>
              <w:szCs w:val="30"/>
              <w:highlight w:val="none"/>
            </w:rPr>
            <w:fldChar w:fldCharType="separate"/>
          </w:r>
          <w:r>
            <w:rPr>
              <w:rFonts w:ascii="宋体" w:hAnsi="宋体" w:eastAsia="宋体" w:cs="宋体"/>
              <w:bCs/>
              <w:spacing w:val="5"/>
              <w:szCs w:val="43"/>
              <w:highlight w:val="none"/>
            </w:rPr>
            <w:t>第七章</w:t>
          </w:r>
          <w:r>
            <w:rPr>
              <w:rFonts w:ascii="宋体" w:hAnsi="宋体" w:eastAsia="宋体" w:cs="宋体"/>
              <w:spacing w:val="5"/>
              <w:szCs w:val="43"/>
              <w:highlight w:val="none"/>
            </w:rPr>
            <w:t xml:space="preserve"> </w:t>
          </w:r>
          <w:r>
            <w:rPr>
              <w:rFonts w:ascii="宋体" w:hAnsi="宋体" w:eastAsia="宋体" w:cs="宋体"/>
              <w:bCs/>
              <w:spacing w:val="5"/>
              <w:szCs w:val="43"/>
              <w:highlight w:val="none"/>
            </w:rPr>
            <w:t>工程量清单</w:t>
          </w:r>
          <w:r>
            <w:rPr>
              <w:highlight w:val="none"/>
            </w:rPr>
            <w:tab/>
          </w:r>
          <w:r>
            <w:rPr>
              <w:highlight w:val="none"/>
            </w:rPr>
            <w:fldChar w:fldCharType="begin"/>
          </w:r>
          <w:r>
            <w:rPr>
              <w:highlight w:val="none"/>
            </w:rPr>
            <w:instrText xml:space="preserve"> PAGEREF _Toc29065 \h </w:instrText>
          </w:r>
          <w:r>
            <w:rPr>
              <w:highlight w:val="none"/>
            </w:rPr>
            <w:fldChar w:fldCharType="separate"/>
          </w:r>
          <w:r>
            <w:rPr>
              <w:highlight w:val="none"/>
            </w:rPr>
            <w:t>184</w:t>
          </w:r>
          <w:r>
            <w:rPr>
              <w:highlight w:val="none"/>
            </w:rPr>
            <w:fldChar w:fldCharType="end"/>
          </w:r>
          <w:r>
            <w:rPr>
              <w:rFonts w:ascii="Times New Roman" w:hAnsi="Times New Roman" w:eastAsia="Times New Roman" w:cs="Times New Roman"/>
              <w:color w:val="auto"/>
              <w:szCs w:val="30"/>
              <w:highlight w:val="none"/>
            </w:rPr>
            <w:fldChar w:fldCharType="end"/>
          </w:r>
        </w:p>
        <w:p w14:paraId="3BD1BB93">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_Toc28120 </w:instrText>
          </w:r>
          <w:r>
            <w:rPr>
              <w:rFonts w:ascii="Times New Roman" w:hAnsi="Times New Roman" w:eastAsia="Times New Roman" w:cs="Times New Roman"/>
              <w:szCs w:val="30"/>
              <w:highlight w:val="none"/>
            </w:rPr>
            <w:fldChar w:fldCharType="separate"/>
          </w:r>
          <w:r>
            <w:rPr>
              <w:rFonts w:ascii="宋体" w:hAnsi="宋体" w:eastAsia="宋体" w:cs="宋体"/>
              <w:bCs/>
              <w:spacing w:val="-4"/>
              <w:szCs w:val="43"/>
              <w:highlight w:val="none"/>
            </w:rPr>
            <w:t>第八章</w:t>
          </w:r>
          <w:r>
            <w:rPr>
              <w:rFonts w:ascii="宋体" w:hAnsi="宋体" w:eastAsia="宋体" w:cs="宋体"/>
              <w:spacing w:val="39"/>
              <w:szCs w:val="43"/>
              <w:highlight w:val="none"/>
            </w:rPr>
            <w:t xml:space="preserve"> </w:t>
          </w:r>
          <w:r>
            <w:rPr>
              <w:rFonts w:ascii="宋体" w:hAnsi="宋体" w:eastAsia="宋体" w:cs="宋体"/>
              <w:bCs/>
              <w:spacing w:val="-4"/>
              <w:szCs w:val="43"/>
              <w:highlight w:val="none"/>
            </w:rPr>
            <w:t>图纸（另册）</w:t>
          </w:r>
          <w:r>
            <w:rPr>
              <w:highlight w:val="none"/>
            </w:rPr>
            <w:tab/>
          </w:r>
          <w:r>
            <w:rPr>
              <w:highlight w:val="none"/>
            </w:rPr>
            <w:fldChar w:fldCharType="begin"/>
          </w:r>
          <w:r>
            <w:rPr>
              <w:highlight w:val="none"/>
            </w:rPr>
            <w:instrText xml:space="preserve"> PAGEREF _Toc28120 \h </w:instrText>
          </w:r>
          <w:r>
            <w:rPr>
              <w:highlight w:val="none"/>
            </w:rPr>
            <w:fldChar w:fldCharType="separate"/>
          </w:r>
          <w:r>
            <w:rPr>
              <w:highlight w:val="none"/>
            </w:rPr>
            <w:t>185</w:t>
          </w:r>
          <w:r>
            <w:rPr>
              <w:highlight w:val="none"/>
            </w:rPr>
            <w:fldChar w:fldCharType="end"/>
          </w:r>
          <w:r>
            <w:rPr>
              <w:rFonts w:ascii="Times New Roman" w:hAnsi="Times New Roman" w:eastAsia="Times New Roman" w:cs="Times New Roman"/>
              <w:color w:val="auto"/>
              <w:szCs w:val="30"/>
              <w:highlight w:val="none"/>
            </w:rPr>
            <w:fldChar w:fldCharType="end"/>
          </w:r>
        </w:p>
        <w:p w14:paraId="638E0133">
          <w:pPr>
            <w:pStyle w:val="4"/>
            <w:keepNext w:val="0"/>
            <w:keepLines w:val="0"/>
            <w:pageBreakBefore w:val="0"/>
            <w:widowControl/>
            <w:tabs>
              <w:tab w:val="right" w:leader="dot" w:pos="8959"/>
            </w:tabs>
            <w:kinsoku w:val="0"/>
            <w:wordWrap/>
            <w:overflowPunct/>
            <w:topLinePunct w:val="0"/>
            <w:autoSpaceDE w:val="0"/>
            <w:autoSpaceDN w:val="0"/>
            <w:bidi w:val="0"/>
            <w:adjustRightInd w:val="0"/>
            <w:snapToGrid w:val="0"/>
            <w:spacing w:line="360" w:lineRule="auto"/>
            <w:textAlignment w:val="baseline"/>
            <w:rPr>
              <w:highlight w:val="none"/>
            </w:rPr>
          </w:pPr>
          <w:r>
            <w:rPr>
              <w:rFonts w:ascii="Times New Roman" w:hAnsi="Times New Roman" w:eastAsia="Times New Roman" w:cs="Times New Roman"/>
              <w:color w:val="auto"/>
              <w:szCs w:val="30"/>
              <w:highlight w:val="none"/>
            </w:rPr>
            <w:fldChar w:fldCharType="begin"/>
          </w:r>
          <w:r>
            <w:rPr>
              <w:rFonts w:ascii="Times New Roman" w:hAnsi="Times New Roman" w:eastAsia="Times New Roman" w:cs="Times New Roman"/>
              <w:szCs w:val="30"/>
              <w:highlight w:val="none"/>
            </w:rPr>
            <w:instrText xml:space="preserve"> HYPERLINK \l _Toc21033 </w:instrText>
          </w:r>
          <w:r>
            <w:rPr>
              <w:rFonts w:ascii="Times New Roman" w:hAnsi="Times New Roman" w:eastAsia="Times New Roman" w:cs="Times New Roman"/>
              <w:szCs w:val="30"/>
              <w:highlight w:val="none"/>
            </w:rPr>
            <w:fldChar w:fldCharType="separate"/>
          </w:r>
          <w:r>
            <w:rPr>
              <w:rFonts w:ascii="宋体" w:hAnsi="宋体" w:eastAsia="宋体" w:cs="宋体"/>
              <w:bCs/>
              <w:spacing w:val="5"/>
              <w:szCs w:val="43"/>
              <w:highlight w:val="none"/>
            </w:rPr>
            <w:t>第九章</w:t>
          </w:r>
          <w:r>
            <w:rPr>
              <w:rFonts w:ascii="宋体" w:hAnsi="宋体" w:eastAsia="宋体" w:cs="宋体"/>
              <w:spacing w:val="5"/>
              <w:szCs w:val="43"/>
              <w:highlight w:val="none"/>
            </w:rPr>
            <w:t xml:space="preserve"> </w:t>
          </w:r>
          <w:r>
            <w:rPr>
              <w:rFonts w:ascii="宋体" w:hAnsi="宋体" w:eastAsia="宋体" w:cs="宋体"/>
              <w:bCs/>
              <w:spacing w:val="5"/>
              <w:szCs w:val="43"/>
              <w:highlight w:val="none"/>
            </w:rPr>
            <w:t>质疑、投诉材料格式</w:t>
          </w:r>
          <w:r>
            <w:rPr>
              <w:highlight w:val="none"/>
            </w:rPr>
            <w:tab/>
          </w:r>
          <w:r>
            <w:rPr>
              <w:highlight w:val="none"/>
            </w:rPr>
            <w:fldChar w:fldCharType="begin"/>
          </w:r>
          <w:r>
            <w:rPr>
              <w:highlight w:val="none"/>
            </w:rPr>
            <w:instrText xml:space="preserve"> PAGEREF _Toc21033 \h </w:instrText>
          </w:r>
          <w:r>
            <w:rPr>
              <w:highlight w:val="none"/>
            </w:rPr>
            <w:fldChar w:fldCharType="separate"/>
          </w:r>
          <w:r>
            <w:rPr>
              <w:highlight w:val="none"/>
            </w:rPr>
            <w:t>186</w:t>
          </w:r>
          <w:r>
            <w:rPr>
              <w:highlight w:val="none"/>
            </w:rPr>
            <w:fldChar w:fldCharType="end"/>
          </w:r>
          <w:r>
            <w:rPr>
              <w:rFonts w:ascii="Times New Roman" w:hAnsi="Times New Roman" w:eastAsia="Times New Roman" w:cs="Times New Roman"/>
              <w:color w:val="auto"/>
              <w:szCs w:val="30"/>
              <w:highlight w:val="none"/>
            </w:rPr>
            <w:fldChar w:fldCharType="end"/>
          </w:r>
        </w:p>
        <w:p w14:paraId="766CDD7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Times New Roman" w:hAnsi="Times New Roman" w:eastAsia="Times New Roman" w:cs="Times New Roman"/>
              <w:snapToGrid w:val="0"/>
              <w:color w:val="auto"/>
              <w:kern w:val="0"/>
              <w:sz w:val="21"/>
              <w:szCs w:val="30"/>
              <w:highlight w:val="none"/>
              <w:lang w:val="en-US" w:eastAsia="en-US" w:bidi="ar-SA"/>
            </w:rPr>
          </w:pPr>
          <w:r>
            <w:rPr>
              <w:rFonts w:ascii="Times New Roman" w:hAnsi="Times New Roman" w:eastAsia="Times New Roman" w:cs="Times New Roman"/>
              <w:color w:val="auto"/>
              <w:szCs w:val="30"/>
              <w:highlight w:val="none"/>
            </w:rPr>
            <w:fldChar w:fldCharType="end"/>
          </w:r>
        </w:p>
      </w:sdtContent>
    </w:sdt>
    <w:p w14:paraId="4F352B9D">
      <w:pPr>
        <w:spacing w:line="449" w:lineRule="exact"/>
        <w:rPr>
          <w:rFonts w:ascii="Times New Roman" w:hAnsi="Times New Roman" w:eastAsia="Times New Roman" w:cs="Times New Roman"/>
          <w:snapToGrid w:val="0"/>
          <w:color w:val="auto"/>
          <w:kern w:val="0"/>
          <w:sz w:val="21"/>
          <w:szCs w:val="30"/>
          <w:highlight w:val="none"/>
          <w:lang w:val="en-US" w:eastAsia="en-US" w:bidi="ar-SA"/>
        </w:rPr>
        <w:sectPr>
          <w:headerReference r:id="rId5" w:type="default"/>
          <w:footerReference r:id="rId6" w:type="default"/>
          <w:pgSz w:w="11905" w:h="16839"/>
          <w:pgMar w:top="960" w:right="1473" w:bottom="1055" w:left="1473" w:header="945" w:footer="819" w:gutter="0"/>
          <w:cols w:space="720" w:num="1"/>
        </w:sectPr>
      </w:pPr>
    </w:p>
    <w:p w14:paraId="3C773F9F">
      <w:pPr>
        <w:pStyle w:val="2"/>
        <w:spacing w:line="277" w:lineRule="auto"/>
        <w:rPr>
          <w:color w:val="auto"/>
          <w:highlight w:val="none"/>
        </w:rPr>
      </w:pPr>
    </w:p>
    <w:p w14:paraId="2F8A052D">
      <w:pPr>
        <w:pStyle w:val="2"/>
        <w:spacing w:line="277" w:lineRule="auto"/>
        <w:rPr>
          <w:color w:val="auto"/>
          <w:highlight w:val="none"/>
        </w:rPr>
      </w:pPr>
      <w:r>
        <w:rPr>
          <w:color w:val="auto"/>
          <w:highlight w:val="none"/>
        </w:rPr>
        <w:pict>
          <v:shape id="_x0000_s1026" o:spid="_x0000_s1026" style="position:absolute;left:0pt;margin-left:5.6pt;margin-top:13.3pt;height:0.75pt;width:447.85pt;z-index:251659264;mso-width-relative:page;mso-height-relative:page;" fillcolor="#000000" filled="t" stroked="f" coordsize="8957,15" path="m0,0l8956,0,8956,14,0,14,0,0xe">
            <v:path/>
            <v:fill on="t" focussize="0,0"/>
            <v:stroke on="f"/>
            <v:imagedata o:title=""/>
            <o:lock v:ext="edit"/>
          </v:shape>
        </w:pict>
      </w:r>
    </w:p>
    <w:p w14:paraId="7FE0D701">
      <w:pPr>
        <w:pStyle w:val="2"/>
        <w:spacing w:line="277" w:lineRule="auto"/>
        <w:rPr>
          <w:color w:val="auto"/>
          <w:highlight w:val="none"/>
        </w:rPr>
      </w:pPr>
    </w:p>
    <w:p w14:paraId="478DF0F2">
      <w:pPr>
        <w:pStyle w:val="2"/>
        <w:spacing w:line="277" w:lineRule="auto"/>
        <w:rPr>
          <w:color w:val="auto"/>
          <w:highlight w:val="none"/>
        </w:rPr>
      </w:pPr>
    </w:p>
    <w:p w14:paraId="1A1D6D57">
      <w:pPr>
        <w:pStyle w:val="2"/>
        <w:spacing w:line="278" w:lineRule="auto"/>
        <w:rPr>
          <w:color w:val="auto"/>
          <w:highlight w:val="none"/>
        </w:rPr>
      </w:pPr>
    </w:p>
    <w:p w14:paraId="6941F0FC">
      <w:pPr>
        <w:pStyle w:val="2"/>
        <w:spacing w:line="278" w:lineRule="auto"/>
        <w:rPr>
          <w:color w:val="auto"/>
          <w:highlight w:val="none"/>
        </w:rPr>
      </w:pPr>
    </w:p>
    <w:p w14:paraId="0F8D9040">
      <w:pPr>
        <w:spacing w:before="140" w:line="223" w:lineRule="auto"/>
        <w:ind w:left="2289"/>
        <w:outlineLvl w:val="0"/>
        <w:rPr>
          <w:rFonts w:ascii="宋体" w:hAnsi="宋体" w:eastAsia="宋体" w:cs="宋体"/>
          <w:color w:val="auto"/>
          <w:sz w:val="43"/>
          <w:szCs w:val="43"/>
          <w:highlight w:val="none"/>
        </w:rPr>
      </w:pPr>
      <w:bookmarkStart w:id="0" w:name="bookmark1"/>
      <w:bookmarkEnd w:id="0"/>
      <w:bookmarkStart w:id="1" w:name="_Toc7357"/>
      <w:r>
        <w:rPr>
          <w:rFonts w:ascii="宋体" w:hAnsi="宋体" w:eastAsia="宋体" w:cs="宋体"/>
          <w:b/>
          <w:bCs/>
          <w:color w:val="auto"/>
          <w:spacing w:val="5"/>
          <w:sz w:val="43"/>
          <w:szCs w:val="43"/>
          <w:highlight w:val="none"/>
        </w:rPr>
        <w:t>第一章</w:t>
      </w:r>
      <w:r>
        <w:rPr>
          <w:rFonts w:ascii="宋体" w:hAnsi="宋体" w:eastAsia="宋体" w:cs="宋体"/>
          <w:color w:val="auto"/>
          <w:spacing w:val="5"/>
          <w:sz w:val="43"/>
          <w:szCs w:val="43"/>
          <w:highlight w:val="none"/>
        </w:rPr>
        <w:t xml:space="preserve"> </w:t>
      </w:r>
      <w:r>
        <w:rPr>
          <w:rFonts w:ascii="宋体" w:hAnsi="宋体" w:eastAsia="宋体" w:cs="宋体"/>
          <w:b/>
          <w:bCs/>
          <w:color w:val="auto"/>
          <w:spacing w:val="5"/>
          <w:sz w:val="43"/>
          <w:szCs w:val="43"/>
          <w:highlight w:val="none"/>
        </w:rPr>
        <w:t>竞争性磋商公告</w:t>
      </w:r>
      <w:bookmarkEnd w:id="1"/>
    </w:p>
    <w:p w14:paraId="646ACD6F">
      <w:pPr>
        <w:spacing w:before="59"/>
        <w:rPr>
          <w:color w:val="auto"/>
          <w:highlight w:val="none"/>
        </w:rPr>
      </w:pPr>
    </w:p>
    <w:p w14:paraId="16141940">
      <w:pPr>
        <w:spacing w:before="58"/>
        <w:rPr>
          <w:color w:val="auto"/>
          <w:highlight w:val="none"/>
        </w:rPr>
      </w:pPr>
    </w:p>
    <w:tbl>
      <w:tblPr>
        <w:tblStyle w:val="8"/>
        <w:tblW w:w="986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863"/>
      </w:tblGrid>
      <w:tr w14:paraId="2E6CCA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09" w:hRule="atLeast"/>
        </w:trPr>
        <w:tc>
          <w:tcPr>
            <w:tcW w:w="9863" w:type="dxa"/>
            <w:vAlign w:val="top"/>
          </w:tcPr>
          <w:p w14:paraId="187117D0">
            <w:pPr>
              <w:pStyle w:val="9"/>
              <w:spacing w:before="146" w:line="228" w:lineRule="auto"/>
              <w:ind w:left="538"/>
              <w:rPr>
                <w:color w:val="auto"/>
                <w:highlight w:val="none"/>
              </w:rPr>
            </w:pPr>
            <w:r>
              <w:rPr>
                <w:color w:val="auto"/>
                <w:spacing w:val="6"/>
                <w:highlight w:val="none"/>
              </w:rPr>
              <w:t>项目概况</w:t>
            </w:r>
          </w:p>
          <w:p w14:paraId="61753860">
            <w:pPr>
              <w:pStyle w:val="9"/>
              <w:tabs>
                <w:tab w:val="left" w:pos="225"/>
              </w:tabs>
              <w:spacing w:before="152" w:line="324" w:lineRule="auto"/>
              <w:ind w:left="106" w:right="107" w:firstLine="427"/>
              <w:jc w:val="both"/>
              <w:rPr>
                <w:color w:val="auto"/>
                <w:highlight w:val="none"/>
              </w:rPr>
            </w:pPr>
            <w:r>
              <w:rPr>
                <w:rFonts w:hint="eastAsia"/>
                <w:color w:val="auto"/>
                <w:highlight w:val="none"/>
                <w:u w:val="single" w:color="auto"/>
                <w:lang w:eastAsia="zh-CN"/>
              </w:rPr>
              <w:t>横州市莲塘镇初级中学附属设施工程</w:t>
            </w:r>
            <w:r>
              <w:rPr>
                <w:color w:val="auto"/>
                <w:spacing w:val="-60"/>
                <w:highlight w:val="none"/>
                <w:u w:val="single" w:color="auto"/>
              </w:rPr>
              <w:t xml:space="preserve"> </w:t>
            </w:r>
            <w:r>
              <w:rPr>
                <w:color w:val="auto"/>
                <w:spacing w:val="-74"/>
                <w:highlight w:val="none"/>
              </w:rPr>
              <w:t xml:space="preserve"> </w:t>
            </w:r>
            <w:r>
              <w:rPr>
                <w:color w:val="auto"/>
                <w:highlight w:val="none"/>
              </w:rPr>
              <w:t>的</w:t>
            </w:r>
            <w:r>
              <w:rPr>
                <w:color w:val="auto"/>
                <w:spacing w:val="-52"/>
                <w:highlight w:val="none"/>
              </w:rPr>
              <w:t xml:space="preserve"> </w:t>
            </w:r>
            <w:r>
              <w:rPr>
                <w:color w:val="auto"/>
                <w:highlight w:val="none"/>
              </w:rPr>
              <w:t>潜</w:t>
            </w:r>
            <w:r>
              <w:rPr>
                <w:color w:val="auto"/>
                <w:spacing w:val="-50"/>
                <w:highlight w:val="none"/>
              </w:rPr>
              <w:t xml:space="preserve"> </w:t>
            </w:r>
            <w:r>
              <w:rPr>
                <w:color w:val="auto"/>
                <w:highlight w:val="none"/>
              </w:rPr>
              <w:t>在</w:t>
            </w:r>
            <w:r>
              <w:rPr>
                <w:color w:val="auto"/>
                <w:spacing w:val="-51"/>
                <w:highlight w:val="none"/>
              </w:rPr>
              <w:t xml:space="preserve"> </w:t>
            </w:r>
            <w:r>
              <w:rPr>
                <w:color w:val="auto"/>
                <w:highlight w:val="none"/>
              </w:rPr>
              <w:t>供</w:t>
            </w:r>
            <w:r>
              <w:rPr>
                <w:color w:val="auto"/>
                <w:spacing w:val="-52"/>
                <w:highlight w:val="none"/>
              </w:rPr>
              <w:t xml:space="preserve"> </w:t>
            </w:r>
            <w:r>
              <w:rPr>
                <w:color w:val="auto"/>
                <w:highlight w:val="none"/>
              </w:rPr>
              <w:t>应</w:t>
            </w:r>
            <w:r>
              <w:rPr>
                <w:color w:val="auto"/>
                <w:spacing w:val="-44"/>
                <w:highlight w:val="none"/>
              </w:rPr>
              <w:t xml:space="preserve"> </w:t>
            </w:r>
            <w:r>
              <w:rPr>
                <w:color w:val="auto"/>
                <w:highlight w:val="none"/>
              </w:rPr>
              <w:t>商</w:t>
            </w:r>
            <w:r>
              <w:rPr>
                <w:color w:val="auto"/>
                <w:spacing w:val="-51"/>
                <w:highlight w:val="none"/>
              </w:rPr>
              <w:t xml:space="preserve"> </w:t>
            </w:r>
            <w:r>
              <w:rPr>
                <w:color w:val="auto"/>
                <w:highlight w:val="none"/>
              </w:rPr>
              <w:t>应</w:t>
            </w:r>
            <w:r>
              <w:rPr>
                <w:color w:val="auto"/>
                <w:spacing w:val="-53"/>
                <w:highlight w:val="none"/>
              </w:rPr>
              <w:t xml:space="preserve"> </w:t>
            </w:r>
            <w:r>
              <w:rPr>
                <w:color w:val="auto"/>
                <w:highlight w:val="none"/>
              </w:rPr>
              <w:t>在</w:t>
            </w:r>
            <w:r>
              <w:rPr>
                <w:color w:val="auto"/>
                <w:highlight w:val="none"/>
                <w:u w:val="single" w:color="auto"/>
              </w:rPr>
              <w:t>广</w:t>
            </w:r>
            <w:r>
              <w:rPr>
                <w:color w:val="auto"/>
                <w:spacing w:val="-46"/>
                <w:highlight w:val="none"/>
                <w:u w:val="single" w:color="auto"/>
              </w:rPr>
              <w:t xml:space="preserve"> </w:t>
            </w:r>
            <w:r>
              <w:rPr>
                <w:color w:val="auto"/>
                <w:highlight w:val="none"/>
                <w:u w:val="single" w:color="auto"/>
              </w:rPr>
              <w:t>西</w:t>
            </w:r>
            <w:r>
              <w:rPr>
                <w:color w:val="auto"/>
                <w:spacing w:val="-49"/>
                <w:highlight w:val="none"/>
                <w:u w:val="single" w:color="auto"/>
              </w:rPr>
              <w:t xml:space="preserve"> </w:t>
            </w:r>
            <w:r>
              <w:rPr>
                <w:color w:val="auto"/>
                <w:highlight w:val="none"/>
                <w:u w:val="single" w:color="auto"/>
              </w:rPr>
              <w:t>政</w:t>
            </w:r>
            <w:r>
              <w:rPr>
                <w:color w:val="auto"/>
                <w:spacing w:val="-53"/>
                <w:highlight w:val="none"/>
                <w:u w:val="single" w:color="auto"/>
              </w:rPr>
              <w:t xml:space="preserve"> </w:t>
            </w:r>
            <w:r>
              <w:rPr>
                <w:color w:val="auto"/>
                <w:highlight w:val="none"/>
                <w:u w:val="single" w:color="auto"/>
              </w:rPr>
              <w:t>府</w:t>
            </w:r>
            <w:r>
              <w:rPr>
                <w:color w:val="auto"/>
                <w:spacing w:val="-52"/>
                <w:highlight w:val="none"/>
                <w:u w:val="single" w:color="auto"/>
              </w:rPr>
              <w:t xml:space="preserve"> </w:t>
            </w:r>
            <w:r>
              <w:rPr>
                <w:color w:val="auto"/>
                <w:highlight w:val="none"/>
                <w:u w:val="single" w:color="auto"/>
              </w:rPr>
              <w:t>采</w:t>
            </w:r>
            <w:r>
              <w:rPr>
                <w:color w:val="auto"/>
                <w:spacing w:val="-50"/>
                <w:highlight w:val="none"/>
                <w:u w:val="single" w:color="auto"/>
              </w:rPr>
              <w:t xml:space="preserve"> </w:t>
            </w:r>
            <w:r>
              <w:rPr>
                <w:color w:val="auto"/>
                <w:highlight w:val="none"/>
                <w:u w:val="single" w:color="auto"/>
              </w:rPr>
              <w:t>购</w:t>
            </w:r>
            <w:r>
              <w:rPr>
                <w:color w:val="auto"/>
                <w:spacing w:val="-46"/>
                <w:highlight w:val="none"/>
                <w:u w:val="single" w:color="auto"/>
              </w:rPr>
              <w:t xml:space="preserve"> </w:t>
            </w:r>
            <w:r>
              <w:rPr>
                <w:color w:val="auto"/>
                <w:highlight w:val="none"/>
                <w:u w:val="single" w:color="auto"/>
              </w:rPr>
              <w:t>云</w:t>
            </w:r>
            <w:r>
              <w:rPr>
                <w:color w:val="auto"/>
                <w:spacing w:val="-52"/>
                <w:highlight w:val="none"/>
                <w:u w:val="single" w:color="auto"/>
              </w:rPr>
              <w:t xml:space="preserve"> </w:t>
            </w:r>
            <w:r>
              <w:rPr>
                <w:color w:val="auto"/>
                <w:highlight w:val="none"/>
                <w:u w:val="single" w:color="auto"/>
              </w:rPr>
              <w:t>平</w:t>
            </w:r>
            <w:r>
              <w:rPr>
                <w:color w:val="auto"/>
                <w:spacing w:val="-32"/>
                <w:highlight w:val="none"/>
                <w:u w:val="single" w:color="auto"/>
              </w:rPr>
              <w:t xml:space="preserve"> </w:t>
            </w:r>
            <w:r>
              <w:rPr>
                <w:color w:val="auto"/>
                <w:highlight w:val="none"/>
                <w:u w:val="single" w:color="auto"/>
              </w:rPr>
              <w:t>台</w:t>
            </w:r>
            <w:r>
              <w:rPr>
                <w:color w:val="auto"/>
                <w:spacing w:val="2"/>
                <w:highlight w:val="none"/>
                <w:u w:val="single" w:color="auto"/>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highlight w:val="none"/>
                <w:u w:val="single" w:color="auto"/>
              </w:rPr>
              <w:t>https</w:t>
            </w:r>
            <w:r>
              <w:rPr>
                <w:color w:val="auto"/>
                <w:spacing w:val="2"/>
                <w:highlight w:val="none"/>
                <w:u w:val="single" w:color="auto"/>
              </w:rPr>
              <w:t>://</w:t>
            </w:r>
            <w:r>
              <w:rPr>
                <w:color w:val="auto"/>
                <w:highlight w:val="none"/>
                <w:u w:val="single" w:color="auto"/>
              </w:rPr>
              <w:t>www</w:t>
            </w:r>
            <w:r>
              <w:rPr>
                <w:color w:val="auto"/>
                <w:spacing w:val="2"/>
                <w:highlight w:val="none"/>
                <w:u w:val="single" w:color="auto"/>
              </w:rPr>
              <w:t>.</w:t>
            </w:r>
            <w:r>
              <w:rPr>
                <w:color w:val="auto"/>
                <w:highlight w:val="none"/>
                <w:u w:val="single" w:color="auto"/>
              </w:rPr>
              <w:t>gcy</w:t>
            </w:r>
            <w:r>
              <w:rPr>
                <w:color w:val="auto"/>
                <w:spacing w:val="2"/>
                <w:highlight w:val="none"/>
                <w:u w:val="single" w:color="auto"/>
              </w:rPr>
              <w:t>.</w:t>
            </w:r>
            <w:r>
              <w:rPr>
                <w:color w:val="auto"/>
                <w:highlight w:val="none"/>
                <w:u w:val="single" w:color="auto"/>
              </w:rPr>
              <w:t>zfcg</w:t>
            </w:r>
            <w:r>
              <w:rPr>
                <w:color w:val="auto"/>
                <w:spacing w:val="2"/>
                <w:highlight w:val="none"/>
                <w:u w:val="single" w:color="auto"/>
              </w:rPr>
              <w:t>.</w:t>
            </w:r>
            <w:r>
              <w:rPr>
                <w:color w:val="auto"/>
                <w:highlight w:val="none"/>
                <w:u w:val="single" w:color="auto"/>
              </w:rPr>
              <w:t>gxzf</w:t>
            </w:r>
            <w:r>
              <w:rPr>
                <w:color w:val="auto"/>
                <w:spacing w:val="2"/>
                <w:highlight w:val="none"/>
                <w:u w:val="single" w:color="auto"/>
              </w:rPr>
              <w:t>.</w:t>
            </w:r>
            <w:r>
              <w:rPr>
                <w:color w:val="auto"/>
                <w:highlight w:val="none"/>
                <w:u w:val="single" w:color="auto"/>
              </w:rPr>
              <w:t>gov</w:t>
            </w:r>
            <w:r>
              <w:rPr>
                <w:color w:val="auto"/>
                <w:spacing w:val="2"/>
                <w:highlight w:val="none"/>
                <w:u w:val="single" w:color="auto"/>
              </w:rPr>
              <w:t>.</w:t>
            </w:r>
            <w:r>
              <w:rPr>
                <w:color w:val="auto"/>
                <w:highlight w:val="none"/>
                <w:u w:val="single" w:color="auto"/>
              </w:rPr>
              <w:t>cn</w:t>
            </w:r>
            <w:r>
              <w:rPr>
                <w:color w:val="auto"/>
                <w:spacing w:val="2"/>
                <w:highlight w:val="none"/>
                <w:u w:val="single" w:color="auto"/>
              </w:rPr>
              <w:t>/</w:t>
            </w:r>
            <w:r>
              <w:rPr>
                <w:color w:val="auto"/>
                <w:spacing w:val="2"/>
                <w:highlight w:val="none"/>
                <w:u w:val="single" w:color="auto"/>
              </w:rPr>
              <w:fldChar w:fldCharType="end"/>
            </w:r>
            <w:r>
              <w:rPr>
                <w:color w:val="auto"/>
                <w:spacing w:val="2"/>
                <w:highlight w:val="none"/>
                <w:u w:val="single" w:color="auto"/>
              </w:rPr>
              <w:t>）</w:t>
            </w:r>
            <w:r>
              <w:rPr>
                <w:color w:val="auto"/>
                <w:spacing w:val="2"/>
                <w:highlight w:val="none"/>
              </w:rPr>
              <w:t>获取（下载）获取竞争性磋商文件，并于</w:t>
            </w:r>
            <w:r>
              <w:rPr>
                <w:color w:val="auto"/>
                <w:spacing w:val="-24"/>
                <w:highlight w:val="none"/>
              </w:rPr>
              <w:t xml:space="preserve"> </w:t>
            </w:r>
            <w:r>
              <w:rPr>
                <w:color w:val="auto"/>
                <w:spacing w:val="2"/>
                <w:highlight w:val="none"/>
                <w:u w:val="single" w:color="auto"/>
              </w:rPr>
              <w:t>2025</w:t>
            </w:r>
            <w:r>
              <w:rPr>
                <w:color w:val="auto"/>
                <w:spacing w:val="-40"/>
                <w:highlight w:val="none"/>
                <w:u w:val="single" w:color="auto"/>
              </w:rPr>
              <w:t xml:space="preserve"> </w:t>
            </w:r>
            <w:r>
              <w:rPr>
                <w:color w:val="auto"/>
                <w:spacing w:val="2"/>
                <w:highlight w:val="none"/>
                <w:u w:val="single" w:color="auto"/>
              </w:rPr>
              <w:t>年</w:t>
            </w:r>
            <w:r>
              <w:rPr>
                <w:color w:val="auto"/>
                <w:spacing w:val="-21"/>
                <w:highlight w:val="none"/>
                <w:u w:val="single" w:color="auto"/>
              </w:rPr>
              <w:t xml:space="preserve"> </w:t>
            </w:r>
            <w:r>
              <w:rPr>
                <w:color w:val="auto"/>
                <w:spacing w:val="2"/>
                <w:highlight w:val="none"/>
                <w:u w:val="single" w:color="auto"/>
              </w:rPr>
              <w:t>1</w:t>
            </w:r>
            <w:r>
              <w:rPr>
                <w:rFonts w:hint="eastAsia"/>
                <w:color w:val="auto"/>
                <w:spacing w:val="2"/>
                <w:highlight w:val="none"/>
                <w:u w:val="single" w:color="auto"/>
                <w:lang w:val="en-US" w:eastAsia="zh-CN"/>
              </w:rPr>
              <w:t>2</w:t>
            </w:r>
            <w:r>
              <w:rPr>
                <w:color w:val="auto"/>
                <w:spacing w:val="-35"/>
                <w:highlight w:val="none"/>
                <w:u w:val="single" w:color="auto"/>
              </w:rPr>
              <w:t xml:space="preserve"> </w:t>
            </w:r>
            <w:r>
              <w:rPr>
                <w:color w:val="auto"/>
                <w:spacing w:val="2"/>
                <w:highlight w:val="none"/>
                <w:u w:val="single" w:color="auto"/>
              </w:rPr>
              <w:t>月</w:t>
            </w:r>
            <w:r>
              <w:rPr>
                <w:color w:val="auto"/>
                <w:spacing w:val="-22"/>
                <w:highlight w:val="none"/>
                <w:u w:val="single" w:color="auto"/>
              </w:rPr>
              <w:t xml:space="preserve"> </w:t>
            </w:r>
            <w:r>
              <w:rPr>
                <w:rFonts w:hint="eastAsia"/>
                <w:color w:val="auto"/>
                <w:spacing w:val="2"/>
                <w:highlight w:val="none"/>
                <w:u w:val="single" w:color="auto"/>
                <w:lang w:val="en-US" w:eastAsia="zh-CN"/>
              </w:rPr>
              <w:t>29</w:t>
            </w:r>
            <w:r>
              <w:rPr>
                <w:color w:val="auto"/>
                <w:spacing w:val="2"/>
                <w:highlight w:val="none"/>
                <w:u w:val="single" w:color="auto"/>
              </w:rPr>
              <w:t>日</w:t>
            </w:r>
            <w:r>
              <w:rPr>
                <w:color w:val="auto"/>
                <w:spacing w:val="-21"/>
                <w:highlight w:val="none"/>
                <w:u w:val="single" w:color="auto"/>
              </w:rPr>
              <w:t xml:space="preserve"> </w:t>
            </w:r>
            <w:r>
              <w:rPr>
                <w:rFonts w:hint="eastAsia"/>
                <w:color w:val="auto"/>
                <w:spacing w:val="2"/>
                <w:highlight w:val="none"/>
                <w:u w:val="single" w:color="auto"/>
                <w:lang w:val="en-US" w:eastAsia="zh-CN"/>
              </w:rPr>
              <w:t>9</w:t>
            </w:r>
            <w:r>
              <w:rPr>
                <w:color w:val="auto"/>
                <w:highlight w:val="none"/>
              </w:rPr>
              <w:t xml:space="preserve"> </w:t>
            </w:r>
            <w:r>
              <w:rPr>
                <w:color w:val="auto"/>
                <w:spacing w:val="7"/>
                <w:highlight w:val="none"/>
                <w:u w:val="single" w:color="auto"/>
              </w:rPr>
              <w:t>时</w:t>
            </w:r>
            <w:r>
              <w:rPr>
                <w:color w:val="auto"/>
                <w:spacing w:val="-28"/>
                <w:highlight w:val="none"/>
                <w:u w:val="single" w:color="auto"/>
              </w:rPr>
              <w:t xml:space="preserve"> </w:t>
            </w:r>
            <w:r>
              <w:rPr>
                <w:rFonts w:hint="eastAsia"/>
                <w:color w:val="auto"/>
                <w:spacing w:val="7"/>
                <w:highlight w:val="none"/>
                <w:u w:val="single" w:color="auto"/>
                <w:lang w:val="en-US" w:eastAsia="zh-CN"/>
              </w:rPr>
              <w:t>3</w:t>
            </w:r>
            <w:r>
              <w:rPr>
                <w:color w:val="auto"/>
                <w:spacing w:val="7"/>
                <w:highlight w:val="none"/>
                <w:u w:val="single" w:color="auto"/>
              </w:rPr>
              <w:t>0</w:t>
            </w:r>
            <w:r>
              <w:rPr>
                <w:color w:val="auto"/>
                <w:spacing w:val="-36"/>
                <w:highlight w:val="none"/>
                <w:u w:val="single" w:color="auto"/>
              </w:rPr>
              <w:t xml:space="preserve"> </w:t>
            </w:r>
            <w:r>
              <w:rPr>
                <w:color w:val="auto"/>
                <w:spacing w:val="7"/>
                <w:highlight w:val="none"/>
                <w:u w:val="single" w:color="auto"/>
              </w:rPr>
              <w:t>分</w:t>
            </w:r>
            <w:r>
              <w:rPr>
                <w:color w:val="auto"/>
                <w:spacing w:val="7"/>
                <w:highlight w:val="none"/>
              </w:rPr>
              <w:t>（北京时间）前提交响应文件。</w:t>
            </w:r>
          </w:p>
        </w:tc>
      </w:tr>
    </w:tbl>
    <w:p w14:paraId="663FF2DB">
      <w:pPr>
        <w:pStyle w:val="2"/>
        <w:spacing w:line="436" w:lineRule="auto"/>
        <w:rPr>
          <w:color w:val="auto"/>
          <w:highlight w:val="none"/>
        </w:rPr>
      </w:pPr>
    </w:p>
    <w:p w14:paraId="354D053B">
      <w:pPr>
        <w:spacing w:before="78" w:line="219" w:lineRule="auto"/>
        <w:ind w:left="60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一、项目基本情况</w:t>
      </w:r>
    </w:p>
    <w:p w14:paraId="117E064E">
      <w:pPr>
        <w:spacing w:before="140" w:line="228" w:lineRule="auto"/>
        <w:ind w:left="55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1.项目编号：NNZC2025-C2-270250-GXTZ</w:t>
      </w:r>
    </w:p>
    <w:p w14:paraId="6716A272">
      <w:pPr>
        <w:spacing w:before="154" w:line="228" w:lineRule="auto"/>
        <w:ind w:left="544"/>
        <w:rPr>
          <w:rFonts w:hint="eastAsia" w:ascii="宋体" w:hAnsi="宋体" w:eastAsia="宋体" w:cs="宋体"/>
          <w:color w:val="auto"/>
          <w:spacing w:val="9"/>
          <w:sz w:val="20"/>
          <w:szCs w:val="20"/>
          <w:highlight w:val="none"/>
          <w:lang w:eastAsia="zh-CN"/>
        </w:rPr>
      </w:pPr>
      <w:r>
        <w:rPr>
          <w:rFonts w:ascii="宋体" w:hAnsi="宋体" w:eastAsia="宋体" w:cs="宋体"/>
          <w:color w:val="auto"/>
          <w:spacing w:val="9"/>
          <w:sz w:val="20"/>
          <w:szCs w:val="20"/>
          <w:highlight w:val="none"/>
        </w:rPr>
        <w:t>2.项目名称：</w:t>
      </w:r>
      <w:r>
        <w:rPr>
          <w:rFonts w:hint="eastAsia" w:ascii="宋体" w:hAnsi="宋体" w:eastAsia="宋体" w:cs="宋体"/>
          <w:color w:val="auto"/>
          <w:spacing w:val="9"/>
          <w:sz w:val="20"/>
          <w:szCs w:val="20"/>
          <w:highlight w:val="none"/>
          <w:lang w:eastAsia="zh-CN"/>
        </w:rPr>
        <w:t>横州市莲塘镇初级中学附属设施工程</w:t>
      </w:r>
    </w:p>
    <w:p w14:paraId="3A10A512">
      <w:pPr>
        <w:spacing w:before="154" w:line="228" w:lineRule="auto"/>
        <w:ind w:left="54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3.预算金额：</w:t>
      </w:r>
      <w:r>
        <w:rPr>
          <w:rFonts w:hint="eastAsia" w:ascii="宋体" w:hAnsi="宋体" w:eastAsia="宋体" w:cs="宋体"/>
          <w:color w:val="auto"/>
          <w:spacing w:val="5"/>
          <w:sz w:val="20"/>
          <w:szCs w:val="20"/>
          <w:highlight w:val="none"/>
          <w:lang w:val="en-US" w:eastAsia="zh-CN"/>
        </w:rPr>
        <w:t>73.476423</w:t>
      </w:r>
      <w:r>
        <w:rPr>
          <w:rFonts w:hint="eastAsia" w:ascii="宋体" w:hAnsi="宋体" w:eastAsia="宋体" w:cs="宋体"/>
          <w:color w:val="auto"/>
          <w:spacing w:val="5"/>
          <w:sz w:val="20"/>
          <w:szCs w:val="20"/>
          <w:highlight w:val="none"/>
          <w:lang w:eastAsia="zh-CN"/>
        </w:rPr>
        <w:t>万</w:t>
      </w:r>
      <w:r>
        <w:rPr>
          <w:rFonts w:ascii="宋体" w:hAnsi="宋体" w:eastAsia="宋体" w:cs="宋体"/>
          <w:color w:val="auto"/>
          <w:spacing w:val="5"/>
          <w:sz w:val="20"/>
          <w:szCs w:val="20"/>
          <w:highlight w:val="none"/>
        </w:rPr>
        <w:t>元</w:t>
      </w:r>
    </w:p>
    <w:p w14:paraId="0B466420">
      <w:pPr>
        <w:spacing w:before="154" w:line="227" w:lineRule="auto"/>
        <w:ind w:left="53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4.最高限价：</w:t>
      </w:r>
      <w:r>
        <w:rPr>
          <w:rFonts w:hint="eastAsia" w:ascii="宋体" w:hAnsi="宋体" w:eastAsia="宋体" w:cs="宋体"/>
          <w:color w:val="auto"/>
          <w:spacing w:val="5"/>
          <w:sz w:val="20"/>
          <w:szCs w:val="20"/>
          <w:highlight w:val="none"/>
          <w:lang w:val="en-US" w:eastAsia="zh-CN"/>
        </w:rPr>
        <w:t>73.476423</w:t>
      </w:r>
      <w:r>
        <w:rPr>
          <w:rFonts w:hint="eastAsia" w:ascii="宋体" w:hAnsi="宋体" w:eastAsia="宋体" w:cs="宋体"/>
          <w:color w:val="auto"/>
          <w:spacing w:val="5"/>
          <w:sz w:val="20"/>
          <w:szCs w:val="20"/>
          <w:highlight w:val="none"/>
          <w:lang w:eastAsia="zh-CN"/>
        </w:rPr>
        <w:t>万</w:t>
      </w:r>
      <w:r>
        <w:rPr>
          <w:rFonts w:ascii="宋体" w:hAnsi="宋体" w:eastAsia="宋体" w:cs="宋体"/>
          <w:color w:val="auto"/>
          <w:spacing w:val="5"/>
          <w:sz w:val="20"/>
          <w:szCs w:val="20"/>
          <w:highlight w:val="none"/>
        </w:rPr>
        <w:t>元</w:t>
      </w:r>
    </w:p>
    <w:p w14:paraId="741BD231">
      <w:pPr>
        <w:spacing w:before="152" w:line="228" w:lineRule="auto"/>
        <w:ind w:left="544"/>
        <w:rPr>
          <w:color w:val="auto"/>
          <w:highlight w:val="none"/>
        </w:rPr>
      </w:pPr>
      <w:r>
        <w:rPr>
          <w:rFonts w:ascii="宋体" w:hAnsi="宋体" w:eastAsia="宋体" w:cs="宋体"/>
          <w:color w:val="auto"/>
          <w:spacing w:val="5"/>
          <w:sz w:val="20"/>
          <w:szCs w:val="20"/>
          <w:highlight w:val="none"/>
        </w:rPr>
        <w:t>5.采购需求：</w:t>
      </w:r>
    </w:p>
    <w:p w14:paraId="46A66F05">
      <w:pPr>
        <w:spacing w:before="49"/>
        <w:rPr>
          <w:color w:val="auto"/>
          <w:highlight w:val="none"/>
        </w:rPr>
      </w:pPr>
    </w:p>
    <w:tbl>
      <w:tblPr>
        <w:tblStyle w:val="8"/>
        <w:tblW w:w="915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8"/>
        <w:gridCol w:w="2076"/>
        <w:gridCol w:w="621"/>
        <w:gridCol w:w="617"/>
        <w:gridCol w:w="5255"/>
      </w:tblGrid>
      <w:tr w14:paraId="640BA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588" w:type="dxa"/>
            <w:vAlign w:val="top"/>
          </w:tcPr>
          <w:p w14:paraId="2619E1DA">
            <w:pPr>
              <w:pStyle w:val="9"/>
              <w:spacing w:before="36" w:line="230" w:lineRule="auto"/>
              <w:ind w:left="135"/>
              <w:rPr>
                <w:color w:val="auto"/>
                <w:highlight w:val="none"/>
              </w:rPr>
            </w:pPr>
            <w:r>
              <w:rPr>
                <w:color w:val="auto"/>
                <w:spacing w:val="5"/>
                <w:highlight w:val="none"/>
              </w:rPr>
              <w:t>序号</w:t>
            </w:r>
          </w:p>
        </w:tc>
        <w:tc>
          <w:tcPr>
            <w:tcW w:w="2076" w:type="dxa"/>
            <w:vAlign w:val="top"/>
          </w:tcPr>
          <w:p w14:paraId="11C4F422">
            <w:pPr>
              <w:pStyle w:val="9"/>
              <w:spacing w:before="36" w:line="229" w:lineRule="auto"/>
              <w:ind w:left="225"/>
              <w:rPr>
                <w:color w:val="auto"/>
                <w:highlight w:val="none"/>
              </w:rPr>
            </w:pPr>
            <w:r>
              <w:rPr>
                <w:color w:val="auto"/>
                <w:spacing w:val="7"/>
                <w:highlight w:val="none"/>
              </w:rPr>
              <w:t>标的的名称</w:t>
            </w:r>
          </w:p>
        </w:tc>
        <w:tc>
          <w:tcPr>
            <w:tcW w:w="621" w:type="dxa"/>
            <w:vAlign w:val="top"/>
          </w:tcPr>
          <w:p w14:paraId="3AFCB894">
            <w:pPr>
              <w:pStyle w:val="9"/>
              <w:spacing w:before="36" w:line="229" w:lineRule="auto"/>
              <w:ind w:left="118"/>
              <w:rPr>
                <w:color w:val="auto"/>
                <w:highlight w:val="none"/>
              </w:rPr>
            </w:pPr>
            <w:r>
              <w:rPr>
                <w:color w:val="auto"/>
                <w:spacing w:val="3"/>
                <w:highlight w:val="none"/>
              </w:rPr>
              <w:t>单位</w:t>
            </w:r>
          </w:p>
        </w:tc>
        <w:tc>
          <w:tcPr>
            <w:tcW w:w="617" w:type="dxa"/>
            <w:vAlign w:val="top"/>
          </w:tcPr>
          <w:p w14:paraId="40C49BE6">
            <w:pPr>
              <w:pStyle w:val="9"/>
              <w:spacing w:before="36" w:line="228" w:lineRule="auto"/>
              <w:ind w:left="154"/>
              <w:rPr>
                <w:color w:val="auto"/>
                <w:highlight w:val="none"/>
              </w:rPr>
            </w:pPr>
            <w:r>
              <w:rPr>
                <w:color w:val="auto"/>
                <w:spacing w:val="3"/>
                <w:highlight w:val="none"/>
              </w:rPr>
              <w:t>数量</w:t>
            </w:r>
          </w:p>
        </w:tc>
        <w:tc>
          <w:tcPr>
            <w:tcW w:w="5255" w:type="dxa"/>
            <w:vAlign w:val="top"/>
          </w:tcPr>
          <w:p w14:paraId="4062E0C4">
            <w:pPr>
              <w:pStyle w:val="9"/>
              <w:spacing w:before="36" w:line="228" w:lineRule="auto"/>
              <w:ind w:left="1562"/>
              <w:rPr>
                <w:color w:val="auto"/>
                <w:highlight w:val="none"/>
              </w:rPr>
            </w:pPr>
            <w:r>
              <w:rPr>
                <w:color w:val="auto"/>
                <w:spacing w:val="8"/>
                <w:highlight w:val="none"/>
              </w:rPr>
              <w:t>简要服务要求或者技术需求</w:t>
            </w:r>
          </w:p>
        </w:tc>
      </w:tr>
      <w:tr w14:paraId="42DC3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588" w:type="dxa"/>
            <w:vAlign w:val="top"/>
          </w:tcPr>
          <w:p w14:paraId="75B4CB42">
            <w:pPr>
              <w:spacing w:line="265" w:lineRule="auto"/>
              <w:rPr>
                <w:rFonts w:ascii="Arial"/>
                <w:color w:val="auto"/>
                <w:sz w:val="21"/>
                <w:highlight w:val="none"/>
              </w:rPr>
            </w:pPr>
          </w:p>
          <w:p w14:paraId="1AA22BDF">
            <w:pPr>
              <w:pStyle w:val="9"/>
              <w:spacing w:before="65" w:line="271" w:lineRule="exact"/>
              <w:ind w:firstLine="400" w:firstLineChars="200"/>
              <w:rPr>
                <w:color w:val="auto"/>
                <w:highlight w:val="none"/>
              </w:rPr>
            </w:pPr>
            <w:r>
              <w:rPr>
                <w:color w:val="auto"/>
                <w:position w:val="1"/>
                <w:highlight w:val="none"/>
              </w:rPr>
              <w:t>1</w:t>
            </w:r>
          </w:p>
        </w:tc>
        <w:tc>
          <w:tcPr>
            <w:tcW w:w="2076" w:type="dxa"/>
            <w:vAlign w:val="top"/>
          </w:tcPr>
          <w:p w14:paraId="26BF3AC2">
            <w:pPr>
              <w:pStyle w:val="9"/>
              <w:spacing w:before="160" w:line="228" w:lineRule="auto"/>
              <w:rPr>
                <w:color w:val="auto"/>
                <w:highlight w:val="none"/>
              </w:rPr>
            </w:pPr>
            <w:r>
              <w:rPr>
                <w:rFonts w:hint="eastAsia"/>
                <w:color w:val="auto"/>
                <w:highlight w:val="none"/>
                <w:lang w:eastAsia="zh-CN"/>
              </w:rPr>
              <w:t>横州市莲塘镇初级中学附属设施工程</w:t>
            </w:r>
          </w:p>
        </w:tc>
        <w:tc>
          <w:tcPr>
            <w:tcW w:w="621" w:type="dxa"/>
            <w:vAlign w:val="top"/>
          </w:tcPr>
          <w:p w14:paraId="25FDA094">
            <w:pPr>
              <w:spacing w:line="265" w:lineRule="auto"/>
              <w:rPr>
                <w:rFonts w:ascii="Arial"/>
                <w:color w:val="auto"/>
                <w:sz w:val="21"/>
                <w:highlight w:val="none"/>
              </w:rPr>
            </w:pPr>
          </w:p>
          <w:p w14:paraId="41C5BEB4">
            <w:pPr>
              <w:pStyle w:val="9"/>
              <w:spacing w:before="65" w:line="229" w:lineRule="auto"/>
              <w:ind w:firstLine="200" w:firstLineChars="100"/>
              <w:rPr>
                <w:color w:val="auto"/>
                <w:highlight w:val="none"/>
              </w:rPr>
            </w:pPr>
            <w:r>
              <w:rPr>
                <w:color w:val="auto"/>
                <w:highlight w:val="none"/>
              </w:rPr>
              <w:t>项</w:t>
            </w:r>
          </w:p>
        </w:tc>
        <w:tc>
          <w:tcPr>
            <w:tcW w:w="617" w:type="dxa"/>
            <w:vAlign w:val="top"/>
          </w:tcPr>
          <w:p w14:paraId="7872163E">
            <w:pPr>
              <w:spacing w:line="265" w:lineRule="auto"/>
              <w:rPr>
                <w:rFonts w:ascii="Arial"/>
                <w:color w:val="auto"/>
                <w:sz w:val="21"/>
                <w:highlight w:val="none"/>
              </w:rPr>
            </w:pPr>
          </w:p>
          <w:p w14:paraId="6978C237">
            <w:pPr>
              <w:pStyle w:val="9"/>
              <w:spacing w:before="65" w:line="271" w:lineRule="exact"/>
              <w:ind w:firstLine="200" w:firstLineChars="100"/>
              <w:rPr>
                <w:color w:val="auto"/>
                <w:highlight w:val="none"/>
              </w:rPr>
            </w:pPr>
            <w:r>
              <w:rPr>
                <w:color w:val="auto"/>
                <w:position w:val="1"/>
                <w:highlight w:val="none"/>
              </w:rPr>
              <w:t>1</w:t>
            </w:r>
          </w:p>
        </w:tc>
        <w:tc>
          <w:tcPr>
            <w:tcW w:w="5255" w:type="dxa"/>
            <w:vAlign w:val="top"/>
          </w:tcPr>
          <w:p w14:paraId="7BB49F20">
            <w:pPr>
              <w:pStyle w:val="9"/>
              <w:spacing w:before="35" w:line="373" w:lineRule="auto"/>
              <w:ind w:left="112" w:right="38" w:firstLine="3"/>
              <w:jc w:val="both"/>
              <w:rPr>
                <w:color w:val="auto"/>
                <w:highlight w:val="none"/>
              </w:rPr>
            </w:pPr>
            <w:r>
              <w:rPr>
                <w:color w:val="auto"/>
                <w:spacing w:val="4"/>
                <w:highlight w:val="none"/>
              </w:rPr>
              <w:t>主要建设内容</w:t>
            </w:r>
            <w:r>
              <w:rPr>
                <w:color w:val="auto"/>
                <w:spacing w:val="-50"/>
                <w:highlight w:val="none"/>
              </w:rPr>
              <w:t xml:space="preserve"> </w:t>
            </w:r>
            <w:r>
              <w:rPr>
                <w:color w:val="auto"/>
                <w:spacing w:val="4"/>
                <w:highlight w:val="none"/>
              </w:rPr>
              <w:t>:</w:t>
            </w:r>
            <w:r>
              <w:rPr>
                <w:rFonts w:hint="eastAsia"/>
                <w:color w:val="auto"/>
                <w:spacing w:val="4"/>
                <w:highlight w:val="none"/>
                <w:lang w:eastAsia="zh-CN"/>
              </w:rPr>
              <w:t>包含改造围墙、挡土墙及校门，其中挡土墙约</w:t>
            </w:r>
            <w:r>
              <w:rPr>
                <w:rFonts w:hint="eastAsia"/>
                <w:color w:val="auto"/>
                <w:spacing w:val="4"/>
                <w:highlight w:val="none"/>
                <w:lang w:val="en-US" w:eastAsia="zh-CN"/>
              </w:rPr>
              <w:t>291m³</w:t>
            </w:r>
            <w:r>
              <w:rPr>
                <w:color w:val="auto"/>
                <w:spacing w:val="4"/>
                <w:highlight w:val="none"/>
              </w:rPr>
              <w:t>。具体详见施工图及工程量清单包含的全部工作内容</w:t>
            </w:r>
            <w:r>
              <w:rPr>
                <w:color w:val="auto"/>
                <w:spacing w:val="7"/>
                <w:highlight w:val="none"/>
              </w:rPr>
              <w:t>。</w:t>
            </w:r>
          </w:p>
        </w:tc>
      </w:tr>
    </w:tbl>
    <w:p w14:paraId="7BA7158B">
      <w:pPr>
        <w:spacing w:before="139" w:line="229" w:lineRule="auto"/>
        <w:ind w:left="54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6.合同履约期限：工期</w:t>
      </w:r>
      <w:r>
        <w:rPr>
          <w:rFonts w:ascii="宋体" w:hAnsi="宋体" w:eastAsia="宋体" w:cs="宋体"/>
          <w:color w:val="auto"/>
          <w:spacing w:val="-22"/>
          <w:sz w:val="20"/>
          <w:szCs w:val="20"/>
          <w:highlight w:val="none"/>
        </w:rPr>
        <w:t xml:space="preserve"> </w:t>
      </w:r>
      <w:r>
        <w:rPr>
          <w:rFonts w:hint="eastAsia" w:ascii="宋体" w:hAnsi="宋体" w:eastAsia="宋体" w:cs="宋体"/>
          <w:color w:val="auto"/>
          <w:spacing w:val="3"/>
          <w:sz w:val="20"/>
          <w:szCs w:val="20"/>
          <w:highlight w:val="none"/>
          <w:lang w:val="en-US" w:eastAsia="zh-CN"/>
        </w:rPr>
        <w:t>90</w:t>
      </w:r>
      <w:r>
        <w:rPr>
          <w:rFonts w:ascii="宋体" w:hAnsi="宋体" w:eastAsia="宋体" w:cs="宋体"/>
          <w:color w:val="auto"/>
          <w:spacing w:val="3"/>
          <w:sz w:val="20"/>
          <w:szCs w:val="20"/>
          <w:highlight w:val="none"/>
        </w:rPr>
        <w:t xml:space="preserve"> 日历天。</w:t>
      </w:r>
    </w:p>
    <w:p w14:paraId="5E6051E3">
      <w:pPr>
        <w:spacing w:before="152" w:line="228" w:lineRule="auto"/>
        <w:ind w:left="54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7.本项目是否接受联合体：否。</w:t>
      </w:r>
    </w:p>
    <w:p w14:paraId="221961F3">
      <w:pPr>
        <w:spacing w:before="128" w:line="219" w:lineRule="auto"/>
        <w:ind w:left="60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二、供应商的资格条件</w:t>
      </w:r>
    </w:p>
    <w:p w14:paraId="35434CAB">
      <w:pPr>
        <w:spacing w:before="139" w:line="228" w:lineRule="auto"/>
        <w:ind w:left="55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1.满足《中华人民共和国政府采购法》第二十二条规定；</w:t>
      </w:r>
    </w:p>
    <w:p w14:paraId="3AD9ED1C">
      <w:pPr>
        <w:spacing w:before="153" w:line="300" w:lineRule="auto"/>
        <w:ind w:left="123" w:right="799"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2.落实政府采购政策需满足的资格要求：专门面向小微企业采购的项</w:t>
      </w:r>
      <w:r>
        <w:rPr>
          <w:rFonts w:ascii="宋体" w:hAnsi="宋体" w:eastAsia="宋体" w:cs="宋体"/>
          <w:color w:val="auto"/>
          <w:spacing w:val="7"/>
          <w:sz w:val="20"/>
          <w:szCs w:val="20"/>
          <w:highlight w:val="none"/>
        </w:rPr>
        <w:t>目（供应商应为小微企业</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或监狱企业或残疾人福利性单位)。</w:t>
      </w:r>
    </w:p>
    <w:p w14:paraId="40A9DBE8">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648" w:firstLineChars="300"/>
        <w:textAlignment w:val="baseline"/>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3.本项目的特定资格要求：供应商具有建筑工程施工总承包三级</w:t>
      </w:r>
      <w:r>
        <w:rPr>
          <w:rFonts w:ascii="宋体" w:hAnsi="宋体" w:eastAsia="宋体" w:cs="宋体"/>
          <w:color w:val="auto"/>
          <w:spacing w:val="7"/>
          <w:sz w:val="20"/>
          <w:szCs w:val="20"/>
          <w:highlight w:val="none"/>
        </w:rPr>
        <w:t>（含三级）以上资质，供应商</w:t>
      </w:r>
      <w:r>
        <w:rPr>
          <w:rFonts w:ascii="宋体" w:hAnsi="宋体" w:eastAsia="宋体" w:cs="宋体"/>
          <w:color w:val="auto"/>
          <w:spacing w:val="9"/>
          <w:sz w:val="20"/>
          <w:szCs w:val="20"/>
          <w:highlight w:val="none"/>
        </w:rPr>
        <w:t>具有有效的安全生产许可证；供应商拟派项目经理</w:t>
      </w:r>
      <w:r>
        <w:rPr>
          <w:rFonts w:ascii="宋体" w:hAnsi="宋体" w:eastAsia="宋体" w:cs="宋体"/>
          <w:color w:val="auto"/>
          <w:spacing w:val="8"/>
          <w:sz w:val="20"/>
          <w:szCs w:val="20"/>
          <w:highlight w:val="none"/>
        </w:rPr>
        <w:t>具有建筑工程专业二级及以上注册建造师证书，</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具备有效的安全生产考核合格证书（B</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类）。本项目不接受有在建、已中标未开工或已列为本项目</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或其他项目中标候选人第一名的建造师作为项目经理。（符合《广西壮族自治区建筑市场诚信卡管</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理暂行办法》第十六条第一款及桂建管﹝2016﹞70</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号、桂建管〔</w:t>
      </w:r>
      <w:r>
        <w:rPr>
          <w:rFonts w:ascii="宋体" w:hAnsi="宋体" w:eastAsia="宋体" w:cs="宋体"/>
          <w:color w:val="auto"/>
          <w:spacing w:val="8"/>
          <w:sz w:val="20"/>
          <w:szCs w:val="20"/>
          <w:highlight w:val="none"/>
        </w:rPr>
        <w:t>2020〕11</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号文除外）。拟派本项</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目专职安全员持有有效的省级或省级以上建设行政主管部门颁发的《安全生产考核合格证书（建安</w:t>
      </w:r>
      <w:r>
        <w:rPr>
          <w:rFonts w:ascii="宋体" w:hAnsi="宋体" w:eastAsia="宋体" w:cs="宋体"/>
          <w:color w:val="auto"/>
          <w:spacing w:val="3"/>
          <w:sz w:val="20"/>
          <w:szCs w:val="20"/>
          <w:highlight w:val="none"/>
        </w:rPr>
        <w:t xml:space="preserve"> </w:t>
      </w:r>
      <w:r>
        <w:rPr>
          <w:rFonts w:ascii="宋体" w:hAnsi="宋体" w:eastAsia="宋体" w:cs="宋体"/>
          <w:color w:val="auto"/>
          <w:spacing w:val="5"/>
          <w:sz w:val="20"/>
          <w:szCs w:val="20"/>
          <w:highlight w:val="none"/>
        </w:rPr>
        <w:t>C 证）》，人数不少于</w:t>
      </w:r>
      <w:r>
        <w:rPr>
          <w:rFonts w:ascii="宋体" w:hAnsi="宋体" w:eastAsia="宋体" w:cs="宋体"/>
          <w:color w:val="auto"/>
          <w:spacing w:val="31"/>
          <w:sz w:val="20"/>
          <w:szCs w:val="20"/>
          <w:highlight w:val="none"/>
        </w:rPr>
        <w:t xml:space="preserve"> </w:t>
      </w:r>
      <w:r>
        <w:rPr>
          <w:rFonts w:ascii="宋体" w:hAnsi="宋体" w:eastAsia="宋体" w:cs="宋体"/>
          <w:color w:val="auto"/>
          <w:spacing w:val="5"/>
          <w:sz w:val="20"/>
          <w:szCs w:val="20"/>
          <w:highlight w:val="none"/>
        </w:rPr>
        <w:t>1</w:t>
      </w:r>
      <w:r>
        <w:rPr>
          <w:rFonts w:ascii="宋体" w:hAnsi="宋体" w:eastAsia="宋体" w:cs="宋体"/>
          <w:color w:val="auto"/>
          <w:spacing w:val="14"/>
          <w:sz w:val="20"/>
          <w:szCs w:val="20"/>
          <w:highlight w:val="none"/>
        </w:rPr>
        <w:t xml:space="preserve"> </w:t>
      </w:r>
      <w:r>
        <w:rPr>
          <w:rFonts w:ascii="宋体" w:hAnsi="宋体" w:eastAsia="宋体" w:cs="宋体"/>
          <w:color w:val="auto"/>
          <w:spacing w:val="5"/>
          <w:sz w:val="20"/>
          <w:szCs w:val="20"/>
          <w:highlight w:val="none"/>
        </w:rPr>
        <w:t>人。</w:t>
      </w:r>
    </w:p>
    <w:p w14:paraId="09EC9D91">
      <w:pPr>
        <w:keepNext w:val="0"/>
        <w:keepLines w:val="0"/>
        <w:pageBreakBefore w:val="0"/>
        <w:widowControl/>
        <w:kinsoku w:val="0"/>
        <w:wordWrap/>
        <w:overflowPunct/>
        <w:topLinePunct w:val="0"/>
        <w:autoSpaceDE w:val="0"/>
        <w:autoSpaceDN w:val="0"/>
        <w:bidi w:val="0"/>
        <w:adjustRightInd w:val="0"/>
        <w:snapToGrid w:val="0"/>
        <w:spacing w:line="360" w:lineRule="auto"/>
        <w:ind w:left="426"/>
        <w:textAlignment w:val="baseline"/>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4.本项目的特定条件：无。</w:t>
      </w:r>
    </w:p>
    <w:p w14:paraId="0B3CC997">
      <w:pPr>
        <w:spacing w:before="153" w:line="322" w:lineRule="auto"/>
        <w:ind w:left="6" w:right="180"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5.单位负责人为同一人或者存在直接控股、管理关系的不同供应</w:t>
      </w:r>
      <w:r>
        <w:rPr>
          <w:rFonts w:ascii="宋体" w:hAnsi="宋体" w:eastAsia="宋体" w:cs="宋体"/>
          <w:color w:val="auto"/>
          <w:spacing w:val="7"/>
          <w:sz w:val="20"/>
          <w:szCs w:val="20"/>
          <w:highlight w:val="none"/>
        </w:rPr>
        <w:t>商，不得参加同一合同项下的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政府采购活动。为本项目提供过整体设计、规范编制或者项目</w:t>
      </w:r>
      <w:r>
        <w:rPr>
          <w:rFonts w:ascii="宋体" w:hAnsi="宋体" w:eastAsia="宋体" w:cs="宋体"/>
          <w:color w:val="auto"/>
          <w:spacing w:val="8"/>
          <w:sz w:val="20"/>
          <w:szCs w:val="20"/>
          <w:highlight w:val="none"/>
        </w:rPr>
        <w:t>管理、监理、检测等服务的供应商，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不得再参加本项目上述服务以外的其他采购活动。</w:t>
      </w:r>
    </w:p>
    <w:p w14:paraId="7B8D96C8">
      <w:pPr>
        <w:spacing w:before="153" w:line="322" w:lineRule="auto"/>
        <w:ind w:left="7" w:right="204" w:firstLine="421"/>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6.对在“信用中国”网站(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0"/>
          <w:szCs w:val="20"/>
          <w:highlight w:val="none"/>
        </w:rPr>
        <w:t>www</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creditchina</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7"/>
          <w:sz w:val="20"/>
          <w:szCs w:val="20"/>
          <w:highlight w:val="none"/>
        </w:rPr>
        <w:t>) 、中国政府采购网(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0"/>
          <w:szCs w:val="20"/>
          <w:highlight w:val="none"/>
        </w:rPr>
        <w:t>www</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6"/>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被列入失信被执行人、重大税收违法失信主体、政府采购严重违法失信行为记录名单及其他不符合</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rPr>
        <w:t>《中华人民共和国政府采购法》第二十二条规定条件的供应商，不得参与政府采购活动。</w:t>
      </w:r>
    </w:p>
    <w:p w14:paraId="6EEA6710">
      <w:pPr>
        <w:spacing w:before="127" w:line="220" w:lineRule="auto"/>
        <w:ind w:left="48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三、获取竞争性磋商文件</w:t>
      </w:r>
    </w:p>
    <w:p w14:paraId="15E721E8">
      <w:pPr>
        <w:spacing w:before="141"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1.时间：</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自公告发布之日起至磋商响应文件提交截止时间前。</w:t>
      </w:r>
    </w:p>
    <w:p w14:paraId="4CC970A1">
      <w:pPr>
        <w:spacing w:before="152" w:line="223" w:lineRule="auto"/>
        <w:ind w:left="43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2.地点：广西政府采购云平台（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gcy</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1"/>
          <w:sz w:val="20"/>
          <w:szCs w:val="20"/>
          <w:highlight w:val="none"/>
        </w:rPr>
        <w:t>/</w:t>
      </w:r>
      <w:r>
        <w:rPr>
          <w:rFonts w:ascii="宋体" w:hAnsi="宋体" w:eastAsia="宋体" w:cs="宋体"/>
          <w:color w:val="auto"/>
          <w:spacing w:val="11"/>
          <w:sz w:val="20"/>
          <w:szCs w:val="20"/>
          <w:highlight w:val="none"/>
        </w:rPr>
        <w:fldChar w:fldCharType="end"/>
      </w:r>
      <w:r>
        <w:rPr>
          <w:rFonts w:ascii="宋体" w:hAnsi="宋体" w:eastAsia="宋体" w:cs="宋体"/>
          <w:color w:val="auto"/>
          <w:spacing w:val="11"/>
          <w:sz w:val="20"/>
          <w:szCs w:val="20"/>
          <w:highlight w:val="none"/>
        </w:rPr>
        <w:t>）</w:t>
      </w:r>
    </w:p>
    <w:p w14:paraId="29ED72CA">
      <w:pPr>
        <w:spacing w:before="157" w:line="346" w:lineRule="auto"/>
        <w:ind w:left="6" w:firstLine="42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3.方式：网上下载。本项目不提供纸质文件，潜在供应商需使用账号登录或者使用</w:t>
      </w:r>
      <w:r>
        <w:rPr>
          <w:rFonts w:ascii="宋体" w:hAnsi="宋体" w:eastAsia="宋体" w:cs="宋体"/>
          <w:color w:val="auto"/>
          <w:sz w:val="20"/>
          <w:szCs w:val="20"/>
          <w:highlight w:val="none"/>
        </w:rPr>
        <w:t>CA</w:t>
      </w:r>
      <w:r>
        <w:rPr>
          <w:rFonts w:ascii="宋体" w:hAnsi="宋体" w:eastAsia="宋体" w:cs="宋体"/>
          <w:color w:val="auto"/>
          <w:spacing w:val="-19"/>
          <w:sz w:val="20"/>
          <w:szCs w:val="20"/>
          <w:highlight w:val="none"/>
        </w:rPr>
        <w:t xml:space="preserve"> </w:t>
      </w:r>
      <w:r>
        <w:rPr>
          <w:rFonts w:ascii="宋体" w:hAnsi="宋体" w:eastAsia="宋体" w:cs="宋体"/>
          <w:color w:val="auto"/>
          <w:spacing w:val="11"/>
          <w:sz w:val="20"/>
          <w:szCs w:val="20"/>
          <w:highlight w:val="none"/>
        </w:rPr>
        <w:t>登录广</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gcy</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0"/>
          <w:sz w:val="20"/>
          <w:szCs w:val="20"/>
          <w:highlight w:val="none"/>
        </w:rPr>
        <w:t>/</w:t>
      </w:r>
      <w:r>
        <w:rPr>
          <w:rFonts w:ascii="宋体" w:hAnsi="宋体" w:eastAsia="宋体" w:cs="宋体"/>
          <w:color w:val="auto"/>
          <w:spacing w:val="10"/>
          <w:sz w:val="20"/>
          <w:szCs w:val="20"/>
          <w:highlight w:val="none"/>
        </w:rPr>
        <w:fldChar w:fldCharType="end"/>
      </w:r>
      <w:r>
        <w:rPr>
          <w:rFonts w:ascii="宋体" w:hAnsi="宋体" w:eastAsia="宋体" w:cs="宋体"/>
          <w:color w:val="auto"/>
          <w:spacing w:val="10"/>
          <w:sz w:val="20"/>
          <w:szCs w:val="20"/>
          <w:highlight w:val="none"/>
        </w:rPr>
        <w:t>）-进入“项目</w:t>
      </w:r>
      <w:r>
        <w:rPr>
          <w:rFonts w:ascii="宋体" w:hAnsi="宋体" w:eastAsia="宋体" w:cs="宋体"/>
          <w:color w:val="auto"/>
          <w:spacing w:val="9"/>
          <w:sz w:val="20"/>
          <w:szCs w:val="20"/>
          <w:highlight w:val="none"/>
        </w:rPr>
        <w:t>采购”应用，在获取采购</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文件菜单中选择项目，获取采购文件（或在“广西政府采购</w:t>
      </w:r>
      <w:r>
        <w:rPr>
          <w:rFonts w:ascii="宋体" w:hAnsi="宋体" w:eastAsia="宋体" w:cs="宋体"/>
          <w:color w:val="auto"/>
          <w:spacing w:val="9"/>
          <w:sz w:val="20"/>
          <w:szCs w:val="20"/>
          <w:highlight w:val="none"/>
        </w:rPr>
        <w:t>云平台电子投标客户端-获取采购文件</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跳转到广西政府采购云平台系统获取）。电子响应文件制作需要基于广西政府采购云平台获取的采</w:t>
      </w:r>
      <w:r>
        <w:rPr>
          <w:rFonts w:ascii="宋体" w:hAnsi="宋体" w:eastAsia="宋体" w:cs="宋体"/>
          <w:color w:val="auto"/>
          <w:spacing w:val="1"/>
          <w:sz w:val="20"/>
          <w:szCs w:val="20"/>
          <w:highlight w:val="none"/>
        </w:rPr>
        <w:t xml:space="preserve">   </w:t>
      </w:r>
      <w:r>
        <w:rPr>
          <w:rFonts w:ascii="宋体" w:hAnsi="宋体" w:eastAsia="宋体" w:cs="宋体"/>
          <w:color w:val="auto"/>
          <w:spacing w:val="8"/>
          <w:sz w:val="20"/>
          <w:szCs w:val="20"/>
          <w:highlight w:val="none"/>
        </w:rPr>
        <w:t>购文件编制，通过其他方式获取采购文件的，将有可能导致供应商无法在广西政府采购云平台编制</w:t>
      </w:r>
      <w:r>
        <w:rPr>
          <w:rFonts w:ascii="宋体" w:hAnsi="宋体" w:eastAsia="宋体" w:cs="宋体"/>
          <w:color w:val="auto"/>
          <w:spacing w:val="1"/>
          <w:sz w:val="20"/>
          <w:szCs w:val="20"/>
          <w:highlight w:val="none"/>
        </w:rPr>
        <w:t xml:space="preserve">   </w:t>
      </w:r>
      <w:r>
        <w:rPr>
          <w:rFonts w:ascii="宋体" w:hAnsi="宋体" w:eastAsia="宋体" w:cs="宋体"/>
          <w:color w:val="auto"/>
          <w:spacing w:val="7"/>
          <w:sz w:val="20"/>
          <w:szCs w:val="20"/>
          <w:highlight w:val="none"/>
        </w:rPr>
        <w:t>及上传响应文件。</w:t>
      </w:r>
    </w:p>
    <w:p w14:paraId="63E763A5">
      <w:pPr>
        <w:spacing w:before="154" w:line="227" w:lineRule="auto"/>
        <w:ind w:left="42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4.售价：0</w:t>
      </w:r>
      <w:r>
        <w:rPr>
          <w:rFonts w:ascii="宋体" w:hAnsi="宋体" w:eastAsia="宋体" w:cs="宋体"/>
          <w:color w:val="auto"/>
          <w:spacing w:val="-33"/>
          <w:sz w:val="20"/>
          <w:szCs w:val="20"/>
          <w:highlight w:val="none"/>
        </w:rPr>
        <w:t xml:space="preserve"> </w:t>
      </w:r>
      <w:r>
        <w:rPr>
          <w:rFonts w:ascii="宋体" w:hAnsi="宋体" w:eastAsia="宋体" w:cs="宋体"/>
          <w:color w:val="auto"/>
          <w:spacing w:val="4"/>
          <w:sz w:val="20"/>
          <w:szCs w:val="20"/>
          <w:highlight w:val="none"/>
        </w:rPr>
        <w:t>元。</w:t>
      </w:r>
    </w:p>
    <w:p w14:paraId="49E05212">
      <w:pPr>
        <w:spacing w:before="128" w:line="220" w:lineRule="auto"/>
        <w:ind w:left="511"/>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四、响应文件提交</w:t>
      </w:r>
    </w:p>
    <w:p w14:paraId="75580058">
      <w:pPr>
        <w:spacing w:before="139" w:line="299" w:lineRule="auto"/>
        <w:ind w:left="8" w:right="205" w:firstLine="43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1.首次响应文件提交截止时间（北京时间</w:t>
      </w:r>
      <w:r>
        <w:rPr>
          <w:rFonts w:ascii="宋体" w:hAnsi="宋体" w:eastAsia="宋体" w:cs="宋体"/>
          <w:color w:val="auto"/>
          <w:spacing w:val="-2"/>
          <w:sz w:val="20"/>
          <w:szCs w:val="20"/>
          <w:highlight w:val="none"/>
        </w:rPr>
        <w:t>）</w:t>
      </w:r>
      <w:r>
        <w:rPr>
          <w:rFonts w:ascii="宋体" w:hAnsi="宋体" w:eastAsia="宋体" w:cs="宋体"/>
          <w:color w:val="auto"/>
          <w:spacing w:val="-58"/>
          <w:sz w:val="20"/>
          <w:szCs w:val="20"/>
          <w:highlight w:val="none"/>
        </w:rPr>
        <w:t xml:space="preserve"> </w:t>
      </w:r>
      <w:r>
        <w:rPr>
          <w:rFonts w:ascii="宋体" w:hAnsi="宋体" w:eastAsia="宋体" w:cs="宋体"/>
          <w:color w:val="auto"/>
          <w:spacing w:val="-2"/>
          <w:sz w:val="20"/>
          <w:szCs w:val="20"/>
          <w:highlight w:val="none"/>
        </w:rPr>
        <w:t>：</w:t>
      </w:r>
      <w:r>
        <w:rPr>
          <w:rFonts w:ascii="宋体" w:hAnsi="宋体" w:eastAsia="宋体" w:cs="宋体"/>
          <w:color w:val="auto"/>
          <w:spacing w:val="4"/>
          <w:sz w:val="20"/>
          <w:szCs w:val="20"/>
          <w:highlight w:val="none"/>
          <w:u w:val="single" w:color="auto"/>
        </w:rPr>
        <w:t>2025</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4"/>
          <w:sz w:val="20"/>
          <w:szCs w:val="20"/>
          <w:highlight w:val="none"/>
          <w:u w:val="single" w:color="auto"/>
        </w:rPr>
        <w:t>年1</w:t>
      </w:r>
      <w:r>
        <w:rPr>
          <w:rFonts w:hint="eastAsia" w:ascii="宋体" w:hAnsi="宋体" w:eastAsia="宋体" w:cs="宋体"/>
          <w:color w:val="auto"/>
          <w:spacing w:val="4"/>
          <w:sz w:val="20"/>
          <w:szCs w:val="20"/>
          <w:highlight w:val="none"/>
          <w:u w:val="single" w:color="auto"/>
          <w:lang w:val="en-US" w:eastAsia="zh-CN"/>
        </w:rPr>
        <w:t>2</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4"/>
          <w:sz w:val="20"/>
          <w:szCs w:val="20"/>
          <w:highlight w:val="none"/>
          <w:u w:val="single" w:color="auto"/>
        </w:rPr>
        <w:t>月</w:t>
      </w:r>
      <w:r>
        <w:rPr>
          <w:rFonts w:hint="eastAsia" w:ascii="宋体" w:hAnsi="宋体" w:eastAsia="宋体" w:cs="宋体"/>
          <w:color w:val="auto"/>
          <w:spacing w:val="4"/>
          <w:sz w:val="20"/>
          <w:szCs w:val="20"/>
          <w:highlight w:val="none"/>
          <w:u w:val="single" w:color="auto"/>
          <w:lang w:val="en-US" w:eastAsia="zh-CN"/>
        </w:rPr>
        <w:t>29</w:t>
      </w:r>
      <w:r>
        <w:rPr>
          <w:rFonts w:ascii="宋体" w:hAnsi="宋体" w:eastAsia="宋体" w:cs="宋体"/>
          <w:color w:val="auto"/>
          <w:spacing w:val="-22"/>
          <w:sz w:val="20"/>
          <w:szCs w:val="20"/>
          <w:highlight w:val="none"/>
          <w:u w:val="single" w:color="auto"/>
        </w:rPr>
        <w:t xml:space="preserve"> </w:t>
      </w:r>
      <w:r>
        <w:rPr>
          <w:rFonts w:ascii="宋体" w:hAnsi="宋体" w:eastAsia="宋体" w:cs="宋体"/>
          <w:color w:val="auto"/>
          <w:spacing w:val="4"/>
          <w:sz w:val="20"/>
          <w:szCs w:val="20"/>
          <w:highlight w:val="none"/>
          <w:u w:val="single" w:color="auto"/>
        </w:rPr>
        <w:t>日</w:t>
      </w:r>
      <w:r>
        <w:rPr>
          <w:rFonts w:ascii="宋体" w:hAnsi="宋体" w:eastAsia="宋体" w:cs="宋体"/>
          <w:color w:val="auto"/>
          <w:spacing w:val="-19"/>
          <w:sz w:val="20"/>
          <w:szCs w:val="20"/>
          <w:highlight w:val="none"/>
          <w:u w:val="single" w:color="auto"/>
        </w:rPr>
        <w:t xml:space="preserve"> </w:t>
      </w:r>
      <w:r>
        <w:rPr>
          <w:rFonts w:hint="eastAsia" w:ascii="宋体" w:hAnsi="宋体" w:eastAsia="宋体" w:cs="宋体"/>
          <w:color w:val="auto"/>
          <w:spacing w:val="-19"/>
          <w:sz w:val="20"/>
          <w:szCs w:val="20"/>
          <w:highlight w:val="none"/>
          <w:u w:val="single" w:color="auto"/>
          <w:lang w:val="en-US" w:eastAsia="zh-CN"/>
        </w:rPr>
        <w:t xml:space="preserve">9 </w:t>
      </w:r>
      <w:r>
        <w:rPr>
          <w:rFonts w:ascii="宋体" w:hAnsi="宋体" w:eastAsia="宋体" w:cs="宋体"/>
          <w:color w:val="auto"/>
          <w:spacing w:val="4"/>
          <w:sz w:val="20"/>
          <w:szCs w:val="20"/>
          <w:highlight w:val="none"/>
          <w:u w:val="single" w:color="auto"/>
        </w:rPr>
        <w:t>时</w:t>
      </w:r>
      <w:r>
        <w:rPr>
          <w:rFonts w:ascii="宋体" w:hAnsi="宋体" w:eastAsia="宋体" w:cs="宋体"/>
          <w:color w:val="auto"/>
          <w:spacing w:val="-33"/>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3</w:t>
      </w:r>
      <w:r>
        <w:rPr>
          <w:rFonts w:ascii="宋体" w:hAnsi="宋体" w:eastAsia="宋体" w:cs="宋体"/>
          <w:color w:val="auto"/>
          <w:spacing w:val="4"/>
          <w:sz w:val="20"/>
          <w:szCs w:val="20"/>
          <w:highlight w:val="none"/>
          <w:u w:val="single" w:color="auto"/>
        </w:rPr>
        <w:t>0</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4"/>
          <w:sz w:val="20"/>
          <w:szCs w:val="20"/>
          <w:highlight w:val="none"/>
          <w:u w:val="single" w:color="auto"/>
        </w:rPr>
        <w:t>分（从磋商文件开</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始发出之日起至供应商提交首次响应文件截止之日止不得少于</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7"/>
          <w:sz w:val="20"/>
          <w:szCs w:val="20"/>
          <w:highlight w:val="none"/>
          <w:u w:val="single" w:color="auto"/>
        </w:rPr>
        <w:t>10 日）。</w:t>
      </w:r>
    </w:p>
    <w:p w14:paraId="548CA80F">
      <w:pPr>
        <w:spacing w:before="154" w:line="223" w:lineRule="auto"/>
        <w:ind w:left="430"/>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2.首次响应文件提交地点：</w:t>
      </w:r>
      <w:r>
        <w:rPr>
          <w:rFonts w:ascii="宋体" w:hAnsi="宋体" w:eastAsia="宋体" w:cs="宋体"/>
          <w:color w:val="auto"/>
          <w:spacing w:val="12"/>
          <w:sz w:val="20"/>
          <w:szCs w:val="20"/>
          <w:highlight w:val="none"/>
          <w:u w:val="single" w:color="auto"/>
        </w:rPr>
        <w:t>广西政府采购</w:t>
      </w:r>
      <w:r>
        <w:rPr>
          <w:rFonts w:ascii="宋体" w:hAnsi="宋体" w:eastAsia="宋体" w:cs="宋体"/>
          <w:color w:val="auto"/>
          <w:spacing w:val="11"/>
          <w:sz w:val="20"/>
          <w:szCs w:val="20"/>
          <w:highlight w:val="none"/>
          <w:u w:val="single" w:color="auto"/>
        </w:rPr>
        <w:t>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u w:val="single" w:color="auto"/>
        </w:rPr>
        <w:t>https</w:t>
      </w:r>
      <w:r>
        <w:rPr>
          <w:rFonts w:ascii="宋体" w:hAnsi="宋体" w:eastAsia="宋体" w:cs="宋体"/>
          <w:color w:val="auto"/>
          <w:spacing w:val="11"/>
          <w:sz w:val="20"/>
          <w:szCs w:val="20"/>
          <w:highlight w:val="none"/>
          <w:u w:val="single" w:color="auto"/>
        </w:rPr>
        <w:t>://</w:t>
      </w:r>
      <w:r>
        <w:rPr>
          <w:rFonts w:ascii="宋体" w:hAnsi="宋体" w:eastAsia="宋体" w:cs="宋体"/>
          <w:color w:val="auto"/>
          <w:sz w:val="20"/>
          <w:szCs w:val="20"/>
          <w:highlight w:val="none"/>
          <w:u w:val="single" w:color="auto"/>
        </w:rPr>
        <w:t>www</w:t>
      </w:r>
      <w:r>
        <w:rPr>
          <w:rFonts w:ascii="宋体" w:hAnsi="宋体" w:eastAsia="宋体" w:cs="宋体"/>
          <w:color w:val="auto"/>
          <w:spacing w:val="11"/>
          <w:sz w:val="20"/>
          <w:szCs w:val="20"/>
          <w:highlight w:val="none"/>
          <w:u w:val="single" w:color="auto"/>
        </w:rPr>
        <w:t>.</w:t>
      </w:r>
      <w:r>
        <w:rPr>
          <w:rFonts w:ascii="宋体" w:hAnsi="宋体" w:eastAsia="宋体" w:cs="宋体"/>
          <w:color w:val="auto"/>
          <w:sz w:val="20"/>
          <w:szCs w:val="20"/>
          <w:highlight w:val="none"/>
          <w:u w:val="single" w:color="auto"/>
        </w:rPr>
        <w:t>gcy</w:t>
      </w:r>
      <w:r>
        <w:rPr>
          <w:rFonts w:ascii="宋体" w:hAnsi="宋体" w:eastAsia="宋体" w:cs="宋体"/>
          <w:color w:val="auto"/>
          <w:spacing w:val="11"/>
          <w:sz w:val="20"/>
          <w:szCs w:val="20"/>
          <w:highlight w:val="none"/>
          <w:u w:val="single" w:color="auto"/>
        </w:rPr>
        <w:t>.</w:t>
      </w:r>
      <w:r>
        <w:rPr>
          <w:rFonts w:ascii="宋体" w:hAnsi="宋体" w:eastAsia="宋体" w:cs="宋体"/>
          <w:color w:val="auto"/>
          <w:sz w:val="20"/>
          <w:szCs w:val="20"/>
          <w:highlight w:val="none"/>
          <w:u w:val="single" w:color="auto"/>
        </w:rPr>
        <w:t>zfcg</w:t>
      </w:r>
      <w:r>
        <w:rPr>
          <w:rFonts w:ascii="宋体" w:hAnsi="宋体" w:eastAsia="宋体" w:cs="宋体"/>
          <w:color w:val="auto"/>
          <w:spacing w:val="11"/>
          <w:sz w:val="20"/>
          <w:szCs w:val="20"/>
          <w:highlight w:val="none"/>
          <w:u w:val="single" w:color="auto"/>
        </w:rPr>
        <w:t>.</w:t>
      </w:r>
      <w:r>
        <w:rPr>
          <w:rFonts w:ascii="宋体" w:hAnsi="宋体" w:eastAsia="宋体" w:cs="宋体"/>
          <w:color w:val="auto"/>
          <w:sz w:val="20"/>
          <w:szCs w:val="20"/>
          <w:highlight w:val="none"/>
          <w:u w:val="single" w:color="auto"/>
        </w:rPr>
        <w:t>gxzf</w:t>
      </w:r>
      <w:r>
        <w:rPr>
          <w:rFonts w:ascii="宋体" w:hAnsi="宋体" w:eastAsia="宋体" w:cs="宋体"/>
          <w:color w:val="auto"/>
          <w:spacing w:val="11"/>
          <w:sz w:val="20"/>
          <w:szCs w:val="20"/>
          <w:highlight w:val="none"/>
          <w:u w:val="single" w:color="auto"/>
        </w:rPr>
        <w:t>.</w:t>
      </w:r>
      <w:r>
        <w:rPr>
          <w:rFonts w:ascii="宋体" w:hAnsi="宋体" w:eastAsia="宋体" w:cs="宋体"/>
          <w:color w:val="auto"/>
          <w:sz w:val="20"/>
          <w:szCs w:val="20"/>
          <w:highlight w:val="none"/>
          <w:u w:val="single" w:color="auto"/>
        </w:rPr>
        <w:t>gov</w:t>
      </w:r>
      <w:r>
        <w:rPr>
          <w:rFonts w:ascii="宋体" w:hAnsi="宋体" w:eastAsia="宋体" w:cs="宋体"/>
          <w:color w:val="auto"/>
          <w:spacing w:val="11"/>
          <w:sz w:val="20"/>
          <w:szCs w:val="20"/>
          <w:highlight w:val="none"/>
          <w:u w:val="single" w:color="auto"/>
        </w:rPr>
        <w:t>.</w:t>
      </w:r>
      <w:r>
        <w:rPr>
          <w:rFonts w:ascii="宋体" w:hAnsi="宋体" w:eastAsia="宋体" w:cs="宋体"/>
          <w:color w:val="auto"/>
          <w:sz w:val="20"/>
          <w:szCs w:val="20"/>
          <w:highlight w:val="none"/>
          <w:u w:val="single" w:color="auto"/>
        </w:rPr>
        <w:t>cn</w:t>
      </w:r>
      <w:r>
        <w:rPr>
          <w:rFonts w:ascii="宋体" w:hAnsi="宋体" w:eastAsia="宋体" w:cs="宋体"/>
          <w:color w:val="auto"/>
          <w:spacing w:val="11"/>
          <w:sz w:val="20"/>
          <w:szCs w:val="20"/>
          <w:highlight w:val="none"/>
          <w:u w:val="single" w:color="auto"/>
        </w:rPr>
        <w:t>/</w:t>
      </w:r>
      <w:r>
        <w:rPr>
          <w:rFonts w:ascii="宋体" w:hAnsi="宋体" w:eastAsia="宋体" w:cs="宋体"/>
          <w:color w:val="auto"/>
          <w:spacing w:val="11"/>
          <w:sz w:val="20"/>
          <w:szCs w:val="20"/>
          <w:highlight w:val="none"/>
          <w:u w:val="single" w:color="auto"/>
        </w:rPr>
        <w:fldChar w:fldCharType="end"/>
      </w:r>
      <w:r>
        <w:rPr>
          <w:rFonts w:ascii="宋体" w:hAnsi="宋体" w:eastAsia="宋体" w:cs="宋体"/>
          <w:color w:val="auto"/>
          <w:spacing w:val="11"/>
          <w:sz w:val="20"/>
          <w:szCs w:val="20"/>
          <w:highlight w:val="none"/>
          <w:u w:val="single" w:color="auto"/>
        </w:rPr>
        <w:t>）</w:t>
      </w:r>
    </w:p>
    <w:p w14:paraId="2EC14648">
      <w:pPr>
        <w:spacing w:before="156"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3.响应文件提交方式：本项目为全流程电子化项目，通过广西政府采购云平台</w:t>
      </w:r>
    </w:p>
    <w:p w14:paraId="5430B58B">
      <w:pPr>
        <w:spacing w:before="156" w:line="369" w:lineRule="auto"/>
        <w:ind w:left="6" w:right="203" w:firstLine="10"/>
        <w:jc w:val="both"/>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gcy</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2"/>
          <w:sz w:val="20"/>
          <w:szCs w:val="20"/>
          <w:highlight w:val="none"/>
        </w:rPr>
        <w:t>/</w:t>
      </w:r>
      <w:r>
        <w:rPr>
          <w:rFonts w:ascii="宋体" w:hAnsi="宋体" w:eastAsia="宋体" w:cs="宋体"/>
          <w:color w:val="auto"/>
          <w:spacing w:val="12"/>
          <w:sz w:val="20"/>
          <w:szCs w:val="20"/>
          <w:highlight w:val="none"/>
        </w:rPr>
        <w:fldChar w:fldCharType="end"/>
      </w:r>
      <w:r>
        <w:rPr>
          <w:rFonts w:ascii="宋体" w:hAnsi="宋体" w:eastAsia="宋体" w:cs="宋体"/>
          <w:color w:val="auto"/>
          <w:spacing w:val="12"/>
          <w:sz w:val="20"/>
          <w:szCs w:val="20"/>
          <w:highlight w:val="none"/>
        </w:rPr>
        <w:t>）实行在线电子响应</w:t>
      </w:r>
      <w:r>
        <w:rPr>
          <w:rFonts w:ascii="宋体" w:hAnsi="宋体" w:eastAsia="宋体" w:cs="宋体"/>
          <w:color w:val="auto"/>
          <w:spacing w:val="11"/>
          <w:sz w:val="20"/>
          <w:szCs w:val="20"/>
          <w:highlight w:val="none"/>
        </w:rPr>
        <w:t>，供应商应先安装“广西政府采购云</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电子交易客户端</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”（请自行前往广西政府采购云平台进行下载</w:t>
      </w:r>
      <w:r>
        <w:rPr>
          <w:rFonts w:ascii="宋体" w:hAnsi="宋体" w:eastAsia="宋体" w:cs="宋体"/>
          <w:color w:val="auto"/>
          <w:sz w:val="20"/>
          <w:szCs w:val="20"/>
          <w:highlight w:val="none"/>
        </w:rPr>
        <w:t>），</w:t>
      </w:r>
      <w:r>
        <w:rPr>
          <w:rFonts w:ascii="宋体" w:hAnsi="宋体" w:eastAsia="宋体" w:cs="宋体"/>
          <w:color w:val="auto"/>
          <w:spacing w:val="8"/>
          <w:sz w:val="20"/>
          <w:szCs w:val="20"/>
          <w:highlight w:val="none"/>
        </w:rPr>
        <w:t>并按</w:t>
      </w:r>
      <w:r>
        <w:rPr>
          <w:rFonts w:ascii="宋体" w:hAnsi="宋体" w:eastAsia="宋体" w:cs="宋体"/>
          <w:color w:val="auto"/>
          <w:spacing w:val="7"/>
          <w:sz w:val="20"/>
          <w:szCs w:val="20"/>
          <w:highlight w:val="none"/>
        </w:rPr>
        <w:t>照本项目采购文件和广西政</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府采购云平台的要求编制、加密后在投标截止时间前通过网络上传至广西政府采购云平台，供应商</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在广西政府采购云平台提交电子版响应文件时</w:t>
      </w:r>
      <w:r>
        <w:rPr>
          <w:rFonts w:ascii="宋体" w:hAnsi="宋体" w:eastAsia="宋体" w:cs="宋体"/>
          <w:color w:val="auto"/>
          <w:spacing w:val="9"/>
          <w:sz w:val="20"/>
          <w:szCs w:val="20"/>
          <w:highlight w:val="none"/>
        </w:rPr>
        <w:t>，请填写参加远程采购活动经办人联系方式。</w:t>
      </w:r>
    </w:p>
    <w:p w14:paraId="38B737A6">
      <w:pPr>
        <w:pStyle w:val="2"/>
        <w:spacing w:line="246" w:lineRule="auto"/>
        <w:rPr>
          <w:color w:val="auto"/>
          <w:highlight w:val="none"/>
        </w:rPr>
      </w:pPr>
      <w:r>
        <w:rPr>
          <w:rFonts w:ascii="宋体" w:hAnsi="宋体" w:eastAsia="宋体" w:cs="宋体"/>
          <w:color w:val="auto"/>
          <w:spacing w:val="7"/>
          <w:sz w:val="20"/>
          <w:szCs w:val="20"/>
          <w:highlight w:val="none"/>
        </w:rPr>
        <w:t>(1)未进行网上注册并办理数字证书（</w:t>
      </w:r>
      <w:r>
        <w:rPr>
          <w:rFonts w:ascii="宋体" w:hAnsi="宋体" w:eastAsia="宋体" w:cs="宋体"/>
          <w:color w:val="auto"/>
          <w:sz w:val="20"/>
          <w:szCs w:val="20"/>
          <w:highlight w:val="none"/>
        </w:rPr>
        <w:t>CA</w:t>
      </w:r>
      <w:r>
        <w:rPr>
          <w:rFonts w:ascii="宋体" w:hAnsi="宋体" w:eastAsia="宋体" w:cs="宋体"/>
          <w:color w:val="auto"/>
          <w:spacing w:val="7"/>
          <w:sz w:val="20"/>
          <w:szCs w:val="20"/>
          <w:highlight w:val="none"/>
        </w:rPr>
        <w:t xml:space="preserve"> 认证）的供应商将无法参与本项目政府采购活</w:t>
      </w:r>
      <w:r>
        <w:rPr>
          <w:rFonts w:ascii="宋体" w:hAnsi="宋体" w:eastAsia="宋体" w:cs="宋体"/>
          <w:color w:val="auto"/>
          <w:spacing w:val="6"/>
          <w:sz w:val="20"/>
          <w:szCs w:val="20"/>
          <w:highlight w:val="none"/>
        </w:rPr>
        <w:t>动，潜</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 xml:space="preserve">在供应商应当在投标截止时间前，完成电子交易平台上的 </w:t>
      </w:r>
      <w:r>
        <w:rPr>
          <w:rFonts w:ascii="宋体" w:hAnsi="宋体" w:eastAsia="宋体" w:cs="宋体"/>
          <w:color w:val="auto"/>
          <w:sz w:val="20"/>
          <w:szCs w:val="20"/>
          <w:highlight w:val="none"/>
        </w:rPr>
        <w:t>CA</w:t>
      </w:r>
      <w:r>
        <w:rPr>
          <w:rFonts w:ascii="宋体" w:hAnsi="宋体" w:eastAsia="宋体" w:cs="宋体"/>
          <w:color w:val="auto"/>
          <w:spacing w:val="8"/>
          <w:sz w:val="20"/>
          <w:szCs w:val="20"/>
          <w:highlight w:val="none"/>
        </w:rPr>
        <w:t xml:space="preserve"> 数字证书办理（申领流程见本公告附</w:t>
      </w:r>
      <w:r>
        <w:rPr>
          <w:rFonts w:ascii="宋体" w:hAnsi="宋体" w:eastAsia="宋体" w:cs="宋体"/>
          <w:color w:val="auto"/>
          <w:spacing w:val="4"/>
          <w:sz w:val="20"/>
          <w:szCs w:val="20"/>
          <w:highlight w:val="none"/>
        </w:rPr>
        <w:t xml:space="preserve"> 件</w:t>
      </w:r>
      <w:r>
        <w:rPr>
          <w:rFonts w:ascii="宋体" w:hAnsi="宋体" w:eastAsia="宋体" w:cs="宋体"/>
          <w:color w:val="auto"/>
          <w:spacing w:val="29"/>
          <w:sz w:val="20"/>
          <w:szCs w:val="20"/>
          <w:highlight w:val="none"/>
        </w:rPr>
        <w:t xml:space="preserve"> </w:t>
      </w:r>
      <w:r>
        <w:rPr>
          <w:rFonts w:ascii="宋体" w:hAnsi="宋体" w:eastAsia="宋体" w:cs="宋体"/>
          <w:color w:val="auto"/>
          <w:spacing w:val="4"/>
          <w:sz w:val="20"/>
          <w:szCs w:val="20"/>
          <w:highlight w:val="none"/>
        </w:rPr>
        <w:t xml:space="preserve">1）及响应文件的提交。完成 </w:t>
      </w:r>
      <w:r>
        <w:rPr>
          <w:rFonts w:ascii="宋体" w:hAnsi="宋体" w:eastAsia="宋体" w:cs="宋体"/>
          <w:color w:val="auto"/>
          <w:sz w:val="20"/>
          <w:szCs w:val="20"/>
          <w:highlight w:val="none"/>
        </w:rPr>
        <w:t>CA</w:t>
      </w:r>
      <w:r>
        <w:rPr>
          <w:rFonts w:ascii="宋体" w:hAnsi="宋体" w:eastAsia="宋体" w:cs="宋体"/>
          <w:color w:val="auto"/>
          <w:spacing w:val="4"/>
          <w:sz w:val="20"/>
          <w:szCs w:val="20"/>
          <w:highlight w:val="none"/>
        </w:rPr>
        <w:t xml:space="preserve"> 数字证书办理预计 7</w:t>
      </w:r>
      <w:r>
        <w:rPr>
          <w:rFonts w:ascii="宋体" w:hAnsi="宋体" w:eastAsia="宋体" w:cs="宋体"/>
          <w:color w:val="auto"/>
          <w:spacing w:val="51"/>
          <w:sz w:val="20"/>
          <w:szCs w:val="20"/>
          <w:highlight w:val="none"/>
        </w:rPr>
        <w:t xml:space="preserve"> </w:t>
      </w:r>
      <w:r>
        <w:rPr>
          <w:rFonts w:ascii="宋体" w:hAnsi="宋体" w:eastAsia="宋体" w:cs="宋体"/>
          <w:color w:val="auto"/>
          <w:spacing w:val="4"/>
          <w:sz w:val="20"/>
          <w:szCs w:val="20"/>
          <w:highlight w:val="none"/>
        </w:rPr>
        <w:t>日左右，供应商只需办</w:t>
      </w:r>
      <w:r>
        <w:rPr>
          <w:rFonts w:ascii="宋体" w:hAnsi="宋体" w:eastAsia="宋体" w:cs="宋体"/>
          <w:color w:val="auto"/>
          <w:spacing w:val="3"/>
          <w:sz w:val="20"/>
          <w:szCs w:val="20"/>
          <w:highlight w:val="none"/>
        </w:rPr>
        <w:t xml:space="preserve">理其中一家 </w:t>
      </w:r>
      <w:r>
        <w:rPr>
          <w:rFonts w:ascii="宋体" w:hAnsi="宋体" w:eastAsia="宋体" w:cs="宋体"/>
          <w:color w:val="auto"/>
          <w:sz w:val="20"/>
          <w:szCs w:val="20"/>
          <w:highlight w:val="none"/>
        </w:rPr>
        <w:t>CA</w:t>
      </w:r>
      <w:r>
        <w:rPr>
          <w:rFonts w:ascii="宋体" w:hAnsi="宋体" w:eastAsia="宋体" w:cs="宋体"/>
          <w:color w:val="auto"/>
          <w:spacing w:val="3"/>
          <w:sz w:val="20"/>
          <w:szCs w:val="20"/>
          <w:highlight w:val="none"/>
        </w:rPr>
        <w:t xml:space="preserve"> 数</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字证书及签章。</w:t>
      </w:r>
    </w:p>
    <w:p w14:paraId="22C828D8">
      <w:pPr>
        <w:spacing w:before="65" w:line="370" w:lineRule="auto"/>
        <w:ind w:left="6" w:right="15" w:firstLine="45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(2)为确保网上操作合法、有效和安全，请供</w:t>
      </w:r>
      <w:r>
        <w:rPr>
          <w:rFonts w:ascii="宋体" w:hAnsi="宋体" w:eastAsia="宋体" w:cs="宋体"/>
          <w:color w:val="auto"/>
          <w:spacing w:val="8"/>
          <w:sz w:val="20"/>
          <w:szCs w:val="20"/>
          <w:highlight w:val="none"/>
        </w:rPr>
        <w:t>应商确保在电子响应过程中能够对相关数据电文</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 xml:space="preserve">进行加密和使用电子签章，妥善保管 </w:t>
      </w:r>
      <w:r>
        <w:rPr>
          <w:rFonts w:ascii="宋体" w:hAnsi="宋体" w:eastAsia="宋体" w:cs="宋体"/>
          <w:color w:val="auto"/>
          <w:sz w:val="20"/>
          <w:szCs w:val="20"/>
          <w:highlight w:val="none"/>
        </w:rPr>
        <w:t>CA</w:t>
      </w:r>
      <w:r>
        <w:rPr>
          <w:rFonts w:ascii="宋体" w:hAnsi="宋体" w:eastAsia="宋体" w:cs="宋体"/>
          <w:color w:val="auto"/>
          <w:spacing w:val="9"/>
          <w:sz w:val="20"/>
          <w:szCs w:val="20"/>
          <w:highlight w:val="none"/>
        </w:rPr>
        <w:t xml:space="preserve"> 数字证书并使用有效的 </w:t>
      </w:r>
      <w:r>
        <w:rPr>
          <w:rFonts w:ascii="宋体" w:hAnsi="宋体" w:eastAsia="宋体" w:cs="宋体"/>
          <w:color w:val="auto"/>
          <w:sz w:val="20"/>
          <w:szCs w:val="20"/>
          <w:highlight w:val="none"/>
        </w:rPr>
        <w:t>CA</w:t>
      </w:r>
      <w:r>
        <w:rPr>
          <w:rFonts w:ascii="宋体" w:hAnsi="宋体" w:eastAsia="宋体" w:cs="宋体"/>
          <w:color w:val="auto"/>
          <w:spacing w:val="9"/>
          <w:sz w:val="20"/>
          <w:szCs w:val="20"/>
          <w:highlight w:val="none"/>
        </w:rPr>
        <w:t xml:space="preserve"> 数字证书参与整个采购活动。</w:t>
      </w:r>
    </w:p>
    <w:p w14:paraId="3C1EB0E0">
      <w:pPr>
        <w:spacing w:before="3" w:line="368" w:lineRule="auto"/>
        <w:ind w:left="6"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注：供应商应当在首次响应文件提交截止时间前完成电子响应文件的上传、递交，响应文件提</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交截止时间前可以补充、修改或者撤回响应文件。补充或者</w:t>
      </w:r>
      <w:r>
        <w:rPr>
          <w:rFonts w:ascii="宋体" w:hAnsi="宋体" w:eastAsia="宋体" w:cs="宋体"/>
          <w:color w:val="auto"/>
          <w:spacing w:val="4"/>
          <w:sz w:val="20"/>
          <w:szCs w:val="20"/>
          <w:highlight w:val="none"/>
        </w:rPr>
        <w:t>修改响应文件的，应当先行撤回原文件，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补充、修改后重新上传、递交。响应截止时间前未完成上传、递交的，视为撤回响应文件。响应文</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件提交截止时间以后上传递交的响应文件的，广西政府采购云平台将予以拒收。</w:t>
      </w:r>
    </w:p>
    <w:p w14:paraId="7C03D1FF">
      <w:pPr>
        <w:spacing w:before="1" w:line="322" w:lineRule="auto"/>
        <w:ind w:left="9" w:right="87"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w:t>
      </w:r>
      <w:r>
        <w:rPr>
          <w:rFonts w:ascii="宋体" w:hAnsi="宋体" w:eastAsia="宋体" w:cs="宋体"/>
          <w:color w:val="auto"/>
          <w:sz w:val="20"/>
          <w:szCs w:val="20"/>
          <w:highlight w:val="none"/>
        </w:rPr>
        <w:t>CA</w:t>
      </w:r>
      <w:r>
        <w:rPr>
          <w:rFonts w:ascii="宋体" w:hAnsi="宋体" w:eastAsia="宋体" w:cs="宋体"/>
          <w:color w:val="auto"/>
          <w:spacing w:val="9"/>
          <w:sz w:val="20"/>
          <w:szCs w:val="20"/>
          <w:highlight w:val="none"/>
        </w:rPr>
        <w:t xml:space="preserve"> 证书在线解密：首次响应文件开启时，须要供应商携带制作响应文件时用来加密的有效 </w:t>
      </w:r>
      <w:r>
        <w:rPr>
          <w:rFonts w:ascii="宋体" w:hAnsi="宋体" w:eastAsia="宋体" w:cs="宋体"/>
          <w:color w:val="auto"/>
          <w:spacing w:val="10"/>
          <w:sz w:val="20"/>
          <w:szCs w:val="20"/>
          <w:highlight w:val="none"/>
        </w:rPr>
        <w:t>数字证书（</w:t>
      </w:r>
      <w:r>
        <w:rPr>
          <w:rFonts w:ascii="宋体" w:hAnsi="宋体" w:eastAsia="宋体" w:cs="宋体"/>
          <w:color w:val="auto"/>
          <w:sz w:val="20"/>
          <w:szCs w:val="20"/>
          <w:highlight w:val="none"/>
        </w:rPr>
        <w:t>CA</w:t>
      </w:r>
      <w:r>
        <w:rPr>
          <w:rFonts w:ascii="宋体" w:hAnsi="宋体" w:eastAsia="宋体" w:cs="宋体"/>
          <w:color w:val="auto"/>
          <w:spacing w:val="10"/>
          <w:sz w:val="20"/>
          <w:szCs w:val="20"/>
          <w:highlight w:val="none"/>
        </w:rPr>
        <w:t xml:space="preserve"> 认证）登录广西政府采购云平台电子开标大厅现场按规定时间对</w:t>
      </w:r>
      <w:r>
        <w:rPr>
          <w:rFonts w:ascii="宋体" w:hAnsi="宋体" w:eastAsia="宋体" w:cs="宋体"/>
          <w:color w:val="auto"/>
          <w:spacing w:val="9"/>
          <w:sz w:val="20"/>
          <w:szCs w:val="20"/>
          <w:highlight w:val="none"/>
        </w:rPr>
        <w:t>加密的响应文件进</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行解密，未能按要求进行解密的，由此产生的后果由供应商自行承担。</w:t>
      </w:r>
    </w:p>
    <w:p w14:paraId="6EAA8FC6">
      <w:pPr>
        <w:spacing w:before="151" w:line="299" w:lineRule="auto"/>
        <w:ind w:left="6" w:right="190"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2.供应商需要在具备有摄像头及语音功能</w:t>
      </w:r>
      <w:r>
        <w:rPr>
          <w:rFonts w:ascii="宋体" w:hAnsi="宋体" w:eastAsia="宋体" w:cs="宋体"/>
          <w:color w:val="auto"/>
          <w:spacing w:val="9"/>
          <w:sz w:val="20"/>
          <w:szCs w:val="20"/>
          <w:highlight w:val="none"/>
        </w:rPr>
        <w:t>且互联网网络状况良好的电脑登录广西政府采购云</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平台远程开标大厅参与本次磋商，否则后果由供应商自行承担。</w:t>
      </w:r>
    </w:p>
    <w:p w14:paraId="780E70C2">
      <w:pPr>
        <w:spacing w:before="127" w:line="220" w:lineRule="auto"/>
        <w:ind w:left="49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五、开启（首次响应文件开启时间）</w:t>
      </w:r>
    </w:p>
    <w:p w14:paraId="4D6BCE43">
      <w:pPr>
        <w:spacing w:before="140" w:line="228"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1.时间（北京时间</w:t>
      </w:r>
      <w:r>
        <w:rPr>
          <w:rFonts w:ascii="宋体" w:hAnsi="宋体" w:eastAsia="宋体" w:cs="宋体"/>
          <w:color w:val="auto"/>
          <w:spacing w:val="15"/>
          <w:sz w:val="20"/>
          <w:szCs w:val="20"/>
          <w:highlight w:val="none"/>
        </w:rPr>
        <w:t>）：</w:t>
      </w:r>
      <w:r>
        <w:rPr>
          <w:rFonts w:ascii="宋体" w:hAnsi="宋体" w:eastAsia="宋体" w:cs="宋体"/>
          <w:color w:val="auto"/>
          <w:spacing w:val="4"/>
          <w:sz w:val="20"/>
          <w:szCs w:val="20"/>
          <w:highlight w:val="none"/>
          <w:u w:val="single" w:color="auto"/>
        </w:rPr>
        <w:t>2025</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4"/>
          <w:sz w:val="20"/>
          <w:szCs w:val="20"/>
          <w:highlight w:val="none"/>
          <w:u w:val="single" w:color="auto"/>
        </w:rPr>
        <w:t>年1</w:t>
      </w:r>
      <w:r>
        <w:rPr>
          <w:rFonts w:hint="eastAsia" w:ascii="宋体" w:hAnsi="宋体" w:eastAsia="宋体" w:cs="宋体"/>
          <w:color w:val="auto"/>
          <w:spacing w:val="4"/>
          <w:sz w:val="20"/>
          <w:szCs w:val="20"/>
          <w:highlight w:val="none"/>
          <w:u w:val="single" w:color="auto"/>
          <w:lang w:val="en-US" w:eastAsia="zh-CN"/>
        </w:rPr>
        <w:t>2</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4"/>
          <w:sz w:val="20"/>
          <w:szCs w:val="20"/>
          <w:highlight w:val="none"/>
          <w:u w:val="single" w:color="auto"/>
        </w:rPr>
        <w:t>月</w:t>
      </w:r>
      <w:r>
        <w:rPr>
          <w:rFonts w:hint="eastAsia" w:ascii="宋体" w:hAnsi="宋体" w:eastAsia="宋体" w:cs="宋体"/>
          <w:color w:val="auto"/>
          <w:spacing w:val="4"/>
          <w:sz w:val="20"/>
          <w:szCs w:val="20"/>
          <w:highlight w:val="none"/>
          <w:u w:val="single" w:color="auto"/>
          <w:lang w:val="en-US" w:eastAsia="zh-CN"/>
        </w:rPr>
        <w:t>29</w:t>
      </w:r>
      <w:r>
        <w:rPr>
          <w:rFonts w:ascii="宋体" w:hAnsi="宋体" w:eastAsia="宋体" w:cs="宋体"/>
          <w:color w:val="auto"/>
          <w:spacing w:val="-22"/>
          <w:sz w:val="20"/>
          <w:szCs w:val="20"/>
          <w:highlight w:val="none"/>
          <w:u w:val="single" w:color="auto"/>
        </w:rPr>
        <w:t xml:space="preserve"> </w:t>
      </w:r>
      <w:r>
        <w:rPr>
          <w:rFonts w:ascii="宋体" w:hAnsi="宋体" w:eastAsia="宋体" w:cs="宋体"/>
          <w:color w:val="auto"/>
          <w:spacing w:val="4"/>
          <w:sz w:val="20"/>
          <w:szCs w:val="20"/>
          <w:highlight w:val="none"/>
          <w:u w:val="single" w:color="auto"/>
        </w:rPr>
        <w:t>日</w:t>
      </w:r>
      <w:r>
        <w:rPr>
          <w:rFonts w:ascii="宋体" w:hAnsi="宋体" w:eastAsia="宋体" w:cs="宋体"/>
          <w:color w:val="auto"/>
          <w:spacing w:val="-19"/>
          <w:sz w:val="20"/>
          <w:szCs w:val="20"/>
          <w:highlight w:val="none"/>
          <w:u w:val="single" w:color="auto"/>
        </w:rPr>
        <w:t xml:space="preserve"> </w:t>
      </w:r>
      <w:r>
        <w:rPr>
          <w:rFonts w:hint="eastAsia" w:ascii="宋体" w:hAnsi="宋体" w:eastAsia="宋体" w:cs="宋体"/>
          <w:color w:val="auto"/>
          <w:spacing w:val="-19"/>
          <w:sz w:val="20"/>
          <w:szCs w:val="20"/>
          <w:highlight w:val="none"/>
          <w:u w:val="single" w:color="auto"/>
          <w:lang w:val="en-US" w:eastAsia="zh-CN"/>
        </w:rPr>
        <w:t xml:space="preserve">9 </w:t>
      </w:r>
      <w:r>
        <w:rPr>
          <w:rFonts w:ascii="宋体" w:hAnsi="宋体" w:eastAsia="宋体" w:cs="宋体"/>
          <w:color w:val="auto"/>
          <w:spacing w:val="4"/>
          <w:sz w:val="20"/>
          <w:szCs w:val="20"/>
          <w:highlight w:val="none"/>
          <w:u w:val="single" w:color="auto"/>
        </w:rPr>
        <w:t>时</w:t>
      </w:r>
      <w:r>
        <w:rPr>
          <w:rFonts w:ascii="宋体" w:hAnsi="宋体" w:eastAsia="宋体" w:cs="宋体"/>
          <w:color w:val="auto"/>
          <w:spacing w:val="-33"/>
          <w:sz w:val="20"/>
          <w:szCs w:val="20"/>
          <w:highlight w:val="none"/>
          <w:u w:val="single" w:color="auto"/>
        </w:rPr>
        <w:t xml:space="preserve"> </w:t>
      </w:r>
      <w:r>
        <w:rPr>
          <w:rFonts w:hint="eastAsia" w:ascii="宋体" w:hAnsi="宋体" w:eastAsia="宋体" w:cs="宋体"/>
          <w:color w:val="auto"/>
          <w:spacing w:val="4"/>
          <w:sz w:val="20"/>
          <w:szCs w:val="20"/>
          <w:highlight w:val="none"/>
          <w:u w:val="single" w:color="auto"/>
          <w:lang w:val="en-US" w:eastAsia="zh-CN"/>
        </w:rPr>
        <w:t xml:space="preserve">30 </w:t>
      </w:r>
      <w:r>
        <w:rPr>
          <w:rFonts w:ascii="宋体" w:hAnsi="宋体" w:eastAsia="宋体" w:cs="宋体"/>
          <w:color w:val="auto"/>
          <w:spacing w:val="4"/>
          <w:sz w:val="20"/>
          <w:szCs w:val="20"/>
          <w:highlight w:val="none"/>
          <w:u w:val="single" w:color="auto"/>
        </w:rPr>
        <w:t>分</w:t>
      </w:r>
    </w:p>
    <w:p w14:paraId="305D37AB">
      <w:pPr>
        <w:spacing w:before="153"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2.地点：</w:t>
      </w:r>
      <w:r>
        <w:rPr>
          <w:rFonts w:ascii="宋体" w:hAnsi="宋体" w:eastAsia="宋体" w:cs="宋体"/>
          <w:color w:val="auto"/>
          <w:spacing w:val="8"/>
          <w:sz w:val="20"/>
          <w:szCs w:val="20"/>
          <w:highlight w:val="none"/>
          <w:u w:val="single" w:color="auto"/>
        </w:rPr>
        <w:t>广西政府采购云平台电子开标大厅</w:t>
      </w:r>
    </w:p>
    <w:p w14:paraId="6ACE9834">
      <w:pPr>
        <w:spacing w:before="127" w:line="219" w:lineRule="auto"/>
        <w:ind w:left="49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六、公告期限</w:t>
      </w:r>
    </w:p>
    <w:p w14:paraId="3988BED6">
      <w:pPr>
        <w:spacing w:before="141" w:line="227" w:lineRule="auto"/>
        <w:ind w:left="46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自本公告发布之日起</w:t>
      </w:r>
      <w:r>
        <w:rPr>
          <w:rFonts w:ascii="宋体" w:hAnsi="宋体" w:eastAsia="宋体" w:cs="宋体"/>
          <w:color w:val="auto"/>
          <w:spacing w:val="-28"/>
          <w:sz w:val="20"/>
          <w:szCs w:val="20"/>
          <w:highlight w:val="none"/>
        </w:rPr>
        <w:t xml:space="preserve"> </w:t>
      </w:r>
      <w:r>
        <w:rPr>
          <w:rFonts w:ascii="宋体" w:hAnsi="宋体" w:eastAsia="宋体" w:cs="宋体"/>
          <w:color w:val="auto"/>
          <w:spacing w:val="4"/>
          <w:sz w:val="20"/>
          <w:szCs w:val="20"/>
          <w:highlight w:val="none"/>
        </w:rPr>
        <w:t>5</w:t>
      </w:r>
      <w:r>
        <w:rPr>
          <w:rFonts w:ascii="宋体" w:hAnsi="宋体" w:eastAsia="宋体" w:cs="宋体"/>
          <w:color w:val="auto"/>
          <w:spacing w:val="-38"/>
          <w:sz w:val="20"/>
          <w:szCs w:val="20"/>
          <w:highlight w:val="none"/>
        </w:rPr>
        <w:t xml:space="preserve"> </w:t>
      </w:r>
      <w:r>
        <w:rPr>
          <w:rFonts w:ascii="宋体" w:hAnsi="宋体" w:eastAsia="宋体" w:cs="宋体"/>
          <w:color w:val="auto"/>
          <w:spacing w:val="4"/>
          <w:sz w:val="20"/>
          <w:szCs w:val="20"/>
          <w:highlight w:val="none"/>
        </w:rPr>
        <w:t>个工作日。</w:t>
      </w:r>
    </w:p>
    <w:p w14:paraId="0ADD3218">
      <w:pPr>
        <w:spacing w:before="128" w:line="221" w:lineRule="auto"/>
        <w:ind w:left="48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七、其他补充事宜</w:t>
      </w:r>
    </w:p>
    <w:p w14:paraId="42C7DAC9">
      <w:pPr>
        <w:spacing w:before="140"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1.磋商保证金：本项目不收取磋商保证金</w:t>
      </w:r>
    </w:p>
    <w:p w14:paraId="5B659F0C">
      <w:pPr>
        <w:spacing w:before="151"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2.采购意向公开链接：</w:t>
      </w:r>
    </w:p>
    <w:p w14:paraId="2B86F2C2">
      <w:pPr>
        <w:spacing w:before="154" w:line="369" w:lineRule="auto"/>
        <w:ind w:left="1" w:right="86" w:firstLine="3"/>
        <w:rPr>
          <w:rFonts w:ascii="宋体" w:hAnsi="宋体" w:eastAsia="宋体" w:cs="宋体"/>
          <w:color w:val="auto"/>
          <w:sz w:val="20"/>
          <w:szCs w:val="20"/>
          <w:highlight w:val="none"/>
        </w:rPr>
      </w:pPr>
      <w:r>
        <w:rPr>
          <w:rFonts w:hint="eastAsia" w:ascii="宋体" w:hAnsi="宋体" w:eastAsia="宋体" w:cs="宋体"/>
          <w:color w:val="auto"/>
          <w:sz w:val="20"/>
          <w:szCs w:val="20"/>
          <w:highlight w:val="none"/>
        </w:rPr>
        <w:t>http://www.ccgpguangxi.gov.cn/site/detail?categoryCode=ZcyAnnouncement&amp;parentId=66485&amp;articleId=QSQKROOcN0U9g/3sErE79g==</w:t>
      </w:r>
    </w:p>
    <w:p w14:paraId="40E2684A">
      <w:pPr>
        <w:spacing w:before="1" w:line="229"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3.网上查询地址</w:t>
      </w:r>
    </w:p>
    <w:p w14:paraId="433904A8">
      <w:pPr>
        <w:spacing w:before="151" w:line="368" w:lineRule="auto"/>
        <w:ind w:left="6" w:firstLine="418"/>
        <w:rPr>
          <w:rFonts w:ascii="宋体" w:hAnsi="宋体" w:eastAsia="宋体" w:cs="宋体"/>
          <w:color w:val="auto"/>
          <w:sz w:val="20"/>
          <w:szCs w:val="20"/>
          <w:highlight w:val="none"/>
        </w:rPr>
      </w:pP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1"/>
          <w:sz w:val="20"/>
          <w:szCs w:val="20"/>
          <w:highlight w:val="none"/>
        </w:rPr>
        <w:t>/</w:t>
      </w:r>
      <w:r>
        <w:rPr>
          <w:rFonts w:ascii="宋体" w:hAnsi="宋体" w:eastAsia="宋体" w:cs="宋体"/>
          <w:color w:val="auto"/>
          <w:spacing w:val="11"/>
          <w:sz w:val="20"/>
          <w:szCs w:val="20"/>
          <w:highlight w:val="none"/>
        </w:rPr>
        <w:fldChar w:fldCharType="end"/>
      </w:r>
      <w:r>
        <w:rPr>
          <w:rFonts w:ascii="宋体" w:hAnsi="宋体" w:eastAsia="宋体" w:cs="宋体"/>
          <w:color w:val="auto"/>
          <w:spacing w:val="11"/>
          <w:sz w:val="20"/>
          <w:szCs w:val="20"/>
          <w:highlight w:val="none"/>
        </w:rPr>
        <w:t>（中国政府采购网）、</w:t>
      </w:r>
      <w:r>
        <w:rPr>
          <w:color w:val="auto"/>
          <w:highlight w:val="none"/>
        </w:rPr>
        <w:fldChar w:fldCharType="begin"/>
      </w:r>
      <w:r>
        <w:rPr>
          <w:color w:val="auto"/>
          <w:highlight w:val="none"/>
        </w:rPr>
        <w:instrText xml:space="preserve"> HYPERLINK "http://www.ccgp-guangxi.gov.cn/"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guangxi</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1"/>
          <w:sz w:val="20"/>
          <w:szCs w:val="20"/>
          <w:highlight w:val="none"/>
        </w:rPr>
        <w:t>/</w:t>
      </w:r>
      <w:r>
        <w:rPr>
          <w:rFonts w:ascii="宋体" w:hAnsi="宋体" w:eastAsia="宋体" w:cs="宋体"/>
          <w:color w:val="auto"/>
          <w:spacing w:val="11"/>
          <w:sz w:val="20"/>
          <w:szCs w:val="20"/>
          <w:highlight w:val="none"/>
        </w:rPr>
        <w:fldChar w:fldCharType="end"/>
      </w:r>
      <w:r>
        <w:rPr>
          <w:rFonts w:ascii="宋体" w:hAnsi="宋体" w:eastAsia="宋体" w:cs="宋体"/>
          <w:color w:val="auto"/>
          <w:spacing w:val="11"/>
          <w:sz w:val="20"/>
          <w:szCs w:val="20"/>
          <w:highlight w:val="none"/>
        </w:rPr>
        <w:t xml:space="preserve"> (广西壮</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族自治区政府采购网)、</w:t>
      </w:r>
      <w:r>
        <w:rPr>
          <w:color w:val="auto"/>
          <w:highlight w:val="none"/>
        </w:rPr>
        <w:fldChar w:fldCharType="begin"/>
      </w:r>
      <w:r>
        <w:rPr>
          <w:color w:val="auto"/>
          <w:highlight w:val="none"/>
        </w:rPr>
        <w:instrText xml:space="preserve"> HYPERLINK "http://ggzy.jgswj.gxzf.gov.cn/nnggzy/"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ggzy</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jgswj</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nnggzy</w:t>
      </w:r>
      <w:r>
        <w:rPr>
          <w:rFonts w:ascii="宋体" w:hAnsi="宋体" w:eastAsia="宋体" w:cs="宋体"/>
          <w:color w:val="auto"/>
          <w:spacing w:val="4"/>
          <w:sz w:val="20"/>
          <w:szCs w:val="20"/>
          <w:highlight w:val="none"/>
        </w:rPr>
        <w:t>/</w:t>
      </w:r>
      <w:r>
        <w:rPr>
          <w:rFonts w:ascii="宋体" w:hAnsi="宋体" w:eastAsia="宋体" w:cs="宋体"/>
          <w:color w:val="auto"/>
          <w:spacing w:val="4"/>
          <w:sz w:val="20"/>
          <w:szCs w:val="20"/>
          <w:highlight w:val="none"/>
        </w:rPr>
        <w:fldChar w:fldCharType="end"/>
      </w:r>
      <w:r>
        <w:rPr>
          <w:rFonts w:ascii="宋体" w:hAnsi="宋体" w:eastAsia="宋体" w:cs="宋体"/>
          <w:color w:val="auto"/>
          <w:spacing w:val="4"/>
          <w:sz w:val="20"/>
          <w:szCs w:val="20"/>
          <w:highlight w:val="none"/>
        </w:rPr>
        <w:t>（全国公共资源交易平台·南宁</w:t>
      </w:r>
      <w:r>
        <w:rPr>
          <w:rFonts w:ascii="宋体" w:hAnsi="宋体" w:eastAsia="宋体" w:cs="宋体"/>
          <w:color w:val="auto"/>
          <w:spacing w:val="-48"/>
          <w:w w:val="90"/>
          <w:sz w:val="20"/>
          <w:szCs w:val="20"/>
          <w:highlight w:val="none"/>
        </w:rPr>
        <w:t>），</w:t>
      </w:r>
      <w:r>
        <w:rPr>
          <w:rFonts w:ascii="宋体" w:hAnsi="宋体" w:eastAsia="宋体" w:cs="宋体"/>
          <w:color w:val="auto"/>
          <w:spacing w:val="2"/>
          <w:sz w:val="20"/>
          <w:szCs w:val="20"/>
          <w:highlight w:val="none"/>
        </w:rPr>
        <w:t xml:space="preserve"> </w:t>
      </w:r>
      <w:r>
        <w:rPr>
          <w:rFonts w:ascii="宋体" w:hAnsi="宋体" w:eastAsia="宋体" w:cs="宋体"/>
          <w:color w:val="auto"/>
          <w:sz w:val="20"/>
          <w:szCs w:val="20"/>
          <w:highlight w:val="none"/>
        </w:rPr>
        <w:t>tuozheng</w:t>
      </w:r>
      <w:r>
        <w:rPr>
          <w:rFonts w:ascii="宋体" w:hAnsi="宋体" w:eastAsia="宋体" w:cs="宋体"/>
          <w:color w:val="auto"/>
          <w:spacing w:val="10"/>
          <w:sz w:val="20"/>
          <w:szCs w:val="20"/>
          <w:highlight w:val="none"/>
        </w:rPr>
        <w:t>168.</w:t>
      </w:r>
      <w:r>
        <w:rPr>
          <w:rFonts w:ascii="宋体" w:hAnsi="宋体" w:eastAsia="宋体" w:cs="宋体"/>
          <w:color w:val="auto"/>
          <w:sz w:val="20"/>
          <w:szCs w:val="20"/>
          <w:highlight w:val="none"/>
        </w:rPr>
        <w:t>com</w:t>
      </w:r>
      <w:r>
        <w:rPr>
          <w:rFonts w:ascii="宋体" w:hAnsi="宋体" w:eastAsia="宋体" w:cs="宋体"/>
          <w:color w:val="auto"/>
          <w:spacing w:val="10"/>
          <w:sz w:val="20"/>
          <w:szCs w:val="20"/>
          <w:highlight w:val="none"/>
        </w:rPr>
        <w:t>（广西拓正工程造价咨询有限公司网）。</w:t>
      </w:r>
    </w:p>
    <w:p w14:paraId="6A96B6E9">
      <w:pPr>
        <w:spacing w:before="4" w:line="228" w:lineRule="auto"/>
        <w:ind w:left="42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 本项目需要落实的政府采购政策</w:t>
      </w:r>
    </w:p>
    <w:p w14:paraId="3A3F8C12">
      <w:pPr>
        <w:spacing w:before="154" w:line="228"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（1）政府采购促进中小企业发展。</w:t>
      </w:r>
    </w:p>
    <w:p w14:paraId="1068C178">
      <w:pPr>
        <w:spacing w:before="152"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（2）政府采购支持采用本国产品的政策。</w:t>
      </w:r>
    </w:p>
    <w:p w14:paraId="3A5E8E44">
      <w:pPr>
        <w:spacing w:before="153" w:line="228" w:lineRule="auto"/>
        <w:ind w:left="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（3）强制采购节能产品；优先采购节能产</w:t>
      </w:r>
      <w:r>
        <w:rPr>
          <w:rFonts w:ascii="宋体" w:hAnsi="宋体" w:eastAsia="宋体" w:cs="宋体"/>
          <w:color w:val="auto"/>
          <w:spacing w:val="8"/>
          <w:sz w:val="20"/>
          <w:szCs w:val="20"/>
          <w:highlight w:val="none"/>
        </w:rPr>
        <w:t>品、环境标志产品。</w:t>
      </w:r>
    </w:p>
    <w:p w14:paraId="0BD5695C">
      <w:pPr>
        <w:keepNext w:val="0"/>
        <w:keepLines w:val="0"/>
        <w:pageBreakBefore w:val="0"/>
        <w:widowControl/>
        <w:kinsoku w:val="0"/>
        <w:wordWrap/>
        <w:overflowPunct/>
        <w:topLinePunct w:val="0"/>
        <w:autoSpaceDE w:val="0"/>
        <w:autoSpaceDN w:val="0"/>
        <w:bidi w:val="0"/>
        <w:adjustRightInd w:val="0"/>
        <w:snapToGrid w:val="0"/>
        <w:spacing w:before="154" w:line="360" w:lineRule="auto"/>
        <w:ind w:left="437"/>
        <w:textAlignment w:val="baseline"/>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（4）政府采购促进残疾人就业政策。</w:t>
      </w:r>
    </w:p>
    <w:p w14:paraId="3B5886AA">
      <w:pPr>
        <w:keepNext w:val="0"/>
        <w:keepLines w:val="0"/>
        <w:pageBreakBefore w:val="0"/>
        <w:widowControl/>
        <w:kinsoku w:val="0"/>
        <w:wordWrap/>
        <w:overflowPunct/>
        <w:topLinePunct w:val="0"/>
        <w:autoSpaceDE w:val="0"/>
        <w:autoSpaceDN w:val="0"/>
        <w:bidi w:val="0"/>
        <w:adjustRightInd w:val="0"/>
        <w:snapToGrid w:val="0"/>
        <w:spacing w:before="4" w:line="360" w:lineRule="auto"/>
        <w:ind w:left="426"/>
        <w:textAlignment w:val="baseline"/>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t>（5）政府采购支持监狱企业发展。</w:t>
      </w:r>
    </w:p>
    <w:p w14:paraId="2D4DB023">
      <w:pPr>
        <w:keepNext w:val="0"/>
        <w:keepLines w:val="0"/>
        <w:pageBreakBefore w:val="0"/>
        <w:widowControl/>
        <w:kinsoku w:val="0"/>
        <w:wordWrap/>
        <w:overflowPunct/>
        <w:topLinePunct w:val="0"/>
        <w:autoSpaceDE w:val="0"/>
        <w:autoSpaceDN w:val="0"/>
        <w:bidi w:val="0"/>
        <w:adjustRightInd w:val="0"/>
        <w:snapToGrid w:val="0"/>
        <w:spacing w:before="4" w:line="360" w:lineRule="auto"/>
        <w:ind w:left="426"/>
        <w:textAlignment w:val="baseline"/>
        <w:rPr>
          <w:rFonts w:ascii="宋体" w:hAnsi="宋体" w:eastAsia="宋体" w:cs="宋体"/>
          <w:color w:val="auto"/>
          <w:spacing w:val="8"/>
          <w:sz w:val="20"/>
          <w:szCs w:val="20"/>
          <w:highlight w:val="none"/>
        </w:rPr>
      </w:pPr>
      <w:r>
        <w:rPr>
          <w:rFonts w:ascii="宋体" w:hAnsi="宋体" w:eastAsia="宋体" w:cs="宋体"/>
          <w:color w:val="auto"/>
          <w:spacing w:val="8"/>
          <w:sz w:val="20"/>
          <w:szCs w:val="20"/>
          <w:highlight w:val="none"/>
        </w:rPr>
        <w:t>5.供应商认为采购文件使自己的权益受到损害的，可以自获取采购文件之日或者采购文件公告 期限届满之日（公告期限届满后获取采购文件的，以公告期限届满之日为准）起 7 个工作日内以书 面形式一次性向采购人和采购代理机构提出同一环节的质疑。否则，逾期的质疑采购人及招标代理 机构可不予接受。质疑供应商对采购人、采购代理机构的答复不满意或者采购人、采购代理机构未 在规定的时间内作出答复的，可以在答复期满后十五个工作日内向同级政府采购监督管理部门投诉。</w:t>
      </w:r>
    </w:p>
    <w:p w14:paraId="4796D783">
      <w:pPr>
        <w:spacing w:before="151" w:line="322" w:lineRule="auto"/>
        <w:ind w:left="10" w:right="53" w:firstLine="41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6.</w:t>
      </w:r>
      <w:r>
        <w:rPr>
          <w:rFonts w:ascii="宋体" w:hAnsi="宋体" w:eastAsia="宋体" w:cs="宋体"/>
          <w:color w:val="auto"/>
          <w:spacing w:val="78"/>
          <w:sz w:val="20"/>
          <w:szCs w:val="20"/>
          <w:highlight w:val="none"/>
        </w:rPr>
        <w:t xml:space="preserve"> </w:t>
      </w:r>
      <w:r>
        <w:rPr>
          <w:rFonts w:ascii="宋体" w:hAnsi="宋体" w:eastAsia="宋体" w:cs="宋体"/>
          <w:color w:val="auto"/>
          <w:spacing w:val="-4"/>
          <w:sz w:val="20"/>
          <w:szCs w:val="20"/>
          <w:highlight w:val="none"/>
        </w:rPr>
        <w:t>若</w:t>
      </w:r>
      <w:r>
        <w:rPr>
          <w:rFonts w:ascii="宋体" w:hAnsi="宋体" w:eastAsia="宋体" w:cs="宋体"/>
          <w:color w:val="auto"/>
          <w:spacing w:val="-28"/>
          <w:sz w:val="20"/>
          <w:szCs w:val="20"/>
          <w:highlight w:val="none"/>
        </w:rPr>
        <w:t xml:space="preserve"> </w:t>
      </w:r>
      <w:r>
        <w:rPr>
          <w:rFonts w:ascii="宋体" w:hAnsi="宋体" w:eastAsia="宋体" w:cs="宋体"/>
          <w:color w:val="auto"/>
          <w:spacing w:val="-4"/>
          <w:sz w:val="20"/>
          <w:szCs w:val="20"/>
          <w:highlight w:val="none"/>
        </w:rPr>
        <w:t>对</w:t>
      </w:r>
      <w:r>
        <w:rPr>
          <w:rFonts w:ascii="宋体" w:hAnsi="宋体" w:eastAsia="宋体" w:cs="宋体"/>
          <w:color w:val="auto"/>
          <w:spacing w:val="-24"/>
          <w:sz w:val="20"/>
          <w:szCs w:val="20"/>
          <w:highlight w:val="none"/>
        </w:rPr>
        <w:t xml:space="preserve"> </w:t>
      </w:r>
      <w:r>
        <w:rPr>
          <w:rFonts w:ascii="宋体" w:hAnsi="宋体" w:eastAsia="宋体" w:cs="宋体"/>
          <w:color w:val="auto"/>
          <w:spacing w:val="-4"/>
          <w:sz w:val="20"/>
          <w:szCs w:val="20"/>
          <w:highlight w:val="none"/>
        </w:rPr>
        <w:t>项 目</w:t>
      </w:r>
      <w:r>
        <w:rPr>
          <w:rFonts w:ascii="宋体" w:hAnsi="宋体" w:eastAsia="宋体" w:cs="宋体"/>
          <w:color w:val="auto"/>
          <w:spacing w:val="-28"/>
          <w:sz w:val="20"/>
          <w:szCs w:val="20"/>
          <w:highlight w:val="none"/>
        </w:rPr>
        <w:t xml:space="preserve"> </w:t>
      </w:r>
      <w:r>
        <w:rPr>
          <w:rFonts w:ascii="宋体" w:hAnsi="宋体" w:eastAsia="宋体" w:cs="宋体"/>
          <w:color w:val="auto"/>
          <w:spacing w:val="-4"/>
          <w:sz w:val="20"/>
          <w:szCs w:val="20"/>
          <w:highlight w:val="none"/>
        </w:rPr>
        <w:t>采</w:t>
      </w:r>
      <w:r>
        <w:rPr>
          <w:rFonts w:ascii="宋体" w:hAnsi="宋体" w:eastAsia="宋体" w:cs="宋体"/>
          <w:color w:val="auto"/>
          <w:spacing w:val="-29"/>
          <w:sz w:val="20"/>
          <w:szCs w:val="20"/>
          <w:highlight w:val="none"/>
        </w:rPr>
        <w:t xml:space="preserve"> </w:t>
      </w:r>
      <w:r>
        <w:rPr>
          <w:rFonts w:ascii="宋体" w:hAnsi="宋体" w:eastAsia="宋体" w:cs="宋体"/>
          <w:color w:val="auto"/>
          <w:spacing w:val="-4"/>
          <w:sz w:val="20"/>
          <w:szCs w:val="20"/>
          <w:highlight w:val="none"/>
        </w:rPr>
        <w:t>购 电</w:t>
      </w:r>
      <w:r>
        <w:rPr>
          <w:rFonts w:ascii="宋体" w:hAnsi="宋体" w:eastAsia="宋体" w:cs="宋体"/>
          <w:color w:val="auto"/>
          <w:spacing w:val="-26"/>
          <w:sz w:val="20"/>
          <w:szCs w:val="20"/>
          <w:highlight w:val="none"/>
        </w:rPr>
        <w:t xml:space="preserve"> </w:t>
      </w:r>
      <w:r>
        <w:rPr>
          <w:rFonts w:ascii="宋体" w:hAnsi="宋体" w:eastAsia="宋体" w:cs="宋体"/>
          <w:color w:val="auto"/>
          <w:spacing w:val="-4"/>
          <w:sz w:val="20"/>
          <w:szCs w:val="20"/>
          <w:highlight w:val="none"/>
        </w:rPr>
        <w:t>子</w:t>
      </w:r>
      <w:r>
        <w:rPr>
          <w:rFonts w:ascii="宋体" w:hAnsi="宋体" w:eastAsia="宋体" w:cs="宋体"/>
          <w:color w:val="auto"/>
          <w:spacing w:val="-21"/>
          <w:sz w:val="20"/>
          <w:szCs w:val="20"/>
          <w:highlight w:val="none"/>
        </w:rPr>
        <w:t xml:space="preserve"> </w:t>
      </w:r>
      <w:r>
        <w:rPr>
          <w:rFonts w:ascii="宋体" w:hAnsi="宋体" w:eastAsia="宋体" w:cs="宋体"/>
          <w:color w:val="auto"/>
          <w:spacing w:val="-4"/>
          <w:sz w:val="20"/>
          <w:szCs w:val="20"/>
          <w:highlight w:val="none"/>
        </w:rPr>
        <w:t>交 易</w:t>
      </w:r>
      <w:r>
        <w:rPr>
          <w:rFonts w:ascii="宋体" w:hAnsi="宋体" w:eastAsia="宋体" w:cs="宋体"/>
          <w:color w:val="auto"/>
          <w:spacing w:val="-23"/>
          <w:sz w:val="20"/>
          <w:szCs w:val="20"/>
          <w:highlight w:val="none"/>
        </w:rPr>
        <w:t xml:space="preserve"> </w:t>
      </w:r>
      <w:r>
        <w:rPr>
          <w:rFonts w:ascii="宋体" w:hAnsi="宋体" w:eastAsia="宋体" w:cs="宋体"/>
          <w:color w:val="auto"/>
          <w:spacing w:val="-4"/>
          <w:sz w:val="20"/>
          <w:szCs w:val="20"/>
          <w:highlight w:val="none"/>
        </w:rPr>
        <w:t>系</w:t>
      </w:r>
      <w:r>
        <w:rPr>
          <w:rFonts w:ascii="宋体" w:hAnsi="宋体" w:eastAsia="宋体" w:cs="宋体"/>
          <w:color w:val="auto"/>
          <w:spacing w:val="-22"/>
          <w:sz w:val="20"/>
          <w:szCs w:val="20"/>
          <w:highlight w:val="none"/>
        </w:rPr>
        <w:t xml:space="preserve"> </w:t>
      </w:r>
      <w:r>
        <w:rPr>
          <w:rFonts w:ascii="宋体" w:hAnsi="宋体" w:eastAsia="宋体" w:cs="宋体"/>
          <w:color w:val="auto"/>
          <w:spacing w:val="-4"/>
          <w:sz w:val="20"/>
          <w:szCs w:val="20"/>
          <w:highlight w:val="none"/>
        </w:rPr>
        <w:t>统</w:t>
      </w:r>
      <w:r>
        <w:rPr>
          <w:rFonts w:ascii="宋体" w:hAnsi="宋体" w:eastAsia="宋体" w:cs="宋体"/>
          <w:color w:val="auto"/>
          <w:spacing w:val="-29"/>
          <w:sz w:val="20"/>
          <w:szCs w:val="20"/>
          <w:highlight w:val="none"/>
        </w:rPr>
        <w:t xml:space="preserve"> </w:t>
      </w:r>
      <w:r>
        <w:rPr>
          <w:rFonts w:ascii="宋体" w:hAnsi="宋体" w:eastAsia="宋体" w:cs="宋体"/>
          <w:color w:val="auto"/>
          <w:spacing w:val="-4"/>
          <w:sz w:val="20"/>
          <w:szCs w:val="20"/>
          <w:highlight w:val="none"/>
        </w:rPr>
        <w:t>操</w:t>
      </w:r>
      <w:r>
        <w:rPr>
          <w:rFonts w:ascii="宋体" w:hAnsi="宋体" w:eastAsia="宋体" w:cs="宋体"/>
          <w:color w:val="auto"/>
          <w:spacing w:val="-24"/>
          <w:sz w:val="20"/>
          <w:szCs w:val="20"/>
          <w:highlight w:val="none"/>
        </w:rPr>
        <w:t xml:space="preserve"> </w:t>
      </w:r>
      <w:r>
        <w:rPr>
          <w:rFonts w:ascii="宋体" w:hAnsi="宋体" w:eastAsia="宋体" w:cs="宋体"/>
          <w:color w:val="auto"/>
          <w:spacing w:val="-4"/>
          <w:sz w:val="20"/>
          <w:szCs w:val="20"/>
          <w:highlight w:val="none"/>
        </w:rPr>
        <w:t>作</w:t>
      </w:r>
      <w:r>
        <w:rPr>
          <w:rFonts w:ascii="宋体" w:hAnsi="宋体" w:eastAsia="宋体" w:cs="宋体"/>
          <w:color w:val="auto"/>
          <w:spacing w:val="-26"/>
          <w:sz w:val="20"/>
          <w:szCs w:val="20"/>
          <w:highlight w:val="none"/>
        </w:rPr>
        <w:t xml:space="preserve"> </w:t>
      </w:r>
      <w:r>
        <w:rPr>
          <w:rFonts w:ascii="宋体" w:hAnsi="宋体" w:eastAsia="宋体" w:cs="宋体"/>
          <w:color w:val="auto"/>
          <w:spacing w:val="-4"/>
          <w:sz w:val="20"/>
          <w:szCs w:val="20"/>
          <w:highlight w:val="none"/>
        </w:rPr>
        <w:t>有</w:t>
      </w:r>
      <w:r>
        <w:rPr>
          <w:rFonts w:ascii="宋体" w:hAnsi="宋体" w:eastAsia="宋体" w:cs="宋体"/>
          <w:color w:val="auto"/>
          <w:spacing w:val="-25"/>
          <w:sz w:val="20"/>
          <w:szCs w:val="20"/>
          <w:highlight w:val="none"/>
        </w:rPr>
        <w:t xml:space="preserve"> </w:t>
      </w:r>
      <w:r>
        <w:rPr>
          <w:rFonts w:ascii="宋体" w:hAnsi="宋体" w:eastAsia="宋体" w:cs="宋体"/>
          <w:color w:val="auto"/>
          <w:spacing w:val="-5"/>
          <w:sz w:val="20"/>
          <w:szCs w:val="20"/>
          <w:highlight w:val="none"/>
        </w:rPr>
        <w:t>疑 问 ，</w:t>
      </w:r>
      <w:r>
        <w:rPr>
          <w:rFonts w:ascii="宋体" w:hAnsi="宋体" w:eastAsia="宋体" w:cs="宋体"/>
          <w:color w:val="auto"/>
          <w:spacing w:val="-20"/>
          <w:sz w:val="20"/>
          <w:szCs w:val="20"/>
          <w:highlight w:val="none"/>
        </w:rPr>
        <w:t xml:space="preserve"> </w:t>
      </w:r>
      <w:r>
        <w:rPr>
          <w:rFonts w:ascii="宋体" w:hAnsi="宋体" w:eastAsia="宋体" w:cs="宋体"/>
          <w:color w:val="auto"/>
          <w:spacing w:val="-5"/>
          <w:sz w:val="20"/>
          <w:szCs w:val="20"/>
          <w:highlight w:val="none"/>
        </w:rPr>
        <w:t>可</w:t>
      </w:r>
      <w:r>
        <w:rPr>
          <w:rFonts w:ascii="宋体" w:hAnsi="宋体" w:eastAsia="宋体" w:cs="宋体"/>
          <w:color w:val="auto"/>
          <w:spacing w:val="-21"/>
          <w:sz w:val="20"/>
          <w:szCs w:val="20"/>
          <w:highlight w:val="none"/>
        </w:rPr>
        <w:t xml:space="preserve"> </w:t>
      </w:r>
      <w:r>
        <w:rPr>
          <w:rFonts w:ascii="宋体" w:hAnsi="宋体" w:eastAsia="宋体" w:cs="宋体"/>
          <w:color w:val="auto"/>
          <w:spacing w:val="-5"/>
          <w:sz w:val="20"/>
          <w:szCs w:val="20"/>
          <w:highlight w:val="none"/>
        </w:rPr>
        <w:t>登</w:t>
      </w:r>
      <w:r>
        <w:rPr>
          <w:rFonts w:ascii="宋体" w:hAnsi="宋体" w:eastAsia="宋体" w:cs="宋体"/>
          <w:color w:val="auto"/>
          <w:spacing w:val="-26"/>
          <w:sz w:val="20"/>
          <w:szCs w:val="20"/>
          <w:highlight w:val="none"/>
        </w:rPr>
        <w:t xml:space="preserve"> </w:t>
      </w:r>
      <w:r>
        <w:rPr>
          <w:rFonts w:ascii="宋体" w:hAnsi="宋体" w:eastAsia="宋体" w:cs="宋体"/>
          <w:color w:val="auto"/>
          <w:spacing w:val="-5"/>
          <w:sz w:val="20"/>
          <w:szCs w:val="20"/>
          <w:highlight w:val="none"/>
        </w:rPr>
        <w:t>录</w:t>
      </w:r>
      <w:r>
        <w:rPr>
          <w:rFonts w:ascii="宋体" w:hAnsi="宋体" w:eastAsia="宋体" w:cs="宋体"/>
          <w:color w:val="auto"/>
          <w:spacing w:val="-28"/>
          <w:sz w:val="20"/>
          <w:szCs w:val="20"/>
          <w:highlight w:val="none"/>
        </w:rPr>
        <w:t xml:space="preserve"> </w:t>
      </w:r>
      <w:r>
        <w:rPr>
          <w:rFonts w:ascii="宋体" w:hAnsi="宋体" w:eastAsia="宋体" w:cs="宋体"/>
          <w:color w:val="auto"/>
          <w:spacing w:val="-5"/>
          <w:sz w:val="20"/>
          <w:szCs w:val="20"/>
          <w:highlight w:val="none"/>
        </w:rPr>
        <w:t>广</w:t>
      </w:r>
      <w:r>
        <w:rPr>
          <w:rFonts w:ascii="宋体" w:hAnsi="宋体" w:eastAsia="宋体" w:cs="宋体"/>
          <w:color w:val="auto"/>
          <w:spacing w:val="-22"/>
          <w:sz w:val="20"/>
          <w:szCs w:val="20"/>
          <w:highlight w:val="none"/>
        </w:rPr>
        <w:t xml:space="preserve"> </w:t>
      </w:r>
      <w:r>
        <w:rPr>
          <w:rFonts w:ascii="宋体" w:hAnsi="宋体" w:eastAsia="宋体" w:cs="宋体"/>
          <w:color w:val="auto"/>
          <w:spacing w:val="-5"/>
          <w:sz w:val="20"/>
          <w:szCs w:val="20"/>
          <w:highlight w:val="none"/>
        </w:rPr>
        <w:t>西</w:t>
      </w:r>
      <w:r>
        <w:rPr>
          <w:rFonts w:ascii="宋体" w:hAnsi="宋体" w:eastAsia="宋体" w:cs="宋体"/>
          <w:color w:val="auto"/>
          <w:spacing w:val="-28"/>
          <w:sz w:val="20"/>
          <w:szCs w:val="20"/>
          <w:highlight w:val="none"/>
        </w:rPr>
        <w:t xml:space="preserve"> </w:t>
      </w:r>
      <w:r>
        <w:rPr>
          <w:rFonts w:ascii="宋体" w:hAnsi="宋体" w:eastAsia="宋体" w:cs="宋体"/>
          <w:color w:val="auto"/>
          <w:spacing w:val="-5"/>
          <w:sz w:val="20"/>
          <w:szCs w:val="20"/>
          <w:highlight w:val="none"/>
        </w:rPr>
        <w:t>政</w:t>
      </w:r>
      <w:r>
        <w:rPr>
          <w:rFonts w:ascii="宋体" w:hAnsi="宋体" w:eastAsia="宋体" w:cs="宋体"/>
          <w:color w:val="auto"/>
          <w:spacing w:val="-26"/>
          <w:sz w:val="20"/>
          <w:szCs w:val="20"/>
          <w:highlight w:val="none"/>
        </w:rPr>
        <w:t xml:space="preserve"> </w:t>
      </w:r>
      <w:r>
        <w:rPr>
          <w:rFonts w:ascii="宋体" w:hAnsi="宋体" w:eastAsia="宋体" w:cs="宋体"/>
          <w:color w:val="auto"/>
          <w:spacing w:val="-5"/>
          <w:sz w:val="20"/>
          <w:szCs w:val="20"/>
          <w:highlight w:val="none"/>
        </w:rPr>
        <w:t>府</w:t>
      </w:r>
      <w:r>
        <w:rPr>
          <w:rFonts w:ascii="宋体" w:hAnsi="宋体" w:eastAsia="宋体" w:cs="宋体"/>
          <w:color w:val="auto"/>
          <w:spacing w:val="-28"/>
          <w:sz w:val="20"/>
          <w:szCs w:val="20"/>
          <w:highlight w:val="none"/>
        </w:rPr>
        <w:t xml:space="preserve"> </w:t>
      </w:r>
      <w:r>
        <w:rPr>
          <w:rFonts w:ascii="宋体" w:hAnsi="宋体" w:eastAsia="宋体" w:cs="宋体"/>
          <w:color w:val="auto"/>
          <w:spacing w:val="-5"/>
          <w:sz w:val="20"/>
          <w:szCs w:val="20"/>
          <w:highlight w:val="none"/>
        </w:rPr>
        <w:t>采</w:t>
      </w:r>
      <w:r>
        <w:rPr>
          <w:rFonts w:ascii="宋体" w:hAnsi="宋体" w:eastAsia="宋体" w:cs="宋体"/>
          <w:color w:val="auto"/>
          <w:spacing w:val="-29"/>
          <w:sz w:val="20"/>
          <w:szCs w:val="20"/>
          <w:highlight w:val="none"/>
        </w:rPr>
        <w:t xml:space="preserve"> </w:t>
      </w:r>
      <w:r>
        <w:rPr>
          <w:rFonts w:ascii="宋体" w:hAnsi="宋体" w:eastAsia="宋体" w:cs="宋体"/>
          <w:color w:val="auto"/>
          <w:spacing w:val="-5"/>
          <w:sz w:val="20"/>
          <w:szCs w:val="20"/>
          <w:highlight w:val="none"/>
        </w:rPr>
        <w:t>购</w:t>
      </w:r>
      <w:r>
        <w:rPr>
          <w:rFonts w:ascii="宋体" w:hAnsi="宋体" w:eastAsia="宋体" w:cs="宋体"/>
          <w:color w:val="auto"/>
          <w:spacing w:val="-21"/>
          <w:sz w:val="20"/>
          <w:szCs w:val="20"/>
          <w:highlight w:val="none"/>
        </w:rPr>
        <w:t xml:space="preserve"> </w:t>
      </w:r>
      <w:r>
        <w:rPr>
          <w:rFonts w:ascii="宋体" w:hAnsi="宋体" w:eastAsia="宋体" w:cs="宋体"/>
          <w:color w:val="auto"/>
          <w:spacing w:val="-5"/>
          <w:sz w:val="20"/>
          <w:szCs w:val="20"/>
          <w:highlight w:val="none"/>
        </w:rPr>
        <w:t>云</w:t>
      </w:r>
      <w:r>
        <w:rPr>
          <w:rFonts w:ascii="宋体" w:hAnsi="宋体" w:eastAsia="宋体" w:cs="宋体"/>
          <w:color w:val="auto"/>
          <w:spacing w:val="-28"/>
          <w:sz w:val="20"/>
          <w:szCs w:val="20"/>
          <w:highlight w:val="none"/>
        </w:rPr>
        <w:t xml:space="preserve"> </w:t>
      </w:r>
      <w:r>
        <w:rPr>
          <w:rFonts w:ascii="宋体" w:hAnsi="宋体" w:eastAsia="宋体" w:cs="宋体"/>
          <w:color w:val="auto"/>
          <w:spacing w:val="-5"/>
          <w:sz w:val="20"/>
          <w:szCs w:val="20"/>
          <w:highlight w:val="none"/>
        </w:rPr>
        <w:t>平 台</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gcy</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2"/>
          <w:sz w:val="20"/>
          <w:szCs w:val="20"/>
          <w:highlight w:val="none"/>
        </w:rPr>
        <w:t>/</w:t>
      </w:r>
      <w:r>
        <w:rPr>
          <w:rFonts w:ascii="宋体" w:hAnsi="宋体" w:eastAsia="宋体" w:cs="宋体"/>
          <w:color w:val="auto"/>
          <w:spacing w:val="12"/>
          <w:sz w:val="20"/>
          <w:szCs w:val="20"/>
          <w:highlight w:val="none"/>
        </w:rPr>
        <w:fldChar w:fldCharType="end"/>
      </w:r>
      <w:r>
        <w:rPr>
          <w:rFonts w:ascii="宋体" w:hAnsi="宋体" w:eastAsia="宋体" w:cs="宋体"/>
          <w:color w:val="auto"/>
          <w:spacing w:val="19"/>
          <w:sz w:val="20"/>
          <w:szCs w:val="20"/>
          <w:highlight w:val="none"/>
        </w:rPr>
        <w:t>），</w:t>
      </w:r>
      <w:r>
        <w:rPr>
          <w:rFonts w:ascii="宋体" w:hAnsi="宋体" w:eastAsia="宋体" w:cs="宋体"/>
          <w:color w:val="auto"/>
          <w:spacing w:val="12"/>
          <w:sz w:val="20"/>
          <w:szCs w:val="20"/>
          <w:highlight w:val="none"/>
        </w:rPr>
        <w:t>点击右侧咨询小采，获取采小蜜智能服务管</w:t>
      </w:r>
      <w:r>
        <w:rPr>
          <w:rFonts w:ascii="宋体" w:hAnsi="宋体" w:eastAsia="宋体" w:cs="宋体"/>
          <w:color w:val="auto"/>
          <w:spacing w:val="11"/>
          <w:sz w:val="20"/>
          <w:szCs w:val="20"/>
          <w:highlight w:val="none"/>
        </w:rPr>
        <w:t>家帮助，</w:t>
      </w:r>
      <w:r>
        <w:rPr>
          <w:rFonts w:ascii="宋体" w:hAnsi="宋体" w:eastAsia="宋体" w:cs="宋体"/>
          <w:color w:val="auto"/>
          <w:spacing w:val="1"/>
          <w:sz w:val="20"/>
          <w:szCs w:val="20"/>
          <w:highlight w:val="none"/>
        </w:rPr>
        <w:t xml:space="preserve"> </w:t>
      </w:r>
      <w:r>
        <w:rPr>
          <w:rFonts w:ascii="宋体" w:hAnsi="宋体" w:eastAsia="宋体" w:cs="宋体"/>
          <w:color w:val="auto"/>
          <w:spacing w:val="7"/>
          <w:sz w:val="20"/>
          <w:szCs w:val="20"/>
          <w:highlight w:val="none"/>
        </w:rPr>
        <w:t>或拨打政采云服务热线</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95763</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获取热线服务帮助。</w:t>
      </w:r>
    </w:p>
    <w:p w14:paraId="3897024D">
      <w:pPr>
        <w:spacing w:before="154" w:line="229"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7.注意事项：</w:t>
      </w:r>
    </w:p>
    <w:p w14:paraId="79E04BB9">
      <w:pPr>
        <w:spacing w:before="155" w:line="345" w:lineRule="auto"/>
        <w:ind w:left="6" w:right="53" w:firstLine="430"/>
        <w:rPr>
          <w:rFonts w:ascii="宋体" w:hAnsi="宋体" w:eastAsia="宋体" w:cs="宋体"/>
          <w:color w:val="auto"/>
          <w:sz w:val="20"/>
          <w:szCs w:val="20"/>
          <w:highlight w:val="none"/>
        </w:rPr>
      </w:pPr>
      <w:r>
        <w:rPr>
          <w:rFonts w:ascii="宋体" w:hAnsi="宋体" w:eastAsia="宋体" w:cs="宋体"/>
          <w:color w:val="auto"/>
          <w:spacing w:val="18"/>
          <w:sz w:val="20"/>
          <w:szCs w:val="20"/>
          <w:highlight w:val="none"/>
        </w:rPr>
        <w:t>（1）</w:t>
      </w:r>
      <w:r>
        <w:rPr>
          <w:rFonts w:ascii="宋体" w:hAnsi="宋体" w:eastAsia="宋体" w:cs="宋体"/>
          <w:color w:val="auto"/>
          <w:spacing w:val="-29"/>
          <w:sz w:val="20"/>
          <w:szCs w:val="20"/>
          <w:highlight w:val="none"/>
        </w:rPr>
        <w:t xml:space="preserve"> </w:t>
      </w:r>
      <w:r>
        <w:rPr>
          <w:rFonts w:ascii="宋体" w:hAnsi="宋体" w:eastAsia="宋体" w:cs="宋体"/>
          <w:color w:val="auto"/>
          <w:spacing w:val="18"/>
          <w:sz w:val="20"/>
          <w:szCs w:val="20"/>
          <w:highlight w:val="none"/>
        </w:rPr>
        <w:t>响应文件提交方式：</w:t>
      </w:r>
      <w:r>
        <w:rPr>
          <w:rFonts w:ascii="宋体" w:hAnsi="宋体" w:eastAsia="宋体" w:cs="宋体"/>
          <w:color w:val="auto"/>
          <w:spacing w:val="-56"/>
          <w:sz w:val="20"/>
          <w:szCs w:val="20"/>
          <w:highlight w:val="none"/>
        </w:rPr>
        <w:t xml:space="preserve"> </w:t>
      </w:r>
      <w:r>
        <w:rPr>
          <w:rFonts w:ascii="宋体" w:hAnsi="宋体" w:eastAsia="宋体" w:cs="宋体"/>
          <w:color w:val="auto"/>
          <w:spacing w:val="18"/>
          <w:sz w:val="20"/>
          <w:szCs w:val="20"/>
          <w:highlight w:val="none"/>
        </w:rPr>
        <w:t>本项目为南宁市全流程电子化项目，通过广西政府采购云平台</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gcy</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3"/>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3"/>
          <w:sz w:val="20"/>
          <w:szCs w:val="20"/>
          <w:highlight w:val="none"/>
        </w:rPr>
        <w:t>/</w:t>
      </w:r>
      <w:r>
        <w:rPr>
          <w:rFonts w:ascii="宋体" w:hAnsi="宋体" w:eastAsia="宋体" w:cs="宋体"/>
          <w:color w:val="auto"/>
          <w:spacing w:val="13"/>
          <w:sz w:val="20"/>
          <w:szCs w:val="20"/>
          <w:highlight w:val="none"/>
        </w:rPr>
        <w:fldChar w:fldCharType="end"/>
      </w:r>
      <w:r>
        <w:rPr>
          <w:rFonts w:ascii="宋体" w:hAnsi="宋体" w:eastAsia="宋体" w:cs="宋体"/>
          <w:color w:val="auto"/>
          <w:spacing w:val="13"/>
          <w:sz w:val="20"/>
          <w:szCs w:val="20"/>
          <w:highlight w:val="none"/>
        </w:rPr>
        <w:t>）实行在线电子响应，供应商应先安</w:t>
      </w:r>
      <w:r>
        <w:rPr>
          <w:rFonts w:ascii="宋体" w:hAnsi="宋体" w:eastAsia="宋体" w:cs="宋体"/>
          <w:color w:val="auto"/>
          <w:spacing w:val="12"/>
          <w:sz w:val="20"/>
          <w:szCs w:val="20"/>
          <w:highlight w:val="none"/>
        </w:rPr>
        <w:t>装“政采云电子交易</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客户端</w:t>
      </w:r>
      <w:r>
        <w:rPr>
          <w:rFonts w:ascii="宋体" w:hAnsi="宋体" w:eastAsia="宋体" w:cs="宋体"/>
          <w:color w:val="auto"/>
          <w:spacing w:val="-69"/>
          <w:sz w:val="20"/>
          <w:szCs w:val="20"/>
          <w:highlight w:val="none"/>
        </w:rPr>
        <w:t xml:space="preserve"> </w:t>
      </w:r>
      <w:r>
        <w:rPr>
          <w:rFonts w:ascii="宋体" w:hAnsi="宋体" w:eastAsia="宋体" w:cs="宋体"/>
          <w:color w:val="auto"/>
          <w:spacing w:val="8"/>
          <w:sz w:val="20"/>
          <w:szCs w:val="20"/>
          <w:highlight w:val="none"/>
        </w:rPr>
        <w:t>”（请自行前往广西政府采购云平台进行下载</w:t>
      </w:r>
      <w:r>
        <w:rPr>
          <w:rFonts w:ascii="宋体" w:hAnsi="宋体" w:eastAsia="宋体" w:cs="宋体"/>
          <w:color w:val="auto"/>
          <w:spacing w:val="-1"/>
          <w:sz w:val="20"/>
          <w:szCs w:val="20"/>
          <w:highlight w:val="none"/>
        </w:rPr>
        <w:t>），</w:t>
      </w:r>
      <w:r>
        <w:rPr>
          <w:rFonts w:ascii="宋体" w:hAnsi="宋体" w:eastAsia="宋体" w:cs="宋体"/>
          <w:color w:val="auto"/>
          <w:spacing w:val="8"/>
          <w:sz w:val="20"/>
          <w:szCs w:val="20"/>
          <w:highlight w:val="none"/>
        </w:rPr>
        <w:t>并按照本项目采购文</w:t>
      </w:r>
      <w:r>
        <w:rPr>
          <w:rFonts w:ascii="宋体" w:hAnsi="宋体" w:eastAsia="宋体" w:cs="宋体"/>
          <w:color w:val="auto"/>
          <w:spacing w:val="7"/>
          <w:sz w:val="20"/>
          <w:szCs w:val="20"/>
          <w:highlight w:val="none"/>
        </w:rPr>
        <w:t>件和广西政府采购云</w:t>
      </w:r>
      <w:r>
        <w:rPr>
          <w:rFonts w:ascii="宋体" w:hAnsi="宋体" w:eastAsia="宋体" w:cs="宋体"/>
          <w:color w:val="auto"/>
          <w:spacing w:val="8"/>
          <w:sz w:val="20"/>
          <w:szCs w:val="20"/>
          <w:highlight w:val="none"/>
        </w:rPr>
        <w:t>平台的要求编制、加密后在投标截止时间前通过网络上传至南宁市广西政府采购云平台，供应商在广西政府采购云平台提交电子版响应文件时，请填写参加远程采购活动经办人联系方式，电子响应</w:t>
      </w:r>
      <w:r>
        <w:rPr>
          <w:rFonts w:ascii="宋体" w:hAnsi="宋体" w:eastAsia="宋体" w:cs="宋体"/>
          <w:color w:val="auto"/>
          <w:spacing w:val="7"/>
          <w:sz w:val="20"/>
          <w:szCs w:val="20"/>
          <w:highlight w:val="none"/>
        </w:rPr>
        <w:t>文件具体操作流程详见本公告附件</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2。</w:t>
      </w:r>
    </w:p>
    <w:p w14:paraId="3AFFB8CF">
      <w:pPr>
        <w:spacing w:before="154" w:line="334" w:lineRule="auto"/>
        <w:ind w:left="6" w:right="53"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（2）未进行网上注册并办理数字证书（</w:t>
      </w:r>
      <w:r>
        <w:rPr>
          <w:rFonts w:ascii="宋体" w:hAnsi="宋体" w:eastAsia="宋体" w:cs="宋体"/>
          <w:color w:val="auto"/>
          <w:sz w:val="20"/>
          <w:szCs w:val="20"/>
          <w:highlight w:val="none"/>
        </w:rPr>
        <w:t>CA</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认证）的供应商将无法参与本项目政府</w:t>
      </w:r>
      <w:r>
        <w:rPr>
          <w:rFonts w:ascii="宋体" w:hAnsi="宋体" w:eastAsia="宋体" w:cs="宋体"/>
          <w:color w:val="auto"/>
          <w:spacing w:val="8"/>
          <w:sz w:val="20"/>
          <w:szCs w:val="20"/>
          <w:highlight w:val="none"/>
        </w:rPr>
        <w:t>采购活动，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潜在供应商应当在投标截止时间前，完成电子交易平台上的</w:t>
      </w:r>
      <w:r>
        <w:rPr>
          <w:rFonts w:ascii="宋体" w:hAnsi="宋体" w:eastAsia="宋体" w:cs="宋体"/>
          <w:color w:val="auto"/>
          <w:spacing w:val="-26"/>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6"/>
          <w:sz w:val="20"/>
          <w:szCs w:val="20"/>
          <w:highlight w:val="none"/>
        </w:rPr>
        <w:t xml:space="preserve"> </w:t>
      </w:r>
      <w:r>
        <w:rPr>
          <w:rFonts w:ascii="宋体" w:hAnsi="宋体" w:eastAsia="宋体" w:cs="宋体"/>
          <w:color w:val="auto"/>
          <w:spacing w:val="10"/>
          <w:sz w:val="20"/>
          <w:szCs w:val="20"/>
          <w:highlight w:val="none"/>
        </w:rPr>
        <w:t>数字证书办理（申领流程见本公告</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附件</w:t>
      </w:r>
      <w:r>
        <w:rPr>
          <w:rFonts w:ascii="宋体" w:hAnsi="宋体" w:eastAsia="宋体" w:cs="宋体"/>
          <w:color w:val="auto"/>
          <w:spacing w:val="-12"/>
          <w:sz w:val="20"/>
          <w:szCs w:val="20"/>
          <w:highlight w:val="none"/>
        </w:rPr>
        <w:t xml:space="preserve"> </w:t>
      </w:r>
      <w:r>
        <w:rPr>
          <w:rFonts w:ascii="宋体" w:hAnsi="宋体" w:eastAsia="宋体" w:cs="宋体"/>
          <w:color w:val="auto"/>
          <w:spacing w:val="6"/>
          <w:sz w:val="20"/>
          <w:szCs w:val="20"/>
          <w:highlight w:val="none"/>
        </w:rPr>
        <w:t>1）及响应文件的提交。完成</w:t>
      </w:r>
      <w:r>
        <w:rPr>
          <w:rFonts w:ascii="宋体" w:hAnsi="宋体" w:eastAsia="宋体" w:cs="宋体"/>
          <w:color w:val="auto"/>
          <w:spacing w:val="-38"/>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数字证书办理预计</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 日左右，供应商只需办理其中一家</w:t>
      </w:r>
      <w:r>
        <w:rPr>
          <w:rFonts w:ascii="宋体" w:hAnsi="宋体" w:eastAsia="宋体" w:cs="宋体"/>
          <w:color w:val="auto"/>
          <w:spacing w:val="-41"/>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数</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字证书及签章。</w:t>
      </w:r>
    </w:p>
    <w:p w14:paraId="235B517C">
      <w:pPr>
        <w:spacing w:before="151" w:line="299" w:lineRule="auto"/>
        <w:ind w:left="9" w:right="15"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（3）为确保网上操作合法、有效和安全，请供应商确保在电子响应过程中能够对相关数据电</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文进行加密和使用电子签章，妥善保管</w:t>
      </w:r>
      <w:r>
        <w:rPr>
          <w:rFonts w:ascii="宋体" w:hAnsi="宋体" w:eastAsia="宋体" w:cs="宋体"/>
          <w:color w:val="auto"/>
          <w:spacing w:val="-41"/>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7"/>
          <w:sz w:val="20"/>
          <w:szCs w:val="20"/>
          <w:highlight w:val="none"/>
        </w:rPr>
        <w:t xml:space="preserve"> </w:t>
      </w:r>
      <w:r>
        <w:rPr>
          <w:rFonts w:ascii="宋体" w:hAnsi="宋体" w:eastAsia="宋体" w:cs="宋体"/>
          <w:color w:val="auto"/>
          <w:spacing w:val="10"/>
          <w:sz w:val="20"/>
          <w:szCs w:val="20"/>
          <w:highlight w:val="none"/>
        </w:rPr>
        <w:t>数字证书并使用有效的</w:t>
      </w:r>
      <w:r>
        <w:rPr>
          <w:rFonts w:ascii="宋体" w:hAnsi="宋体" w:eastAsia="宋体" w:cs="宋体"/>
          <w:color w:val="auto"/>
          <w:sz w:val="20"/>
          <w:szCs w:val="20"/>
          <w:highlight w:val="none"/>
        </w:rPr>
        <w:t>CA</w:t>
      </w:r>
      <w:r>
        <w:rPr>
          <w:rFonts w:ascii="宋体" w:hAnsi="宋体" w:eastAsia="宋体" w:cs="宋体"/>
          <w:color w:val="auto"/>
          <w:spacing w:val="-38"/>
          <w:sz w:val="20"/>
          <w:szCs w:val="20"/>
          <w:highlight w:val="none"/>
        </w:rPr>
        <w:t xml:space="preserve"> </w:t>
      </w:r>
      <w:r>
        <w:rPr>
          <w:rFonts w:ascii="宋体" w:hAnsi="宋体" w:eastAsia="宋体" w:cs="宋体"/>
          <w:color w:val="auto"/>
          <w:spacing w:val="10"/>
          <w:sz w:val="20"/>
          <w:szCs w:val="20"/>
          <w:highlight w:val="none"/>
        </w:rPr>
        <w:t>数字证书参与整个采购活动。</w:t>
      </w:r>
    </w:p>
    <w:p w14:paraId="0C1B172F">
      <w:pPr>
        <w:spacing w:before="154" w:line="369" w:lineRule="auto"/>
        <w:ind w:left="6" w:firstLine="42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注：供应商应当在首次响应文件提交截止时间前完成电子响应文件的上传、递交，响应文件提</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交截止时间前可以补充、修改或者撤回响应文件。补充或者</w:t>
      </w:r>
      <w:r>
        <w:rPr>
          <w:rFonts w:ascii="宋体" w:hAnsi="宋体" w:eastAsia="宋体" w:cs="宋体"/>
          <w:color w:val="auto"/>
          <w:spacing w:val="4"/>
          <w:sz w:val="20"/>
          <w:szCs w:val="20"/>
          <w:highlight w:val="none"/>
        </w:rPr>
        <w:t>修改响应文件的，应当先行撤回原文件，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补充、修改后重新上传、递交。响应截止时间前未完成上传、递交的，视为撤回响应文件。响应文</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件提交截止时间以后上传递交的响应文件的，广西政府采购云平台将予以拒收。</w:t>
      </w:r>
    </w:p>
    <w:p w14:paraId="41B92389">
      <w:pPr>
        <w:spacing w:before="2" w:line="322" w:lineRule="auto"/>
        <w:ind w:left="6" w:right="56" w:firstLine="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w:t>
      </w:r>
      <w:r>
        <w:rPr>
          <w:rFonts w:ascii="宋体" w:hAnsi="宋体" w:eastAsia="宋体" w:cs="宋体"/>
          <w:color w:val="auto"/>
          <w:sz w:val="20"/>
          <w:szCs w:val="20"/>
          <w:highlight w:val="none"/>
        </w:rPr>
        <w:t>CA</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证书在线解密：首次响应文件开启时，须要供应商携带制作响应文件时用</w:t>
      </w:r>
      <w:r>
        <w:rPr>
          <w:rFonts w:ascii="宋体" w:hAnsi="宋体" w:eastAsia="宋体" w:cs="宋体"/>
          <w:color w:val="auto"/>
          <w:spacing w:val="8"/>
          <w:sz w:val="20"/>
          <w:szCs w:val="20"/>
          <w:highlight w:val="none"/>
        </w:rPr>
        <w:t>来加密的有</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效数字证书（</w:t>
      </w:r>
      <w:r>
        <w:rPr>
          <w:rFonts w:ascii="宋体" w:hAnsi="宋体" w:eastAsia="宋体" w:cs="宋体"/>
          <w:color w:val="auto"/>
          <w:sz w:val="20"/>
          <w:szCs w:val="20"/>
          <w:highlight w:val="none"/>
        </w:rPr>
        <w:t>CA</w:t>
      </w:r>
      <w:r>
        <w:rPr>
          <w:rFonts w:ascii="宋体" w:hAnsi="宋体" w:eastAsia="宋体" w:cs="宋体"/>
          <w:color w:val="auto"/>
          <w:spacing w:val="-38"/>
          <w:sz w:val="20"/>
          <w:szCs w:val="20"/>
          <w:highlight w:val="none"/>
        </w:rPr>
        <w:t xml:space="preserve"> </w:t>
      </w:r>
      <w:r>
        <w:rPr>
          <w:rFonts w:ascii="宋体" w:hAnsi="宋体" w:eastAsia="宋体" w:cs="宋体"/>
          <w:color w:val="auto"/>
          <w:spacing w:val="12"/>
          <w:sz w:val="20"/>
          <w:szCs w:val="20"/>
          <w:highlight w:val="none"/>
        </w:rPr>
        <w:t>认证）登录广西政府采购云平台电子开标大厅现场按规定时间</w:t>
      </w:r>
      <w:r>
        <w:rPr>
          <w:rFonts w:ascii="宋体" w:hAnsi="宋体" w:eastAsia="宋体" w:cs="宋体"/>
          <w:color w:val="auto"/>
          <w:spacing w:val="11"/>
          <w:sz w:val="20"/>
          <w:szCs w:val="20"/>
          <w:highlight w:val="none"/>
        </w:rPr>
        <w:t>对加密的响应文件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进行解密，否则后果自负。</w:t>
      </w:r>
    </w:p>
    <w:p w14:paraId="436CD2B0">
      <w:pPr>
        <w:spacing w:before="151" w:line="299" w:lineRule="auto"/>
        <w:ind w:left="13" w:right="56" w:firstLine="424"/>
        <w:rPr>
          <w:rFonts w:ascii="宋体" w:hAnsi="宋体" w:eastAsia="宋体" w:cs="宋体"/>
          <w:color w:val="auto"/>
          <w:spacing w:val="8"/>
          <w:sz w:val="20"/>
          <w:szCs w:val="20"/>
          <w:highlight w:val="none"/>
        </w:rPr>
      </w:pPr>
      <w:r>
        <w:rPr>
          <w:rFonts w:ascii="宋体" w:hAnsi="宋体" w:eastAsia="宋体" w:cs="宋体"/>
          <w:color w:val="auto"/>
          <w:spacing w:val="10"/>
          <w:sz w:val="20"/>
          <w:szCs w:val="20"/>
          <w:highlight w:val="none"/>
        </w:rPr>
        <w:t>（5）供应商需要在具备有摄像头及语音功能且互联网网络状况良好的电脑登录广西政府采购</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云平台远程开标大厅参与本次磋商，否则后果自</w:t>
      </w:r>
      <w:r>
        <w:rPr>
          <w:rFonts w:ascii="宋体" w:hAnsi="宋体" w:eastAsia="宋体" w:cs="宋体"/>
          <w:color w:val="auto"/>
          <w:spacing w:val="8"/>
          <w:sz w:val="20"/>
          <w:szCs w:val="20"/>
          <w:highlight w:val="none"/>
        </w:rPr>
        <w:t>负。</w:t>
      </w:r>
    </w:p>
    <w:p w14:paraId="51E764AB">
      <w:pPr>
        <w:spacing w:before="151" w:line="299" w:lineRule="auto"/>
        <w:ind w:left="13" w:right="56" w:firstLine="424"/>
        <w:rPr>
          <w:rFonts w:hint="default" w:ascii="宋体" w:hAnsi="宋体" w:eastAsia="宋体" w:cs="宋体"/>
          <w:color w:val="auto"/>
          <w:spacing w:val="8"/>
          <w:sz w:val="20"/>
          <w:szCs w:val="20"/>
          <w:highlight w:val="none"/>
          <w:lang w:val="en-US" w:eastAsia="zh-CN"/>
        </w:rPr>
      </w:pPr>
      <w:r>
        <w:rPr>
          <w:rFonts w:hint="eastAsia" w:ascii="宋体" w:hAnsi="宋体" w:eastAsia="宋体" w:cs="宋体"/>
          <w:color w:val="auto"/>
          <w:spacing w:val="8"/>
          <w:sz w:val="20"/>
          <w:szCs w:val="20"/>
          <w:highlight w:val="none"/>
          <w:lang w:eastAsia="zh-CN"/>
        </w:rPr>
        <w:t>（</w:t>
      </w:r>
      <w:r>
        <w:rPr>
          <w:rFonts w:hint="eastAsia" w:ascii="宋体" w:hAnsi="宋体" w:eastAsia="宋体" w:cs="宋体"/>
          <w:color w:val="auto"/>
          <w:spacing w:val="8"/>
          <w:sz w:val="20"/>
          <w:szCs w:val="20"/>
          <w:highlight w:val="none"/>
          <w:lang w:val="en-US" w:eastAsia="zh-CN"/>
        </w:rPr>
        <w:t>6）本项目的采购单位为：横州市莲塘镇初级中学，如公告或采购文件有与本条补充说明不一致的，均以本条补充说明为准。</w:t>
      </w:r>
    </w:p>
    <w:p w14:paraId="2A1D4604">
      <w:pPr>
        <w:spacing w:before="128" w:line="219" w:lineRule="auto"/>
        <w:ind w:left="492"/>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八、凡对本次采购提出询问，请按以下方式联系</w:t>
      </w:r>
    </w:p>
    <w:p w14:paraId="37BA9553">
      <w:pPr>
        <w:spacing w:before="139"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1.采购人信息</w:t>
      </w:r>
    </w:p>
    <w:p w14:paraId="05AD36EE">
      <w:pPr>
        <w:spacing w:before="154" w:line="228" w:lineRule="auto"/>
        <w:ind w:left="430"/>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rPr>
        <w:t>名称：</w:t>
      </w:r>
      <w:r>
        <w:rPr>
          <w:rFonts w:hint="eastAsia" w:ascii="宋体" w:hAnsi="宋体" w:eastAsia="宋体" w:cs="宋体"/>
          <w:color w:val="auto"/>
          <w:spacing w:val="8"/>
          <w:sz w:val="20"/>
          <w:szCs w:val="20"/>
          <w:highlight w:val="none"/>
          <w:lang w:eastAsia="zh-CN"/>
        </w:rPr>
        <w:t>横州市莲塘镇初级中学</w:t>
      </w:r>
    </w:p>
    <w:p w14:paraId="11079CFD">
      <w:pPr>
        <w:spacing w:before="154" w:line="228" w:lineRule="auto"/>
        <w:ind w:left="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地址：</w:t>
      </w:r>
      <w:r>
        <w:rPr>
          <w:rFonts w:hint="eastAsia" w:ascii="宋体" w:hAnsi="宋体" w:eastAsia="宋体" w:cs="宋体"/>
          <w:color w:val="auto"/>
          <w:spacing w:val="7"/>
          <w:sz w:val="20"/>
          <w:szCs w:val="20"/>
          <w:highlight w:val="none"/>
        </w:rPr>
        <w:t>横州市莲塘镇莲塘街委会镇北街333号</w:t>
      </w:r>
    </w:p>
    <w:p w14:paraId="307F967A">
      <w:pPr>
        <w:spacing w:before="151" w:line="228" w:lineRule="auto"/>
        <w:ind w:left="431"/>
        <w:rPr>
          <w:rFonts w:hint="eastAsia"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rPr>
        <w:t>项目联系人：</w:t>
      </w:r>
      <w:r>
        <w:rPr>
          <w:rFonts w:hint="eastAsia" w:ascii="宋体" w:hAnsi="宋体" w:eastAsia="宋体" w:cs="宋体"/>
          <w:color w:val="auto"/>
          <w:spacing w:val="8"/>
          <w:sz w:val="20"/>
          <w:szCs w:val="20"/>
          <w:highlight w:val="none"/>
          <w:lang w:eastAsia="zh-CN"/>
        </w:rPr>
        <w:t>黄炎</w:t>
      </w:r>
    </w:p>
    <w:p w14:paraId="0995327D">
      <w:pPr>
        <w:spacing w:before="154" w:line="231" w:lineRule="auto"/>
        <w:ind w:left="428"/>
        <w:rPr>
          <w:rFonts w:hint="default" w:ascii="宋体" w:hAnsi="宋体" w:eastAsia="宋体" w:cs="宋体"/>
          <w:color w:val="auto"/>
          <w:sz w:val="20"/>
          <w:szCs w:val="20"/>
          <w:highlight w:val="none"/>
          <w:lang w:val="en-US" w:eastAsia="zh-CN"/>
        </w:rPr>
      </w:pPr>
      <w:r>
        <w:rPr>
          <w:rFonts w:ascii="宋体" w:hAnsi="宋体" w:eastAsia="宋体" w:cs="宋体"/>
          <w:color w:val="auto"/>
          <w:spacing w:val="6"/>
          <w:sz w:val="20"/>
          <w:szCs w:val="20"/>
          <w:highlight w:val="none"/>
        </w:rPr>
        <w:t>联系电话：</w:t>
      </w:r>
      <w:r>
        <w:rPr>
          <w:rFonts w:hint="eastAsia" w:ascii="宋体" w:hAnsi="宋体" w:eastAsia="宋体" w:cs="宋体"/>
          <w:color w:val="auto"/>
          <w:spacing w:val="6"/>
          <w:sz w:val="20"/>
          <w:szCs w:val="20"/>
          <w:highlight w:val="none"/>
          <w:lang w:val="en-US" w:eastAsia="zh-CN"/>
        </w:rPr>
        <w:t>0771-7242033</w:t>
      </w:r>
    </w:p>
    <w:p w14:paraId="7D52CA62">
      <w:pPr>
        <w:spacing w:before="151"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2.采购代理机构信息</w:t>
      </w:r>
    </w:p>
    <w:p w14:paraId="322E7C27">
      <w:pPr>
        <w:spacing w:before="151" w:line="227"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名 称：广西拓正工程造价咨询有限公司</w:t>
      </w:r>
    </w:p>
    <w:p w14:paraId="23673F69">
      <w:pPr>
        <w:spacing w:before="156" w:line="228" w:lineRule="auto"/>
        <w:ind w:left="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地  址：中国（广西）自由贸易试验区南宁片区五象大道401</w:t>
      </w:r>
      <w:r>
        <w:rPr>
          <w:rFonts w:ascii="宋体" w:hAnsi="宋体" w:eastAsia="宋体" w:cs="宋体"/>
          <w:color w:val="auto"/>
          <w:spacing w:val="-19"/>
          <w:sz w:val="20"/>
          <w:szCs w:val="20"/>
          <w:highlight w:val="none"/>
        </w:rPr>
        <w:t xml:space="preserve"> </w:t>
      </w:r>
      <w:r>
        <w:rPr>
          <w:rFonts w:ascii="宋体" w:hAnsi="宋体" w:eastAsia="宋体" w:cs="宋体"/>
          <w:color w:val="auto"/>
          <w:spacing w:val="7"/>
          <w:sz w:val="20"/>
          <w:szCs w:val="20"/>
          <w:highlight w:val="none"/>
        </w:rPr>
        <w:t>号南宁航洋信和广场</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号楼二十</w:t>
      </w:r>
    </w:p>
    <w:p w14:paraId="5FA70353">
      <w:pPr>
        <w:spacing w:before="154" w:line="228" w:lineRule="auto"/>
        <w:ind w:left="27"/>
        <w:rPr>
          <w:color w:val="auto"/>
          <w:highlight w:val="none"/>
        </w:rPr>
      </w:pPr>
      <w:r>
        <w:rPr>
          <w:rFonts w:ascii="宋体" w:hAnsi="宋体" w:eastAsia="宋体" w:cs="宋体"/>
          <w:color w:val="auto"/>
          <w:sz w:val="20"/>
          <w:szCs w:val="20"/>
          <w:highlight w:val="none"/>
        </w:rPr>
        <w:t>四层</w:t>
      </w:r>
      <w:r>
        <w:rPr>
          <w:rFonts w:ascii="宋体" w:hAnsi="宋体" w:eastAsia="宋体" w:cs="宋体"/>
          <w:color w:val="auto"/>
          <w:spacing w:val="-35"/>
          <w:sz w:val="20"/>
          <w:szCs w:val="20"/>
          <w:highlight w:val="none"/>
        </w:rPr>
        <w:t xml:space="preserve"> </w:t>
      </w:r>
      <w:r>
        <w:rPr>
          <w:rFonts w:ascii="宋体" w:hAnsi="宋体" w:eastAsia="宋体" w:cs="宋体"/>
          <w:color w:val="auto"/>
          <w:sz w:val="20"/>
          <w:szCs w:val="20"/>
          <w:highlight w:val="none"/>
        </w:rPr>
        <w:t>2417</w:t>
      </w:r>
      <w:r>
        <w:rPr>
          <w:rFonts w:ascii="宋体" w:hAnsi="宋体" w:eastAsia="宋体" w:cs="宋体"/>
          <w:color w:val="auto"/>
          <w:spacing w:val="-36"/>
          <w:sz w:val="20"/>
          <w:szCs w:val="20"/>
          <w:highlight w:val="none"/>
        </w:rPr>
        <w:t xml:space="preserve"> </w:t>
      </w:r>
      <w:r>
        <w:rPr>
          <w:rFonts w:ascii="宋体" w:hAnsi="宋体" w:eastAsia="宋体" w:cs="宋体"/>
          <w:color w:val="auto"/>
          <w:sz w:val="20"/>
          <w:szCs w:val="20"/>
          <w:highlight w:val="none"/>
        </w:rPr>
        <w:t>号</w:t>
      </w:r>
    </w:p>
    <w:p w14:paraId="6076B98A">
      <w:pPr>
        <w:spacing w:before="65" w:line="230" w:lineRule="auto"/>
        <w:ind w:left="42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联系方式：0771-5355015</w:t>
      </w:r>
    </w:p>
    <w:p w14:paraId="1117C7B0">
      <w:pPr>
        <w:spacing w:before="151" w:line="229"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3.项目联系方式</w:t>
      </w:r>
    </w:p>
    <w:p w14:paraId="5FF70510">
      <w:pPr>
        <w:spacing w:before="153"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项目联系人：</w:t>
      </w:r>
      <w:r>
        <w:rPr>
          <w:rFonts w:hint="eastAsia" w:ascii="宋体" w:hAnsi="宋体" w:eastAsia="宋体" w:cs="宋体"/>
          <w:color w:val="auto"/>
          <w:spacing w:val="8"/>
          <w:sz w:val="20"/>
          <w:szCs w:val="20"/>
          <w:highlight w:val="none"/>
          <w:lang w:val="en-US" w:eastAsia="zh-CN"/>
        </w:rPr>
        <w:t>陈培蓝</w:t>
      </w:r>
    </w:p>
    <w:p w14:paraId="3ECE1816">
      <w:pPr>
        <w:spacing w:before="150" w:line="231" w:lineRule="auto"/>
        <w:ind w:left="45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电</w:t>
      </w:r>
      <w:r>
        <w:rPr>
          <w:rFonts w:ascii="宋体" w:hAnsi="宋体" w:eastAsia="宋体" w:cs="宋体"/>
          <w:color w:val="auto"/>
          <w:spacing w:val="7"/>
          <w:sz w:val="20"/>
          <w:szCs w:val="20"/>
          <w:highlight w:val="none"/>
        </w:rPr>
        <w:t xml:space="preserve">    </w:t>
      </w:r>
      <w:r>
        <w:rPr>
          <w:rFonts w:ascii="宋体" w:hAnsi="宋体" w:eastAsia="宋体" w:cs="宋体"/>
          <w:color w:val="auto"/>
          <w:spacing w:val="3"/>
          <w:sz w:val="20"/>
          <w:szCs w:val="20"/>
          <w:highlight w:val="none"/>
        </w:rPr>
        <w:t>话：0771-5355015</w:t>
      </w:r>
    </w:p>
    <w:p w14:paraId="553EB510">
      <w:pPr>
        <w:spacing w:before="150" w:line="228" w:lineRule="auto"/>
        <w:ind w:left="44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附件：</w:t>
      </w:r>
    </w:p>
    <w:p w14:paraId="561EA8E7">
      <w:pPr>
        <w:spacing w:before="13" w:line="400" w:lineRule="auto"/>
        <w:ind w:left="12" w:right="2"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w:t>
      </w:r>
      <w:r>
        <w:rPr>
          <w:rFonts w:ascii="宋体" w:hAnsi="宋体" w:eastAsia="宋体" w:cs="宋体"/>
          <w:color w:val="auto"/>
          <w:sz w:val="20"/>
          <w:szCs w:val="20"/>
          <w:highlight w:val="none"/>
        </w:rPr>
        <w:t>CA</w:t>
      </w:r>
      <w:r>
        <w:rPr>
          <w:rFonts w:ascii="宋体" w:hAnsi="宋体" w:eastAsia="宋体" w:cs="宋体"/>
          <w:color w:val="auto"/>
          <w:spacing w:val="-31"/>
          <w:sz w:val="20"/>
          <w:szCs w:val="20"/>
          <w:highlight w:val="none"/>
        </w:rPr>
        <w:t xml:space="preserve"> </w:t>
      </w:r>
      <w:r>
        <w:rPr>
          <w:rFonts w:ascii="宋体" w:hAnsi="宋体" w:eastAsia="宋体" w:cs="宋体"/>
          <w:color w:val="auto"/>
          <w:spacing w:val="10"/>
          <w:sz w:val="20"/>
          <w:szCs w:val="20"/>
          <w:highlight w:val="none"/>
        </w:rPr>
        <w:t>证书申请方式及操作指南下载地址（登陆</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nncz</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nanning</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0"/>
          <w:sz w:val="20"/>
          <w:szCs w:val="20"/>
          <w:highlight w:val="none"/>
        </w:rPr>
        <w:t>/</w:t>
      </w:r>
      <w:r>
        <w:rPr>
          <w:rFonts w:ascii="宋体" w:hAnsi="宋体" w:eastAsia="宋体" w:cs="宋体"/>
          <w:color w:val="auto"/>
          <w:spacing w:val="10"/>
          <w:sz w:val="20"/>
          <w:szCs w:val="20"/>
          <w:highlight w:val="none"/>
        </w:rPr>
        <w:fldChar w:fldCharType="end"/>
      </w:r>
      <w:r>
        <w:rPr>
          <w:rFonts w:ascii="宋体" w:hAnsi="宋体" w:eastAsia="宋体" w:cs="宋体"/>
          <w:color w:val="auto"/>
          <w:spacing w:val="10"/>
          <w:sz w:val="20"/>
          <w:szCs w:val="20"/>
          <w:highlight w:val="none"/>
        </w:rPr>
        <w:t>（南宁市财政局</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官网）-业务专题-政府采购监督管理-资料下载-“广西政采云西部</w:t>
      </w:r>
      <w:r>
        <w:rPr>
          <w:rFonts w:ascii="宋体" w:hAnsi="宋体" w:eastAsia="宋体" w:cs="宋体"/>
          <w:color w:val="auto"/>
          <w:spacing w:val="-32"/>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办理方式</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”或“南宁市政采</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云</w:t>
      </w:r>
      <w:r>
        <w:rPr>
          <w:rFonts w:ascii="宋体" w:hAnsi="宋体" w:eastAsia="宋体" w:cs="宋体"/>
          <w:color w:val="auto"/>
          <w:spacing w:val="-39"/>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证书办理操作指南</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w:t>
      </w:r>
    </w:p>
    <w:p w14:paraId="4F82A37F">
      <w:pPr>
        <w:spacing w:before="20" w:line="401" w:lineRule="auto"/>
        <w:ind w:left="6" w:firstLine="423"/>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2.电子投标文件制作与投送教程（在此网址下载：</w:t>
      </w:r>
      <w:r>
        <w:rPr>
          <w:color w:val="auto"/>
          <w:highlight w:val="none"/>
        </w:rPr>
        <w:fldChar w:fldCharType="begin"/>
      </w:r>
      <w:r>
        <w:rPr>
          <w:color w:val="auto"/>
          <w:highlight w:val="none"/>
        </w:rPr>
        <w:instrText xml:space="preserve"> HYPERLINK "http://nncz.nanning.gov.cn/"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nncz</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nanning</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2"/>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12"/>
          <w:sz w:val="20"/>
          <w:szCs w:val="20"/>
          <w:highlight w:val="none"/>
        </w:rPr>
        <w:t>/</w:t>
      </w:r>
      <w:r>
        <w:rPr>
          <w:rFonts w:ascii="宋体" w:hAnsi="宋体" w:eastAsia="宋体" w:cs="宋体"/>
          <w:color w:val="auto"/>
          <w:spacing w:val="12"/>
          <w:sz w:val="20"/>
          <w:szCs w:val="20"/>
          <w:highlight w:val="none"/>
        </w:rPr>
        <w:fldChar w:fldCharType="end"/>
      </w:r>
      <w:r>
        <w:rPr>
          <w:rFonts w:ascii="宋体" w:hAnsi="宋体" w:eastAsia="宋体" w:cs="宋体"/>
          <w:color w:val="auto"/>
          <w:spacing w:val="12"/>
          <w:sz w:val="20"/>
          <w:szCs w:val="20"/>
          <w:highlight w:val="none"/>
        </w:rPr>
        <w:t>（南宁市财</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政局官网）-业务专题-政府采购监督管理-资料下载-南宁市政府采</w:t>
      </w:r>
      <w:r>
        <w:rPr>
          <w:rFonts w:ascii="宋体" w:hAnsi="宋体" w:eastAsia="宋体" w:cs="宋体"/>
          <w:color w:val="auto"/>
          <w:spacing w:val="7"/>
          <w:sz w:val="20"/>
          <w:szCs w:val="20"/>
          <w:highlight w:val="none"/>
        </w:rPr>
        <w:t>购项目全流程电子化交易操作指</w:t>
      </w:r>
      <w:r>
        <w:rPr>
          <w:rFonts w:ascii="宋体" w:hAnsi="宋体" w:eastAsia="宋体" w:cs="宋体"/>
          <w:color w:val="auto"/>
          <w:sz w:val="20"/>
          <w:szCs w:val="20"/>
          <w:highlight w:val="none"/>
        </w:rPr>
        <w:t xml:space="preserve"> 南）</w:t>
      </w:r>
    </w:p>
    <w:p w14:paraId="5C1B8985">
      <w:pPr>
        <w:spacing w:before="158" w:line="227" w:lineRule="auto"/>
        <w:ind w:right="2"/>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广西拓正工程造价咨询有限公司</w:t>
      </w:r>
    </w:p>
    <w:p w14:paraId="2D6D4B57">
      <w:pPr>
        <w:spacing w:before="158" w:line="227" w:lineRule="auto"/>
        <w:ind w:right="2"/>
        <w:jc w:val="right"/>
        <w:rPr>
          <w:rFonts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lang w:val="en-US" w:eastAsia="zh-CN"/>
        </w:rPr>
        <w:t xml:space="preserve">                                             </w:t>
      </w:r>
      <w:r>
        <w:rPr>
          <w:rFonts w:ascii="宋体" w:hAnsi="宋体" w:eastAsia="宋体" w:cs="宋体"/>
          <w:color w:val="auto"/>
          <w:spacing w:val="9"/>
          <w:sz w:val="20"/>
          <w:szCs w:val="20"/>
          <w:highlight w:val="none"/>
        </w:rPr>
        <w:t>2025年</w:t>
      </w:r>
      <w:r>
        <w:rPr>
          <w:rFonts w:hint="eastAsia" w:ascii="宋体" w:hAnsi="宋体" w:eastAsia="宋体" w:cs="宋体"/>
          <w:color w:val="auto"/>
          <w:spacing w:val="9"/>
          <w:sz w:val="20"/>
          <w:szCs w:val="20"/>
          <w:highlight w:val="none"/>
          <w:lang w:val="en-US" w:eastAsia="zh-CN"/>
        </w:rPr>
        <w:t>12</w:t>
      </w:r>
      <w:r>
        <w:rPr>
          <w:rFonts w:ascii="宋体" w:hAnsi="宋体" w:eastAsia="宋体" w:cs="宋体"/>
          <w:color w:val="auto"/>
          <w:spacing w:val="9"/>
          <w:sz w:val="20"/>
          <w:szCs w:val="20"/>
          <w:highlight w:val="none"/>
        </w:rPr>
        <w:t>月</w:t>
      </w:r>
      <w:r>
        <w:rPr>
          <w:rFonts w:hint="eastAsia" w:ascii="宋体" w:hAnsi="宋体" w:eastAsia="宋体" w:cs="宋体"/>
          <w:color w:val="auto"/>
          <w:spacing w:val="9"/>
          <w:sz w:val="20"/>
          <w:szCs w:val="20"/>
          <w:highlight w:val="none"/>
          <w:lang w:val="en-US" w:eastAsia="zh-CN"/>
        </w:rPr>
        <w:t>18</w:t>
      </w:r>
      <w:r>
        <w:rPr>
          <w:rFonts w:ascii="宋体" w:hAnsi="宋体" w:eastAsia="宋体" w:cs="宋体"/>
          <w:color w:val="auto"/>
          <w:spacing w:val="9"/>
          <w:sz w:val="20"/>
          <w:szCs w:val="20"/>
          <w:highlight w:val="none"/>
        </w:rPr>
        <w:t>日</w:t>
      </w:r>
    </w:p>
    <w:p w14:paraId="01F39926">
      <w:pPr>
        <w:spacing w:before="158" w:line="227" w:lineRule="auto"/>
        <w:ind w:right="2"/>
        <w:jc w:val="right"/>
        <w:rPr>
          <w:rFonts w:ascii="宋体" w:hAnsi="宋体" w:eastAsia="宋体" w:cs="宋体"/>
          <w:color w:val="auto"/>
          <w:spacing w:val="9"/>
          <w:sz w:val="20"/>
          <w:szCs w:val="20"/>
          <w:highlight w:val="none"/>
        </w:rPr>
        <w:sectPr>
          <w:headerReference r:id="rId7" w:type="default"/>
          <w:footerReference r:id="rId8" w:type="default"/>
          <w:pgSz w:w="11905" w:h="16839"/>
          <w:pgMar w:top="960" w:right="1474" w:bottom="1055" w:left="1473" w:header="945" w:footer="819" w:gutter="0"/>
          <w:cols w:space="720" w:num="1"/>
        </w:sectPr>
      </w:pPr>
    </w:p>
    <w:p w14:paraId="0C33D758">
      <w:pPr>
        <w:spacing w:before="286" w:line="223" w:lineRule="auto"/>
        <w:ind w:left="3316"/>
        <w:outlineLvl w:val="0"/>
        <w:rPr>
          <w:rFonts w:ascii="宋体" w:hAnsi="宋体" w:eastAsia="宋体" w:cs="宋体"/>
          <w:b/>
          <w:bCs/>
          <w:strike w:val="0"/>
          <w:dstrike w:val="0"/>
          <w:color w:val="auto"/>
          <w:spacing w:val="4"/>
          <w:sz w:val="43"/>
          <w:szCs w:val="43"/>
          <w:highlight w:val="none"/>
        </w:rPr>
      </w:pPr>
    </w:p>
    <w:p w14:paraId="7798CDF6">
      <w:pPr>
        <w:spacing w:before="286" w:line="223" w:lineRule="auto"/>
        <w:ind w:left="3316"/>
        <w:outlineLvl w:val="0"/>
        <w:rPr>
          <w:rFonts w:ascii="宋体" w:hAnsi="宋体" w:eastAsia="宋体" w:cs="宋体"/>
          <w:strike w:val="0"/>
          <w:dstrike w:val="0"/>
          <w:color w:val="auto"/>
          <w:sz w:val="43"/>
          <w:szCs w:val="43"/>
          <w:highlight w:val="none"/>
        </w:rPr>
      </w:pPr>
      <w:bookmarkStart w:id="2" w:name="_Toc25993"/>
      <w:r>
        <w:rPr>
          <w:rFonts w:ascii="宋体" w:hAnsi="宋体" w:eastAsia="宋体" w:cs="宋体"/>
          <w:b/>
          <w:bCs/>
          <w:strike w:val="0"/>
          <w:dstrike w:val="0"/>
          <w:color w:val="auto"/>
          <w:spacing w:val="4"/>
          <w:sz w:val="43"/>
          <w:szCs w:val="43"/>
          <w:highlight w:val="none"/>
        </w:rPr>
        <w:t>第二章</w:t>
      </w:r>
      <w:r>
        <w:rPr>
          <w:rFonts w:ascii="宋体" w:hAnsi="宋体" w:eastAsia="宋体" w:cs="宋体"/>
          <w:strike w:val="0"/>
          <w:dstrike w:val="0"/>
          <w:color w:val="auto"/>
          <w:spacing w:val="4"/>
          <w:sz w:val="43"/>
          <w:szCs w:val="43"/>
          <w:highlight w:val="none"/>
        </w:rPr>
        <w:t xml:space="preserve"> </w:t>
      </w:r>
      <w:r>
        <w:rPr>
          <w:rFonts w:ascii="宋体" w:hAnsi="宋体" w:eastAsia="宋体" w:cs="宋体"/>
          <w:b/>
          <w:bCs/>
          <w:strike w:val="0"/>
          <w:dstrike w:val="0"/>
          <w:color w:val="auto"/>
          <w:spacing w:val="4"/>
          <w:sz w:val="43"/>
          <w:szCs w:val="43"/>
          <w:highlight w:val="none"/>
        </w:rPr>
        <w:t>采购需求</w:t>
      </w:r>
      <w:bookmarkEnd w:id="2"/>
    </w:p>
    <w:p w14:paraId="5BED0113">
      <w:pPr>
        <w:spacing w:before="172" w:line="228" w:lineRule="auto"/>
        <w:ind w:left="48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说明：</w:t>
      </w:r>
    </w:p>
    <w:p w14:paraId="18C79067">
      <w:pPr>
        <w:spacing w:before="249" w:line="228" w:lineRule="auto"/>
        <w:ind w:left="9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1.为落实政府采购政策需满足的要求</w:t>
      </w:r>
    </w:p>
    <w:p w14:paraId="098730CC">
      <w:pPr>
        <w:spacing w:before="251" w:line="457" w:lineRule="auto"/>
        <w:ind w:left="486" w:right="512" w:firstLine="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（1）本竞争性磋商文件所称中小企业必须符合《政府采购促进中小企业发展管理办法》（财</w:t>
      </w:r>
      <w:r>
        <w:rPr>
          <w:rFonts w:ascii="宋体" w:hAnsi="宋体" w:eastAsia="宋体" w:cs="宋体"/>
          <w:color w:val="auto"/>
          <w:spacing w:val="14"/>
          <w:sz w:val="20"/>
          <w:szCs w:val="20"/>
          <w:highlight w:val="none"/>
        </w:rPr>
        <w:t xml:space="preserve"> </w:t>
      </w:r>
      <w:r>
        <w:rPr>
          <w:rFonts w:ascii="宋体" w:hAnsi="宋体" w:eastAsia="宋体" w:cs="宋体"/>
          <w:color w:val="auto"/>
          <w:spacing w:val="5"/>
          <w:sz w:val="20"/>
          <w:szCs w:val="20"/>
          <w:highlight w:val="none"/>
        </w:rPr>
        <w:t>库〔2020〕46</w:t>
      </w:r>
      <w:r>
        <w:rPr>
          <w:rFonts w:ascii="宋体" w:hAnsi="宋体" w:eastAsia="宋体" w:cs="宋体"/>
          <w:color w:val="auto"/>
          <w:spacing w:val="-24"/>
          <w:sz w:val="20"/>
          <w:szCs w:val="20"/>
          <w:highlight w:val="none"/>
        </w:rPr>
        <w:t xml:space="preserve"> </w:t>
      </w:r>
      <w:r>
        <w:rPr>
          <w:rFonts w:ascii="宋体" w:hAnsi="宋体" w:eastAsia="宋体" w:cs="宋体"/>
          <w:color w:val="auto"/>
          <w:spacing w:val="5"/>
          <w:sz w:val="20"/>
          <w:szCs w:val="20"/>
          <w:highlight w:val="none"/>
        </w:rPr>
        <w:t>号）的规定。</w:t>
      </w:r>
    </w:p>
    <w:p w14:paraId="26A41811">
      <w:pPr>
        <w:spacing w:line="322" w:lineRule="auto"/>
        <w:ind w:left="484" w:right="480" w:firstLine="416"/>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2.“实质性要求</w:t>
      </w:r>
      <w:r>
        <w:rPr>
          <w:rFonts w:ascii="宋体" w:hAnsi="宋体" w:eastAsia="宋体" w:cs="宋体"/>
          <w:color w:val="auto"/>
          <w:spacing w:val="-57"/>
          <w:sz w:val="20"/>
          <w:szCs w:val="20"/>
          <w:highlight w:val="none"/>
        </w:rPr>
        <w:t xml:space="preserve"> </w:t>
      </w:r>
      <w:r>
        <w:rPr>
          <w:rFonts w:ascii="宋体" w:hAnsi="宋体" w:eastAsia="宋体" w:cs="宋体"/>
          <w:b/>
          <w:bCs/>
          <w:color w:val="auto"/>
          <w:spacing w:val="4"/>
          <w:sz w:val="20"/>
          <w:szCs w:val="20"/>
          <w:highlight w:val="none"/>
        </w:rPr>
        <w:t>”是指采购需求中带“▲</w:t>
      </w:r>
      <w:r>
        <w:rPr>
          <w:rFonts w:ascii="宋体" w:hAnsi="宋体" w:eastAsia="宋体" w:cs="宋体"/>
          <w:color w:val="auto"/>
          <w:spacing w:val="-70"/>
          <w:sz w:val="20"/>
          <w:szCs w:val="20"/>
          <w:highlight w:val="none"/>
        </w:rPr>
        <w:t xml:space="preserve"> </w:t>
      </w:r>
      <w:r>
        <w:rPr>
          <w:rFonts w:ascii="宋体" w:hAnsi="宋体" w:eastAsia="宋体" w:cs="宋体"/>
          <w:b/>
          <w:bCs/>
          <w:color w:val="auto"/>
          <w:spacing w:val="4"/>
          <w:sz w:val="20"/>
          <w:szCs w:val="20"/>
          <w:highlight w:val="none"/>
        </w:rPr>
        <w:t>”的条款或者不能负偏离的条款或者已经指明不满足</w:t>
      </w:r>
      <w:r>
        <w:rPr>
          <w:rFonts w:ascii="宋体" w:hAnsi="宋体" w:eastAsia="宋体" w:cs="宋体"/>
          <w:color w:val="auto"/>
          <w:sz w:val="20"/>
          <w:szCs w:val="20"/>
          <w:highlight w:val="none"/>
        </w:rPr>
        <w:t xml:space="preserve"> </w:t>
      </w:r>
      <w:r>
        <w:rPr>
          <w:rFonts w:ascii="宋体" w:hAnsi="宋体" w:eastAsia="宋体" w:cs="宋体"/>
          <w:b/>
          <w:bCs/>
          <w:color w:val="auto"/>
          <w:spacing w:val="10"/>
          <w:sz w:val="20"/>
          <w:szCs w:val="20"/>
          <w:highlight w:val="none"/>
        </w:rPr>
        <w:t>按响应文件作无效处理的条款。本项目凡标注“▲</w:t>
      </w:r>
      <w:r>
        <w:rPr>
          <w:rFonts w:ascii="宋体" w:hAnsi="宋体" w:eastAsia="宋体" w:cs="宋体"/>
          <w:color w:val="auto"/>
          <w:spacing w:val="-63"/>
          <w:sz w:val="20"/>
          <w:szCs w:val="20"/>
          <w:highlight w:val="none"/>
        </w:rPr>
        <w:t xml:space="preserve"> </w:t>
      </w:r>
      <w:r>
        <w:rPr>
          <w:rFonts w:ascii="宋体" w:hAnsi="宋体" w:eastAsia="宋体" w:cs="宋体"/>
          <w:b/>
          <w:bCs/>
          <w:color w:val="auto"/>
          <w:spacing w:val="10"/>
          <w:sz w:val="20"/>
          <w:szCs w:val="20"/>
          <w:highlight w:val="none"/>
        </w:rPr>
        <w:t>”的条款或要求不响应或不满足的，其响应文</w:t>
      </w:r>
      <w:r>
        <w:rPr>
          <w:rFonts w:ascii="宋体" w:hAnsi="宋体" w:eastAsia="宋体" w:cs="宋体"/>
          <w:color w:val="auto"/>
          <w:sz w:val="20"/>
          <w:szCs w:val="20"/>
          <w:highlight w:val="none"/>
        </w:rPr>
        <w:t xml:space="preserve"> </w:t>
      </w:r>
      <w:r>
        <w:rPr>
          <w:rFonts w:ascii="宋体" w:hAnsi="宋体" w:eastAsia="宋体" w:cs="宋体"/>
          <w:b/>
          <w:bCs/>
          <w:color w:val="auto"/>
          <w:spacing w:val="6"/>
          <w:sz w:val="20"/>
          <w:szCs w:val="20"/>
          <w:highlight w:val="none"/>
        </w:rPr>
        <w:t>件即作无效竞标处理。</w:t>
      </w:r>
    </w:p>
    <w:p w14:paraId="738142E9">
      <w:pPr>
        <w:spacing w:before="155" w:line="228" w:lineRule="auto"/>
        <w:ind w:left="90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3.供应商必须自行为其磋商产品侵犯他人的知识产权或者专利成果的行为承担相应法律责任。</w:t>
      </w:r>
    </w:p>
    <w:tbl>
      <w:tblPr>
        <w:tblStyle w:val="8"/>
        <w:tblpPr w:leftFromText="180" w:rightFromText="180" w:vertAnchor="text" w:horzAnchor="page" w:tblpXSpec="center" w:tblpY="216"/>
        <w:tblOverlap w:val="never"/>
        <w:tblW w:w="101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1416"/>
        <w:gridCol w:w="615"/>
        <w:gridCol w:w="676"/>
        <w:gridCol w:w="4227"/>
        <w:gridCol w:w="1273"/>
        <w:gridCol w:w="1623"/>
      </w:tblGrid>
      <w:tr w14:paraId="31537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10196" w:type="dxa"/>
            <w:gridSpan w:val="7"/>
            <w:vAlign w:val="top"/>
          </w:tcPr>
          <w:p w14:paraId="3A00F263">
            <w:pPr>
              <w:pStyle w:val="9"/>
              <w:spacing w:before="114" w:line="214" w:lineRule="auto"/>
              <w:ind w:left="3976"/>
              <w:rPr>
                <w:color w:val="auto"/>
                <w:sz w:val="28"/>
                <w:szCs w:val="28"/>
                <w:highlight w:val="none"/>
              </w:rPr>
            </w:pPr>
            <w:r>
              <w:rPr>
                <w:b/>
                <w:bCs/>
                <w:color w:val="auto"/>
                <w:spacing w:val="-4"/>
                <w:sz w:val="28"/>
                <w:szCs w:val="28"/>
                <w:highlight w:val="none"/>
              </w:rPr>
              <w:t>采购需求一览表</w:t>
            </w:r>
          </w:p>
        </w:tc>
      </w:tr>
      <w:tr w14:paraId="2ED96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jc w:val="center"/>
        </w:trPr>
        <w:tc>
          <w:tcPr>
            <w:tcW w:w="1782" w:type="dxa"/>
            <w:gridSpan w:val="2"/>
            <w:vAlign w:val="top"/>
          </w:tcPr>
          <w:p w14:paraId="2732FD30">
            <w:pPr>
              <w:pStyle w:val="9"/>
              <w:spacing w:before="111" w:line="213" w:lineRule="auto"/>
              <w:ind w:left="621"/>
              <w:rPr>
                <w:color w:val="auto"/>
                <w:sz w:val="28"/>
                <w:szCs w:val="28"/>
                <w:highlight w:val="none"/>
              </w:rPr>
            </w:pPr>
            <w:r>
              <w:rPr>
                <w:b/>
                <w:bCs/>
                <w:color w:val="auto"/>
                <w:spacing w:val="-10"/>
                <w:sz w:val="28"/>
                <w:szCs w:val="28"/>
                <w:highlight w:val="none"/>
              </w:rPr>
              <w:t>分标</w:t>
            </w:r>
          </w:p>
        </w:tc>
        <w:tc>
          <w:tcPr>
            <w:tcW w:w="8414" w:type="dxa"/>
            <w:gridSpan w:val="5"/>
            <w:vAlign w:val="top"/>
          </w:tcPr>
          <w:p w14:paraId="43569E78">
            <w:pPr>
              <w:pStyle w:val="9"/>
              <w:spacing w:before="111" w:line="213" w:lineRule="auto"/>
              <w:ind w:left="117"/>
              <w:rPr>
                <w:color w:val="auto"/>
                <w:sz w:val="28"/>
                <w:szCs w:val="28"/>
                <w:highlight w:val="none"/>
              </w:rPr>
            </w:pPr>
            <w:r>
              <w:rPr>
                <w:b/>
                <w:bCs/>
                <w:color w:val="auto"/>
                <w:spacing w:val="-7"/>
                <w:sz w:val="28"/>
                <w:szCs w:val="28"/>
                <w:highlight w:val="none"/>
              </w:rPr>
              <w:t>无分标</w:t>
            </w:r>
          </w:p>
        </w:tc>
      </w:tr>
      <w:tr w14:paraId="2FBB7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jc w:val="center"/>
        </w:trPr>
        <w:tc>
          <w:tcPr>
            <w:tcW w:w="366" w:type="dxa"/>
            <w:textDirection w:val="tbRlV"/>
            <w:vAlign w:val="center"/>
          </w:tcPr>
          <w:p w14:paraId="30099F6D">
            <w:pPr>
              <w:pStyle w:val="9"/>
              <w:spacing w:before="44" w:line="218" w:lineRule="auto"/>
              <w:jc w:val="center"/>
              <w:rPr>
                <w:color w:val="auto"/>
                <w:highlight w:val="none"/>
              </w:rPr>
            </w:pPr>
            <w:r>
              <w:rPr>
                <w:b/>
                <w:bCs/>
                <w:color w:val="auto"/>
                <w:spacing w:val="7"/>
                <w:highlight w:val="none"/>
              </w:rPr>
              <w:t>序</w:t>
            </w:r>
            <w:r>
              <w:rPr>
                <w:color w:val="auto"/>
                <w:spacing w:val="14"/>
                <w:highlight w:val="none"/>
              </w:rPr>
              <w:t xml:space="preserve">  </w:t>
            </w:r>
            <w:r>
              <w:rPr>
                <w:b/>
                <w:bCs/>
                <w:color w:val="auto"/>
                <w:spacing w:val="7"/>
                <w:highlight w:val="none"/>
              </w:rPr>
              <w:t>号</w:t>
            </w:r>
          </w:p>
        </w:tc>
        <w:tc>
          <w:tcPr>
            <w:tcW w:w="1416" w:type="dxa"/>
            <w:vAlign w:val="center"/>
          </w:tcPr>
          <w:p w14:paraId="443AEB22">
            <w:pPr>
              <w:pStyle w:val="9"/>
              <w:spacing w:before="65" w:line="229" w:lineRule="auto"/>
              <w:ind w:firstLine="426" w:firstLineChars="200"/>
              <w:jc w:val="both"/>
              <w:rPr>
                <w:color w:val="auto"/>
                <w:highlight w:val="none"/>
              </w:rPr>
            </w:pPr>
            <w:r>
              <w:rPr>
                <w:b/>
                <w:bCs/>
                <w:color w:val="auto"/>
                <w:spacing w:val="6"/>
                <w:highlight w:val="none"/>
              </w:rPr>
              <w:t>标的名称</w:t>
            </w:r>
          </w:p>
        </w:tc>
        <w:tc>
          <w:tcPr>
            <w:tcW w:w="615" w:type="dxa"/>
            <w:textDirection w:val="tbRlV"/>
            <w:vAlign w:val="center"/>
          </w:tcPr>
          <w:p w14:paraId="7EC28297">
            <w:pPr>
              <w:pStyle w:val="9"/>
              <w:spacing w:before="203" w:line="216" w:lineRule="auto"/>
              <w:ind w:left="0" w:leftChars="0" w:firstLine="644" w:firstLineChars="300"/>
              <w:jc w:val="both"/>
              <w:rPr>
                <w:color w:val="auto"/>
                <w:highlight w:val="none"/>
              </w:rPr>
            </w:pPr>
            <w:r>
              <w:rPr>
                <w:b/>
                <w:bCs/>
                <w:color w:val="auto"/>
                <w:spacing w:val="7"/>
                <w:highlight w:val="none"/>
              </w:rPr>
              <w:t>单</w:t>
            </w:r>
            <w:r>
              <w:rPr>
                <w:color w:val="auto"/>
                <w:spacing w:val="14"/>
                <w:highlight w:val="none"/>
              </w:rPr>
              <w:t xml:space="preserve">  </w:t>
            </w:r>
            <w:r>
              <w:rPr>
                <w:b/>
                <w:bCs/>
                <w:color w:val="auto"/>
                <w:spacing w:val="7"/>
                <w:highlight w:val="none"/>
              </w:rPr>
              <w:t>位</w:t>
            </w:r>
          </w:p>
        </w:tc>
        <w:tc>
          <w:tcPr>
            <w:tcW w:w="676" w:type="dxa"/>
            <w:vAlign w:val="center"/>
          </w:tcPr>
          <w:p w14:paraId="67E6B6B1">
            <w:pPr>
              <w:pStyle w:val="9"/>
              <w:spacing w:before="65" w:line="228" w:lineRule="auto"/>
              <w:ind w:firstLine="207" w:firstLineChars="100"/>
              <w:jc w:val="both"/>
              <w:rPr>
                <w:color w:val="auto"/>
                <w:highlight w:val="none"/>
              </w:rPr>
            </w:pPr>
            <w:r>
              <w:rPr>
                <w:b/>
                <w:bCs/>
                <w:color w:val="auto"/>
                <w:spacing w:val="3"/>
                <w:highlight w:val="none"/>
              </w:rPr>
              <w:t>数量</w:t>
            </w:r>
          </w:p>
        </w:tc>
        <w:tc>
          <w:tcPr>
            <w:tcW w:w="4227" w:type="dxa"/>
            <w:vAlign w:val="center"/>
          </w:tcPr>
          <w:p w14:paraId="5242238F">
            <w:pPr>
              <w:pStyle w:val="9"/>
              <w:spacing w:before="65" w:line="228" w:lineRule="auto"/>
              <w:ind w:firstLine="1702" w:firstLineChars="800"/>
              <w:jc w:val="both"/>
              <w:rPr>
                <w:color w:val="auto"/>
                <w:highlight w:val="none"/>
              </w:rPr>
            </w:pPr>
            <w:r>
              <w:rPr>
                <w:b/>
                <w:bCs/>
                <w:color w:val="auto"/>
                <w:spacing w:val="6"/>
                <w:highlight w:val="none"/>
              </w:rPr>
              <w:t>技术需求</w:t>
            </w:r>
          </w:p>
        </w:tc>
        <w:tc>
          <w:tcPr>
            <w:tcW w:w="1273" w:type="dxa"/>
            <w:vAlign w:val="center"/>
          </w:tcPr>
          <w:p w14:paraId="3EB26193">
            <w:pPr>
              <w:pStyle w:val="9"/>
              <w:spacing w:before="65" w:line="407" w:lineRule="auto"/>
              <w:ind w:right="143"/>
              <w:jc w:val="both"/>
              <w:rPr>
                <w:color w:val="auto"/>
                <w:highlight w:val="none"/>
              </w:rPr>
            </w:pPr>
            <w:r>
              <w:rPr>
                <w:b/>
                <w:bCs/>
                <w:color w:val="auto"/>
                <w:spacing w:val="6"/>
                <w:highlight w:val="none"/>
              </w:rPr>
              <w:t>分项预算合</w:t>
            </w:r>
            <w:r>
              <w:rPr>
                <w:color w:val="auto"/>
                <w:highlight w:val="none"/>
              </w:rPr>
              <w:t xml:space="preserve"> </w:t>
            </w:r>
            <w:r>
              <w:rPr>
                <w:b/>
                <w:bCs/>
                <w:color w:val="auto"/>
                <w:spacing w:val="3"/>
                <w:highlight w:val="none"/>
              </w:rPr>
              <w:t>计（元）</w:t>
            </w:r>
          </w:p>
        </w:tc>
        <w:tc>
          <w:tcPr>
            <w:tcW w:w="1623" w:type="dxa"/>
            <w:vAlign w:val="center"/>
          </w:tcPr>
          <w:p w14:paraId="685AD93E">
            <w:pPr>
              <w:pStyle w:val="9"/>
              <w:spacing w:before="172" w:line="229" w:lineRule="auto"/>
              <w:jc w:val="center"/>
              <w:rPr>
                <w:color w:val="auto"/>
                <w:highlight w:val="none"/>
              </w:rPr>
            </w:pPr>
            <w:r>
              <w:rPr>
                <w:b/>
                <w:bCs/>
                <w:color w:val="auto"/>
                <w:spacing w:val="1"/>
                <w:highlight w:val="none"/>
              </w:rPr>
              <w:t>中小企业</w:t>
            </w:r>
            <w:r>
              <w:rPr>
                <w:b/>
                <w:bCs/>
                <w:color w:val="auto"/>
                <w:spacing w:val="6"/>
                <w:highlight w:val="none"/>
              </w:rPr>
              <w:t>划分标准所属行业</w:t>
            </w:r>
            <w:r>
              <w:rPr>
                <w:b/>
                <w:bCs/>
                <w:color w:val="auto"/>
                <w:spacing w:val="3"/>
                <w:highlight w:val="none"/>
              </w:rPr>
              <w:t>名称（行业</w:t>
            </w:r>
            <w:r>
              <w:rPr>
                <w:b/>
                <w:bCs/>
                <w:color w:val="auto"/>
                <w:spacing w:val="5"/>
                <w:highlight w:val="none"/>
              </w:rPr>
              <w:t>名称及划分见本章</w:t>
            </w:r>
            <w:r>
              <w:rPr>
                <w:b/>
                <w:bCs/>
                <w:color w:val="auto"/>
                <w:spacing w:val="-5"/>
                <w:highlight w:val="none"/>
              </w:rPr>
              <w:t>附件</w:t>
            </w:r>
            <w:r>
              <w:rPr>
                <w:color w:val="auto"/>
                <w:spacing w:val="-37"/>
                <w:highlight w:val="none"/>
              </w:rPr>
              <w:t xml:space="preserve"> </w:t>
            </w:r>
            <w:r>
              <w:rPr>
                <w:b/>
                <w:bCs/>
                <w:color w:val="auto"/>
                <w:spacing w:val="-5"/>
                <w:highlight w:val="none"/>
              </w:rPr>
              <w:t>2）</w:t>
            </w:r>
          </w:p>
        </w:tc>
      </w:tr>
      <w:tr w14:paraId="68307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8" w:hRule="atLeast"/>
          <w:jc w:val="center"/>
        </w:trPr>
        <w:tc>
          <w:tcPr>
            <w:tcW w:w="366" w:type="dxa"/>
            <w:vAlign w:val="top"/>
          </w:tcPr>
          <w:p w14:paraId="77DDF53F">
            <w:pPr>
              <w:spacing w:line="248" w:lineRule="auto"/>
              <w:rPr>
                <w:rFonts w:ascii="Arial"/>
                <w:color w:val="auto"/>
                <w:sz w:val="21"/>
                <w:highlight w:val="none"/>
              </w:rPr>
            </w:pPr>
          </w:p>
          <w:p w14:paraId="38C5888F">
            <w:pPr>
              <w:spacing w:line="248" w:lineRule="auto"/>
              <w:rPr>
                <w:rFonts w:ascii="Arial"/>
                <w:color w:val="auto"/>
                <w:sz w:val="21"/>
                <w:highlight w:val="none"/>
              </w:rPr>
            </w:pPr>
          </w:p>
          <w:p w14:paraId="5FC4D1E4">
            <w:pPr>
              <w:spacing w:line="248" w:lineRule="auto"/>
              <w:rPr>
                <w:rFonts w:ascii="Arial"/>
                <w:color w:val="auto"/>
                <w:sz w:val="21"/>
                <w:highlight w:val="none"/>
              </w:rPr>
            </w:pPr>
          </w:p>
          <w:p w14:paraId="036CB44D">
            <w:pPr>
              <w:spacing w:line="248" w:lineRule="auto"/>
              <w:rPr>
                <w:rFonts w:ascii="Arial"/>
                <w:color w:val="auto"/>
                <w:sz w:val="21"/>
                <w:highlight w:val="none"/>
              </w:rPr>
            </w:pPr>
          </w:p>
          <w:p w14:paraId="4D843FA9">
            <w:pPr>
              <w:spacing w:line="248" w:lineRule="auto"/>
              <w:rPr>
                <w:rFonts w:ascii="Arial"/>
                <w:color w:val="auto"/>
                <w:sz w:val="21"/>
                <w:highlight w:val="none"/>
              </w:rPr>
            </w:pPr>
          </w:p>
          <w:p w14:paraId="496E0429">
            <w:pPr>
              <w:spacing w:line="248" w:lineRule="auto"/>
              <w:rPr>
                <w:rFonts w:ascii="Arial"/>
                <w:color w:val="auto"/>
                <w:sz w:val="21"/>
                <w:highlight w:val="none"/>
              </w:rPr>
            </w:pPr>
          </w:p>
          <w:p w14:paraId="3C5664A4">
            <w:pPr>
              <w:spacing w:line="248" w:lineRule="auto"/>
              <w:rPr>
                <w:rFonts w:ascii="Arial"/>
                <w:color w:val="auto"/>
                <w:sz w:val="21"/>
                <w:highlight w:val="none"/>
              </w:rPr>
            </w:pPr>
          </w:p>
          <w:p w14:paraId="1E55AB1E">
            <w:pPr>
              <w:spacing w:line="248" w:lineRule="auto"/>
              <w:rPr>
                <w:rFonts w:ascii="Arial"/>
                <w:color w:val="auto"/>
                <w:sz w:val="21"/>
                <w:highlight w:val="none"/>
              </w:rPr>
            </w:pPr>
          </w:p>
          <w:p w14:paraId="46CB147B">
            <w:pPr>
              <w:spacing w:line="249" w:lineRule="auto"/>
              <w:rPr>
                <w:rFonts w:ascii="Arial"/>
                <w:color w:val="auto"/>
                <w:sz w:val="21"/>
                <w:highlight w:val="none"/>
              </w:rPr>
            </w:pPr>
          </w:p>
          <w:p w14:paraId="7A245FEE">
            <w:pPr>
              <w:spacing w:line="249" w:lineRule="auto"/>
              <w:rPr>
                <w:rFonts w:ascii="Arial"/>
                <w:color w:val="auto"/>
                <w:sz w:val="21"/>
                <w:highlight w:val="none"/>
              </w:rPr>
            </w:pPr>
          </w:p>
          <w:p w14:paraId="4EB25E26">
            <w:pPr>
              <w:spacing w:line="249" w:lineRule="auto"/>
              <w:rPr>
                <w:rFonts w:ascii="Arial"/>
                <w:color w:val="auto"/>
                <w:sz w:val="21"/>
                <w:highlight w:val="none"/>
              </w:rPr>
            </w:pPr>
          </w:p>
          <w:p w14:paraId="29573FF0">
            <w:pPr>
              <w:pStyle w:val="9"/>
              <w:spacing w:before="65" w:line="271" w:lineRule="exact"/>
              <w:ind w:left="150"/>
              <w:rPr>
                <w:color w:val="auto"/>
                <w:highlight w:val="none"/>
              </w:rPr>
            </w:pPr>
            <w:r>
              <w:rPr>
                <w:color w:val="auto"/>
                <w:position w:val="1"/>
                <w:highlight w:val="none"/>
              </w:rPr>
              <w:t>1</w:t>
            </w:r>
          </w:p>
        </w:tc>
        <w:tc>
          <w:tcPr>
            <w:tcW w:w="1416" w:type="dxa"/>
            <w:vAlign w:val="top"/>
          </w:tcPr>
          <w:p w14:paraId="0ECEDF3A">
            <w:pPr>
              <w:spacing w:line="259" w:lineRule="auto"/>
              <w:rPr>
                <w:rFonts w:ascii="Arial"/>
                <w:color w:val="auto"/>
                <w:sz w:val="21"/>
                <w:highlight w:val="none"/>
              </w:rPr>
            </w:pPr>
          </w:p>
          <w:p w14:paraId="45F803CA">
            <w:pPr>
              <w:spacing w:line="259" w:lineRule="auto"/>
              <w:rPr>
                <w:rFonts w:ascii="Arial"/>
                <w:color w:val="auto"/>
                <w:sz w:val="21"/>
                <w:highlight w:val="none"/>
              </w:rPr>
            </w:pPr>
          </w:p>
          <w:p w14:paraId="6E40C395">
            <w:pPr>
              <w:spacing w:line="259" w:lineRule="auto"/>
              <w:rPr>
                <w:rFonts w:ascii="Arial"/>
                <w:color w:val="auto"/>
                <w:sz w:val="21"/>
                <w:highlight w:val="none"/>
              </w:rPr>
            </w:pPr>
          </w:p>
          <w:p w14:paraId="6B5C0FD1">
            <w:pPr>
              <w:spacing w:line="259" w:lineRule="auto"/>
              <w:rPr>
                <w:rFonts w:ascii="Arial"/>
                <w:color w:val="auto"/>
                <w:sz w:val="21"/>
                <w:highlight w:val="none"/>
              </w:rPr>
            </w:pPr>
          </w:p>
          <w:p w14:paraId="77FD1E94">
            <w:pPr>
              <w:spacing w:line="259" w:lineRule="auto"/>
              <w:rPr>
                <w:rFonts w:ascii="Arial"/>
                <w:color w:val="auto"/>
                <w:sz w:val="21"/>
                <w:highlight w:val="none"/>
              </w:rPr>
            </w:pPr>
          </w:p>
          <w:p w14:paraId="0180B045">
            <w:pPr>
              <w:spacing w:line="260" w:lineRule="auto"/>
              <w:rPr>
                <w:rFonts w:ascii="Arial"/>
                <w:color w:val="auto"/>
                <w:sz w:val="21"/>
                <w:highlight w:val="none"/>
              </w:rPr>
            </w:pPr>
          </w:p>
          <w:p w14:paraId="568C13F6">
            <w:pPr>
              <w:spacing w:line="260" w:lineRule="auto"/>
              <w:rPr>
                <w:rFonts w:ascii="Arial"/>
                <w:color w:val="auto"/>
                <w:sz w:val="21"/>
                <w:highlight w:val="none"/>
              </w:rPr>
            </w:pPr>
          </w:p>
          <w:p w14:paraId="694B87DF">
            <w:pPr>
              <w:spacing w:line="260" w:lineRule="auto"/>
              <w:rPr>
                <w:rFonts w:ascii="Arial"/>
                <w:color w:val="auto"/>
                <w:sz w:val="21"/>
                <w:highlight w:val="none"/>
              </w:rPr>
            </w:pPr>
          </w:p>
          <w:p w14:paraId="496032FD">
            <w:pPr>
              <w:pStyle w:val="9"/>
              <w:spacing w:before="192" w:line="228" w:lineRule="auto"/>
              <w:ind w:left="295"/>
              <w:rPr>
                <w:color w:val="auto"/>
                <w:highlight w:val="none"/>
              </w:rPr>
            </w:pPr>
            <w:r>
              <w:rPr>
                <w:rFonts w:hint="eastAsia"/>
                <w:color w:val="auto"/>
                <w:highlight w:val="none"/>
              </w:rPr>
              <w:t>横州市莲塘镇初级中学附属设施工程</w:t>
            </w:r>
          </w:p>
        </w:tc>
        <w:tc>
          <w:tcPr>
            <w:tcW w:w="615" w:type="dxa"/>
            <w:vAlign w:val="top"/>
          </w:tcPr>
          <w:p w14:paraId="7991FF75">
            <w:pPr>
              <w:spacing w:line="248" w:lineRule="auto"/>
              <w:rPr>
                <w:rFonts w:ascii="Arial"/>
                <w:color w:val="auto"/>
                <w:sz w:val="21"/>
                <w:highlight w:val="none"/>
              </w:rPr>
            </w:pPr>
          </w:p>
          <w:p w14:paraId="74A4069C">
            <w:pPr>
              <w:spacing w:line="248" w:lineRule="auto"/>
              <w:rPr>
                <w:rFonts w:ascii="Arial"/>
                <w:color w:val="auto"/>
                <w:sz w:val="21"/>
                <w:highlight w:val="none"/>
              </w:rPr>
            </w:pPr>
          </w:p>
          <w:p w14:paraId="26162E24">
            <w:pPr>
              <w:spacing w:line="248" w:lineRule="auto"/>
              <w:rPr>
                <w:rFonts w:ascii="Arial"/>
                <w:color w:val="auto"/>
                <w:sz w:val="21"/>
                <w:highlight w:val="none"/>
              </w:rPr>
            </w:pPr>
          </w:p>
          <w:p w14:paraId="6106F559">
            <w:pPr>
              <w:spacing w:line="248" w:lineRule="auto"/>
              <w:rPr>
                <w:rFonts w:ascii="Arial"/>
                <w:color w:val="auto"/>
                <w:sz w:val="21"/>
                <w:highlight w:val="none"/>
              </w:rPr>
            </w:pPr>
          </w:p>
          <w:p w14:paraId="34EA3E4A">
            <w:pPr>
              <w:spacing w:line="248" w:lineRule="auto"/>
              <w:rPr>
                <w:rFonts w:ascii="Arial"/>
                <w:color w:val="auto"/>
                <w:sz w:val="21"/>
                <w:highlight w:val="none"/>
              </w:rPr>
            </w:pPr>
          </w:p>
          <w:p w14:paraId="7A608491">
            <w:pPr>
              <w:spacing w:line="248" w:lineRule="auto"/>
              <w:rPr>
                <w:rFonts w:ascii="Arial"/>
                <w:color w:val="auto"/>
                <w:sz w:val="21"/>
                <w:highlight w:val="none"/>
              </w:rPr>
            </w:pPr>
          </w:p>
          <w:p w14:paraId="197C53EB">
            <w:pPr>
              <w:spacing w:line="248" w:lineRule="auto"/>
              <w:rPr>
                <w:rFonts w:ascii="Arial"/>
                <w:color w:val="auto"/>
                <w:sz w:val="21"/>
                <w:highlight w:val="none"/>
              </w:rPr>
            </w:pPr>
          </w:p>
          <w:p w14:paraId="0238EADF">
            <w:pPr>
              <w:spacing w:line="248" w:lineRule="auto"/>
              <w:rPr>
                <w:rFonts w:ascii="Arial"/>
                <w:color w:val="auto"/>
                <w:sz w:val="21"/>
                <w:highlight w:val="none"/>
              </w:rPr>
            </w:pPr>
          </w:p>
          <w:p w14:paraId="59DA3644">
            <w:pPr>
              <w:spacing w:line="249" w:lineRule="auto"/>
              <w:rPr>
                <w:rFonts w:ascii="Arial"/>
                <w:color w:val="auto"/>
                <w:sz w:val="21"/>
                <w:highlight w:val="none"/>
              </w:rPr>
            </w:pPr>
          </w:p>
          <w:p w14:paraId="4EF31FE5">
            <w:pPr>
              <w:spacing w:line="249" w:lineRule="auto"/>
              <w:rPr>
                <w:rFonts w:ascii="Arial"/>
                <w:color w:val="auto"/>
                <w:sz w:val="21"/>
                <w:highlight w:val="none"/>
              </w:rPr>
            </w:pPr>
          </w:p>
          <w:p w14:paraId="183ABDE4">
            <w:pPr>
              <w:spacing w:line="249" w:lineRule="auto"/>
              <w:rPr>
                <w:rFonts w:ascii="Arial"/>
                <w:color w:val="auto"/>
                <w:sz w:val="21"/>
                <w:highlight w:val="none"/>
              </w:rPr>
            </w:pPr>
          </w:p>
          <w:p w14:paraId="680572EC">
            <w:pPr>
              <w:pStyle w:val="9"/>
              <w:spacing w:before="65" w:line="271" w:lineRule="exact"/>
              <w:ind w:left="276"/>
              <w:rPr>
                <w:color w:val="auto"/>
                <w:highlight w:val="none"/>
              </w:rPr>
            </w:pPr>
            <w:r>
              <w:rPr>
                <w:color w:val="auto"/>
                <w:position w:val="1"/>
                <w:highlight w:val="none"/>
              </w:rPr>
              <w:t>1</w:t>
            </w:r>
          </w:p>
        </w:tc>
        <w:tc>
          <w:tcPr>
            <w:tcW w:w="676" w:type="dxa"/>
            <w:vAlign w:val="top"/>
          </w:tcPr>
          <w:p w14:paraId="3C83EF01">
            <w:pPr>
              <w:spacing w:line="248" w:lineRule="auto"/>
              <w:rPr>
                <w:rFonts w:ascii="Arial"/>
                <w:color w:val="auto"/>
                <w:sz w:val="21"/>
                <w:highlight w:val="none"/>
              </w:rPr>
            </w:pPr>
          </w:p>
          <w:p w14:paraId="568E97A5">
            <w:pPr>
              <w:spacing w:line="248" w:lineRule="auto"/>
              <w:rPr>
                <w:rFonts w:ascii="Arial"/>
                <w:color w:val="auto"/>
                <w:sz w:val="21"/>
                <w:highlight w:val="none"/>
              </w:rPr>
            </w:pPr>
          </w:p>
          <w:p w14:paraId="0B0CBE6F">
            <w:pPr>
              <w:spacing w:line="248" w:lineRule="auto"/>
              <w:rPr>
                <w:rFonts w:ascii="Arial"/>
                <w:color w:val="auto"/>
                <w:sz w:val="21"/>
                <w:highlight w:val="none"/>
              </w:rPr>
            </w:pPr>
          </w:p>
          <w:p w14:paraId="23846F82">
            <w:pPr>
              <w:spacing w:line="248" w:lineRule="auto"/>
              <w:rPr>
                <w:rFonts w:ascii="Arial"/>
                <w:color w:val="auto"/>
                <w:sz w:val="21"/>
                <w:highlight w:val="none"/>
              </w:rPr>
            </w:pPr>
          </w:p>
          <w:p w14:paraId="7EAF3D98">
            <w:pPr>
              <w:spacing w:line="248" w:lineRule="auto"/>
              <w:rPr>
                <w:rFonts w:ascii="Arial"/>
                <w:color w:val="auto"/>
                <w:sz w:val="21"/>
                <w:highlight w:val="none"/>
              </w:rPr>
            </w:pPr>
          </w:p>
          <w:p w14:paraId="28F211CB">
            <w:pPr>
              <w:spacing w:line="248" w:lineRule="auto"/>
              <w:rPr>
                <w:rFonts w:ascii="Arial"/>
                <w:color w:val="auto"/>
                <w:sz w:val="21"/>
                <w:highlight w:val="none"/>
              </w:rPr>
            </w:pPr>
          </w:p>
          <w:p w14:paraId="685895EA">
            <w:pPr>
              <w:spacing w:line="248" w:lineRule="auto"/>
              <w:rPr>
                <w:rFonts w:ascii="Arial"/>
                <w:color w:val="auto"/>
                <w:sz w:val="21"/>
                <w:highlight w:val="none"/>
              </w:rPr>
            </w:pPr>
          </w:p>
          <w:p w14:paraId="679E6BD7">
            <w:pPr>
              <w:spacing w:line="248" w:lineRule="auto"/>
              <w:rPr>
                <w:rFonts w:ascii="Arial"/>
                <w:color w:val="auto"/>
                <w:sz w:val="21"/>
                <w:highlight w:val="none"/>
              </w:rPr>
            </w:pPr>
          </w:p>
          <w:p w14:paraId="5F871FB3">
            <w:pPr>
              <w:spacing w:line="249" w:lineRule="auto"/>
              <w:rPr>
                <w:rFonts w:ascii="Arial"/>
                <w:color w:val="auto"/>
                <w:sz w:val="21"/>
                <w:highlight w:val="none"/>
              </w:rPr>
            </w:pPr>
          </w:p>
          <w:p w14:paraId="23A384A6">
            <w:pPr>
              <w:spacing w:line="249" w:lineRule="auto"/>
              <w:rPr>
                <w:rFonts w:ascii="Arial"/>
                <w:color w:val="auto"/>
                <w:sz w:val="21"/>
                <w:highlight w:val="none"/>
              </w:rPr>
            </w:pPr>
          </w:p>
          <w:p w14:paraId="0D33F8B2">
            <w:pPr>
              <w:spacing w:line="249" w:lineRule="auto"/>
              <w:rPr>
                <w:rFonts w:ascii="Arial"/>
                <w:color w:val="auto"/>
                <w:sz w:val="21"/>
                <w:highlight w:val="none"/>
              </w:rPr>
            </w:pPr>
          </w:p>
          <w:p w14:paraId="0619A753">
            <w:pPr>
              <w:pStyle w:val="9"/>
              <w:spacing w:before="65" w:line="229" w:lineRule="auto"/>
              <w:ind w:left="242"/>
              <w:rPr>
                <w:color w:val="auto"/>
                <w:highlight w:val="none"/>
              </w:rPr>
            </w:pPr>
            <w:r>
              <w:rPr>
                <w:color w:val="auto"/>
                <w:highlight w:val="none"/>
              </w:rPr>
              <w:t>项</w:t>
            </w:r>
          </w:p>
        </w:tc>
        <w:tc>
          <w:tcPr>
            <w:tcW w:w="4227" w:type="dxa"/>
            <w:vAlign w:val="top"/>
          </w:tcPr>
          <w:p w14:paraId="6C6589B0">
            <w:pPr>
              <w:pStyle w:val="9"/>
              <w:spacing w:before="172" w:line="407" w:lineRule="auto"/>
              <w:ind w:right="58"/>
              <w:rPr>
                <w:color w:val="auto"/>
                <w:highlight w:val="none"/>
              </w:rPr>
            </w:pPr>
            <w:r>
              <w:rPr>
                <w:color w:val="auto"/>
                <w:spacing w:val="6"/>
                <w:highlight w:val="none"/>
              </w:rPr>
              <w:t xml:space="preserve">1.工程名称： </w:t>
            </w:r>
            <w:r>
              <w:rPr>
                <w:rFonts w:hint="eastAsia"/>
                <w:color w:val="auto"/>
                <w:spacing w:val="6"/>
                <w:highlight w:val="none"/>
                <w:lang w:val="en-US" w:eastAsia="zh-CN"/>
              </w:rPr>
              <w:t>横州市莲塘镇初级中学附属设施工程，</w:t>
            </w:r>
          </w:p>
          <w:p w14:paraId="7EA3AF0D">
            <w:pPr>
              <w:pStyle w:val="9"/>
              <w:spacing w:line="227" w:lineRule="auto"/>
              <w:rPr>
                <w:rFonts w:hint="eastAsia" w:eastAsia="宋体"/>
                <w:color w:val="auto"/>
                <w:highlight w:val="none"/>
                <w:lang w:eastAsia="zh-CN"/>
              </w:rPr>
            </w:pPr>
            <w:r>
              <w:rPr>
                <w:color w:val="auto"/>
                <w:spacing w:val="8"/>
                <w:highlight w:val="none"/>
              </w:rPr>
              <w:t>▲2.建设地点：</w:t>
            </w:r>
            <w:r>
              <w:rPr>
                <w:rFonts w:hint="eastAsia"/>
                <w:color w:val="auto"/>
                <w:spacing w:val="8"/>
                <w:highlight w:val="none"/>
              </w:rPr>
              <w:t>横州市莲塘镇莲塘街委会镇北街333</w:t>
            </w:r>
            <w:r>
              <w:rPr>
                <w:rFonts w:hint="eastAsia"/>
                <w:color w:val="auto"/>
                <w:spacing w:val="8"/>
                <w:highlight w:val="none"/>
                <w:lang w:eastAsia="zh-CN"/>
              </w:rPr>
              <w:t>号，</w:t>
            </w:r>
          </w:p>
          <w:p w14:paraId="6E1DD26B">
            <w:pPr>
              <w:pStyle w:val="9"/>
              <w:spacing w:before="196" w:line="388" w:lineRule="auto"/>
              <w:ind w:right="34"/>
              <w:rPr>
                <w:rFonts w:hint="eastAsia" w:eastAsia="宋体"/>
                <w:color w:val="auto"/>
                <w:highlight w:val="none"/>
                <w:lang w:eastAsia="zh-CN"/>
              </w:rPr>
            </w:pPr>
            <w:r>
              <w:rPr>
                <w:color w:val="auto"/>
                <w:spacing w:val="2"/>
                <w:highlight w:val="none"/>
              </w:rPr>
              <w:t>▲3.本项目规模及采购范围：工程概况：</w:t>
            </w:r>
            <w:r>
              <w:rPr>
                <w:color w:val="auto"/>
                <w:spacing w:val="9"/>
                <w:highlight w:val="none"/>
              </w:rPr>
              <w:t xml:space="preserve"> </w:t>
            </w:r>
            <w:r>
              <w:rPr>
                <w:rFonts w:hint="eastAsia"/>
                <w:color w:val="auto"/>
                <w:spacing w:val="9"/>
                <w:highlight w:val="none"/>
                <w:lang w:val="en-US" w:eastAsia="zh-CN"/>
              </w:rPr>
              <w:t>横州市莲塘镇初级中学附属设施工程，</w:t>
            </w:r>
            <w:r>
              <w:rPr>
                <w:color w:val="auto"/>
                <w:spacing w:val="4"/>
                <w:highlight w:val="none"/>
              </w:rPr>
              <w:t>主要建设内容</w:t>
            </w:r>
            <w:r>
              <w:rPr>
                <w:color w:val="auto"/>
                <w:spacing w:val="-50"/>
                <w:highlight w:val="none"/>
              </w:rPr>
              <w:t xml:space="preserve"> </w:t>
            </w:r>
            <w:r>
              <w:rPr>
                <w:color w:val="auto"/>
                <w:spacing w:val="4"/>
                <w:highlight w:val="none"/>
              </w:rPr>
              <w:t>:</w:t>
            </w:r>
            <w:r>
              <w:rPr>
                <w:rFonts w:hint="eastAsia"/>
                <w:color w:val="auto"/>
                <w:spacing w:val="4"/>
                <w:highlight w:val="none"/>
                <w:lang w:eastAsia="zh-CN"/>
              </w:rPr>
              <w:t>包含改造围墙、挡土墙及校门，其中挡土墙约</w:t>
            </w:r>
            <w:r>
              <w:rPr>
                <w:rFonts w:hint="eastAsia"/>
                <w:color w:val="auto"/>
                <w:spacing w:val="4"/>
                <w:highlight w:val="none"/>
                <w:lang w:val="en-US" w:eastAsia="zh-CN"/>
              </w:rPr>
              <w:t>291m³</w:t>
            </w:r>
            <w:r>
              <w:rPr>
                <w:color w:val="auto"/>
                <w:spacing w:val="4"/>
                <w:highlight w:val="none"/>
              </w:rPr>
              <w:t>。具体详见施工图及工程量清单包含的全部工作内容。</w:t>
            </w:r>
          </w:p>
        </w:tc>
        <w:tc>
          <w:tcPr>
            <w:tcW w:w="1273" w:type="dxa"/>
            <w:vAlign w:val="top"/>
          </w:tcPr>
          <w:p w14:paraId="3622E135">
            <w:pPr>
              <w:spacing w:line="248" w:lineRule="auto"/>
              <w:rPr>
                <w:rFonts w:ascii="Arial"/>
                <w:color w:val="auto"/>
                <w:sz w:val="21"/>
                <w:highlight w:val="none"/>
              </w:rPr>
            </w:pPr>
          </w:p>
          <w:p w14:paraId="77DDA2E0">
            <w:pPr>
              <w:spacing w:line="248" w:lineRule="auto"/>
              <w:rPr>
                <w:rFonts w:ascii="Arial"/>
                <w:color w:val="auto"/>
                <w:sz w:val="21"/>
                <w:highlight w:val="none"/>
              </w:rPr>
            </w:pPr>
          </w:p>
          <w:p w14:paraId="12FC4815">
            <w:pPr>
              <w:spacing w:line="248" w:lineRule="auto"/>
              <w:rPr>
                <w:rFonts w:ascii="Arial"/>
                <w:color w:val="auto"/>
                <w:sz w:val="21"/>
                <w:highlight w:val="none"/>
              </w:rPr>
            </w:pPr>
          </w:p>
          <w:p w14:paraId="5A9C2E1B">
            <w:pPr>
              <w:spacing w:line="248" w:lineRule="auto"/>
              <w:rPr>
                <w:rFonts w:ascii="Arial"/>
                <w:color w:val="auto"/>
                <w:sz w:val="21"/>
                <w:highlight w:val="none"/>
              </w:rPr>
            </w:pPr>
          </w:p>
          <w:p w14:paraId="78A5DC1F">
            <w:pPr>
              <w:spacing w:line="248" w:lineRule="auto"/>
              <w:rPr>
                <w:rFonts w:ascii="Arial"/>
                <w:color w:val="auto"/>
                <w:sz w:val="21"/>
                <w:highlight w:val="none"/>
              </w:rPr>
            </w:pPr>
          </w:p>
          <w:p w14:paraId="30B090DA">
            <w:pPr>
              <w:spacing w:line="248" w:lineRule="auto"/>
              <w:rPr>
                <w:rFonts w:ascii="Arial"/>
                <w:color w:val="auto"/>
                <w:sz w:val="21"/>
                <w:highlight w:val="none"/>
              </w:rPr>
            </w:pPr>
          </w:p>
          <w:p w14:paraId="306B757A">
            <w:pPr>
              <w:spacing w:line="248" w:lineRule="auto"/>
              <w:rPr>
                <w:rFonts w:ascii="Arial"/>
                <w:color w:val="auto"/>
                <w:sz w:val="21"/>
                <w:highlight w:val="none"/>
              </w:rPr>
            </w:pPr>
          </w:p>
          <w:p w14:paraId="7827E3A1">
            <w:pPr>
              <w:spacing w:line="248" w:lineRule="auto"/>
              <w:rPr>
                <w:rFonts w:ascii="Arial"/>
                <w:color w:val="auto"/>
                <w:sz w:val="21"/>
                <w:highlight w:val="none"/>
              </w:rPr>
            </w:pPr>
          </w:p>
          <w:p w14:paraId="4D2C81E2">
            <w:pPr>
              <w:spacing w:line="249" w:lineRule="auto"/>
              <w:rPr>
                <w:rFonts w:ascii="Arial"/>
                <w:color w:val="auto"/>
                <w:sz w:val="21"/>
                <w:highlight w:val="none"/>
              </w:rPr>
            </w:pPr>
          </w:p>
          <w:p w14:paraId="4A4B607F">
            <w:pPr>
              <w:spacing w:line="249" w:lineRule="auto"/>
              <w:rPr>
                <w:rFonts w:ascii="Arial"/>
                <w:color w:val="auto"/>
                <w:sz w:val="21"/>
                <w:highlight w:val="none"/>
              </w:rPr>
            </w:pPr>
          </w:p>
          <w:p w14:paraId="5B1CD438">
            <w:pPr>
              <w:spacing w:line="249" w:lineRule="auto"/>
              <w:rPr>
                <w:rFonts w:ascii="Arial"/>
                <w:color w:val="auto"/>
                <w:sz w:val="21"/>
                <w:highlight w:val="none"/>
              </w:rPr>
            </w:pPr>
          </w:p>
          <w:p w14:paraId="448AD935">
            <w:pPr>
              <w:pStyle w:val="9"/>
              <w:spacing w:before="65" w:line="269" w:lineRule="exact"/>
              <w:ind w:left="170"/>
              <w:rPr>
                <w:rFonts w:hint="eastAsia" w:eastAsia="宋体"/>
                <w:color w:val="auto"/>
                <w:highlight w:val="none"/>
                <w:lang w:eastAsia="zh-CN"/>
              </w:rPr>
            </w:pPr>
            <w:r>
              <w:rPr>
                <w:rFonts w:hint="eastAsia" w:ascii="宋体" w:hAnsi="宋体" w:eastAsia="宋体" w:cs="宋体"/>
                <w:color w:val="auto"/>
                <w:spacing w:val="5"/>
                <w:sz w:val="20"/>
                <w:szCs w:val="20"/>
                <w:highlight w:val="none"/>
                <w:lang w:val="en-US" w:eastAsia="zh-CN"/>
              </w:rPr>
              <w:t>734764.23</w:t>
            </w:r>
            <w:r>
              <w:rPr>
                <w:rFonts w:ascii="宋体" w:hAnsi="宋体" w:eastAsia="宋体" w:cs="宋体"/>
                <w:color w:val="auto"/>
                <w:spacing w:val="5"/>
                <w:sz w:val="20"/>
                <w:szCs w:val="20"/>
                <w:highlight w:val="none"/>
              </w:rPr>
              <w:t>元</w:t>
            </w:r>
          </w:p>
        </w:tc>
        <w:tc>
          <w:tcPr>
            <w:tcW w:w="1623" w:type="dxa"/>
            <w:vAlign w:val="top"/>
          </w:tcPr>
          <w:p w14:paraId="50F068DD">
            <w:pPr>
              <w:spacing w:line="248" w:lineRule="auto"/>
              <w:rPr>
                <w:rFonts w:ascii="Arial"/>
                <w:color w:val="auto"/>
                <w:sz w:val="21"/>
                <w:highlight w:val="none"/>
              </w:rPr>
            </w:pPr>
          </w:p>
          <w:p w14:paraId="7F47BFF0">
            <w:pPr>
              <w:spacing w:line="248" w:lineRule="auto"/>
              <w:rPr>
                <w:rFonts w:ascii="Arial"/>
                <w:color w:val="auto"/>
                <w:sz w:val="21"/>
                <w:highlight w:val="none"/>
              </w:rPr>
            </w:pPr>
          </w:p>
          <w:p w14:paraId="702F895C">
            <w:pPr>
              <w:spacing w:line="248" w:lineRule="auto"/>
              <w:rPr>
                <w:rFonts w:ascii="Arial"/>
                <w:color w:val="auto"/>
                <w:sz w:val="21"/>
                <w:highlight w:val="none"/>
              </w:rPr>
            </w:pPr>
          </w:p>
          <w:p w14:paraId="166E4F46">
            <w:pPr>
              <w:spacing w:line="248" w:lineRule="auto"/>
              <w:rPr>
                <w:rFonts w:ascii="Arial"/>
                <w:color w:val="auto"/>
                <w:sz w:val="21"/>
                <w:highlight w:val="none"/>
              </w:rPr>
            </w:pPr>
          </w:p>
          <w:p w14:paraId="6012C51B">
            <w:pPr>
              <w:spacing w:line="248" w:lineRule="auto"/>
              <w:rPr>
                <w:rFonts w:ascii="Arial"/>
                <w:color w:val="auto"/>
                <w:sz w:val="21"/>
                <w:highlight w:val="none"/>
              </w:rPr>
            </w:pPr>
          </w:p>
          <w:p w14:paraId="3B58CB4D">
            <w:pPr>
              <w:spacing w:line="248" w:lineRule="auto"/>
              <w:rPr>
                <w:rFonts w:ascii="Arial"/>
                <w:color w:val="auto"/>
                <w:sz w:val="21"/>
                <w:highlight w:val="none"/>
              </w:rPr>
            </w:pPr>
          </w:p>
          <w:p w14:paraId="08D57700">
            <w:pPr>
              <w:spacing w:line="248" w:lineRule="auto"/>
              <w:rPr>
                <w:rFonts w:ascii="Arial"/>
                <w:color w:val="auto"/>
                <w:sz w:val="21"/>
                <w:highlight w:val="none"/>
              </w:rPr>
            </w:pPr>
          </w:p>
          <w:p w14:paraId="0E4B7DE9">
            <w:pPr>
              <w:spacing w:line="248" w:lineRule="auto"/>
              <w:rPr>
                <w:rFonts w:ascii="Arial"/>
                <w:color w:val="auto"/>
                <w:sz w:val="21"/>
                <w:highlight w:val="none"/>
              </w:rPr>
            </w:pPr>
          </w:p>
          <w:p w14:paraId="24940AE9">
            <w:pPr>
              <w:spacing w:line="249" w:lineRule="auto"/>
              <w:rPr>
                <w:rFonts w:ascii="Arial"/>
                <w:color w:val="auto"/>
                <w:sz w:val="21"/>
                <w:highlight w:val="none"/>
              </w:rPr>
            </w:pPr>
          </w:p>
          <w:p w14:paraId="55AA44D4">
            <w:pPr>
              <w:spacing w:line="249" w:lineRule="auto"/>
              <w:rPr>
                <w:rFonts w:ascii="Arial"/>
                <w:color w:val="auto"/>
                <w:sz w:val="21"/>
                <w:highlight w:val="none"/>
              </w:rPr>
            </w:pPr>
          </w:p>
          <w:p w14:paraId="0BAFA57B">
            <w:pPr>
              <w:spacing w:line="249" w:lineRule="auto"/>
              <w:rPr>
                <w:rFonts w:ascii="Arial"/>
                <w:color w:val="auto"/>
                <w:sz w:val="21"/>
                <w:highlight w:val="none"/>
              </w:rPr>
            </w:pPr>
          </w:p>
          <w:p w14:paraId="32A37664">
            <w:pPr>
              <w:pStyle w:val="9"/>
              <w:spacing w:before="65" w:line="229" w:lineRule="auto"/>
              <w:ind w:left="322"/>
              <w:rPr>
                <w:color w:val="auto"/>
                <w:highlight w:val="none"/>
              </w:rPr>
            </w:pPr>
            <w:r>
              <w:rPr>
                <w:color w:val="auto"/>
                <w:spacing w:val="6"/>
                <w:highlight w:val="none"/>
              </w:rPr>
              <w:t>建筑业</w:t>
            </w:r>
          </w:p>
        </w:tc>
      </w:tr>
    </w:tbl>
    <w:p w14:paraId="0DEC2E38">
      <w:pPr>
        <w:spacing w:before="3"/>
        <w:rPr>
          <w:color w:val="auto"/>
          <w:highlight w:val="none"/>
        </w:rPr>
      </w:pPr>
      <w:r>
        <w:rPr>
          <w:color w:val="auto"/>
          <w:highlight w:val="none"/>
        </w:rPr>
        <w:pict>
          <v:shape id="_x0000_s1027" o:spid="_x0000_s1027" style="position:absolute;left:0pt;margin-left:73.7pt;margin-top:47.3pt;height:0.75pt;width:447.85pt;mso-position-horizontal-relative:page;mso-position-vertical-relative:page;z-index:251661312;mso-width-relative:page;mso-height-relative:page;" fillcolor="#000000" filled="t" stroked="f" coordsize="8957,15" o:allowincell="f" path="m0,0l8956,0,8956,14,0,14,0,0xe">
            <v:path/>
            <v:fill on="t" focussize="0,0"/>
            <v:stroke on="f"/>
            <v:imagedata o:title=""/>
            <o:lock v:ext="edit"/>
          </v:shape>
        </w:pict>
      </w:r>
    </w:p>
    <w:p w14:paraId="75AFBAC0">
      <w:pPr>
        <w:spacing w:before="3"/>
        <w:rPr>
          <w:color w:val="auto"/>
          <w:highlight w:val="none"/>
        </w:rPr>
      </w:pPr>
    </w:p>
    <w:p w14:paraId="396F46FD">
      <w:pPr>
        <w:spacing w:before="3"/>
        <w:rPr>
          <w:color w:val="auto"/>
          <w:highlight w:val="none"/>
        </w:rPr>
      </w:pPr>
    </w:p>
    <w:tbl>
      <w:tblPr>
        <w:tblStyle w:val="8"/>
        <w:tblW w:w="99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9541"/>
      </w:tblGrid>
      <w:tr w14:paraId="1A1A6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5" w:hRule="atLeast"/>
        </w:trPr>
        <w:tc>
          <w:tcPr>
            <w:tcW w:w="366" w:type="dxa"/>
            <w:textDirection w:val="tbRlV"/>
            <w:vAlign w:val="top"/>
          </w:tcPr>
          <w:p w14:paraId="24116690">
            <w:pPr>
              <w:pStyle w:val="9"/>
              <w:spacing w:before="44" w:line="215" w:lineRule="auto"/>
              <w:ind w:left="3036"/>
              <w:rPr>
                <w:color w:val="auto"/>
                <w:highlight w:val="none"/>
              </w:rPr>
            </w:pPr>
            <w:r>
              <w:rPr>
                <w:b/>
                <w:bCs/>
                <w:color w:val="auto"/>
                <w:spacing w:val="7"/>
                <w:highlight w:val="none"/>
              </w:rPr>
              <w:t>▲</w:t>
            </w:r>
            <w:r>
              <w:rPr>
                <w:color w:val="auto"/>
                <w:spacing w:val="15"/>
                <w:highlight w:val="none"/>
              </w:rPr>
              <w:t xml:space="preserve">  </w:t>
            </w:r>
            <w:r>
              <w:rPr>
                <w:b/>
                <w:bCs/>
                <w:color w:val="auto"/>
                <w:spacing w:val="7"/>
                <w:highlight w:val="none"/>
              </w:rPr>
              <w:t>商</w:t>
            </w:r>
            <w:r>
              <w:rPr>
                <w:color w:val="auto"/>
                <w:spacing w:val="15"/>
                <w:highlight w:val="none"/>
              </w:rPr>
              <w:t xml:space="preserve">  </w:t>
            </w:r>
            <w:r>
              <w:rPr>
                <w:b/>
                <w:bCs/>
                <w:color w:val="auto"/>
                <w:spacing w:val="7"/>
                <w:highlight w:val="none"/>
              </w:rPr>
              <w:t>务</w:t>
            </w:r>
            <w:r>
              <w:rPr>
                <w:color w:val="auto"/>
                <w:spacing w:val="16"/>
                <w:highlight w:val="none"/>
              </w:rPr>
              <w:t xml:space="preserve">  </w:t>
            </w:r>
            <w:r>
              <w:rPr>
                <w:b/>
                <w:bCs/>
                <w:color w:val="auto"/>
                <w:spacing w:val="7"/>
                <w:highlight w:val="none"/>
              </w:rPr>
              <w:t>条</w:t>
            </w:r>
            <w:r>
              <w:rPr>
                <w:color w:val="auto"/>
                <w:spacing w:val="15"/>
                <w:highlight w:val="none"/>
              </w:rPr>
              <w:t xml:space="preserve">  </w:t>
            </w:r>
            <w:r>
              <w:rPr>
                <w:b/>
                <w:bCs/>
                <w:color w:val="auto"/>
                <w:spacing w:val="7"/>
                <w:highlight w:val="none"/>
              </w:rPr>
              <w:t>款</w:t>
            </w:r>
          </w:p>
        </w:tc>
        <w:tc>
          <w:tcPr>
            <w:tcW w:w="9541" w:type="dxa"/>
            <w:vAlign w:val="top"/>
          </w:tcPr>
          <w:p w14:paraId="185EDD24">
            <w:pPr>
              <w:pStyle w:val="9"/>
              <w:keepNext w:val="0"/>
              <w:keepLines w:val="0"/>
              <w:pageBreakBefore w:val="0"/>
              <w:widowControl/>
              <w:kinsoku w:val="0"/>
              <w:wordWrap/>
              <w:overflowPunct/>
              <w:topLinePunct w:val="0"/>
              <w:autoSpaceDE w:val="0"/>
              <w:autoSpaceDN w:val="0"/>
              <w:bidi w:val="0"/>
              <w:adjustRightInd w:val="0"/>
              <w:snapToGrid w:val="0"/>
              <w:spacing w:before="174" w:line="240" w:lineRule="exact"/>
              <w:ind w:left="115"/>
              <w:textAlignment w:val="baseline"/>
              <w:rPr>
                <w:color w:val="auto"/>
                <w:highlight w:val="none"/>
              </w:rPr>
            </w:pPr>
            <w:r>
              <w:rPr>
                <w:b/>
                <w:bCs/>
                <w:color w:val="auto"/>
                <w:spacing w:val="5"/>
                <w:highlight w:val="none"/>
              </w:rPr>
              <w:t>一、合同签订期：</w:t>
            </w:r>
            <w:r>
              <w:rPr>
                <w:color w:val="auto"/>
                <w:spacing w:val="-31"/>
                <w:highlight w:val="none"/>
              </w:rPr>
              <w:t xml:space="preserve"> </w:t>
            </w:r>
            <w:r>
              <w:rPr>
                <w:color w:val="auto"/>
                <w:spacing w:val="5"/>
                <w:highlight w:val="none"/>
              </w:rPr>
              <w:t>自成交通知书发出之日起</w:t>
            </w:r>
            <w:r>
              <w:rPr>
                <w:color w:val="auto"/>
                <w:spacing w:val="-34"/>
                <w:highlight w:val="none"/>
              </w:rPr>
              <w:t xml:space="preserve"> </w:t>
            </w:r>
            <w:r>
              <w:rPr>
                <w:color w:val="auto"/>
                <w:spacing w:val="5"/>
                <w:highlight w:val="none"/>
              </w:rPr>
              <w:t>25</w:t>
            </w:r>
            <w:r>
              <w:rPr>
                <w:color w:val="auto"/>
                <w:spacing w:val="-40"/>
                <w:highlight w:val="none"/>
              </w:rPr>
              <w:t xml:space="preserve"> </w:t>
            </w:r>
            <w:r>
              <w:rPr>
                <w:color w:val="auto"/>
                <w:spacing w:val="5"/>
                <w:highlight w:val="none"/>
              </w:rPr>
              <w:t>个日历日内。</w:t>
            </w:r>
          </w:p>
          <w:p w14:paraId="28E3C046">
            <w:pPr>
              <w:pStyle w:val="9"/>
              <w:keepNext w:val="0"/>
              <w:keepLines w:val="0"/>
              <w:pageBreakBefore w:val="0"/>
              <w:widowControl/>
              <w:kinsoku w:val="0"/>
              <w:wordWrap/>
              <w:overflowPunct/>
              <w:topLinePunct w:val="0"/>
              <w:autoSpaceDE w:val="0"/>
              <w:autoSpaceDN w:val="0"/>
              <w:bidi w:val="0"/>
              <w:adjustRightInd w:val="0"/>
              <w:snapToGrid w:val="0"/>
              <w:spacing w:before="192" w:line="240" w:lineRule="exact"/>
              <w:ind w:left="115"/>
              <w:textAlignment w:val="baseline"/>
              <w:rPr>
                <w:color w:val="auto"/>
                <w:highlight w:val="none"/>
              </w:rPr>
            </w:pPr>
            <w:r>
              <w:rPr>
                <w:b/>
                <w:bCs/>
                <w:color w:val="auto"/>
                <w:spacing w:val="1"/>
                <w:highlight w:val="none"/>
              </w:rPr>
              <w:t>二、工期：</w:t>
            </w:r>
            <w:r>
              <w:rPr>
                <w:rFonts w:hint="eastAsia"/>
                <w:b/>
                <w:bCs/>
                <w:color w:val="auto"/>
                <w:spacing w:val="1"/>
                <w:highlight w:val="none"/>
                <w:lang w:val="en-US" w:eastAsia="zh-CN"/>
              </w:rPr>
              <w:t>90</w:t>
            </w:r>
            <w:r>
              <w:rPr>
                <w:color w:val="auto"/>
                <w:spacing w:val="1"/>
                <w:highlight w:val="none"/>
              </w:rPr>
              <w:t xml:space="preserve"> 日历天。</w:t>
            </w:r>
          </w:p>
          <w:p w14:paraId="1B96DB76">
            <w:pPr>
              <w:pStyle w:val="9"/>
              <w:keepNext w:val="0"/>
              <w:keepLines w:val="0"/>
              <w:pageBreakBefore w:val="0"/>
              <w:widowControl/>
              <w:kinsoku w:val="0"/>
              <w:wordWrap/>
              <w:overflowPunct/>
              <w:topLinePunct w:val="0"/>
              <w:autoSpaceDE w:val="0"/>
              <w:autoSpaceDN w:val="0"/>
              <w:bidi w:val="0"/>
              <w:adjustRightInd w:val="0"/>
              <w:snapToGrid w:val="0"/>
              <w:spacing w:before="193" w:line="240" w:lineRule="exact"/>
              <w:ind w:left="112"/>
              <w:textAlignment w:val="baseline"/>
              <w:rPr>
                <w:rFonts w:ascii="宋体" w:hAnsi="宋体" w:eastAsia="宋体" w:cs="宋体"/>
                <w:color w:val="auto"/>
                <w:spacing w:val="9"/>
                <w:highlight w:val="none"/>
              </w:rPr>
            </w:pPr>
            <w:r>
              <w:rPr>
                <w:b/>
                <w:bCs/>
                <w:color w:val="auto"/>
                <w:spacing w:val="6"/>
                <w:highlight w:val="none"/>
              </w:rPr>
              <w:t>三、项目建设地点:</w:t>
            </w:r>
            <w:r>
              <w:rPr>
                <w:rFonts w:hint="eastAsia" w:ascii="宋体" w:hAnsi="宋体" w:eastAsia="宋体" w:cs="宋体"/>
                <w:color w:val="auto"/>
                <w:spacing w:val="9"/>
                <w:highlight w:val="none"/>
              </w:rPr>
              <w:t>横州市莲塘镇莲塘街委会镇北街333</w:t>
            </w:r>
            <w:r>
              <w:rPr>
                <w:rFonts w:hint="eastAsia" w:ascii="宋体" w:hAnsi="宋体" w:eastAsia="宋体" w:cs="宋体"/>
                <w:color w:val="auto"/>
                <w:spacing w:val="9"/>
                <w:highlight w:val="none"/>
                <w:lang w:eastAsia="zh-CN"/>
              </w:rPr>
              <w:t>号。</w:t>
            </w:r>
          </w:p>
          <w:p w14:paraId="318C9834">
            <w:pPr>
              <w:pStyle w:val="9"/>
              <w:keepNext w:val="0"/>
              <w:keepLines w:val="0"/>
              <w:pageBreakBefore w:val="0"/>
              <w:widowControl/>
              <w:kinsoku w:val="0"/>
              <w:wordWrap/>
              <w:overflowPunct/>
              <w:topLinePunct w:val="0"/>
              <w:autoSpaceDE w:val="0"/>
              <w:autoSpaceDN w:val="0"/>
              <w:bidi w:val="0"/>
              <w:adjustRightInd w:val="0"/>
              <w:snapToGrid w:val="0"/>
              <w:spacing w:before="196" w:line="240" w:lineRule="exact"/>
              <w:ind w:left="131"/>
              <w:textAlignment w:val="baseline"/>
              <w:rPr>
                <w:color w:val="auto"/>
                <w:highlight w:val="none"/>
              </w:rPr>
            </w:pPr>
            <w:r>
              <w:rPr>
                <w:b/>
                <w:bCs/>
                <w:color w:val="auto"/>
                <w:spacing w:val="4"/>
                <w:highlight w:val="none"/>
              </w:rPr>
              <w:t>四、验收标准、规范：</w:t>
            </w:r>
          </w:p>
          <w:p w14:paraId="6DD8A0AD">
            <w:pPr>
              <w:pStyle w:val="9"/>
              <w:keepNext w:val="0"/>
              <w:keepLines w:val="0"/>
              <w:pageBreakBefore w:val="0"/>
              <w:widowControl/>
              <w:kinsoku w:val="0"/>
              <w:wordWrap/>
              <w:overflowPunct/>
              <w:topLinePunct w:val="0"/>
              <w:autoSpaceDE w:val="0"/>
              <w:autoSpaceDN w:val="0"/>
              <w:bidi w:val="0"/>
              <w:adjustRightInd w:val="0"/>
              <w:snapToGrid w:val="0"/>
              <w:spacing w:before="191" w:line="240" w:lineRule="exact"/>
              <w:ind w:left="113" w:right="110" w:firstLine="13"/>
              <w:textAlignment w:val="baseline"/>
              <w:rPr>
                <w:color w:val="auto"/>
                <w:highlight w:val="none"/>
              </w:rPr>
            </w:pPr>
            <w:r>
              <w:rPr>
                <w:color w:val="auto"/>
                <w:spacing w:val="9"/>
                <w:highlight w:val="none"/>
              </w:rPr>
              <w:t>1、根据采购单位的要求和国家现行的有关的工程建设标准、技术规范及强制性标准</w:t>
            </w:r>
            <w:r>
              <w:rPr>
                <w:color w:val="auto"/>
                <w:spacing w:val="8"/>
                <w:highlight w:val="none"/>
              </w:rPr>
              <w:t>条文等有关规范标</w:t>
            </w:r>
            <w:r>
              <w:rPr>
                <w:color w:val="auto"/>
                <w:highlight w:val="none"/>
              </w:rPr>
              <w:t xml:space="preserve"> </w:t>
            </w:r>
            <w:r>
              <w:rPr>
                <w:color w:val="auto"/>
                <w:spacing w:val="-1"/>
                <w:highlight w:val="none"/>
              </w:rPr>
              <w:t>准。</w:t>
            </w:r>
          </w:p>
          <w:p w14:paraId="4ED26B0B">
            <w:pPr>
              <w:pStyle w:val="9"/>
              <w:keepNext w:val="0"/>
              <w:keepLines w:val="0"/>
              <w:pageBreakBefore w:val="0"/>
              <w:widowControl/>
              <w:kinsoku w:val="0"/>
              <w:wordWrap/>
              <w:overflowPunct/>
              <w:topLinePunct w:val="0"/>
              <w:autoSpaceDE w:val="0"/>
              <w:autoSpaceDN w:val="0"/>
              <w:bidi w:val="0"/>
              <w:adjustRightInd w:val="0"/>
              <w:snapToGrid w:val="0"/>
              <w:spacing w:before="190" w:line="240" w:lineRule="exact"/>
              <w:ind w:left="114"/>
              <w:textAlignment w:val="baseline"/>
              <w:rPr>
                <w:color w:val="auto"/>
                <w:highlight w:val="none"/>
              </w:rPr>
            </w:pPr>
            <w:r>
              <w:rPr>
                <w:color w:val="auto"/>
                <w:spacing w:val="9"/>
                <w:highlight w:val="none"/>
              </w:rPr>
              <w:t>2、符合国家标准和制造厂家合格产品的出厂质量</w:t>
            </w:r>
            <w:r>
              <w:rPr>
                <w:color w:val="auto"/>
                <w:spacing w:val="8"/>
                <w:highlight w:val="none"/>
              </w:rPr>
              <w:t>标准。</w:t>
            </w:r>
          </w:p>
          <w:p w14:paraId="1593DAEC">
            <w:pPr>
              <w:pStyle w:val="9"/>
              <w:keepNext w:val="0"/>
              <w:keepLines w:val="0"/>
              <w:pageBreakBefore w:val="0"/>
              <w:widowControl/>
              <w:kinsoku w:val="0"/>
              <w:wordWrap/>
              <w:overflowPunct/>
              <w:topLinePunct w:val="0"/>
              <w:autoSpaceDE w:val="0"/>
              <w:autoSpaceDN w:val="0"/>
              <w:bidi w:val="0"/>
              <w:adjustRightInd w:val="0"/>
              <w:snapToGrid w:val="0"/>
              <w:spacing w:before="192" w:line="240" w:lineRule="exact"/>
              <w:ind w:left="116"/>
              <w:textAlignment w:val="baseline"/>
              <w:rPr>
                <w:color w:val="auto"/>
                <w:highlight w:val="none"/>
              </w:rPr>
            </w:pPr>
            <w:r>
              <w:rPr>
                <w:color w:val="auto"/>
                <w:spacing w:val="9"/>
                <w:highlight w:val="none"/>
              </w:rPr>
              <w:t>3、验收过程中所产生的一切费用均由成交人承担。报价时应考虑相关费用。</w:t>
            </w:r>
          </w:p>
          <w:p w14:paraId="3888DE0B">
            <w:pPr>
              <w:pStyle w:val="9"/>
              <w:keepNext w:val="0"/>
              <w:keepLines w:val="0"/>
              <w:pageBreakBefore w:val="0"/>
              <w:widowControl/>
              <w:kinsoku w:val="0"/>
              <w:wordWrap/>
              <w:overflowPunct/>
              <w:topLinePunct w:val="0"/>
              <w:autoSpaceDE w:val="0"/>
              <w:autoSpaceDN w:val="0"/>
              <w:bidi w:val="0"/>
              <w:adjustRightInd w:val="0"/>
              <w:snapToGrid w:val="0"/>
              <w:spacing w:before="196" w:line="240" w:lineRule="exact"/>
              <w:ind w:left="115"/>
              <w:textAlignment w:val="baseline"/>
              <w:rPr>
                <w:color w:val="auto"/>
                <w:highlight w:val="none"/>
              </w:rPr>
            </w:pPr>
            <w:r>
              <w:rPr>
                <w:b/>
                <w:bCs/>
                <w:color w:val="auto"/>
                <w:spacing w:val="7"/>
                <w:highlight w:val="none"/>
              </w:rPr>
              <w:t>五、售后服务要求</w:t>
            </w:r>
          </w:p>
          <w:p w14:paraId="712B60B2">
            <w:pPr>
              <w:pStyle w:val="9"/>
              <w:keepNext w:val="0"/>
              <w:keepLines w:val="0"/>
              <w:pageBreakBefore w:val="0"/>
              <w:widowControl/>
              <w:kinsoku w:val="0"/>
              <w:wordWrap/>
              <w:overflowPunct/>
              <w:topLinePunct w:val="0"/>
              <w:autoSpaceDE w:val="0"/>
              <w:autoSpaceDN w:val="0"/>
              <w:bidi w:val="0"/>
              <w:adjustRightInd w:val="0"/>
              <w:snapToGrid w:val="0"/>
              <w:spacing w:before="191" w:line="240" w:lineRule="exact"/>
              <w:ind w:left="112" w:right="107" w:firstLine="14"/>
              <w:textAlignment w:val="baseline"/>
              <w:rPr>
                <w:color w:val="auto"/>
                <w:highlight w:val="none"/>
              </w:rPr>
            </w:pPr>
            <w:r>
              <w:rPr>
                <w:color w:val="auto"/>
                <w:spacing w:val="9"/>
                <w:highlight w:val="none"/>
              </w:rPr>
              <w:t>1、工程质量保修要求：质量保修期从工程实际竣工验收通过之日算起，使用年限应符合</w:t>
            </w:r>
            <w:r>
              <w:rPr>
                <w:color w:val="auto"/>
                <w:spacing w:val="8"/>
                <w:highlight w:val="none"/>
              </w:rPr>
              <w:t>国家建设相关</w:t>
            </w:r>
            <w:r>
              <w:rPr>
                <w:color w:val="auto"/>
                <w:highlight w:val="none"/>
              </w:rPr>
              <w:t xml:space="preserve"> </w:t>
            </w:r>
            <w:r>
              <w:rPr>
                <w:color w:val="auto"/>
                <w:spacing w:val="2"/>
                <w:highlight w:val="none"/>
              </w:rPr>
              <w:t>要求。</w:t>
            </w:r>
          </w:p>
          <w:p w14:paraId="3B5D4DD3">
            <w:pPr>
              <w:pStyle w:val="9"/>
              <w:keepNext w:val="0"/>
              <w:keepLines w:val="0"/>
              <w:pageBreakBefore w:val="0"/>
              <w:widowControl/>
              <w:kinsoku w:val="0"/>
              <w:wordWrap/>
              <w:overflowPunct/>
              <w:topLinePunct w:val="0"/>
              <w:autoSpaceDE w:val="0"/>
              <w:autoSpaceDN w:val="0"/>
              <w:bidi w:val="0"/>
              <w:adjustRightInd w:val="0"/>
              <w:snapToGrid w:val="0"/>
              <w:spacing w:before="193" w:line="240" w:lineRule="exact"/>
              <w:ind w:left="114"/>
              <w:textAlignment w:val="baseline"/>
              <w:rPr>
                <w:color w:val="auto"/>
                <w:highlight w:val="none"/>
              </w:rPr>
            </w:pPr>
            <w:r>
              <w:rPr>
                <w:color w:val="auto"/>
                <w:spacing w:val="9"/>
                <w:highlight w:val="none"/>
              </w:rPr>
              <w:t>2、双方根据国家有关规定，结合具体工程质量保修期要求如下：</w:t>
            </w:r>
          </w:p>
          <w:p w14:paraId="4413253A">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28"/>
              <w:textAlignment w:val="baseline"/>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根据《建设工程质量管理条例》及有关规定，工程的质量保修期如下：</w:t>
            </w:r>
          </w:p>
          <w:p w14:paraId="4B029BDB">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43"/>
              <w:textAlignment w:val="baseline"/>
              <w:rPr>
                <w:rFonts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lang w:val="en-US" w:eastAsia="zh-CN"/>
              </w:rPr>
              <w:t>2.</w:t>
            </w:r>
            <w:r>
              <w:rPr>
                <w:rFonts w:ascii="宋体" w:hAnsi="宋体" w:eastAsia="宋体" w:cs="宋体"/>
                <w:color w:val="auto"/>
                <w:spacing w:val="9"/>
                <w:sz w:val="20"/>
                <w:szCs w:val="20"/>
                <w:highlight w:val="none"/>
              </w:rPr>
              <w:t>1地基基础工程和主体结构工程为设计文件规定</w:t>
            </w:r>
            <w:r>
              <w:rPr>
                <w:rFonts w:ascii="宋体" w:hAnsi="宋体" w:eastAsia="宋体" w:cs="宋体"/>
                <w:color w:val="auto"/>
                <w:spacing w:val="8"/>
                <w:sz w:val="20"/>
                <w:szCs w:val="20"/>
                <w:highlight w:val="none"/>
              </w:rPr>
              <w:t>的工程合理使用年限；</w:t>
            </w:r>
          </w:p>
          <w:p w14:paraId="3EC77F67">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30"/>
              <w:textAlignment w:val="baseline"/>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w:t>
            </w:r>
            <w:r>
              <w:rPr>
                <w:rFonts w:hint="eastAsia" w:ascii="宋体" w:hAnsi="宋体" w:eastAsia="宋体" w:cs="宋体"/>
                <w:color w:val="auto"/>
                <w:spacing w:val="9"/>
                <w:sz w:val="20"/>
                <w:szCs w:val="20"/>
                <w:highlight w:val="none"/>
                <w:lang w:val="en-US" w:eastAsia="zh-CN"/>
              </w:rPr>
              <w:t>.2</w:t>
            </w:r>
            <w:r>
              <w:rPr>
                <w:rFonts w:ascii="宋体" w:hAnsi="宋体" w:eastAsia="宋体" w:cs="宋体"/>
                <w:color w:val="auto"/>
                <w:spacing w:val="9"/>
                <w:sz w:val="20"/>
                <w:szCs w:val="20"/>
                <w:highlight w:val="none"/>
              </w:rPr>
              <w:t>屋面防水工程、有防水要求的卫生间、房间和外墙面</w:t>
            </w:r>
            <w:r>
              <w:rPr>
                <w:rFonts w:ascii="宋体" w:hAnsi="宋体" w:eastAsia="宋体" w:cs="宋体"/>
                <w:color w:val="auto"/>
                <w:spacing w:val="8"/>
                <w:sz w:val="20"/>
                <w:szCs w:val="20"/>
                <w:highlight w:val="none"/>
              </w:rPr>
              <w:t>的防渗为</w:t>
            </w:r>
            <w:r>
              <w:rPr>
                <w:rFonts w:ascii="宋体" w:hAnsi="宋体" w:eastAsia="宋体" w:cs="宋体"/>
                <w:color w:val="auto"/>
                <w:spacing w:val="8"/>
                <w:sz w:val="20"/>
                <w:szCs w:val="20"/>
                <w:highlight w:val="none"/>
                <w:u w:val="single" w:color="auto"/>
              </w:rPr>
              <w:t xml:space="preserve"> 5 </w:t>
            </w:r>
            <w:r>
              <w:rPr>
                <w:rFonts w:ascii="宋体" w:hAnsi="宋体" w:eastAsia="宋体" w:cs="宋体"/>
                <w:color w:val="auto"/>
                <w:spacing w:val="8"/>
                <w:sz w:val="20"/>
                <w:szCs w:val="20"/>
                <w:highlight w:val="none"/>
              </w:rPr>
              <w:t>年；</w:t>
            </w:r>
          </w:p>
          <w:p w14:paraId="7CAF133A">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32"/>
              <w:textAlignment w:val="baseline"/>
              <w:rPr>
                <w:rFonts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lang w:val="en-US" w:eastAsia="zh-CN"/>
              </w:rPr>
              <w:t>2.3</w:t>
            </w:r>
            <w:r>
              <w:rPr>
                <w:rFonts w:ascii="宋体" w:hAnsi="宋体" w:eastAsia="宋体" w:cs="宋体"/>
                <w:color w:val="auto"/>
                <w:spacing w:val="5"/>
                <w:sz w:val="20"/>
                <w:szCs w:val="20"/>
                <w:highlight w:val="none"/>
              </w:rPr>
              <w:t>装修工程为</w:t>
            </w:r>
            <w:r>
              <w:rPr>
                <w:rFonts w:ascii="宋体" w:hAnsi="宋体" w:eastAsia="宋体" w:cs="宋体"/>
                <w:color w:val="auto"/>
                <w:spacing w:val="5"/>
                <w:sz w:val="20"/>
                <w:szCs w:val="20"/>
                <w:highlight w:val="none"/>
                <w:u w:val="single" w:color="auto"/>
              </w:rPr>
              <w:t xml:space="preserve"> 2</w:t>
            </w:r>
            <w:r>
              <w:rPr>
                <w:rFonts w:ascii="宋体" w:hAnsi="宋体" w:eastAsia="宋体" w:cs="宋体"/>
                <w:color w:val="auto"/>
                <w:spacing w:val="20"/>
                <w:sz w:val="20"/>
                <w:szCs w:val="20"/>
                <w:highlight w:val="none"/>
                <w:u w:val="single" w:color="auto"/>
              </w:rPr>
              <w:t xml:space="preserve"> </w:t>
            </w:r>
            <w:r>
              <w:rPr>
                <w:rFonts w:ascii="宋体" w:hAnsi="宋体" w:eastAsia="宋体" w:cs="宋体"/>
                <w:color w:val="auto"/>
                <w:spacing w:val="5"/>
                <w:sz w:val="20"/>
                <w:szCs w:val="20"/>
                <w:highlight w:val="none"/>
              </w:rPr>
              <w:t>年；</w:t>
            </w:r>
          </w:p>
          <w:p w14:paraId="05CCAB5C">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27"/>
              <w:textAlignment w:val="baseline"/>
              <w:rPr>
                <w:rFonts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lang w:val="en-US" w:eastAsia="zh-CN"/>
              </w:rPr>
              <w:t>2.4</w:t>
            </w:r>
            <w:r>
              <w:rPr>
                <w:rFonts w:ascii="宋体" w:hAnsi="宋体" w:eastAsia="宋体" w:cs="宋体"/>
                <w:color w:val="auto"/>
                <w:spacing w:val="-41"/>
                <w:sz w:val="20"/>
                <w:szCs w:val="20"/>
                <w:highlight w:val="none"/>
              </w:rPr>
              <w:t xml:space="preserve"> </w:t>
            </w:r>
            <w:r>
              <w:rPr>
                <w:rFonts w:ascii="宋体" w:hAnsi="宋体" w:eastAsia="宋体" w:cs="宋体"/>
                <w:color w:val="auto"/>
                <w:spacing w:val="6"/>
                <w:sz w:val="20"/>
                <w:szCs w:val="20"/>
                <w:highlight w:val="none"/>
              </w:rPr>
              <w:t>电气管线、给排水管道、设备安装工程为</w:t>
            </w:r>
            <w:r>
              <w:rPr>
                <w:rFonts w:ascii="宋体" w:hAnsi="宋体" w:eastAsia="宋体" w:cs="宋体"/>
                <w:color w:val="auto"/>
                <w:spacing w:val="6"/>
                <w:sz w:val="20"/>
                <w:szCs w:val="20"/>
                <w:highlight w:val="none"/>
                <w:u w:val="single" w:color="auto"/>
              </w:rPr>
              <w:t xml:space="preserve"> 2 </w:t>
            </w:r>
            <w:r>
              <w:rPr>
                <w:rFonts w:ascii="宋体" w:hAnsi="宋体" w:eastAsia="宋体" w:cs="宋体"/>
                <w:color w:val="auto"/>
                <w:spacing w:val="6"/>
                <w:sz w:val="20"/>
                <w:szCs w:val="20"/>
                <w:highlight w:val="none"/>
              </w:rPr>
              <w:t>年；</w:t>
            </w:r>
          </w:p>
          <w:p w14:paraId="41BF7214">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28"/>
              <w:textAlignment w:val="baseline"/>
              <w:rPr>
                <w:rFonts w:ascii="宋体" w:hAnsi="宋体" w:eastAsia="宋体" w:cs="宋体"/>
                <w:color w:val="auto"/>
                <w:spacing w:val="9"/>
                <w:sz w:val="20"/>
                <w:szCs w:val="20"/>
                <w:highlight w:val="none"/>
              </w:rPr>
            </w:pPr>
            <w:r>
              <w:rPr>
                <w:rFonts w:hint="eastAsia" w:ascii="宋体" w:hAnsi="宋体" w:eastAsia="宋体" w:cs="宋体"/>
                <w:color w:val="auto"/>
                <w:spacing w:val="8"/>
                <w:sz w:val="20"/>
                <w:szCs w:val="20"/>
                <w:highlight w:val="none"/>
                <w:lang w:val="en-US" w:eastAsia="zh-CN"/>
              </w:rPr>
              <w:t>2.5</w:t>
            </w:r>
            <w:r>
              <w:rPr>
                <w:rFonts w:ascii="宋体" w:hAnsi="宋体" w:eastAsia="宋体" w:cs="宋体"/>
                <w:color w:val="auto"/>
                <w:spacing w:val="8"/>
                <w:sz w:val="20"/>
                <w:szCs w:val="20"/>
                <w:highlight w:val="none"/>
              </w:rPr>
              <w:t>供热与供冷系统为</w:t>
            </w:r>
            <w:r>
              <w:rPr>
                <w:rFonts w:ascii="宋体" w:hAnsi="宋体" w:eastAsia="宋体" w:cs="宋体"/>
                <w:color w:val="auto"/>
                <w:spacing w:val="8"/>
                <w:sz w:val="20"/>
                <w:szCs w:val="20"/>
                <w:highlight w:val="none"/>
                <w:u w:val="single" w:color="auto"/>
              </w:rPr>
              <w:t xml:space="preserve"> 2 </w:t>
            </w:r>
            <w:r>
              <w:rPr>
                <w:rFonts w:ascii="宋体" w:hAnsi="宋体" w:eastAsia="宋体" w:cs="宋体"/>
                <w:color w:val="auto"/>
                <w:spacing w:val="8"/>
                <w:sz w:val="20"/>
                <w:szCs w:val="20"/>
                <w:highlight w:val="none"/>
              </w:rPr>
              <w:t>个采暖期、</w:t>
            </w:r>
            <w:r>
              <w:rPr>
                <w:rFonts w:ascii="宋体" w:hAnsi="宋体" w:eastAsia="宋体" w:cs="宋体"/>
                <w:color w:val="auto"/>
                <w:spacing w:val="9"/>
                <w:sz w:val="20"/>
                <w:szCs w:val="20"/>
                <w:highlight w:val="none"/>
              </w:rPr>
              <w:t>供冷期；</w:t>
            </w:r>
          </w:p>
          <w:p w14:paraId="4DB335E9">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28"/>
              <w:textAlignment w:val="baseline"/>
              <w:rPr>
                <w:rFonts w:ascii="宋体" w:hAnsi="宋体" w:eastAsia="宋体" w:cs="宋体"/>
                <w:color w:val="auto"/>
                <w:spacing w:val="9"/>
                <w:sz w:val="20"/>
                <w:szCs w:val="20"/>
                <w:highlight w:val="none"/>
              </w:rPr>
            </w:pPr>
            <w:r>
              <w:rPr>
                <w:rFonts w:hint="eastAsia" w:ascii="宋体" w:hAnsi="宋体" w:eastAsia="宋体" w:cs="宋体"/>
                <w:color w:val="auto"/>
                <w:spacing w:val="9"/>
                <w:sz w:val="20"/>
                <w:szCs w:val="20"/>
                <w:highlight w:val="none"/>
                <w:lang w:val="en-US" w:eastAsia="zh-CN"/>
              </w:rPr>
              <w:t>2.6</w:t>
            </w:r>
            <w:r>
              <w:rPr>
                <w:rFonts w:ascii="宋体" w:hAnsi="宋体" w:eastAsia="宋体" w:cs="宋体"/>
                <w:color w:val="auto"/>
                <w:spacing w:val="9"/>
                <w:sz w:val="20"/>
                <w:szCs w:val="20"/>
                <w:highlight w:val="none"/>
              </w:rPr>
              <w:t>住宅小区内的给排水设施、道路等配套工程为 2 年；</w:t>
            </w:r>
          </w:p>
          <w:p w14:paraId="3FB95278">
            <w:pPr>
              <w:keepNext w:val="0"/>
              <w:keepLines w:val="0"/>
              <w:pageBreakBefore w:val="0"/>
              <w:widowControl/>
              <w:kinsoku w:val="0"/>
              <w:wordWrap/>
              <w:overflowPunct/>
              <w:topLinePunct w:val="0"/>
              <w:autoSpaceDE w:val="0"/>
              <w:autoSpaceDN w:val="0"/>
              <w:bidi w:val="0"/>
              <w:adjustRightInd w:val="0"/>
              <w:snapToGrid w:val="0"/>
              <w:spacing w:before="221" w:line="240" w:lineRule="exact"/>
              <w:ind w:left="428"/>
              <w:textAlignment w:val="baseline"/>
              <w:rPr>
                <w:rFonts w:ascii="宋体" w:hAnsi="宋体" w:eastAsia="宋体" w:cs="宋体"/>
                <w:color w:val="auto"/>
                <w:spacing w:val="8"/>
                <w:sz w:val="20"/>
                <w:szCs w:val="20"/>
                <w:highlight w:val="none"/>
              </w:rPr>
            </w:pPr>
            <w:r>
              <w:rPr>
                <w:rFonts w:hint="eastAsia" w:ascii="宋体" w:hAnsi="宋体" w:eastAsia="宋体" w:cs="宋体"/>
                <w:color w:val="auto"/>
                <w:spacing w:val="9"/>
                <w:sz w:val="20"/>
                <w:szCs w:val="20"/>
                <w:highlight w:val="none"/>
                <w:lang w:val="en-US" w:eastAsia="zh-CN"/>
              </w:rPr>
              <w:t>2.</w:t>
            </w:r>
            <w:r>
              <w:rPr>
                <w:rFonts w:ascii="宋体" w:hAnsi="宋体" w:eastAsia="宋体" w:cs="宋体"/>
                <w:color w:val="auto"/>
                <w:spacing w:val="9"/>
                <w:sz w:val="20"/>
                <w:szCs w:val="20"/>
                <w:highlight w:val="none"/>
              </w:rPr>
              <w:t>7其他项目保修期限约定如下：无。</w:t>
            </w:r>
          </w:p>
          <w:p w14:paraId="3FFCBF58">
            <w:pPr>
              <w:pStyle w:val="9"/>
              <w:keepNext w:val="0"/>
              <w:keepLines w:val="0"/>
              <w:pageBreakBefore w:val="0"/>
              <w:widowControl/>
              <w:kinsoku w:val="0"/>
              <w:wordWrap/>
              <w:overflowPunct/>
              <w:topLinePunct w:val="0"/>
              <w:autoSpaceDE w:val="0"/>
              <w:autoSpaceDN w:val="0"/>
              <w:bidi w:val="0"/>
              <w:adjustRightInd w:val="0"/>
              <w:snapToGrid w:val="0"/>
              <w:spacing w:before="193" w:line="240" w:lineRule="exact"/>
              <w:ind w:left="114"/>
              <w:textAlignment w:val="baseline"/>
              <w:rPr>
                <w:color w:val="auto"/>
                <w:spacing w:val="9"/>
                <w:highlight w:val="none"/>
              </w:rPr>
            </w:pPr>
            <w:r>
              <w:rPr>
                <w:rFonts w:ascii="宋体" w:hAnsi="宋体" w:eastAsia="宋体" w:cs="宋体"/>
                <w:color w:val="auto"/>
                <w:spacing w:val="8"/>
                <w:sz w:val="20"/>
                <w:szCs w:val="20"/>
                <w:highlight w:val="none"/>
              </w:rPr>
              <w:t>质量保修期自工程竣工验收合格之日起计算</w:t>
            </w:r>
            <w:r>
              <w:rPr>
                <w:color w:val="auto"/>
                <w:spacing w:val="9"/>
                <w:highlight w:val="none"/>
              </w:rPr>
              <w:t>。</w:t>
            </w:r>
          </w:p>
          <w:p w14:paraId="056B6D46">
            <w:pPr>
              <w:pStyle w:val="9"/>
              <w:keepNext w:val="0"/>
              <w:keepLines w:val="0"/>
              <w:pageBreakBefore w:val="0"/>
              <w:widowControl/>
              <w:kinsoku w:val="0"/>
              <w:wordWrap/>
              <w:overflowPunct/>
              <w:topLinePunct w:val="0"/>
              <w:autoSpaceDE w:val="0"/>
              <w:autoSpaceDN w:val="0"/>
              <w:bidi w:val="0"/>
              <w:adjustRightInd w:val="0"/>
              <w:snapToGrid w:val="0"/>
              <w:spacing w:before="191" w:line="240" w:lineRule="exact"/>
              <w:ind w:left="112" w:right="107" w:firstLine="14"/>
              <w:textAlignment w:val="baseline"/>
              <w:rPr>
                <w:color w:val="auto"/>
                <w:spacing w:val="9"/>
                <w:highlight w:val="none"/>
              </w:rPr>
            </w:pPr>
            <w:r>
              <w:rPr>
                <w:color w:val="auto"/>
                <w:spacing w:val="9"/>
                <w:highlight w:val="none"/>
              </w:rPr>
              <w:t>3、响应时间：接到采购人处理问题通知后 4 小时内到达采购人指定现场，8 小时内提出解决方案。在 工程质量保修期期限内发生质量问题，必须在收到质保通知后的 3 个日历天内整改完毕。</w:t>
            </w:r>
          </w:p>
          <w:p w14:paraId="6D3E329A">
            <w:pPr>
              <w:pStyle w:val="9"/>
              <w:keepNext w:val="0"/>
              <w:keepLines w:val="0"/>
              <w:pageBreakBefore w:val="0"/>
              <w:widowControl/>
              <w:kinsoku w:val="0"/>
              <w:wordWrap/>
              <w:overflowPunct/>
              <w:topLinePunct w:val="0"/>
              <w:autoSpaceDE w:val="0"/>
              <w:autoSpaceDN w:val="0"/>
              <w:bidi w:val="0"/>
              <w:adjustRightInd w:val="0"/>
              <w:snapToGrid w:val="0"/>
              <w:spacing w:before="192" w:line="240" w:lineRule="exact"/>
              <w:ind w:left="111"/>
              <w:textAlignment w:val="baseline"/>
              <w:rPr>
                <w:color w:val="auto"/>
                <w:highlight w:val="none"/>
              </w:rPr>
            </w:pPr>
            <w:r>
              <w:rPr>
                <w:color w:val="auto"/>
                <w:spacing w:val="8"/>
                <w:highlight w:val="none"/>
              </w:rPr>
              <w:t>4、其余部分按合同相关条款执行。</w:t>
            </w:r>
          </w:p>
          <w:p w14:paraId="6019D704">
            <w:pPr>
              <w:pStyle w:val="9"/>
              <w:keepNext w:val="0"/>
              <w:keepLines w:val="0"/>
              <w:pageBreakBefore w:val="0"/>
              <w:widowControl/>
              <w:kinsoku w:val="0"/>
              <w:wordWrap/>
              <w:overflowPunct/>
              <w:topLinePunct w:val="0"/>
              <w:autoSpaceDE w:val="0"/>
              <w:autoSpaceDN w:val="0"/>
              <w:bidi w:val="0"/>
              <w:adjustRightInd w:val="0"/>
              <w:snapToGrid w:val="0"/>
              <w:spacing w:before="196" w:line="240" w:lineRule="exact"/>
              <w:ind w:left="113"/>
              <w:textAlignment w:val="baseline"/>
              <w:rPr>
                <w:color w:val="auto"/>
                <w:highlight w:val="none"/>
              </w:rPr>
            </w:pPr>
            <w:r>
              <w:rPr>
                <w:b/>
                <w:bCs/>
                <w:color w:val="auto"/>
                <w:spacing w:val="7"/>
                <w:highlight w:val="none"/>
              </w:rPr>
              <w:t>六、付款方式：详见专用合同条款。</w:t>
            </w:r>
          </w:p>
          <w:p w14:paraId="0C95ED6C">
            <w:pPr>
              <w:pStyle w:val="9"/>
              <w:keepNext w:val="0"/>
              <w:keepLines w:val="0"/>
              <w:pageBreakBefore w:val="0"/>
              <w:widowControl/>
              <w:kinsoku w:val="0"/>
              <w:wordWrap/>
              <w:overflowPunct/>
              <w:topLinePunct w:val="0"/>
              <w:autoSpaceDE w:val="0"/>
              <w:autoSpaceDN w:val="0"/>
              <w:bidi w:val="0"/>
              <w:adjustRightInd w:val="0"/>
              <w:snapToGrid w:val="0"/>
              <w:spacing w:before="160" w:line="240" w:lineRule="exact"/>
              <w:ind w:left="111"/>
              <w:textAlignment w:val="baseline"/>
              <w:rPr>
                <w:color w:val="auto"/>
                <w:highlight w:val="none"/>
              </w:rPr>
            </w:pPr>
            <w:r>
              <w:rPr>
                <w:b/>
                <w:bCs/>
                <w:color w:val="auto"/>
                <w:spacing w:val="7"/>
                <w:highlight w:val="none"/>
              </w:rPr>
              <w:t>七、发包方式：</w:t>
            </w:r>
            <w:r>
              <w:rPr>
                <w:color w:val="auto"/>
                <w:spacing w:val="7"/>
                <w:highlight w:val="none"/>
              </w:rPr>
              <w:t>固定单价。</w:t>
            </w:r>
          </w:p>
          <w:p w14:paraId="370DE10A">
            <w:pPr>
              <w:pStyle w:val="9"/>
              <w:keepNext w:val="0"/>
              <w:keepLines w:val="0"/>
              <w:pageBreakBefore w:val="0"/>
              <w:widowControl/>
              <w:kinsoku w:val="0"/>
              <w:wordWrap/>
              <w:overflowPunct/>
              <w:topLinePunct w:val="0"/>
              <w:autoSpaceDE w:val="0"/>
              <w:autoSpaceDN w:val="0"/>
              <w:bidi w:val="0"/>
              <w:adjustRightInd w:val="0"/>
              <w:snapToGrid w:val="0"/>
              <w:spacing w:before="186" w:line="240" w:lineRule="exact"/>
              <w:ind w:left="115"/>
              <w:textAlignment w:val="baseline"/>
              <w:rPr>
                <w:color w:val="auto"/>
                <w:highlight w:val="none"/>
              </w:rPr>
            </w:pPr>
            <w:r>
              <w:rPr>
                <w:b/>
                <w:bCs/>
                <w:color w:val="auto"/>
                <w:spacing w:val="5"/>
                <w:highlight w:val="none"/>
              </w:rPr>
              <w:t>八、报价方式：</w:t>
            </w:r>
          </w:p>
          <w:p w14:paraId="66D1EFFC">
            <w:pPr>
              <w:pStyle w:val="9"/>
              <w:keepNext w:val="0"/>
              <w:keepLines w:val="0"/>
              <w:pageBreakBefore w:val="0"/>
              <w:widowControl/>
              <w:kinsoku w:val="0"/>
              <w:wordWrap/>
              <w:overflowPunct/>
              <w:topLinePunct w:val="0"/>
              <w:autoSpaceDE w:val="0"/>
              <w:autoSpaceDN w:val="0"/>
              <w:bidi w:val="0"/>
              <w:adjustRightInd w:val="0"/>
              <w:snapToGrid w:val="0"/>
              <w:spacing w:before="193" w:line="240" w:lineRule="exact"/>
              <w:ind w:left="112" w:right="39" w:firstLine="434"/>
              <w:textAlignment w:val="baseline"/>
              <w:rPr>
                <w:color w:val="auto"/>
                <w:highlight w:val="none"/>
              </w:rPr>
            </w:pPr>
            <w:r>
              <w:rPr>
                <w:b/>
                <w:bCs/>
                <w:color w:val="auto"/>
                <w:spacing w:val="6"/>
                <w:highlight w:val="none"/>
              </w:rPr>
              <w:t>1.采用工程量清单报价方式，供应商已标价工程量清单（包含首次报价、最后</w:t>
            </w:r>
            <w:r>
              <w:rPr>
                <w:b/>
                <w:bCs/>
                <w:color w:val="auto"/>
                <w:spacing w:val="5"/>
                <w:highlight w:val="none"/>
              </w:rPr>
              <w:t>报价）的项目编码、</w:t>
            </w:r>
            <w:r>
              <w:rPr>
                <w:color w:val="auto"/>
                <w:highlight w:val="none"/>
              </w:rPr>
              <w:t xml:space="preserve"> </w:t>
            </w:r>
            <w:r>
              <w:rPr>
                <w:b/>
                <w:bCs/>
                <w:color w:val="auto"/>
                <w:spacing w:val="10"/>
                <w:highlight w:val="none"/>
              </w:rPr>
              <w:t>项目名称及项目特征描述、计量单位、工程量须与招</w:t>
            </w:r>
            <w:r>
              <w:rPr>
                <w:b/>
                <w:bCs/>
                <w:color w:val="auto"/>
                <w:spacing w:val="9"/>
                <w:highlight w:val="none"/>
              </w:rPr>
              <w:t>标工程量清单一致的，否则竞标无效；竞标报价</w:t>
            </w:r>
            <w:r>
              <w:rPr>
                <w:color w:val="auto"/>
                <w:highlight w:val="none"/>
              </w:rPr>
              <w:t xml:space="preserve">  </w:t>
            </w:r>
            <w:r>
              <w:rPr>
                <w:b/>
                <w:bCs/>
                <w:color w:val="auto"/>
                <w:spacing w:val="10"/>
                <w:highlight w:val="none"/>
              </w:rPr>
              <w:t>不得高于最高限价。本项目采用二次报价方式，竞标人的</w:t>
            </w:r>
            <w:r>
              <w:rPr>
                <w:b/>
                <w:bCs/>
                <w:color w:val="auto"/>
                <w:spacing w:val="9"/>
                <w:highlight w:val="none"/>
              </w:rPr>
              <w:t>最终报价如有变动，则必须以工程量清单报</w:t>
            </w:r>
            <w:r>
              <w:rPr>
                <w:color w:val="auto"/>
                <w:highlight w:val="none"/>
              </w:rPr>
              <w:t xml:space="preserve">  </w:t>
            </w:r>
            <w:r>
              <w:rPr>
                <w:b/>
                <w:bCs/>
                <w:color w:val="auto"/>
                <w:spacing w:val="8"/>
                <w:highlight w:val="none"/>
              </w:rPr>
              <w:t>价表的格式编制提交，竞标人须提前做好相关准备并按时递交最终报价文件，否则报价无效。</w:t>
            </w:r>
          </w:p>
          <w:p w14:paraId="1FB560F4">
            <w:pPr>
              <w:pStyle w:val="9"/>
              <w:keepNext w:val="0"/>
              <w:keepLines w:val="0"/>
              <w:pageBreakBefore w:val="0"/>
              <w:widowControl/>
              <w:kinsoku w:val="0"/>
              <w:wordWrap/>
              <w:overflowPunct/>
              <w:topLinePunct w:val="0"/>
              <w:autoSpaceDE w:val="0"/>
              <w:autoSpaceDN w:val="0"/>
              <w:bidi w:val="0"/>
              <w:adjustRightInd w:val="0"/>
              <w:snapToGrid w:val="0"/>
              <w:spacing w:before="193" w:line="240" w:lineRule="exact"/>
              <w:ind w:left="534"/>
              <w:textAlignment w:val="baseline"/>
              <w:rPr>
                <w:color w:val="auto"/>
                <w:highlight w:val="none"/>
              </w:rPr>
            </w:pPr>
            <w:r>
              <w:rPr>
                <w:color w:val="auto"/>
                <w:spacing w:val="7"/>
                <w:highlight w:val="none"/>
              </w:rPr>
              <w:t>2.报价必须包含以下部分，包括：</w:t>
            </w:r>
          </w:p>
          <w:p w14:paraId="58A2AB80">
            <w:pPr>
              <w:pStyle w:val="9"/>
              <w:keepNext w:val="0"/>
              <w:keepLines w:val="0"/>
              <w:pageBreakBefore w:val="0"/>
              <w:widowControl/>
              <w:kinsoku w:val="0"/>
              <w:wordWrap/>
              <w:overflowPunct/>
              <w:topLinePunct w:val="0"/>
              <w:autoSpaceDE w:val="0"/>
              <w:autoSpaceDN w:val="0"/>
              <w:bidi w:val="0"/>
              <w:adjustRightInd w:val="0"/>
              <w:snapToGrid w:val="0"/>
              <w:spacing w:before="195" w:line="240" w:lineRule="exact"/>
              <w:ind w:left="113" w:right="37" w:firstLine="417"/>
              <w:textAlignment w:val="baseline"/>
              <w:rPr>
                <w:color w:val="auto"/>
                <w:highlight w:val="none"/>
              </w:rPr>
            </w:pPr>
            <w:r>
              <w:rPr>
                <w:color w:val="auto"/>
                <w:spacing w:val="4"/>
                <w:highlight w:val="none"/>
              </w:rPr>
              <w:t>①满足本项目全部采购需求，包含投标服务、货物、工程的成本、运输（含保</w:t>
            </w:r>
            <w:r>
              <w:rPr>
                <w:color w:val="auto"/>
                <w:spacing w:val="3"/>
                <w:highlight w:val="none"/>
              </w:rPr>
              <w:t>险）、安装（如有）、</w:t>
            </w:r>
            <w:r>
              <w:rPr>
                <w:color w:val="auto"/>
                <w:highlight w:val="none"/>
              </w:rPr>
              <w:t xml:space="preserve"> </w:t>
            </w:r>
            <w:r>
              <w:rPr>
                <w:color w:val="auto"/>
                <w:spacing w:val="8"/>
                <w:highlight w:val="none"/>
              </w:rPr>
              <w:t>调试、检验、技术服务、培训等所有费用。</w:t>
            </w:r>
          </w:p>
          <w:p w14:paraId="0B463DBE">
            <w:pPr>
              <w:pStyle w:val="9"/>
              <w:keepNext w:val="0"/>
              <w:keepLines w:val="0"/>
              <w:pageBreakBefore w:val="0"/>
              <w:widowControl/>
              <w:kinsoku w:val="0"/>
              <w:wordWrap/>
              <w:overflowPunct/>
              <w:topLinePunct w:val="0"/>
              <w:autoSpaceDE w:val="0"/>
              <w:autoSpaceDN w:val="0"/>
              <w:bidi w:val="0"/>
              <w:adjustRightInd w:val="0"/>
              <w:snapToGrid w:val="0"/>
              <w:spacing w:before="195" w:line="240" w:lineRule="exact"/>
              <w:ind w:left="148"/>
              <w:textAlignment w:val="baseline"/>
              <w:rPr>
                <w:color w:val="auto"/>
                <w:highlight w:val="none"/>
              </w:rPr>
            </w:pPr>
            <w:r>
              <w:rPr>
                <w:color w:val="auto"/>
                <w:spacing w:val="9"/>
                <w:highlight w:val="none"/>
              </w:rPr>
              <w:t>②必要的保险费和各项税金（成交供应商需为该工程购买工程一切险）。</w:t>
            </w:r>
          </w:p>
        </w:tc>
      </w:tr>
    </w:tbl>
    <w:p w14:paraId="1FF2D611">
      <w:pPr>
        <w:pStyle w:val="2"/>
        <w:spacing w:line="90" w:lineRule="exact"/>
        <w:rPr>
          <w:color w:val="auto"/>
          <w:sz w:val="7"/>
          <w:highlight w:val="none"/>
        </w:rPr>
      </w:pPr>
    </w:p>
    <w:p w14:paraId="6A1B514E">
      <w:pPr>
        <w:spacing w:line="90" w:lineRule="exact"/>
        <w:rPr>
          <w:color w:val="auto"/>
          <w:sz w:val="7"/>
          <w:szCs w:val="7"/>
          <w:highlight w:val="none"/>
        </w:rPr>
        <w:sectPr>
          <w:headerReference r:id="rId9" w:type="default"/>
          <w:footerReference r:id="rId10" w:type="default"/>
          <w:pgSz w:w="11905" w:h="16839"/>
          <w:pgMar w:top="400" w:right="996" w:bottom="1055" w:left="996" w:header="0" w:footer="819" w:gutter="0"/>
          <w:cols w:space="720" w:num="1"/>
        </w:sectPr>
      </w:pPr>
    </w:p>
    <w:tbl>
      <w:tblPr>
        <w:tblStyle w:val="8"/>
        <w:tblW w:w="990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
        <w:gridCol w:w="9541"/>
      </w:tblGrid>
      <w:tr w14:paraId="700B0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5" w:hRule="atLeast"/>
        </w:trPr>
        <w:tc>
          <w:tcPr>
            <w:tcW w:w="366" w:type="dxa"/>
            <w:textDirection w:val="tbRlV"/>
            <w:vAlign w:val="top"/>
          </w:tcPr>
          <w:p w14:paraId="4531886A">
            <w:pPr>
              <w:pStyle w:val="9"/>
              <w:spacing w:before="44" w:line="213" w:lineRule="auto"/>
              <w:ind w:left="1056"/>
              <w:rPr>
                <w:color w:val="auto"/>
                <w:highlight w:val="none"/>
              </w:rPr>
            </w:pPr>
            <w:r>
              <w:rPr>
                <w:color w:val="auto"/>
                <w:spacing w:val="9"/>
                <w:highlight w:val="none"/>
              </w:rPr>
              <w:t>其</w:t>
            </w:r>
            <w:r>
              <w:rPr>
                <w:color w:val="auto"/>
                <w:spacing w:val="15"/>
                <w:highlight w:val="none"/>
              </w:rPr>
              <w:t xml:space="preserve">  </w:t>
            </w:r>
            <w:r>
              <w:rPr>
                <w:color w:val="auto"/>
                <w:spacing w:val="9"/>
                <w:highlight w:val="none"/>
              </w:rPr>
              <w:t>他</w:t>
            </w:r>
            <w:r>
              <w:rPr>
                <w:color w:val="auto"/>
                <w:spacing w:val="14"/>
                <w:highlight w:val="none"/>
              </w:rPr>
              <w:t xml:space="preserve">  </w:t>
            </w:r>
            <w:r>
              <w:rPr>
                <w:color w:val="auto"/>
                <w:spacing w:val="9"/>
                <w:highlight w:val="none"/>
              </w:rPr>
              <w:t>说</w:t>
            </w:r>
            <w:r>
              <w:rPr>
                <w:color w:val="auto"/>
                <w:spacing w:val="16"/>
                <w:highlight w:val="none"/>
              </w:rPr>
              <w:t xml:space="preserve">  </w:t>
            </w:r>
            <w:r>
              <w:rPr>
                <w:color w:val="auto"/>
                <w:spacing w:val="9"/>
                <w:highlight w:val="none"/>
              </w:rPr>
              <w:t>明</w:t>
            </w:r>
          </w:p>
        </w:tc>
        <w:tc>
          <w:tcPr>
            <w:tcW w:w="9541" w:type="dxa"/>
            <w:vAlign w:val="top"/>
          </w:tcPr>
          <w:p w14:paraId="6619E282">
            <w:pPr>
              <w:pStyle w:val="9"/>
              <w:spacing w:before="176" w:line="228" w:lineRule="auto"/>
              <w:ind w:left="115"/>
              <w:rPr>
                <w:color w:val="auto"/>
                <w:highlight w:val="none"/>
              </w:rPr>
            </w:pPr>
            <w:r>
              <w:rPr>
                <w:b/>
                <w:bCs/>
                <w:color w:val="auto"/>
                <w:spacing w:val="7"/>
                <w:highlight w:val="none"/>
              </w:rPr>
              <w:t>一、进口产品说明</w:t>
            </w:r>
          </w:p>
          <w:p w14:paraId="72E5BFF5">
            <w:pPr>
              <w:pStyle w:val="9"/>
              <w:spacing w:before="191" w:line="228" w:lineRule="auto"/>
              <w:ind w:left="112"/>
              <w:rPr>
                <w:color w:val="auto"/>
                <w:highlight w:val="none"/>
              </w:rPr>
            </w:pPr>
            <w:r>
              <w:rPr>
                <w:color w:val="auto"/>
                <w:spacing w:val="8"/>
                <w:highlight w:val="none"/>
              </w:rPr>
              <w:t>本项目不涉及进口产品。</w:t>
            </w:r>
          </w:p>
          <w:p w14:paraId="5EC64D30">
            <w:pPr>
              <w:pStyle w:val="9"/>
              <w:spacing w:before="194" w:line="228" w:lineRule="auto"/>
              <w:ind w:left="115"/>
              <w:rPr>
                <w:color w:val="auto"/>
                <w:highlight w:val="none"/>
              </w:rPr>
            </w:pPr>
            <w:r>
              <w:rPr>
                <w:b/>
                <w:bCs/>
                <w:color w:val="auto"/>
                <w:spacing w:val="8"/>
                <w:highlight w:val="none"/>
              </w:rPr>
              <w:t>二、与本项目有关的图纸、工程量清单及其获取方式</w:t>
            </w:r>
          </w:p>
          <w:p w14:paraId="6A67981C">
            <w:pPr>
              <w:pStyle w:val="9"/>
              <w:spacing w:before="192" w:line="229" w:lineRule="auto"/>
              <w:ind w:left="121"/>
              <w:rPr>
                <w:color w:val="auto"/>
                <w:highlight w:val="none"/>
              </w:rPr>
            </w:pPr>
            <w:r>
              <w:rPr>
                <w:b/>
                <w:bCs/>
                <w:color w:val="auto"/>
                <w:spacing w:val="6"/>
                <w:highlight w:val="none"/>
              </w:rPr>
              <w:t>资料名称：1、工程量清单；2、图纸。</w:t>
            </w:r>
          </w:p>
          <w:p w14:paraId="68CF1CE5">
            <w:pPr>
              <w:pStyle w:val="9"/>
              <w:spacing w:before="190" w:line="406" w:lineRule="auto"/>
              <w:ind w:left="113" w:right="56" w:firstLine="1"/>
              <w:jc w:val="both"/>
              <w:rPr>
                <w:color w:val="auto"/>
                <w:highlight w:val="none"/>
              </w:rPr>
            </w:pPr>
            <w:r>
              <w:rPr>
                <w:b/>
                <w:bCs/>
                <w:color w:val="auto"/>
                <w:spacing w:val="9"/>
                <w:highlight w:val="none"/>
              </w:rPr>
              <w:t>获取方式：网上下载。供应商可自行在广西政府采购云平台（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b/>
                <w:bCs/>
                <w:color w:val="auto"/>
                <w:highlight w:val="none"/>
              </w:rPr>
              <w:t>https</w:t>
            </w:r>
            <w:r>
              <w:rPr>
                <w:b/>
                <w:bCs/>
                <w:color w:val="auto"/>
                <w:spacing w:val="9"/>
                <w:highlight w:val="none"/>
              </w:rPr>
              <w:t>://</w:t>
            </w:r>
            <w:r>
              <w:rPr>
                <w:b/>
                <w:bCs/>
                <w:color w:val="auto"/>
                <w:highlight w:val="none"/>
              </w:rPr>
              <w:t>www</w:t>
            </w:r>
            <w:r>
              <w:rPr>
                <w:b/>
                <w:bCs/>
                <w:color w:val="auto"/>
                <w:spacing w:val="9"/>
                <w:highlight w:val="none"/>
              </w:rPr>
              <w:t>.</w:t>
            </w:r>
            <w:r>
              <w:rPr>
                <w:b/>
                <w:bCs/>
                <w:color w:val="auto"/>
                <w:highlight w:val="none"/>
              </w:rPr>
              <w:t>gcy</w:t>
            </w:r>
            <w:r>
              <w:rPr>
                <w:b/>
                <w:bCs/>
                <w:color w:val="auto"/>
                <w:spacing w:val="9"/>
                <w:highlight w:val="none"/>
              </w:rPr>
              <w:t>.</w:t>
            </w:r>
            <w:r>
              <w:rPr>
                <w:b/>
                <w:bCs/>
                <w:color w:val="auto"/>
                <w:highlight w:val="none"/>
              </w:rPr>
              <w:t>zfcg</w:t>
            </w:r>
            <w:r>
              <w:rPr>
                <w:b/>
                <w:bCs/>
                <w:color w:val="auto"/>
                <w:spacing w:val="9"/>
                <w:highlight w:val="none"/>
              </w:rPr>
              <w:t>.</w:t>
            </w:r>
            <w:r>
              <w:rPr>
                <w:b/>
                <w:bCs/>
                <w:color w:val="auto"/>
                <w:highlight w:val="none"/>
              </w:rPr>
              <w:t>gxzf</w:t>
            </w:r>
            <w:r>
              <w:rPr>
                <w:b/>
                <w:bCs/>
                <w:color w:val="auto"/>
                <w:spacing w:val="9"/>
                <w:highlight w:val="none"/>
              </w:rPr>
              <w:t>.</w:t>
            </w:r>
            <w:r>
              <w:rPr>
                <w:b/>
                <w:bCs/>
                <w:color w:val="auto"/>
                <w:highlight w:val="none"/>
              </w:rPr>
              <w:t>gov</w:t>
            </w:r>
            <w:r>
              <w:rPr>
                <w:b/>
                <w:bCs/>
                <w:color w:val="auto"/>
                <w:spacing w:val="9"/>
                <w:highlight w:val="none"/>
              </w:rPr>
              <w:t>.</w:t>
            </w:r>
            <w:r>
              <w:rPr>
                <w:b/>
                <w:bCs/>
                <w:color w:val="auto"/>
                <w:highlight w:val="none"/>
              </w:rPr>
              <w:t>cn</w:t>
            </w:r>
            <w:r>
              <w:rPr>
                <w:b/>
                <w:bCs/>
                <w:color w:val="auto"/>
                <w:spacing w:val="9"/>
                <w:highlight w:val="none"/>
              </w:rPr>
              <w:t>/</w:t>
            </w:r>
            <w:r>
              <w:rPr>
                <w:b/>
                <w:bCs/>
                <w:color w:val="auto"/>
                <w:spacing w:val="9"/>
                <w:highlight w:val="none"/>
              </w:rPr>
              <w:fldChar w:fldCharType="end"/>
            </w:r>
            <w:r>
              <w:rPr>
                <w:b/>
                <w:bCs/>
                <w:color w:val="auto"/>
                <w:spacing w:val="9"/>
                <w:highlight w:val="none"/>
              </w:rPr>
              <w:t>）</w:t>
            </w:r>
            <w:r>
              <w:rPr>
                <w:color w:val="auto"/>
                <w:highlight w:val="none"/>
              </w:rPr>
              <w:t xml:space="preserve">  </w:t>
            </w:r>
            <w:r>
              <w:rPr>
                <w:b/>
                <w:bCs/>
                <w:color w:val="auto"/>
                <w:spacing w:val="8"/>
                <w:highlight w:val="none"/>
              </w:rPr>
              <w:t>下载相关资料，方式同采购文件获取方式（操作路径：登录广西政府采购云平台-项目采购-获取采购</w:t>
            </w:r>
            <w:r>
              <w:rPr>
                <w:color w:val="auto"/>
                <w:spacing w:val="5"/>
                <w:highlight w:val="none"/>
              </w:rPr>
              <w:t xml:space="preserve">  </w:t>
            </w:r>
            <w:r>
              <w:rPr>
                <w:b/>
                <w:bCs/>
                <w:color w:val="auto"/>
                <w:spacing w:val="5"/>
                <w:highlight w:val="none"/>
              </w:rPr>
              <w:t>文件-找到本项目-点击“</w:t>
            </w:r>
            <w:r>
              <w:rPr>
                <w:color w:val="auto"/>
                <w:spacing w:val="-65"/>
                <w:highlight w:val="none"/>
              </w:rPr>
              <w:t xml:space="preserve"> </w:t>
            </w:r>
            <w:r>
              <w:rPr>
                <w:b/>
                <w:bCs/>
                <w:color w:val="auto"/>
                <w:spacing w:val="5"/>
                <w:highlight w:val="none"/>
              </w:rPr>
              <w:t>申请获取工程量清单、</w:t>
            </w:r>
            <w:r>
              <w:rPr>
                <w:b/>
                <w:bCs/>
                <w:color w:val="auto"/>
                <w:spacing w:val="4"/>
                <w:highlight w:val="none"/>
              </w:rPr>
              <w:t>图纸</w:t>
            </w:r>
            <w:r>
              <w:rPr>
                <w:color w:val="auto"/>
                <w:spacing w:val="-70"/>
                <w:highlight w:val="none"/>
              </w:rPr>
              <w:t xml:space="preserve"> </w:t>
            </w:r>
            <w:r>
              <w:rPr>
                <w:b/>
                <w:bCs/>
                <w:color w:val="auto"/>
                <w:spacing w:val="4"/>
                <w:highlight w:val="none"/>
              </w:rPr>
              <w:t>”）。</w:t>
            </w:r>
          </w:p>
          <w:p w14:paraId="24128D0D">
            <w:pPr>
              <w:pStyle w:val="9"/>
              <w:spacing w:line="228" w:lineRule="auto"/>
              <w:ind w:left="112"/>
              <w:rPr>
                <w:color w:val="auto"/>
                <w:highlight w:val="none"/>
              </w:rPr>
            </w:pPr>
            <w:r>
              <w:rPr>
                <w:color w:val="auto"/>
                <w:spacing w:val="8"/>
                <w:highlight w:val="none"/>
              </w:rPr>
              <w:t>三、现场踏勘：不组织。</w:t>
            </w:r>
          </w:p>
        </w:tc>
      </w:tr>
    </w:tbl>
    <w:p w14:paraId="2D0DDD0A">
      <w:pPr>
        <w:pStyle w:val="2"/>
        <w:rPr>
          <w:color w:val="auto"/>
          <w:highlight w:val="none"/>
        </w:rPr>
      </w:pPr>
    </w:p>
    <w:p w14:paraId="37AC15E0">
      <w:pPr>
        <w:rPr>
          <w:color w:val="auto"/>
          <w:highlight w:val="none"/>
        </w:rPr>
        <w:sectPr>
          <w:headerReference r:id="rId11" w:type="default"/>
          <w:footerReference r:id="rId12" w:type="default"/>
          <w:pgSz w:w="11905" w:h="16839"/>
          <w:pgMar w:top="1143" w:right="996" w:bottom="1055" w:left="996" w:header="945" w:footer="819" w:gutter="0"/>
          <w:cols w:space="720" w:num="1"/>
        </w:sectPr>
      </w:pPr>
    </w:p>
    <w:p w14:paraId="1D5E0DF6">
      <w:pPr>
        <w:spacing w:before="242" w:line="225" w:lineRule="auto"/>
        <w:ind w:left="181"/>
        <w:rPr>
          <w:rFonts w:ascii="宋体" w:hAnsi="宋体" w:eastAsia="宋体" w:cs="宋体"/>
          <w:color w:val="auto"/>
          <w:sz w:val="31"/>
          <w:szCs w:val="31"/>
          <w:highlight w:val="none"/>
        </w:rPr>
      </w:pPr>
      <w:r>
        <w:rPr>
          <w:rFonts w:ascii="宋体" w:hAnsi="宋体" w:eastAsia="宋体" w:cs="宋体"/>
          <w:color w:val="auto"/>
          <w:spacing w:val="-13"/>
          <w:sz w:val="31"/>
          <w:szCs w:val="31"/>
          <w:highlight w:val="none"/>
        </w:rPr>
        <w:t>附件</w:t>
      </w:r>
      <w:r>
        <w:rPr>
          <w:rFonts w:ascii="宋体" w:hAnsi="宋体" w:eastAsia="宋体" w:cs="宋体"/>
          <w:color w:val="auto"/>
          <w:spacing w:val="-37"/>
          <w:sz w:val="31"/>
          <w:szCs w:val="31"/>
          <w:highlight w:val="none"/>
        </w:rPr>
        <w:t xml:space="preserve"> </w:t>
      </w:r>
      <w:r>
        <w:rPr>
          <w:rFonts w:ascii="宋体" w:hAnsi="宋体" w:eastAsia="宋体" w:cs="宋体"/>
          <w:color w:val="auto"/>
          <w:spacing w:val="-13"/>
          <w:sz w:val="31"/>
          <w:szCs w:val="31"/>
          <w:highlight w:val="none"/>
        </w:rPr>
        <w:t>1：</w:t>
      </w:r>
    </w:p>
    <w:p w14:paraId="3B988D6E">
      <w:pPr>
        <w:pStyle w:val="2"/>
        <w:spacing w:line="265" w:lineRule="auto"/>
        <w:rPr>
          <w:color w:val="auto"/>
          <w:highlight w:val="none"/>
        </w:rPr>
      </w:pPr>
    </w:p>
    <w:p w14:paraId="7D4B471A">
      <w:pPr>
        <w:spacing w:before="130" w:line="208" w:lineRule="auto"/>
        <w:ind w:left="2005"/>
        <w:rPr>
          <w:rFonts w:ascii="宋体" w:hAnsi="宋体" w:eastAsia="宋体" w:cs="宋体"/>
          <w:color w:val="auto"/>
          <w:sz w:val="40"/>
          <w:szCs w:val="40"/>
          <w:highlight w:val="none"/>
        </w:rPr>
      </w:pPr>
      <w:r>
        <w:rPr>
          <w:rFonts w:ascii="宋体" w:hAnsi="宋体" w:eastAsia="宋体" w:cs="宋体"/>
          <w:color w:val="auto"/>
          <w:spacing w:val="-2"/>
          <w:sz w:val="40"/>
          <w:szCs w:val="40"/>
          <w:highlight w:val="none"/>
        </w:rPr>
        <w:t>节能产品政府采购品目清单</w:t>
      </w:r>
    </w:p>
    <w:tbl>
      <w:tblPr>
        <w:tblStyle w:val="8"/>
        <w:tblW w:w="922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0"/>
        <w:gridCol w:w="1114"/>
        <w:gridCol w:w="1513"/>
        <w:gridCol w:w="1609"/>
        <w:gridCol w:w="4338"/>
      </w:tblGrid>
      <w:tr w14:paraId="2656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7" w:hRule="atLeast"/>
        </w:trPr>
        <w:tc>
          <w:tcPr>
            <w:tcW w:w="650" w:type="dxa"/>
            <w:textDirection w:val="tbRlV"/>
            <w:vAlign w:val="top"/>
          </w:tcPr>
          <w:p w14:paraId="0BE449DA">
            <w:pPr>
              <w:pStyle w:val="9"/>
              <w:spacing w:before="210" w:line="203" w:lineRule="auto"/>
              <w:ind w:left="60"/>
              <w:rPr>
                <w:color w:val="auto"/>
                <w:sz w:val="22"/>
                <w:szCs w:val="22"/>
                <w:highlight w:val="none"/>
              </w:rPr>
            </w:pPr>
            <w:r>
              <w:rPr>
                <w:b/>
                <w:bCs/>
                <w:color w:val="auto"/>
                <w:spacing w:val="-1"/>
                <w:sz w:val="22"/>
                <w:szCs w:val="22"/>
                <w:highlight w:val="none"/>
              </w:rPr>
              <w:t>品</w:t>
            </w:r>
            <w:r>
              <w:rPr>
                <w:color w:val="auto"/>
                <w:spacing w:val="-1"/>
                <w:sz w:val="22"/>
                <w:szCs w:val="22"/>
                <w:highlight w:val="none"/>
              </w:rPr>
              <w:t xml:space="preserve"> </w:t>
            </w:r>
            <w:r>
              <w:rPr>
                <w:b/>
                <w:bCs/>
                <w:color w:val="auto"/>
                <w:spacing w:val="-1"/>
                <w:position w:val="1"/>
                <w:sz w:val="22"/>
                <w:szCs w:val="22"/>
                <w:highlight w:val="none"/>
              </w:rPr>
              <w:t>目</w:t>
            </w:r>
            <w:r>
              <w:rPr>
                <w:color w:val="auto"/>
                <w:spacing w:val="-1"/>
                <w:position w:val="1"/>
                <w:sz w:val="22"/>
                <w:szCs w:val="22"/>
                <w:highlight w:val="none"/>
              </w:rPr>
              <w:t xml:space="preserve"> </w:t>
            </w:r>
            <w:r>
              <w:rPr>
                <w:b/>
                <w:bCs/>
                <w:color w:val="auto"/>
                <w:spacing w:val="-1"/>
                <w:sz w:val="22"/>
                <w:szCs w:val="22"/>
                <w:highlight w:val="none"/>
              </w:rPr>
              <w:t>序</w:t>
            </w:r>
            <w:r>
              <w:rPr>
                <w:color w:val="auto"/>
                <w:spacing w:val="-1"/>
                <w:sz w:val="22"/>
                <w:szCs w:val="22"/>
                <w:highlight w:val="none"/>
              </w:rPr>
              <w:t xml:space="preserve"> </w:t>
            </w:r>
            <w:r>
              <w:rPr>
                <w:b/>
                <w:bCs/>
                <w:color w:val="auto"/>
                <w:spacing w:val="-1"/>
                <w:sz w:val="22"/>
                <w:szCs w:val="22"/>
                <w:highlight w:val="none"/>
              </w:rPr>
              <w:t>号</w:t>
            </w:r>
          </w:p>
        </w:tc>
        <w:tc>
          <w:tcPr>
            <w:tcW w:w="4236" w:type="dxa"/>
            <w:gridSpan w:val="3"/>
            <w:vAlign w:val="top"/>
          </w:tcPr>
          <w:p w14:paraId="33F946C5">
            <w:pPr>
              <w:rPr>
                <w:rFonts w:ascii="Arial"/>
                <w:color w:val="auto"/>
                <w:sz w:val="21"/>
                <w:highlight w:val="none"/>
              </w:rPr>
            </w:pPr>
          </w:p>
          <w:p w14:paraId="6BEE11E6">
            <w:pPr>
              <w:rPr>
                <w:rFonts w:ascii="Arial"/>
                <w:color w:val="auto"/>
                <w:sz w:val="21"/>
                <w:highlight w:val="none"/>
              </w:rPr>
            </w:pPr>
          </w:p>
          <w:p w14:paraId="376B62CA">
            <w:pPr>
              <w:pStyle w:val="9"/>
              <w:spacing w:before="72" w:line="223" w:lineRule="auto"/>
              <w:ind w:left="1897"/>
              <w:rPr>
                <w:color w:val="auto"/>
                <w:sz w:val="22"/>
                <w:szCs w:val="22"/>
                <w:highlight w:val="none"/>
              </w:rPr>
            </w:pPr>
            <w:r>
              <w:rPr>
                <w:b/>
                <w:bCs/>
                <w:color w:val="auto"/>
                <w:spacing w:val="-8"/>
                <w:sz w:val="22"/>
                <w:szCs w:val="22"/>
                <w:highlight w:val="none"/>
              </w:rPr>
              <w:t>名称</w:t>
            </w:r>
          </w:p>
        </w:tc>
        <w:tc>
          <w:tcPr>
            <w:tcW w:w="4338" w:type="dxa"/>
            <w:vAlign w:val="top"/>
          </w:tcPr>
          <w:p w14:paraId="2C5025B7">
            <w:pPr>
              <w:rPr>
                <w:rFonts w:ascii="Arial"/>
                <w:color w:val="auto"/>
                <w:sz w:val="21"/>
                <w:highlight w:val="none"/>
              </w:rPr>
            </w:pPr>
          </w:p>
          <w:p w14:paraId="0B0FFF92">
            <w:pPr>
              <w:spacing w:line="241" w:lineRule="auto"/>
              <w:rPr>
                <w:rFonts w:ascii="Arial"/>
                <w:color w:val="auto"/>
                <w:sz w:val="21"/>
                <w:highlight w:val="none"/>
              </w:rPr>
            </w:pPr>
          </w:p>
          <w:p w14:paraId="6FD8BC47">
            <w:pPr>
              <w:pStyle w:val="9"/>
              <w:spacing w:before="71" w:line="220" w:lineRule="auto"/>
              <w:ind w:left="1618"/>
              <w:rPr>
                <w:color w:val="auto"/>
                <w:sz w:val="22"/>
                <w:szCs w:val="22"/>
                <w:highlight w:val="none"/>
              </w:rPr>
            </w:pPr>
            <w:r>
              <w:rPr>
                <w:b/>
                <w:bCs/>
                <w:color w:val="auto"/>
                <w:spacing w:val="-4"/>
                <w:sz w:val="22"/>
                <w:szCs w:val="22"/>
                <w:highlight w:val="none"/>
              </w:rPr>
              <w:t>依据的标准</w:t>
            </w:r>
          </w:p>
        </w:tc>
      </w:tr>
      <w:tr w14:paraId="44574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restart"/>
            <w:tcBorders>
              <w:bottom w:val="nil"/>
            </w:tcBorders>
            <w:vAlign w:val="top"/>
          </w:tcPr>
          <w:p w14:paraId="42EED745">
            <w:pPr>
              <w:spacing w:line="252" w:lineRule="auto"/>
              <w:rPr>
                <w:rFonts w:ascii="Arial"/>
                <w:color w:val="auto"/>
                <w:sz w:val="21"/>
                <w:highlight w:val="none"/>
              </w:rPr>
            </w:pPr>
          </w:p>
          <w:p w14:paraId="09E0FF60">
            <w:pPr>
              <w:spacing w:line="252" w:lineRule="auto"/>
              <w:rPr>
                <w:rFonts w:ascii="Arial"/>
                <w:color w:val="auto"/>
                <w:sz w:val="21"/>
                <w:highlight w:val="none"/>
              </w:rPr>
            </w:pPr>
          </w:p>
          <w:p w14:paraId="0AFB0A3E">
            <w:pPr>
              <w:spacing w:line="252" w:lineRule="auto"/>
              <w:rPr>
                <w:rFonts w:ascii="Arial"/>
                <w:color w:val="auto"/>
                <w:sz w:val="21"/>
                <w:highlight w:val="none"/>
              </w:rPr>
            </w:pPr>
          </w:p>
          <w:p w14:paraId="45D93090">
            <w:pPr>
              <w:spacing w:line="253" w:lineRule="auto"/>
              <w:rPr>
                <w:rFonts w:ascii="Arial"/>
                <w:color w:val="auto"/>
                <w:sz w:val="21"/>
                <w:highlight w:val="none"/>
              </w:rPr>
            </w:pPr>
          </w:p>
          <w:p w14:paraId="12387AD0">
            <w:pPr>
              <w:pStyle w:val="9"/>
              <w:spacing w:before="62" w:line="258" w:lineRule="exact"/>
              <w:ind w:left="285"/>
              <w:rPr>
                <w:color w:val="auto"/>
                <w:sz w:val="19"/>
                <w:szCs w:val="19"/>
                <w:highlight w:val="none"/>
              </w:rPr>
            </w:pPr>
            <w:r>
              <w:rPr>
                <w:color w:val="auto"/>
                <w:position w:val="1"/>
                <w:sz w:val="19"/>
                <w:szCs w:val="19"/>
                <w:highlight w:val="none"/>
              </w:rPr>
              <w:t>1</w:t>
            </w:r>
          </w:p>
        </w:tc>
        <w:tc>
          <w:tcPr>
            <w:tcW w:w="1114" w:type="dxa"/>
            <w:vMerge w:val="restart"/>
            <w:tcBorders>
              <w:bottom w:val="nil"/>
            </w:tcBorders>
            <w:vAlign w:val="top"/>
          </w:tcPr>
          <w:p w14:paraId="66B159A2">
            <w:pPr>
              <w:spacing w:line="340" w:lineRule="auto"/>
              <w:rPr>
                <w:rFonts w:ascii="Arial"/>
                <w:color w:val="auto"/>
                <w:sz w:val="21"/>
                <w:highlight w:val="none"/>
              </w:rPr>
            </w:pPr>
          </w:p>
          <w:p w14:paraId="61F64F01">
            <w:pPr>
              <w:spacing w:line="340" w:lineRule="auto"/>
              <w:rPr>
                <w:rFonts w:ascii="Arial"/>
                <w:color w:val="auto"/>
                <w:sz w:val="21"/>
                <w:highlight w:val="none"/>
              </w:rPr>
            </w:pPr>
          </w:p>
          <w:p w14:paraId="30245065">
            <w:pPr>
              <w:pStyle w:val="9"/>
              <w:spacing w:before="62" w:line="256" w:lineRule="exact"/>
              <w:ind w:left="195"/>
              <w:rPr>
                <w:color w:val="auto"/>
                <w:sz w:val="19"/>
                <w:szCs w:val="19"/>
                <w:highlight w:val="none"/>
              </w:rPr>
            </w:pPr>
            <w:r>
              <w:rPr>
                <w:color w:val="auto"/>
                <w:spacing w:val="4"/>
                <w:position w:val="1"/>
                <w:sz w:val="19"/>
                <w:szCs w:val="19"/>
                <w:highlight w:val="none"/>
              </w:rPr>
              <w:t>A020101</w:t>
            </w:r>
          </w:p>
          <w:p w14:paraId="0B0FFC08">
            <w:pPr>
              <w:pStyle w:val="9"/>
              <w:spacing w:before="75" w:line="228" w:lineRule="auto"/>
              <w:ind w:left="151"/>
              <w:rPr>
                <w:color w:val="auto"/>
                <w:sz w:val="19"/>
                <w:szCs w:val="19"/>
                <w:highlight w:val="none"/>
              </w:rPr>
            </w:pPr>
            <w:r>
              <w:rPr>
                <w:color w:val="auto"/>
                <w:spacing w:val="7"/>
                <w:sz w:val="19"/>
                <w:szCs w:val="19"/>
                <w:highlight w:val="none"/>
              </w:rPr>
              <w:t>计算机设</w:t>
            </w:r>
          </w:p>
          <w:p w14:paraId="11AF8B19">
            <w:pPr>
              <w:pStyle w:val="9"/>
              <w:spacing w:before="96" w:line="230" w:lineRule="auto"/>
              <w:ind w:left="453"/>
              <w:rPr>
                <w:color w:val="auto"/>
                <w:sz w:val="19"/>
                <w:szCs w:val="19"/>
                <w:highlight w:val="none"/>
              </w:rPr>
            </w:pPr>
            <w:r>
              <w:rPr>
                <w:color w:val="auto"/>
                <w:sz w:val="19"/>
                <w:szCs w:val="19"/>
                <w:highlight w:val="none"/>
              </w:rPr>
              <w:t>备</w:t>
            </w:r>
          </w:p>
        </w:tc>
        <w:tc>
          <w:tcPr>
            <w:tcW w:w="1513" w:type="dxa"/>
            <w:vAlign w:val="top"/>
          </w:tcPr>
          <w:p w14:paraId="6A90C034">
            <w:pPr>
              <w:pStyle w:val="9"/>
              <w:spacing w:before="65" w:line="287" w:lineRule="auto"/>
              <w:ind w:left="269" w:right="203" w:hanging="62"/>
              <w:rPr>
                <w:color w:val="auto"/>
                <w:sz w:val="19"/>
                <w:szCs w:val="19"/>
                <w:highlight w:val="none"/>
              </w:rPr>
            </w:pPr>
            <w:r>
              <w:rPr>
                <w:color w:val="auto"/>
                <w:spacing w:val="4"/>
                <w:sz w:val="19"/>
                <w:szCs w:val="19"/>
                <w:highlight w:val="none"/>
              </w:rPr>
              <w:t>★A02010104</w:t>
            </w:r>
            <w:r>
              <w:rPr>
                <w:color w:val="auto"/>
                <w:sz w:val="19"/>
                <w:szCs w:val="19"/>
                <w:highlight w:val="none"/>
              </w:rPr>
              <w:t xml:space="preserve"> </w:t>
            </w:r>
            <w:r>
              <w:rPr>
                <w:color w:val="auto"/>
                <w:spacing w:val="4"/>
                <w:sz w:val="19"/>
                <w:szCs w:val="19"/>
                <w:highlight w:val="none"/>
              </w:rPr>
              <w:t>台式计算机</w:t>
            </w:r>
          </w:p>
        </w:tc>
        <w:tc>
          <w:tcPr>
            <w:tcW w:w="1609" w:type="dxa"/>
            <w:vAlign w:val="top"/>
          </w:tcPr>
          <w:p w14:paraId="5CE628A3">
            <w:pPr>
              <w:rPr>
                <w:rFonts w:ascii="Arial"/>
                <w:color w:val="auto"/>
                <w:sz w:val="21"/>
                <w:highlight w:val="none"/>
              </w:rPr>
            </w:pPr>
          </w:p>
        </w:tc>
        <w:tc>
          <w:tcPr>
            <w:tcW w:w="4338" w:type="dxa"/>
            <w:vAlign w:val="top"/>
          </w:tcPr>
          <w:p w14:paraId="08DF4663">
            <w:pPr>
              <w:pStyle w:val="9"/>
              <w:spacing w:before="65" w:line="287" w:lineRule="auto"/>
              <w:ind w:left="117" w:right="836" w:hanging="4"/>
              <w:rPr>
                <w:color w:val="auto"/>
                <w:sz w:val="19"/>
                <w:szCs w:val="19"/>
                <w:highlight w:val="none"/>
              </w:rPr>
            </w:pPr>
            <w:r>
              <w:rPr>
                <w:color w:val="auto"/>
                <w:spacing w:val="8"/>
                <w:sz w:val="19"/>
                <w:szCs w:val="19"/>
                <w:highlight w:val="none"/>
              </w:rPr>
              <w:t>《微型计算机能效限定值及能效等级》</w:t>
            </w:r>
            <w:r>
              <w:rPr>
                <w:color w:val="auto"/>
                <w:spacing w:val="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28380）</w:t>
            </w:r>
          </w:p>
        </w:tc>
      </w:tr>
      <w:tr w14:paraId="17C5B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06E51A66">
            <w:pPr>
              <w:rPr>
                <w:rFonts w:ascii="Arial"/>
                <w:color w:val="auto"/>
                <w:sz w:val="21"/>
                <w:highlight w:val="none"/>
              </w:rPr>
            </w:pPr>
          </w:p>
        </w:tc>
        <w:tc>
          <w:tcPr>
            <w:tcW w:w="1114" w:type="dxa"/>
            <w:vMerge w:val="continue"/>
            <w:tcBorders>
              <w:top w:val="nil"/>
              <w:bottom w:val="nil"/>
            </w:tcBorders>
            <w:vAlign w:val="top"/>
          </w:tcPr>
          <w:p w14:paraId="19453BBC">
            <w:pPr>
              <w:rPr>
                <w:rFonts w:ascii="Arial"/>
                <w:color w:val="auto"/>
                <w:sz w:val="21"/>
                <w:highlight w:val="none"/>
              </w:rPr>
            </w:pPr>
          </w:p>
        </w:tc>
        <w:tc>
          <w:tcPr>
            <w:tcW w:w="1513" w:type="dxa"/>
            <w:vAlign w:val="top"/>
          </w:tcPr>
          <w:p w14:paraId="2F1CD380">
            <w:pPr>
              <w:pStyle w:val="9"/>
              <w:spacing w:before="65" w:line="287" w:lineRule="auto"/>
              <w:ind w:left="154" w:right="152" w:firstLine="52"/>
              <w:rPr>
                <w:color w:val="auto"/>
                <w:sz w:val="19"/>
                <w:szCs w:val="19"/>
                <w:highlight w:val="none"/>
              </w:rPr>
            </w:pPr>
            <w:r>
              <w:rPr>
                <w:color w:val="auto"/>
                <w:spacing w:val="4"/>
                <w:sz w:val="19"/>
                <w:szCs w:val="19"/>
                <w:highlight w:val="none"/>
              </w:rPr>
              <w:t>★A02010105</w:t>
            </w:r>
            <w:r>
              <w:rPr>
                <w:color w:val="auto"/>
                <w:sz w:val="19"/>
                <w:szCs w:val="19"/>
                <w:highlight w:val="none"/>
              </w:rPr>
              <w:t xml:space="preserve"> </w:t>
            </w:r>
            <w:r>
              <w:rPr>
                <w:color w:val="auto"/>
                <w:spacing w:val="8"/>
                <w:sz w:val="19"/>
                <w:szCs w:val="19"/>
                <w:highlight w:val="none"/>
              </w:rPr>
              <w:t>便携式计算机</w:t>
            </w:r>
          </w:p>
        </w:tc>
        <w:tc>
          <w:tcPr>
            <w:tcW w:w="1609" w:type="dxa"/>
            <w:vAlign w:val="top"/>
          </w:tcPr>
          <w:p w14:paraId="525D0F53">
            <w:pPr>
              <w:rPr>
                <w:rFonts w:ascii="Arial"/>
                <w:color w:val="auto"/>
                <w:sz w:val="21"/>
                <w:highlight w:val="none"/>
              </w:rPr>
            </w:pPr>
          </w:p>
        </w:tc>
        <w:tc>
          <w:tcPr>
            <w:tcW w:w="4338" w:type="dxa"/>
            <w:vAlign w:val="top"/>
          </w:tcPr>
          <w:p w14:paraId="1C93471F">
            <w:pPr>
              <w:pStyle w:val="9"/>
              <w:spacing w:before="65" w:line="287" w:lineRule="auto"/>
              <w:ind w:left="117" w:right="836" w:hanging="4"/>
              <w:rPr>
                <w:color w:val="auto"/>
                <w:sz w:val="19"/>
                <w:szCs w:val="19"/>
                <w:highlight w:val="none"/>
              </w:rPr>
            </w:pPr>
            <w:r>
              <w:rPr>
                <w:color w:val="auto"/>
                <w:spacing w:val="8"/>
                <w:sz w:val="19"/>
                <w:szCs w:val="19"/>
                <w:highlight w:val="none"/>
              </w:rPr>
              <w:t>《微型计算机能效限定值及能效等级》</w:t>
            </w:r>
            <w:r>
              <w:rPr>
                <w:color w:val="auto"/>
                <w:spacing w:val="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28380）</w:t>
            </w:r>
          </w:p>
        </w:tc>
      </w:tr>
      <w:tr w14:paraId="1A95F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50" w:type="dxa"/>
            <w:vMerge w:val="continue"/>
            <w:tcBorders>
              <w:top w:val="nil"/>
            </w:tcBorders>
            <w:vAlign w:val="top"/>
          </w:tcPr>
          <w:p w14:paraId="5BB407F5">
            <w:pPr>
              <w:rPr>
                <w:rFonts w:ascii="Arial"/>
                <w:color w:val="auto"/>
                <w:sz w:val="21"/>
                <w:highlight w:val="none"/>
              </w:rPr>
            </w:pPr>
          </w:p>
        </w:tc>
        <w:tc>
          <w:tcPr>
            <w:tcW w:w="1114" w:type="dxa"/>
            <w:vMerge w:val="continue"/>
            <w:tcBorders>
              <w:top w:val="nil"/>
            </w:tcBorders>
            <w:vAlign w:val="top"/>
          </w:tcPr>
          <w:p w14:paraId="3C9F6BDE">
            <w:pPr>
              <w:rPr>
                <w:rFonts w:ascii="Arial"/>
                <w:color w:val="auto"/>
                <w:sz w:val="21"/>
                <w:highlight w:val="none"/>
              </w:rPr>
            </w:pPr>
          </w:p>
        </w:tc>
        <w:tc>
          <w:tcPr>
            <w:tcW w:w="1513" w:type="dxa"/>
            <w:vAlign w:val="top"/>
          </w:tcPr>
          <w:p w14:paraId="48AB7C50">
            <w:pPr>
              <w:pStyle w:val="9"/>
              <w:spacing w:before="65" w:line="322" w:lineRule="auto"/>
              <w:ind w:left="152" w:right="152" w:firstLine="54"/>
              <w:rPr>
                <w:color w:val="auto"/>
                <w:sz w:val="19"/>
                <w:szCs w:val="19"/>
                <w:highlight w:val="none"/>
              </w:rPr>
            </w:pPr>
            <w:r>
              <w:rPr>
                <w:color w:val="auto"/>
                <w:spacing w:val="4"/>
                <w:sz w:val="19"/>
                <w:szCs w:val="19"/>
                <w:highlight w:val="none"/>
              </w:rPr>
              <w:t>★A02010107</w:t>
            </w:r>
            <w:r>
              <w:rPr>
                <w:color w:val="auto"/>
                <w:sz w:val="19"/>
                <w:szCs w:val="19"/>
                <w:highlight w:val="none"/>
              </w:rPr>
              <w:t xml:space="preserve"> </w:t>
            </w:r>
            <w:r>
              <w:rPr>
                <w:color w:val="auto"/>
                <w:spacing w:val="8"/>
                <w:sz w:val="19"/>
                <w:szCs w:val="19"/>
                <w:highlight w:val="none"/>
              </w:rPr>
              <w:t>平板式微型计</w:t>
            </w:r>
          </w:p>
          <w:p w14:paraId="3FFAA72D">
            <w:pPr>
              <w:pStyle w:val="9"/>
              <w:spacing w:line="228" w:lineRule="auto"/>
              <w:ind w:left="555"/>
              <w:rPr>
                <w:color w:val="auto"/>
                <w:sz w:val="19"/>
                <w:szCs w:val="19"/>
                <w:highlight w:val="none"/>
              </w:rPr>
            </w:pPr>
            <w:r>
              <w:rPr>
                <w:color w:val="auto"/>
                <w:spacing w:val="4"/>
                <w:sz w:val="19"/>
                <w:szCs w:val="19"/>
                <w:highlight w:val="none"/>
              </w:rPr>
              <w:t>算机</w:t>
            </w:r>
          </w:p>
        </w:tc>
        <w:tc>
          <w:tcPr>
            <w:tcW w:w="1609" w:type="dxa"/>
            <w:vAlign w:val="top"/>
          </w:tcPr>
          <w:p w14:paraId="686E2BCA">
            <w:pPr>
              <w:rPr>
                <w:rFonts w:ascii="Arial"/>
                <w:color w:val="auto"/>
                <w:sz w:val="21"/>
                <w:highlight w:val="none"/>
              </w:rPr>
            </w:pPr>
          </w:p>
        </w:tc>
        <w:tc>
          <w:tcPr>
            <w:tcW w:w="4338" w:type="dxa"/>
            <w:vAlign w:val="top"/>
          </w:tcPr>
          <w:p w14:paraId="5A7CD7CF">
            <w:pPr>
              <w:pStyle w:val="9"/>
              <w:spacing w:before="231" w:line="329" w:lineRule="auto"/>
              <w:ind w:left="117" w:right="836" w:hanging="4"/>
              <w:rPr>
                <w:color w:val="auto"/>
                <w:sz w:val="19"/>
                <w:szCs w:val="19"/>
                <w:highlight w:val="none"/>
              </w:rPr>
            </w:pPr>
            <w:r>
              <w:rPr>
                <w:color w:val="auto"/>
                <w:spacing w:val="8"/>
                <w:sz w:val="19"/>
                <w:szCs w:val="19"/>
                <w:highlight w:val="none"/>
              </w:rPr>
              <w:t>《微型计算机能效限定值及能效等级》</w:t>
            </w:r>
            <w:r>
              <w:rPr>
                <w:color w:val="auto"/>
                <w:spacing w:val="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28380）</w:t>
            </w:r>
          </w:p>
        </w:tc>
      </w:tr>
      <w:tr w14:paraId="6B318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restart"/>
            <w:tcBorders>
              <w:bottom w:val="nil"/>
            </w:tcBorders>
            <w:vAlign w:val="top"/>
          </w:tcPr>
          <w:p w14:paraId="26209054">
            <w:pPr>
              <w:spacing w:line="264" w:lineRule="auto"/>
              <w:rPr>
                <w:rFonts w:ascii="Arial"/>
                <w:color w:val="auto"/>
                <w:sz w:val="21"/>
                <w:highlight w:val="none"/>
              </w:rPr>
            </w:pPr>
          </w:p>
          <w:p w14:paraId="71CA8A23">
            <w:pPr>
              <w:spacing w:line="264" w:lineRule="auto"/>
              <w:rPr>
                <w:rFonts w:ascii="Arial"/>
                <w:color w:val="auto"/>
                <w:sz w:val="21"/>
                <w:highlight w:val="none"/>
              </w:rPr>
            </w:pPr>
          </w:p>
          <w:p w14:paraId="67FF08E2">
            <w:pPr>
              <w:spacing w:line="265" w:lineRule="auto"/>
              <w:rPr>
                <w:rFonts w:ascii="Arial"/>
                <w:color w:val="auto"/>
                <w:sz w:val="21"/>
                <w:highlight w:val="none"/>
              </w:rPr>
            </w:pPr>
          </w:p>
          <w:p w14:paraId="1D40157D">
            <w:pPr>
              <w:spacing w:line="265" w:lineRule="auto"/>
              <w:rPr>
                <w:rFonts w:ascii="Arial"/>
                <w:color w:val="auto"/>
                <w:sz w:val="21"/>
                <w:highlight w:val="none"/>
              </w:rPr>
            </w:pPr>
          </w:p>
          <w:p w14:paraId="3CCC0A16">
            <w:pPr>
              <w:spacing w:line="265" w:lineRule="auto"/>
              <w:rPr>
                <w:rFonts w:ascii="Arial"/>
                <w:color w:val="auto"/>
                <w:sz w:val="21"/>
                <w:highlight w:val="none"/>
              </w:rPr>
            </w:pPr>
          </w:p>
          <w:p w14:paraId="27638D45">
            <w:pPr>
              <w:spacing w:line="265" w:lineRule="auto"/>
              <w:rPr>
                <w:rFonts w:ascii="Arial"/>
                <w:color w:val="auto"/>
                <w:sz w:val="21"/>
                <w:highlight w:val="none"/>
              </w:rPr>
            </w:pPr>
          </w:p>
          <w:p w14:paraId="1DB91494">
            <w:pPr>
              <w:spacing w:line="265" w:lineRule="auto"/>
              <w:rPr>
                <w:rFonts w:ascii="Arial"/>
                <w:color w:val="auto"/>
                <w:sz w:val="21"/>
                <w:highlight w:val="none"/>
              </w:rPr>
            </w:pPr>
          </w:p>
          <w:p w14:paraId="1B390078">
            <w:pPr>
              <w:pStyle w:val="9"/>
              <w:spacing w:before="62" w:line="258" w:lineRule="exact"/>
              <w:ind w:left="273"/>
              <w:rPr>
                <w:color w:val="auto"/>
                <w:sz w:val="19"/>
                <w:szCs w:val="19"/>
                <w:highlight w:val="none"/>
              </w:rPr>
            </w:pPr>
            <w:r>
              <w:rPr>
                <w:color w:val="auto"/>
                <w:position w:val="1"/>
                <w:sz w:val="19"/>
                <w:szCs w:val="19"/>
                <w:highlight w:val="none"/>
              </w:rPr>
              <w:t>2</w:t>
            </w:r>
          </w:p>
        </w:tc>
        <w:tc>
          <w:tcPr>
            <w:tcW w:w="1114" w:type="dxa"/>
            <w:vMerge w:val="restart"/>
            <w:tcBorders>
              <w:bottom w:val="nil"/>
            </w:tcBorders>
            <w:vAlign w:val="top"/>
          </w:tcPr>
          <w:p w14:paraId="404FBA0D">
            <w:pPr>
              <w:spacing w:line="253" w:lineRule="auto"/>
              <w:rPr>
                <w:rFonts w:ascii="Arial"/>
                <w:color w:val="auto"/>
                <w:sz w:val="21"/>
                <w:highlight w:val="none"/>
              </w:rPr>
            </w:pPr>
          </w:p>
          <w:p w14:paraId="3438EA43">
            <w:pPr>
              <w:spacing w:line="254" w:lineRule="auto"/>
              <w:rPr>
                <w:rFonts w:ascii="Arial"/>
                <w:color w:val="auto"/>
                <w:sz w:val="21"/>
                <w:highlight w:val="none"/>
              </w:rPr>
            </w:pPr>
          </w:p>
          <w:p w14:paraId="37443205">
            <w:pPr>
              <w:spacing w:line="254" w:lineRule="auto"/>
              <w:rPr>
                <w:rFonts w:ascii="Arial"/>
                <w:color w:val="auto"/>
                <w:sz w:val="21"/>
                <w:highlight w:val="none"/>
              </w:rPr>
            </w:pPr>
          </w:p>
          <w:p w14:paraId="090C47A5">
            <w:pPr>
              <w:spacing w:line="254" w:lineRule="auto"/>
              <w:rPr>
                <w:rFonts w:ascii="Arial"/>
                <w:color w:val="auto"/>
                <w:sz w:val="21"/>
                <w:highlight w:val="none"/>
              </w:rPr>
            </w:pPr>
          </w:p>
          <w:p w14:paraId="0C17D77D">
            <w:pPr>
              <w:spacing w:line="254" w:lineRule="auto"/>
              <w:rPr>
                <w:rFonts w:ascii="Arial"/>
                <w:color w:val="auto"/>
                <w:sz w:val="21"/>
                <w:highlight w:val="none"/>
              </w:rPr>
            </w:pPr>
          </w:p>
          <w:p w14:paraId="46C648E0">
            <w:pPr>
              <w:spacing w:line="254" w:lineRule="auto"/>
              <w:rPr>
                <w:rFonts w:ascii="Arial"/>
                <w:color w:val="auto"/>
                <w:sz w:val="21"/>
                <w:highlight w:val="none"/>
              </w:rPr>
            </w:pPr>
          </w:p>
          <w:p w14:paraId="26DD194B">
            <w:pPr>
              <w:pStyle w:val="9"/>
              <w:spacing w:before="62" w:line="322" w:lineRule="auto"/>
              <w:ind w:left="150" w:right="156" w:firstLine="45"/>
              <w:rPr>
                <w:color w:val="auto"/>
                <w:sz w:val="19"/>
                <w:szCs w:val="19"/>
                <w:highlight w:val="none"/>
              </w:rPr>
            </w:pPr>
            <w:r>
              <w:rPr>
                <w:color w:val="auto"/>
                <w:spacing w:val="4"/>
                <w:sz w:val="19"/>
                <w:szCs w:val="19"/>
                <w:highlight w:val="none"/>
              </w:rPr>
              <w:t>A020106</w:t>
            </w:r>
            <w:r>
              <w:rPr>
                <w:color w:val="auto"/>
                <w:spacing w:val="3"/>
                <w:sz w:val="19"/>
                <w:szCs w:val="19"/>
                <w:highlight w:val="none"/>
              </w:rPr>
              <w:t xml:space="preserve"> </w:t>
            </w:r>
            <w:r>
              <w:rPr>
                <w:color w:val="auto"/>
                <w:spacing w:val="8"/>
                <w:sz w:val="19"/>
                <w:szCs w:val="19"/>
                <w:highlight w:val="none"/>
              </w:rPr>
              <w:t>输入输出</w:t>
            </w:r>
          </w:p>
          <w:p w14:paraId="555AC10E">
            <w:pPr>
              <w:pStyle w:val="9"/>
              <w:spacing w:line="230" w:lineRule="auto"/>
              <w:ind w:left="353"/>
              <w:rPr>
                <w:color w:val="auto"/>
                <w:sz w:val="19"/>
                <w:szCs w:val="19"/>
                <w:highlight w:val="none"/>
              </w:rPr>
            </w:pPr>
            <w:r>
              <w:rPr>
                <w:color w:val="auto"/>
                <w:spacing w:val="3"/>
                <w:sz w:val="19"/>
                <w:szCs w:val="19"/>
                <w:highlight w:val="none"/>
              </w:rPr>
              <w:t>设备</w:t>
            </w:r>
          </w:p>
        </w:tc>
        <w:tc>
          <w:tcPr>
            <w:tcW w:w="1513" w:type="dxa"/>
            <w:vMerge w:val="restart"/>
            <w:tcBorders>
              <w:bottom w:val="nil"/>
            </w:tcBorders>
            <w:vAlign w:val="top"/>
          </w:tcPr>
          <w:p w14:paraId="05A6E198">
            <w:pPr>
              <w:spacing w:line="340" w:lineRule="auto"/>
              <w:rPr>
                <w:rFonts w:ascii="Arial"/>
                <w:color w:val="auto"/>
                <w:sz w:val="21"/>
                <w:highlight w:val="none"/>
              </w:rPr>
            </w:pPr>
          </w:p>
          <w:p w14:paraId="17A432A5">
            <w:pPr>
              <w:spacing w:line="341" w:lineRule="auto"/>
              <w:rPr>
                <w:rFonts w:ascii="Arial"/>
                <w:color w:val="auto"/>
                <w:sz w:val="21"/>
                <w:highlight w:val="none"/>
              </w:rPr>
            </w:pPr>
          </w:p>
          <w:p w14:paraId="4BEBD855">
            <w:pPr>
              <w:pStyle w:val="9"/>
              <w:spacing w:before="62" w:line="230" w:lineRule="auto"/>
              <w:ind w:left="171"/>
              <w:rPr>
                <w:color w:val="auto"/>
                <w:sz w:val="19"/>
                <w:szCs w:val="19"/>
                <w:highlight w:val="none"/>
              </w:rPr>
            </w:pPr>
            <w:r>
              <w:rPr>
                <w:color w:val="auto"/>
                <w:spacing w:val="4"/>
                <w:sz w:val="19"/>
                <w:szCs w:val="19"/>
                <w:highlight w:val="none"/>
              </w:rPr>
              <w:t>A02010601</w:t>
            </w:r>
            <w:r>
              <w:rPr>
                <w:color w:val="auto"/>
                <w:spacing w:val="-32"/>
                <w:sz w:val="19"/>
                <w:szCs w:val="19"/>
                <w:highlight w:val="none"/>
              </w:rPr>
              <w:t xml:space="preserve"> </w:t>
            </w:r>
            <w:r>
              <w:rPr>
                <w:color w:val="auto"/>
                <w:spacing w:val="4"/>
                <w:sz w:val="19"/>
                <w:szCs w:val="19"/>
                <w:highlight w:val="none"/>
              </w:rPr>
              <w:t>打</w:t>
            </w:r>
          </w:p>
          <w:p w14:paraId="5C8C2F61">
            <w:pPr>
              <w:pStyle w:val="9"/>
              <w:spacing w:before="94" w:line="229" w:lineRule="auto"/>
              <w:ind w:left="469"/>
              <w:rPr>
                <w:color w:val="auto"/>
                <w:sz w:val="19"/>
                <w:szCs w:val="19"/>
                <w:highlight w:val="none"/>
              </w:rPr>
            </w:pPr>
            <w:r>
              <w:rPr>
                <w:color w:val="auto"/>
                <w:spacing w:val="2"/>
                <w:sz w:val="19"/>
                <w:szCs w:val="19"/>
                <w:highlight w:val="none"/>
              </w:rPr>
              <w:t>印设备</w:t>
            </w:r>
          </w:p>
        </w:tc>
        <w:tc>
          <w:tcPr>
            <w:tcW w:w="1609" w:type="dxa"/>
            <w:vAlign w:val="top"/>
          </w:tcPr>
          <w:p w14:paraId="3DE3306E">
            <w:pPr>
              <w:pStyle w:val="9"/>
              <w:spacing w:before="66" w:line="230" w:lineRule="auto"/>
              <w:ind w:left="122"/>
              <w:rPr>
                <w:color w:val="auto"/>
                <w:sz w:val="19"/>
                <w:szCs w:val="19"/>
                <w:highlight w:val="none"/>
              </w:rPr>
            </w:pPr>
            <w:r>
              <w:rPr>
                <w:color w:val="auto"/>
                <w:spacing w:val="4"/>
                <w:sz w:val="19"/>
                <w:szCs w:val="19"/>
                <w:highlight w:val="none"/>
              </w:rPr>
              <w:t>A0201060101</w:t>
            </w:r>
            <w:r>
              <w:rPr>
                <w:color w:val="auto"/>
                <w:spacing w:val="-26"/>
                <w:sz w:val="19"/>
                <w:szCs w:val="19"/>
                <w:highlight w:val="none"/>
              </w:rPr>
              <w:t xml:space="preserve"> </w:t>
            </w:r>
            <w:r>
              <w:rPr>
                <w:color w:val="auto"/>
                <w:spacing w:val="4"/>
                <w:sz w:val="19"/>
                <w:szCs w:val="19"/>
                <w:highlight w:val="none"/>
              </w:rPr>
              <w:t>喷</w:t>
            </w:r>
          </w:p>
          <w:p w14:paraId="4914C3D5">
            <w:pPr>
              <w:pStyle w:val="9"/>
              <w:spacing w:before="95" w:line="228" w:lineRule="auto"/>
              <w:ind w:left="409"/>
              <w:rPr>
                <w:color w:val="auto"/>
                <w:sz w:val="19"/>
                <w:szCs w:val="19"/>
                <w:highlight w:val="none"/>
              </w:rPr>
            </w:pPr>
            <w:r>
              <w:rPr>
                <w:color w:val="auto"/>
                <w:spacing w:val="6"/>
                <w:sz w:val="19"/>
                <w:szCs w:val="19"/>
                <w:highlight w:val="none"/>
              </w:rPr>
              <w:t>墨打印机</w:t>
            </w:r>
          </w:p>
        </w:tc>
        <w:tc>
          <w:tcPr>
            <w:tcW w:w="4338" w:type="dxa"/>
            <w:vAlign w:val="top"/>
          </w:tcPr>
          <w:p w14:paraId="4E247C6B">
            <w:pPr>
              <w:pStyle w:val="9"/>
              <w:spacing w:before="67" w:line="286" w:lineRule="auto"/>
              <w:ind w:left="111" w:right="104" w:firstLine="2"/>
              <w:rPr>
                <w:color w:val="auto"/>
                <w:sz w:val="19"/>
                <w:szCs w:val="19"/>
                <w:highlight w:val="none"/>
              </w:rPr>
            </w:pPr>
            <w:r>
              <w:rPr>
                <w:color w:val="auto"/>
                <w:spacing w:val="5"/>
                <w:sz w:val="19"/>
                <w:szCs w:val="19"/>
                <w:highlight w:val="none"/>
              </w:rPr>
              <w:t>《复印机、打印机和传真机能效限定值及能效等</w:t>
            </w:r>
            <w:r>
              <w:rPr>
                <w:color w:val="auto"/>
                <w:spacing w:val="8"/>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51309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71ADD8FF">
            <w:pPr>
              <w:rPr>
                <w:rFonts w:ascii="Arial"/>
                <w:color w:val="auto"/>
                <w:sz w:val="21"/>
                <w:highlight w:val="none"/>
              </w:rPr>
            </w:pPr>
          </w:p>
        </w:tc>
        <w:tc>
          <w:tcPr>
            <w:tcW w:w="1114" w:type="dxa"/>
            <w:vMerge w:val="continue"/>
            <w:tcBorders>
              <w:top w:val="nil"/>
              <w:bottom w:val="nil"/>
            </w:tcBorders>
            <w:vAlign w:val="top"/>
          </w:tcPr>
          <w:p w14:paraId="37C25FAD">
            <w:pPr>
              <w:rPr>
                <w:rFonts w:ascii="Arial"/>
                <w:color w:val="auto"/>
                <w:sz w:val="21"/>
                <w:highlight w:val="none"/>
              </w:rPr>
            </w:pPr>
          </w:p>
        </w:tc>
        <w:tc>
          <w:tcPr>
            <w:tcW w:w="1513" w:type="dxa"/>
            <w:vMerge w:val="continue"/>
            <w:tcBorders>
              <w:top w:val="nil"/>
              <w:bottom w:val="nil"/>
            </w:tcBorders>
            <w:vAlign w:val="top"/>
          </w:tcPr>
          <w:p w14:paraId="7463DB06">
            <w:pPr>
              <w:rPr>
                <w:rFonts w:ascii="Arial"/>
                <w:color w:val="auto"/>
                <w:sz w:val="21"/>
                <w:highlight w:val="none"/>
              </w:rPr>
            </w:pPr>
          </w:p>
        </w:tc>
        <w:tc>
          <w:tcPr>
            <w:tcW w:w="1609" w:type="dxa"/>
            <w:vAlign w:val="top"/>
          </w:tcPr>
          <w:p w14:paraId="0D61F803">
            <w:pPr>
              <w:pStyle w:val="9"/>
              <w:spacing w:before="67" w:line="286" w:lineRule="auto"/>
              <w:ind w:left="302" w:right="147" w:hanging="144"/>
              <w:rPr>
                <w:color w:val="auto"/>
                <w:sz w:val="19"/>
                <w:szCs w:val="19"/>
                <w:highlight w:val="none"/>
              </w:rPr>
            </w:pPr>
            <w:r>
              <w:rPr>
                <w:color w:val="auto"/>
                <w:spacing w:val="4"/>
                <w:sz w:val="19"/>
                <w:szCs w:val="19"/>
                <w:highlight w:val="none"/>
              </w:rPr>
              <w:t xml:space="preserve">★A0201060102 </w:t>
            </w:r>
            <w:r>
              <w:rPr>
                <w:color w:val="auto"/>
                <w:spacing w:val="8"/>
                <w:sz w:val="19"/>
                <w:szCs w:val="19"/>
                <w:highlight w:val="none"/>
              </w:rPr>
              <w:t>激光打印机</w:t>
            </w:r>
          </w:p>
        </w:tc>
        <w:tc>
          <w:tcPr>
            <w:tcW w:w="4338" w:type="dxa"/>
            <w:vAlign w:val="top"/>
          </w:tcPr>
          <w:p w14:paraId="11326EDB">
            <w:pPr>
              <w:pStyle w:val="9"/>
              <w:spacing w:before="67" w:line="286" w:lineRule="auto"/>
              <w:ind w:left="111" w:right="104" w:firstLine="2"/>
              <w:rPr>
                <w:color w:val="auto"/>
                <w:sz w:val="19"/>
                <w:szCs w:val="19"/>
                <w:highlight w:val="none"/>
              </w:rPr>
            </w:pPr>
            <w:r>
              <w:rPr>
                <w:color w:val="auto"/>
                <w:spacing w:val="5"/>
                <w:sz w:val="19"/>
                <w:szCs w:val="19"/>
                <w:highlight w:val="none"/>
              </w:rPr>
              <w:t>《复印机、打印机和传真机能效限定值及能效等</w:t>
            </w:r>
            <w:r>
              <w:rPr>
                <w:color w:val="auto"/>
                <w:spacing w:val="8"/>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3020B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7C835BEA">
            <w:pPr>
              <w:rPr>
                <w:rFonts w:ascii="Arial"/>
                <w:color w:val="auto"/>
                <w:sz w:val="21"/>
                <w:highlight w:val="none"/>
              </w:rPr>
            </w:pPr>
          </w:p>
        </w:tc>
        <w:tc>
          <w:tcPr>
            <w:tcW w:w="1114" w:type="dxa"/>
            <w:vMerge w:val="continue"/>
            <w:tcBorders>
              <w:top w:val="nil"/>
              <w:bottom w:val="nil"/>
            </w:tcBorders>
            <w:vAlign w:val="top"/>
          </w:tcPr>
          <w:p w14:paraId="6F59C742">
            <w:pPr>
              <w:rPr>
                <w:rFonts w:ascii="Arial"/>
                <w:color w:val="auto"/>
                <w:sz w:val="21"/>
                <w:highlight w:val="none"/>
              </w:rPr>
            </w:pPr>
          </w:p>
        </w:tc>
        <w:tc>
          <w:tcPr>
            <w:tcW w:w="1513" w:type="dxa"/>
            <w:vMerge w:val="continue"/>
            <w:tcBorders>
              <w:top w:val="nil"/>
            </w:tcBorders>
            <w:vAlign w:val="top"/>
          </w:tcPr>
          <w:p w14:paraId="6CFEB7BA">
            <w:pPr>
              <w:rPr>
                <w:rFonts w:ascii="Arial"/>
                <w:color w:val="auto"/>
                <w:sz w:val="21"/>
                <w:highlight w:val="none"/>
              </w:rPr>
            </w:pPr>
          </w:p>
        </w:tc>
        <w:tc>
          <w:tcPr>
            <w:tcW w:w="1609" w:type="dxa"/>
            <w:vAlign w:val="top"/>
          </w:tcPr>
          <w:p w14:paraId="00B6C1DF">
            <w:pPr>
              <w:pStyle w:val="9"/>
              <w:spacing w:before="67" w:line="286" w:lineRule="auto"/>
              <w:ind w:left="303" w:right="147" w:hanging="145"/>
              <w:rPr>
                <w:color w:val="auto"/>
                <w:sz w:val="19"/>
                <w:szCs w:val="19"/>
                <w:highlight w:val="none"/>
              </w:rPr>
            </w:pPr>
            <w:r>
              <w:rPr>
                <w:color w:val="auto"/>
                <w:spacing w:val="4"/>
                <w:sz w:val="19"/>
                <w:szCs w:val="19"/>
                <w:highlight w:val="none"/>
              </w:rPr>
              <w:t xml:space="preserve">★A0201060104 </w:t>
            </w:r>
            <w:r>
              <w:rPr>
                <w:color w:val="auto"/>
                <w:spacing w:val="8"/>
                <w:sz w:val="19"/>
                <w:szCs w:val="19"/>
                <w:highlight w:val="none"/>
              </w:rPr>
              <w:t>针式打印机</w:t>
            </w:r>
          </w:p>
        </w:tc>
        <w:tc>
          <w:tcPr>
            <w:tcW w:w="4338" w:type="dxa"/>
            <w:vAlign w:val="top"/>
          </w:tcPr>
          <w:p w14:paraId="14C96396">
            <w:pPr>
              <w:pStyle w:val="9"/>
              <w:spacing w:before="67" w:line="286" w:lineRule="auto"/>
              <w:ind w:left="111" w:right="104" w:firstLine="2"/>
              <w:rPr>
                <w:color w:val="auto"/>
                <w:sz w:val="19"/>
                <w:szCs w:val="19"/>
                <w:highlight w:val="none"/>
              </w:rPr>
            </w:pPr>
            <w:r>
              <w:rPr>
                <w:color w:val="auto"/>
                <w:spacing w:val="5"/>
                <w:sz w:val="19"/>
                <w:szCs w:val="19"/>
                <w:highlight w:val="none"/>
              </w:rPr>
              <w:t>《复印机、打印机和传真机能效限定值及能效等</w:t>
            </w:r>
            <w:r>
              <w:rPr>
                <w:color w:val="auto"/>
                <w:spacing w:val="8"/>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5C3DC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5CEECA7E">
            <w:pPr>
              <w:rPr>
                <w:rFonts w:ascii="Arial"/>
                <w:color w:val="auto"/>
                <w:sz w:val="21"/>
                <w:highlight w:val="none"/>
              </w:rPr>
            </w:pPr>
          </w:p>
        </w:tc>
        <w:tc>
          <w:tcPr>
            <w:tcW w:w="1114" w:type="dxa"/>
            <w:vMerge w:val="continue"/>
            <w:tcBorders>
              <w:top w:val="nil"/>
              <w:bottom w:val="nil"/>
            </w:tcBorders>
            <w:vAlign w:val="top"/>
          </w:tcPr>
          <w:p w14:paraId="44B5B87B">
            <w:pPr>
              <w:rPr>
                <w:rFonts w:ascii="Arial"/>
                <w:color w:val="auto"/>
                <w:sz w:val="21"/>
                <w:highlight w:val="none"/>
              </w:rPr>
            </w:pPr>
          </w:p>
        </w:tc>
        <w:tc>
          <w:tcPr>
            <w:tcW w:w="1513" w:type="dxa"/>
            <w:vAlign w:val="top"/>
          </w:tcPr>
          <w:p w14:paraId="6179F065">
            <w:pPr>
              <w:pStyle w:val="9"/>
              <w:spacing w:before="70" w:line="250" w:lineRule="exact"/>
              <w:ind w:left="171"/>
              <w:rPr>
                <w:color w:val="auto"/>
                <w:sz w:val="19"/>
                <w:szCs w:val="19"/>
                <w:highlight w:val="none"/>
              </w:rPr>
            </w:pPr>
            <w:r>
              <w:rPr>
                <w:color w:val="auto"/>
                <w:spacing w:val="4"/>
                <w:sz w:val="19"/>
                <w:szCs w:val="19"/>
                <w:highlight w:val="none"/>
              </w:rPr>
              <w:t>A02010604</w:t>
            </w:r>
            <w:r>
              <w:rPr>
                <w:color w:val="auto"/>
                <w:spacing w:val="-30"/>
                <w:sz w:val="19"/>
                <w:szCs w:val="19"/>
                <w:highlight w:val="none"/>
              </w:rPr>
              <w:t xml:space="preserve"> </w:t>
            </w:r>
            <w:r>
              <w:rPr>
                <w:color w:val="auto"/>
                <w:spacing w:val="4"/>
                <w:sz w:val="19"/>
                <w:szCs w:val="19"/>
                <w:highlight w:val="none"/>
              </w:rPr>
              <w:t>显</w:t>
            </w:r>
          </w:p>
          <w:p w14:paraId="1FF312BA">
            <w:pPr>
              <w:pStyle w:val="9"/>
              <w:spacing w:before="81" w:line="230" w:lineRule="auto"/>
              <w:ind w:left="454"/>
              <w:rPr>
                <w:color w:val="auto"/>
                <w:sz w:val="19"/>
                <w:szCs w:val="19"/>
                <w:highlight w:val="none"/>
              </w:rPr>
            </w:pPr>
            <w:r>
              <w:rPr>
                <w:color w:val="auto"/>
                <w:spacing w:val="7"/>
                <w:sz w:val="19"/>
                <w:szCs w:val="19"/>
                <w:highlight w:val="none"/>
              </w:rPr>
              <w:t>示设备</w:t>
            </w:r>
          </w:p>
        </w:tc>
        <w:tc>
          <w:tcPr>
            <w:tcW w:w="1609" w:type="dxa"/>
            <w:vAlign w:val="top"/>
          </w:tcPr>
          <w:p w14:paraId="51FF9F3E">
            <w:pPr>
              <w:pStyle w:val="9"/>
              <w:spacing w:before="71" w:line="284" w:lineRule="auto"/>
              <w:ind w:left="305" w:right="147" w:hanging="147"/>
              <w:rPr>
                <w:color w:val="auto"/>
                <w:sz w:val="19"/>
                <w:szCs w:val="19"/>
                <w:highlight w:val="none"/>
              </w:rPr>
            </w:pPr>
            <w:r>
              <w:rPr>
                <w:color w:val="auto"/>
                <w:spacing w:val="4"/>
                <w:sz w:val="19"/>
                <w:szCs w:val="19"/>
                <w:highlight w:val="none"/>
              </w:rPr>
              <w:t xml:space="preserve">★A0201060401 </w:t>
            </w:r>
            <w:r>
              <w:rPr>
                <w:color w:val="auto"/>
                <w:spacing w:val="7"/>
                <w:sz w:val="19"/>
                <w:szCs w:val="19"/>
                <w:highlight w:val="none"/>
              </w:rPr>
              <w:t>液晶显示器</w:t>
            </w:r>
          </w:p>
        </w:tc>
        <w:tc>
          <w:tcPr>
            <w:tcW w:w="4338" w:type="dxa"/>
            <w:vAlign w:val="top"/>
          </w:tcPr>
          <w:p w14:paraId="7560144B">
            <w:pPr>
              <w:pStyle w:val="9"/>
              <w:spacing w:before="71" w:line="284" w:lineRule="auto"/>
              <w:ind w:left="117" w:right="635" w:hanging="4"/>
              <w:rPr>
                <w:color w:val="auto"/>
                <w:sz w:val="19"/>
                <w:szCs w:val="19"/>
                <w:highlight w:val="none"/>
              </w:rPr>
            </w:pPr>
            <w:r>
              <w:rPr>
                <w:color w:val="auto"/>
                <w:spacing w:val="8"/>
                <w:sz w:val="19"/>
                <w:szCs w:val="19"/>
                <w:highlight w:val="none"/>
              </w:rPr>
              <w:t>《计算机显示器能效限定值及能效等级》</w:t>
            </w:r>
            <w:r>
              <w:rPr>
                <w:color w:val="auto"/>
                <w:spacing w:val="9"/>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21520）</w:t>
            </w:r>
          </w:p>
        </w:tc>
      </w:tr>
      <w:tr w14:paraId="5E13B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650" w:type="dxa"/>
            <w:vMerge w:val="continue"/>
            <w:tcBorders>
              <w:top w:val="nil"/>
            </w:tcBorders>
            <w:vAlign w:val="top"/>
          </w:tcPr>
          <w:p w14:paraId="09A5132B">
            <w:pPr>
              <w:rPr>
                <w:rFonts w:ascii="Arial"/>
                <w:color w:val="auto"/>
                <w:sz w:val="21"/>
                <w:highlight w:val="none"/>
              </w:rPr>
            </w:pPr>
          </w:p>
        </w:tc>
        <w:tc>
          <w:tcPr>
            <w:tcW w:w="1114" w:type="dxa"/>
            <w:vMerge w:val="continue"/>
            <w:tcBorders>
              <w:top w:val="nil"/>
            </w:tcBorders>
            <w:vAlign w:val="top"/>
          </w:tcPr>
          <w:p w14:paraId="477EA475">
            <w:pPr>
              <w:rPr>
                <w:rFonts w:ascii="Arial"/>
                <w:color w:val="auto"/>
                <w:sz w:val="21"/>
                <w:highlight w:val="none"/>
              </w:rPr>
            </w:pPr>
          </w:p>
        </w:tc>
        <w:tc>
          <w:tcPr>
            <w:tcW w:w="1513" w:type="dxa"/>
            <w:vAlign w:val="top"/>
          </w:tcPr>
          <w:p w14:paraId="53B0D0A1">
            <w:pPr>
              <w:pStyle w:val="9"/>
              <w:spacing w:before="236" w:line="321" w:lineRule="auto"/>
              <w:ind w:left="155" w:right="152" w:firstLine="15"/>
              <w:rPr>
                <w:color w:val="auto"/>
                <w:sz w:val="19"/>
                <w:szCs w:val="19"/>
                <w:highlight w:val="none"/>
              </w:rPr>
            </w:pPr>
            <w:r>
              <w:rPr>
                <w:color w:val="auto"/>
                <w:spacing w:val="2"/>
                <w:sz w:val="19"/>
                <w:szCs w:val="19"/>
                <w:highlight w:val="none"/>
              </w:rPr>
              <w:t>A02010609</w:t>
            </w:r>
            <w:r>
              <w:rPr>
                <w:color w:val="auto"/>
                <w:spacing w:val="-14"/>
                <w:sz w:val="19"/>
                <w:szCs w:val="19"/>
                <w:highlight w:val="none"/>
              </w:rPr>
              <w:t xml:space="preserve"> </w:t>
            </w:r>
            <w:r>
              <w:rPr>
                <w:color w:val="auto"/>
                <w:spacing w:val="2"/>
                <w:sz w:val="19"/>
                <w:szCs w:val="19"/>
                <w:highlight w:val="none"/>
              </w:rPr>
              <w:t>图</w:t>
            </w:r>
            <w:r>
              <w:rPr>
                <w:color w:val="auto"/>
                <w:sz w:val="19"/>
                <w:szCs w:val="19"/>
                <w:highlight w:val="none"/>
              </w:rPr>
              <w:t xml:space="preserve"> </w:t>
            </w:r>
            <w:r>
              <w:rPr>
                <w:color w:val="auto"/>
                <w:spacing w:val="8"/>
                <w:sz w:val="19"/>
                <w:szCs w:val="19"/>
                <w:highlight w:val="none"/>
              </w:rPr>
              <w:t>形图像输入设</w:t>
            </w:r>
          </w:p>
          <w:p w14:paraId="7A2A9CA3">
            <w:pPr>
              <w:pStyle w:val="9"/>
              <w:spacing w:line="230" w:lineRule="auto"/>
              <w:ind w:left="655"/>
              <w:rPr>
                <w:color w:val="auto"/>
                <w:sz w:val="19"/>
                <w:szCs w:val="19"/>
                <w:highlight w:val="none"/>
              </w:rPr>
            </w:pPr>
            <w:r>
              <w:rPr>
                <w:color w:val="auto"/>
                <w:sz w:val="19"/>
                <w:szCs w:val="19"/>
                <w:highlight w:val="none"/>
              </w:rPr>
              <w:t>备</w:t>
            </w:r>
          </w:p>
        </w:tc>
        <w:tc>
          <w:tcPr>
            <w:tcW w:w="1609" w:type="dxa"/>
            <w:vAlign w:val="top"/>
          </w:tcPr>
          <w:p w14:paraId="5065DD94">
            <w:pPr>
              <w:spacing w:line="339" w:lineRule="auto"/>
              <w:rPr>
                <w:rFonts w:ascii="Arial"/>
                <w:color w:val="auto"/>
                <w:sz w:val="21"/>
                <w:highlight w:val="none"/>
              </w:rPr>
            </w:pPr>
          </w:p>
          <w:p w14:paraId="2FD92115">
            <w:pPr>
              <w:pStyle w:val="9"/>
              <w:spacing w:before="61" w:line="230" w:lineRule="auto"/>
              <w:ind w:left="122"/>
              <w:rPr>
                <w:color w:val="auto"/>
                <w:sz w:val="19"/>
                <w:szCs w:val="19"/>
                <w:highlight w:val="none"/>
              </w:rPr>
            </w:pPr>
            <w:r>
              <w:rPr>
                <w:color w:val="auto"/>
                <w:spacing w:val="4"/>
                <w:sz w:val="19"/>
                <w:szCs w:val="19"/>
                <w:highlight w:val="none"/>
              </w:rPr>
              <w:t>A0201060901</w:t>
            </w:r>
            <w:r>
              <w:rPr>
                <w:color w:val="auto"/>
                <w:spacing w:val="-31"/>
                <w:sz w:val="19"/>
                <w:szCs w:val="19"/>
                <w:highlight w:val="none"/>
              </w:rPr>
              <w:t xml:space="preserve"> </w:t>
            </w:r>
            <w:r>
              <w:rPr>
                <w:color w:val="auto"/>
                <w:spacing w:val="4"/>
                <w:sz w:val="19"/>
                <w:szCs w:val="19"/>
                <w:highlight w:val="none"/>
              </w:rPr>
              <w:t>扫</w:t>
            </w:r>
          </w:p>
          <w:p w14:paraId="5092BB08">
            <w:pPr>
              <w:pStyle w:val="9"/>
              <w:spacing w:before="94" w:line="229" w:lineRule="auto"/>
              <w:ind w:left="605"/>
              <w:rPr>
                <w:color w:val="auto"/>
                <w:sz w:val="19"/>
                <w:szCs w:val="19"/>
                <w:highlight w:val="none"/>
              </w:rPr>
            </w:pPr>
            <w:r>
              <w:rPr>
                <w:color w:val="auto"/>
                <w:spacing w:val="4"/>
                <w:sz w:val="19"/>
                <w:szCs w:val="19"/>
                <w:highlight w:val="none"/>
              </w:rPr>
              <w:t>描仪</w:t>
            </w:r>
          </w:p>
        </w:tc>
        <w:tc>
          <w:tcPr>
            <w:tcW w:w="4338" w:type="dxa"/>
            <w:vAlign w:val="top"/>
          </w:tcPr>
          <w:p w14:paraId="056D6790">
            <w:pPr>
              <w:pStyle w:val="9"/>
              <w:spacing w:before="70" w:line="303" w:lineRule="auto"/>
              <w:ind w:left="111" w:right="101" w:hanging="2"/>
              <w:rPr>
                <w:color w:val="auto"/>
                <w:sz w:val="19"/>
                <w:szCs w:val="19"/>
                <w:highlight w:val="none"/>
              </w:rPr>
            </w:pPr>
            <w:r>
              <w:rPr>
                <w:color w:val="auto"/>
                <w:spacing w:val="5"/>
                <w:sz w:val="19"/>
                <w:szCs w:val="19"/>
                <w:highlight w:val="none"/>
              </w:rPr>
              <w:t>参照《复印机、打印机和传真机能效限定值及能</w:t>
            </w:r>
            <w:r>
              <w:rPr>
                <w:color w:val="auto"/>
                <w:spacing w:val="12"/>
                <w:sz w:val="19"/>
                <w:szCs w:val="19"/>
                <w:highlight w:val="none"/>
              </w:rPr>
              <w:t xml:space="preserve"> </w:t>
            </w:r>
            <w:r>
              <w:rPr>
                <w:color w:val="auto"/>
                <w:spacing w:val="4"/>
                <w:sz w:val="19"/>
                <w:szCs w:val="19"/>
                <w:highlight w:val="none"/>
              </w:rPr>
              <w:t>效等级》（</w:t>
            </w:r>
            <w:r>
              <w:rPr>
                <w:color w:val="auto"/>
                <w:sz w:val="19"/>
                <w:szCs w:val="19"/>
                <w:highlight w:val="none"/>
              </w:rPr>
              <w:t>GB</w:t>
            </w:r>
            <w:r>
              <w:rPr>
                <w:color w:val="auto"/>
                <w:spacing w:val="4"/>
                <w:sz w:val="19"/>
                <w:szCs w:val="19"/>
                <w:highlight w:val="none"/>
              </w:rPr>
              <w:t>21521</w:t>
            </w:r>
            <w:r>
              <w:rPr>
                <w:color w:val="auto"/>
                <w:spacing w:val="-15"/>
                <w:sz w:val="19"/>
                <w:szCs w:val="19"/>
                <w:highlight w:val="none"/>
              </w:rPr>
              <w:t xml:space="preserve"> </w:t>
            </w:r>
            <w:r>
              <w:rPr>
                <w:color w:val="auto"/>
                <w:spacing w:val="4"/>
                <w:sz w:val="19"/>
                <w:szCs w:val="19"/>
                <w:highlight w:val="none"/>
              </w:rPr>
              <w:t>中打印速度为</w:t>
            </w:r>
            <w:r>
              <w:rPr>
                <w:color w:val="auto"/>
                <w:spacing w:val="-24"/>
                <w:sz w:val="19"/>
                <w:szCs w:val="19"/>
                <w:highlight w:val="none"/>
              </w:rPr>
              <w:t xml:space="preserve"> </w:t>
            </w:r>
            <w:r>
              <w:rPr>
                <w:color w:val="auto"/>
                <w:spacing w:val="4"/>
                <w:sz w:val="19"/>
                <w:szCs w:val="19"/>
                <w:highlight w:val="none"/>
              </w:rPr>
              <w:t>15</w:t>
            </w:r>
            <w:r>
              <w:rPr>
                <w:color w:val="auto"/>
                <w:spacing w:val="-31"/>
                <w:sz w:val="19"/>
                <w:szCs w:val="19"/>
                <w:highlight w:val="none"/>
              </w:rPr>
              <w:t xml:space="preserve"> </w:t>
            </w:r>
            <w:r>
              <w:rPr>
                <w:color w:val="auto"/>
                <w:spacing w:val="4"/>
                <w:sz w:val="19"/>
                <w:szCs w:val="19"/>
                <w:highlight w:val="none"/>
              </w:rPr>
              <w:t>页/分的针</w:t>
            </w:r>
            <w:r>
              <w:rPr>
                <w:color w:val="auto"/>
                <w:sz w:val="19"/>
                <w:szCs w:val="19"/>
                <w:highlight w:val="none"/>
              </w:rPr>
              <w:t xml:space="preserve"> </w:t>
            </w:r>
            <w:r>
              <w:rPr>
                <w:color w:val="auto"/>
                <w:spacing w:val="7"/>
                <w:sz w:val="19"/>
                <w:szCs w:val="19"/>
                <w:highlight w:val="none"/>
              </w:rPr>
              <w:t>式打印机相关要求中打印速度为</w:t>
            </w:r>
            <w:r>
              <w:rPr>
                <w:color w:val="auto"/>
                <w:spacing w:val="-20"/>
                <w:sz w:val="19"/>
                <w:szCs w:val="19"/>
                <w:highlight w:val="none"/>
              </w:rPr>
              <w:t xml:space="preserve"> </w:t>
            </w:r>
            <w:r>
              <w:rPr>
                <w:color w:val="auto"/>
                <w:spacing w:val="7"/>
                <w:sz w:val="19"/>
                <w:szCs w:val="19"/>
                <w:highlight w:val="none"/>
              </w:rPr>
              <w:t>15</w:t>
            </w:r>
            <w:r>
              <w:rPr>
                <w:color w:val="auto"/>
                <w:spacing w:val="-33"/>
                <w:sz w:val="19"/>
                <w:szCs w:val="19"/>
                <w:highlight w:val="none"/>
              </w:rPr>
              <w:t xml:space="preserve"> </w:t>
            </w:r>
            <w:r>
              <w:rPr>
                <w:color w:val="auto"/>
                <w:spacing w:val="7"/>
                <w:sz w:val="19"/>
                <w:szCs w:val="19"/>
                <w:highlight w:val="none"/>
              </w:rPr>
              <w:t>页/分</w:t>
            </w:r>
            <w:r>
              <w:rPr>
                <w:color w:val="auto"/>
                <w:spacing w:val="6"/>
                <w:sz w:val="19"/>
                <w:szCs w:val="19"/>
                <w:highlight w:val="none"/>
              </w:rPr>
              <w:t>的针</w:t>
            </w:r>
            <w:r>
              <w:rPr>
                <w:color w:val="auto"/>
                <w:sz w:val="19"/>
                <w:szCs w:val="19"/>
                <w:highlight w:val="none"/>
              </w:rPr>
              <w:t xml:space="preserve">  </w:t>
            </w:r>
            <w:r>
              <w:rPr>
                <w:color w:val="auto"/>
                <w:spacing w:val="8"/>
                <w:sz w:val="19"/>
                <w:szCs w:val="19"/>
                <w:highlight w:val="none"/>
              </w:rPr>
              <w:t>式打印机相关要求</w:t>
            </w:r>
          </w:p>
        </w:tc>
      </w:tr>
      <w:tr w14:paraId="5BB0A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Align w:val="top"/>
          </w:tcPr>
          <w:p w14:paraId="25C600BD">
            <w:pPr>
              <w:pStyle w:val="9"/>
              <w:spacing w:before="238" w:line="256" w:lineRule="exact"/>
              <w:ind w:left="275"/>
              <w:rPr>
                <w:color w:val="auto"/>
                <w:sz w:val="19"/>
                <w:szCs w:val="19"/>
                <w:highlight w:val="none"/>
              </w:rPr>
            </w:pPr>
            <w:r>
              <w:rPr>
                <w:color w:val="auto"/>
                <w:position w:val="1"/>
                <w:sz w:val="19"/>
                <w:szCs w:val="19"/>
                <w:highlight w:val="none"/>
              </w:rPr>
              <w:t>3</w:t>
            </w:r>
          </w:p>
        </w:tc>
        <w:tc>
          <w:tcPr>
            <w:tcW w:w="1114" w:type="dxa"/>
            <w:vAlign w:val="top"/>
          </w:tcPr>
          <w:p w14:paraId="4D655F22">
            <w:pPr>
              <w:pStyle w:val="9"/>
              <w:spacing w:before="71" w:line="284" w:lineRule="auto"/>
              <w:ind w:left="253" w:right="205" w:hanging="58"/>
              <w:rPr>
                <w:color w:val="auto"/>
                <w:sz w:val="19"/>
                <w:szCs w:val="19"/>
                <w:highlight w:val="none"/>
              </w:rPr>
            </w:pPr>
            <w:r>
              <w:rPr>
                <w:color w:val="auto"/>
                <w:spacing w:val="4"/>
                <w:sz w:val="19"/>
                <w:szCs w:val="19"/>
                <w:highlight w:val="none"/>
              </w:rPr>
              <w:t>A020202</w:t>
            </w:r>
            <w:r>
              <w:rPr>
                <w:color w:val="auto"/>
                <w:spacing w:val="3"/>
                <w:sz w:val="19"/>
                <w:szCs w:val="19"/>
                <w:highlight w:val="none"/>
              </w:rPr>
              <w:t xml:space="preserve"> </w:t>
            </w:r>
            <w:r>
              <w:rPr>
                <w:color w:val="auto"/>
                <w:spacing w:val="6"/>
                <w:sz w:val="19"/>
                <w:szCs w:val="19"/>
                <w:highlight w:val="none"/>
              </w:rPr>
              <w:t>投影仪</w:t>
            </w:r>
          </w:p>
        </w:tc>
        <w:tc>
          <w:tcPr>
            <w:tcW w:w="1513" w:type="dxa"/>
            <w:vAlign w:val="top"/>
          </w:tcPr>
          <w:p w14:paraId="022BD8E4">
            <w:pPr>
              <w:rPr>
                <w:rFonts w:ascii="Arial"/>
                <w:color w:val="auto"/>
                <w:sz w:val="21"/>
                <w:highlight w:val="none"/>
              </w:rPr>
            </w:pPr>
          </w:p>
        </w:tc>
        <w:tc>
          <w:tcPr>
            <w:tcW w:w="1609" w:type="dxa"/>
            <w:vAlign w:val="top"/>
          </w:tcPr>
          <w:p w14:paraId="760EB468">
            <w:pPr>
              <w:rPr>
                <w:rFonts w:ascii="Arial"/>
                <w:color w:val="auto"/>
                <w:sz w:val="21"/>
                <w:highlight w:val="none"/>
              </w:rPr>
            </w:pPr>
          </w:p>
        </w:tc>
        <w:tc>
          <w:tcPr>
            <w:tcW w:w="4338" w:type="dxa"/>
            <w:vAlign w:val="top"/>
          </w:tcPr>
          <w:p w14:paraId="7411DDC3">
            <w:pPr>
              <w:pStyle w:val="9"/>
              <w:spacing w:before="238" w:line="228" w:lineRule="auto"/>
              <w:ind w:left="113"/>
              <w:rPr>
                <w:color w:val="auto"/>
                <w:sz w:val="19"/>
                <w:szCs w:val="19"/>
                <w:highlight w:val="none"/>
              </w:rPr>
            </w:pPr>
            <w:r>
              <w:rPr>
                <w:color w:val="auto"/>
                <w:spacing w:val="8"/>
                <w:sz w:val="19"/>
                <w:szCs w:val="19"/>
                <w:highlight w:val="none"/>
              </w:rPr>
              <w:t>《投影机能效限定值及能效等级》（</w:t>
            </w:r>
            <w:r>
              <w:rPr>
                <w:color w:val="auto"/>
                <w:sz w:val="19"/>
                <w:szCs w:val="19"/>
                <w:highlight w:val="none"/>
              </w:rPr>
              <w:t>GB</w:t>
            </w:r>
            <w:r>
              <w:rPr>
                <w:color w:val="auto"/>
                <w:spacing w:val="8"/>
                <w:sz w:val="19"/>
                <w:szCs w:val="19"/>
                <w:highlight w:val="none"/>
              </w:rPr>
              <w:t>32028）</w:t>
            </w:r>
          </w:p>
        </w:tc>
      </w:tr>
      <w:tr w14:paraId="4CC72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50" w:type="dxa"/>
            <w:vAlign w:val="top"/>
          </w:tcPr>
          <w:p w14:paraId="6E667114">
            <w:pPr>
              <w:spacing w:line="340" w:lineRule="auto"/>
              <w:rPr>
                <w:rFonts w:ascii="Arial"/>
                <w:color w:val="auto"/>
                <w:sz w:val="21"/>
                <w:highlight w:val="none"/>
              </w:rPr>
            </w:pPr>
          </w:p>
          <w:p w14:paraId="19EBC821">
            <w:pPr>
              <w:pStyle w:val="9"/>
              <w:spacing w:before="62" w:line="257" w:lineRule="exact"/>
              <w:ind w:left="270"/>
              <w:rPr>
                <w:color w:val="auto"/>
                <w:sz w:val="19"/>
                <w:szCs w:val="19"/>
                <w:highlight w:val="none"/>
              </w:rPr>
            </w:pPr>
            <w:r>
              <w:rPr>
                <w:color w:val="auto"/>
                <w:position w:val="1"/>
                <w:sz w:val="19"/>
                <w:szCs w:val="19"/>
                <w:highlight w:val="none"/>
              </w:rPr>
              <w:t>4</w:t>
            </w:r>
          </w:p>
        </w:tc>
        <w:tc>
          <w:tcPr>
            <w:tcW w:w="1114" w:type="dxa"/>
            <w:vAlign w:val="top"/>
          </w:tcPr>
          <w:p w14:paraId="22F681B1">
            <w:pPr>
              <w:pStyle w:val="9"/>
              <w:spacing w:before="73" w:line="256" w:lineRule="exact"/>
              <w:ind w:left="195"/>
              <w:rPr>
                <w:color w:val="auto"/>
                <w:sz w:val="19"/>
                <w:szCs w:val="19"/>
                <w:highlight w:val="none"/>
              </w:rPr>
            </w:pPr>
            <w:r>
              <w:rPr>
                <w:color w:val="auto"/>
                <w:spacing w:val="4"/>
                <w:position w:val="1"/>
                <w:sz w:val="19"/>
                <w:szCs w:val="19"/>
                <w:highlight w:val="none"/>
              </w:rPr>
              <w:t>A020204</w:t>
            </w:r>
          </w:p>
          <w:p w14:paraId="78B2B3D1">
            <w:pPr>
              <w:pStyle w:val="9"/>
              <w:spacing w:before="75" w:line="230" w:lineRule="auto"/>
              <w:ind w:left="160"/>
              <w:rPr>
                <w:color w:val="auto"/>
                <w:sz w:val="19"/>
                <w:szCs w:val="19"/>
                <w:highlight w:val="none"/>
              </w:rPr>
            </w:pPr>
            <w:r>
              <w:rPr>
                <w:color w:val="auto"/>
                <w:spacing w:val="5"/>
                <w:sz w:val="19"/>
                <w:szCs w:val="19"/>
                <w:highlight w:val="none"/>
              </w:rPr>
              <w:t>多功能一</w:t>
            </w:r>
          </w:p>
          <w:p w14:paraId="4C5E9B59">
            <w:pPr>
              <w:pStyle w:val="9"/>
              <w:spacing w:before="94" w:line="228" w:lineRule="auto"/>
              <w:ind w:left="350"/>
              <w:rPr>
                <w:color w:val="auto"/>
                <w:sz w:val="19"/>
                <w:szCs w:val="19"/>
                <w:highlight w:val="none"/>
              </w:rPr>
            </w:pPr>
            <w:r>
              <w:rPr>
                <w:color w:val="auto"/>
                <w:spacing w:val="5"/>
                <w:sz w:val="19"/>
                <w:szCs w:val="19"/>
                <w:highlight w:val="none"/>
              </w:rPr>
              <w:t>体机</w:t>
            </w:r>
          </w:p>
        </w:tc>
        <w:tc>
          <w:tcPr>
            <w:tcW w:w="1513" w:type="dxa"/>
            <w:vAlign w:val="top"/>
          </w:tcPr>
          <w:p w14:paraId="243CC7FA">
            <w:pPr>
              <w:rPr>
                <w:rFonts w:ascii="Arial"/>
                <w:color w:val="auto"/>
                <w:sz w:val="21"/>
                <w:highlight w:val="none"/>
              </w:rPr>
            </w:pPr>
          </w:p>
        </w:tc>
        <w:tc>
          <w:tcPr>
            <w:tcW w:w="1609" w:type="dxa"/>
            <w:vAlign w:val="top"/>
          </w:tcPr>
          <w:p w14:paraId="39622283">
            <w:pPr>
              <w:rPr>
                <w:rFonts w:ascii="Arial"/>
                <w:color w:val="auto"/>
                <w:sz w:val="21"/>
                <w:highlight w:val="none"/>
              </w:rPr>
            </w:pPr>
          </w:p>
        </w:tc>
        <w:tc>
          <w:tcPr>
            <w:tcW w:w="4338" w:type="dxa"/>
            <w:vAlign w:val="top"/>
          </w:tcPr>
          <w:p w14:paraId="5E8BCBAA">
            <w:pPr>
              <w:pStyle w:val="9"/>
              <w:spacing w:before="239" w:line="324" w:lineRule="auto"/>
              <w:ind w:left="111" w:right="104" w:firstLine="2"/>
              <w:rPr>
                <w:color w:val="auto"/>
                <w:sz w:val="19"/>
                <w:szCs w:val="19"/>
                <w:highlight w:val="none"/>
              </w:rPr>
            </w:pPr>
            <w:r>
              <w:rPr>
                <w:color w:val="auto"/>
                <w:spacing w:val="5"/>
                <w:sz w:val="19"/>
                <w:szCs w:val="19"/>
                <w:highlight w:val="none"/>
              </w:rPr>
              <w:t>《复印机、打印机和传真机能效限定值及能效等</w:t>
            </w:r>
            <w:r>
              <w:rPr>
                <w:color w:val="auto"/>
                <w:spacing w:val="8"/>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21521）</w:t>
            </w:r>
          </w:p>
        </w:tc>
      </w:tr>
      <w:tr w14:paraId="02B88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Align w:val="top"/>
          </w:tcPr>
          <w:p w14:paraId="6C184096">
            <w:pPr>
              <w:pStyle w:val="9"/>
              <w:spacing w:before="239" w:line="256" w:lineRule="exact"/>
              <w:ind w:left="275"/>
              <w:rPr>
                <w:color w:val="auto"/>
                <w:sz w:val="19"/>
                <w:szCs w:val="19"/>
                <w:highlight w:val="none"/>
              </w:rPr>
            </w:pPr>
            <w:r>
              <w:rPr>
                <w:color w:val="auto"/>
                <w:position w:val="1"/>
                <w:sz w:val="19"/>
                <w:szCs w:val="19"/>
                <w:highlight w:val="none"/>
              </w:rPr>
              <w:t>5</w:t>
            </w:r>
          </w:p>
        </w:tc>
        <w:tc>
          <w:tcPr>
            <w:tcW w:w="1114" w:type="dxa"/>
            <w:vAlign w:val="top"/>
          </w:tcPr>
          <w:p w14:paraId="79B16D77">
            <w:pPr>
              <w:pStyle w:val="9"/>
              <w:spacing w:before="73" w:line="257" w:lineRule="exact"/>
              <w:ind w:left="195"/>
              <w:rPr>
                <w:color w:val="auto"/>
                <w:sz w:val="19"/>
                <w:szCs w:val="19"/>
                <w:highlight w:val="none"/>
              </w:rPr>
            </w:pPr>
            <w:r>
              <w:rPr>
                <w:color w:val="auto"/>
                <w:spacing w:val="4"/>
                <w:position w:val="1"/>
                <w:sz w:val="19"/>
                <w:szCs w:val="19"/>
                <w:highlight w:val="none"/>
              </w:rPr>
              <w:t>A020519</w:t>
            </w:r>
          </w:p>
          <w:p w14:paraId="6F95B0B0">
            <w:pPr>
              <w:pStyle w:val="9"/>
              <w:spacing w:before="74" w:line="229" w:lineRule="auto"/>
              <w:ind w:left="452"/>
              <w:rPr>
                <w:color w:val="auto"/>
                <w:sz w:val="19"/>
                <w:szCs w:val="19"/>
                <w:highlight w:val="none"/>
              </w:rPr>
            </w:pPr>
            <w:r>
              <w:rPr>
                <w:color w:val="auto"/>
                <w:sz w:val="19"/>
                <w:szCs w:val="19"/>
                <w:highlight w:val="none"/>
              </w:rPr>
              <w:t>泵</w:t>
            </w:r>
          </w:p>
        </w:tc>
        <w:tc>
          <w:tcPr>
            <w:tcW w:w="1513" w:type="dxa"/>
            <w:vAlign w:val="top"/>
          </w:tcPr>
          <w:p w14:paraId="5EAF32E2">
            <w:pPr>
              <w:pStyle w:val="9"/>
              <w:spacing w:before="73" w:line="230" w:lineRule="auto"/>
              <w:ind w:left="171"/>
              <w:rPr>
                <w:color w:val="auto"/>
                <w:sz w:val="19"/>
                <w:szCs w:val="19"/>
                <w:highlight w:val="none"/>
              </w:rPr>
            </w:pPr>
            <w:r>
              <w:rPr>
                <w:color w:val="auto"/>
                <w:spacing w:val="4"/>
                <w:sz w:val="19"/>
                <w:szCs w:val="19"/>
                <w:highlight w:val="none"/>
              </w:rPr>
              <w:t>A02051901</w:t>
            </w:r>
            <w:r>
              <w:rPr>
                <w:color w:val="auto"/>
                <w:spacing w:val="-32"/>
                <w:sz w:val="19"/>
                <w:szCs w:val="19"/>
                <w:highlight w:val="none"/>
              </w:rPr>
              <w:t xml:space="preserve"> </w:t>
            </w:r>
            <w:r>
              <w:rPr>
                <w:color w:val="auto"/>
                <w:spacing w:val="4"/>
                <w:sz w:val="19"/>
                <w:szCs w:val="19"/>
                <w:highlight w:val="none"/>
              </w:rPr>
              <w:t>离</w:t>
            </w:r>
          </w:p>
          <w:p w14:paraId="6C86D783">
            <w:pPr>
              <w:pStyle w:val="9"/>
              <w:spacing w:before="94" w:line="229" w:lineRule="auto"/>
              <w:ind w:left="557"/>
              <w:rPr>
                <w:color w:val="auto"/>
                <w:sz w:val="19"/>
                <w:szCs w:val="19"/>
                <w:highlight w:val="none"/>
              </w:rPr>
            </w:pPr>
            <w:r>
              <w:rPr>
                <w:color w:val="auto"/>
                <w:spacing w:val="3"/>
                <w:sz w:val="19"/>
                <w:szCs w:val="19"/>
                <w:highlight w:val="none"/>
              </w:rPr>
              <w:t>心泵</w:t>
            </w:r>
          </w:p>
        </w:tc>
        <w:tc>
          <w:tcPr>
            <w:tcW w:w="1609" w:type="dxa"/>
            <w:vAlign w:val="top"/>
          </w:tcPr>
          <w:p w14:paraId="6BF64E9E">
            <w:pPr>
              <w:rPr>
                <w:rFonts w:ascii="Arial"/>
                <w:color w:val="auto"/>
                <w:sz w:val="21"/>
                <w:highlight w:val="none"/>
              </w:rPr>
            </w:pPr>
          </w:p>
        </w:tc>
        <w:tc>
          <w:tcPr>
            <w:tcW w:w="4338" w:type="dxa"/>
            <w:vAlign w:val="top"/>
          </w:tcPr>
          <w:p w14:paraId="57DFE5FF">
            <w:pPr>
              <w:pStyle w:val="9"/>
              <w:spacing w:before="73" w:line="283" w:lineRule="auto"/>
              <w:ind w:left="117" w:right="635" w:hanging="4"/>
              <w:rPr>
                <w:color w:val="auto"/>
                <w:sz w:val="19"/>
                <w:szCs w:val="19"/>
                <w:highlight w:val="none"/>
              </w:rPr>
            </w:pPr>
            <w:r>
              <w:rPr>
                <w:color w:val="auto"/>
                <w:spacing w:val="8"/>
                <w:sz w:val="19"/>
                <w:szCs w:val="19"/>
                <w:highlight w:val="none"/>
              </w:rPr>
              <w:t>《清水离心泵能效限定值及节能评价值》</w:t>
            </w:r>
            <w:r>
              <w:rPr>
                <w:color w:val="auto"/>
                <w:spacing w:val="9"/>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19762）</w:t>
            </w:r>
          </w:p>
        </w:tc>
      </w:tr>
      <w:tr w14:paraId="1A90B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50" w:type="dxa"/>
            <w:vMerge w:val="restart"/>
            <w:tcBorders>
              <w:bottom w:val="nil"/>
            </w:tcBorders>
            <w:vAlign w:val="top"/>
          </w:tcPr>
          <w:p w14:paraId="3864FF29">
            <w:pPr>
              <w:spacing w:line="254" w:lineRule="auto"/>
              <w:rPr>
                <w:rFonts w:ascii="Arial"/>
                <w:color w:val="auto"/>
                <w:sz w:val="21"/>
                <w:highlight w:val="none"/>
              </w:rPr>
            </w:pPr>
          </w:p>
          <w:p w14:paraId="013E5890">
            <w:pPr>
              <w:spacing w:line="255" w:lineRule="auto"/>
              <w:rPr>
                <w:rFonts w:ascii="Arial"/>
                <w:color w:val="auto"/>
                <w:sz w:val="21"/>
                <w:highlight w:val="none"/>
              </w:rPr>
            </w:pPr>
          </w:p>
          <w:p w14:paraId="75569653">
            <w:pPr>
              <w:spacing w:line="255" w:lineRule="auto"/>
              <w:rPr>
                <w:rFonts w:ascii="Arial"/>
                <w:color w:val="auto"/>
                <w:sz w:val="21"/>
                <w:highlight w:val="none"/>
              </w:rPr>
            </w:pPr>
          </w:p>
          <w:p w14:paraId="7260B080">
            <w:pPr>
              <w:spacing w:line="255" w:lineRule="auto"/>
              <w:rPr>
                <w:rFonts w:ascii="Arial"/>
                <w:color w:val="auto"/>
                <w:sz w:val="21"/>
                <w:highlight w:val="none"/>
              </w:rPr>
            </w:pPr>
          </w:p>
          <w:p w14:paraId="1FC65438">
            <w:pPr>
              <w:pStyle w:val="9"/>
              <w:spacing w:before="61" w:line="257" w:lineRule="exact"/>
              <w:ind w:left="272"/>
              <w:rPr>
                <w:color w:val="auto"/>
                <w:sz w:val="19"/>
                <w:szCs w:val="19"/>
                <w:highlight w:val="none"/>
              </w:rPr>
            </w:pPr>
            <w:r>
              <w:rPr>
                <w:color w:val="auto"/>
                <w:position w:val="1"/>
                <w:sz w:val="19"/>
                <w:szCs w:val="19"/>
                <w:highlight w:val="none"/>
              </w:rPr>
              <w:t>6</w:t>
            </w:r>
          </w:p>
        </w:tc>
        <w:tc>
          <w:tcPr>
            <w:tcW w:w="1114" w:type="dxa"/>
            <w:vMerge w:val="restart"/>
            <w:tcBorders>
              <w:bottom w:val="nil"/>
            </w:tcBorders>
            <w:vAlign w:val="top"/>
          </w:tcPr>
          <w:p w14:paraId="0B9C8114">
            <w:pPr>
              <w:spacing w:line="344" w:lineRule="auto"/>
              <w:rPr>
                <w:rFonts w:ascii="Arial"/>
                <w:color w:val="auto"/>
                <w:sz w:val="21"/>
                <w:highlight w:val="none"/>
              </w:rPr>
            </w:pPr>
          </w:p>
          <w:p w14:paraId="32DEB4D8">
            <w:pPr>
              <w:spacing w:line="345" w:lineRule="auto"/>
              <w:rPr>
                <w:rFonts w:ascii="Arial"/>
                <w:color w:val="auto"/>
                <w:sz w:val="21"/>
                <w:highlight w:val="none"/>
              </w:rPr>
            </w:pPr>
          </w:p>
          <w:p w14:paraId="7CF7407C">
            <w:pPr>
              <w:pStyle w:val="9"/>
              <w:spacing w:before="62" w:line="322" w:lineRule="auto"/>
              <w:ind w:left="152" w:right="156" w:firstLine="43"/>
              <w:rPr>
                <w:color w:val="auto"/>
                <w:sz w:val="19"/>
                <w:szCs w:val="19"/>
                <w:highlight w:val="none"/>
              </w:rPr>
            </w:pPr>
            <w:r>
              <w:rPr>
                <w:color w:val="auto"/>
                <w:spacing w:val="4"/>
                <w:sz w:val="19"/>
                <w:szCs w:val="19"/>
                <w:highlight w:val="none"/>
              </w:rPr>
              <w:t>A020523</w:t>
            </w:r>
            <w:r>
              <w:rPr>
                <w:color w:val="auto"/>
                <w:spacing w:val="3"/>
                <w:sz w:val="19"/>
                <w:szCs w:val="19"/>
                <w:highlight w:val="none"/>
              </w:rPr>
              <w:t xml:space="preserve"> </w:t>
            </w:r>
            <w:r>
              <w:rPr>
                <w:color w:val="auto"/>
                <w:spacing w:val="7"/>
                <w:sz w:val="19"/>
                <w:szCs w:val="19"/>
                <w:highlight w:val="none"/>
              </w:rPr>
              <w:t>制冷空调</w:t>
            </w:r>
          </w:p>
          <w:p w14:paraId="3318150B">
            <w:pPr>
              <w:pStyle w:val="9"/>
              <w:spacing w:line="230" w:lineRule="auto"/>
              <w:ind w:left="353"/>
              <w:rPr>
                <w:color w:val="auto"/>
                <w:sz w:val="19"/>
                <w:szCs w:val="19"/>
                <w:highlight w:val="none"/>
              </w:rPr>
            </w:pPr>
            <w:r>
              <w:rPr>
                <w:color w:val="auto"/>
                <w:spacing w:val="3"/>
                <w:sz w:val="19"/>
                <w:szCs w:val="19"/>
                <w:highlight w:val="none"/>
              </w:rPr>
              <w:t>设备</w:t>
            </w:r>
          </w:p>
        </w:tc>
        <w:tc>
          <w:tcPr>
            <w:tcW w:w="1513" w:type="dxa"/>
            <w:vMerge w:val="restart"/>
            <w:tcBorders>
              <w:bottom w:val="nil"/>
            </w:tcBorders>
            <w:vAlign w:val="top"/>
          </w:tcPr>
          <w:p w14:paraId="4BE653E8">
            <w:pPr>
              <w:spacing w:line="284" w:lineRule="auto"/>
              <w:rPr>
                <w:rFonts w:ascii="Arial"/>
                <w:color w:val="auto"/>
                <w:sz w:val="21"/>
                <w:highlight w:val="none"/>
              </w:rPr>
            </w:pPr>
          </w:p>
          <w:p w14:paraId="1FA74126">
            <w:pPr>
              <w:spacing w:line="285" w:lineRule="auto"/>
              <w:rPr>
                <w:rFonts w:ascii="Arial"/>
                <w:color w:val="auto"/>
                <w:sz w:val="21"/>
                <w:highlight w:val="none"/>
              </w:rPr>
            </w:pPr>
          </w:p>
          <w:p w14:paraId="7AC08C73">
            <w:pPr>
              <w:spacing w:line="285" w:lineRule="auto"/>
              <w:rPr>
                <w:rFonts w:ascii="Arial"/>
                <w:color w:val="auto"/>
                <w:sz w:val="21"/>
                <w:highlight w:val="none"/>
              </w:rPr>
            </w:pPr>
          </w:p>
          <w:p w14:paraId="13508B98">
            <w:pPr>
              <w:pStyle w:val="9"/>
              <w:spacing w:before="61" w:line="323" w:lineRule="auto"/>
              <w:ind w:left="255" w:right="203" w:hanging="48"/>
              <w:rPr>
                <w:color w:val="auto"/>
                <w:sz w:val="19"/>
                <w:szCs w:val="19"/>
                <w:highlight w:val="none"/>
              </w:rPr>
            </w:pPr>
            <w:r>
              <w:rPr>
                <w:color w:val="auto"/>
                <w:spacing w:val="4"/>
                <w:sz w:val="19"/>
                <w:szCs w:val="19"/>
                <w:highlight w:val="none"/>
              </w:rPr>
              <w:t>★A02052301</w:t>
            </w:r>
            <w:r>
              <w:rPr>
                <w:color w:val="auto"/>
                <w:sz w:val="19"/>
                <w:szCs w:val="19"/>
                <w:highlight w:val="none"/>
              </w:rPr>
              <w:t xml:space="preserve"> </w:t>
            </w:r>
            <w:r>
              <w:rPr>
                <w:color w:val="auto"/>
                <w:spacing w:val="7"/>
                <w:sz w:val="19"/>
                <w:szCs w:val="19"/>
                <w:highlight w:val="none"/>
              </w:rPr>
              <w:t>制冷压缩机</w:t>
            </w:r>
          </w:p>
        </w:tc>
        <w:tc>
          <w:tcPr>
            <w:tcW w:w="1609" w:type="dxa"/>
            <w:vAlign w:val="top"/>
          </w:tcPr>
          <w:p w14:paraId="7FCA93AB">
            <w:pPr>
              <w:spacing w:line="341" w:lineRule="auto"/>
              <w:rPr>
                <w:rFonts w:ascii="Arial"/>
                <w:color w:val="auto"/>
                <w:sz w:val="21"/>
                <w:highlight w:val="none"/>
              </w:rPr>
            </w:pPr>
          </w:p>
          <w:p w14:paraId="1B3C5B54">
            <w:pPr>
              <w:pStyle w:val="9"/>
              <w:spacing w:before="62" w:line="228" w:lineRule="auto"/>
              <w:ind w:left="406"/>
              <w:rPr>
                <w:color w:val="auto"/>
                <w:sz w:val="19"/>
                <w:szCs w:val="19"/>
                <w:highlight w:val="none"/>
              </w:rPr>
            </w:pPr>
            <w:r>
              <w:rPr>
                <w:color w:val="auto"/>
                <w:spacing w:val="7"/>
                <w:sz w:val="19"/>
                <w:szCs w:val="19"/>
                <w:highlight w:val="none"/>
              </w:rPr>
              <w:t>冷水机组</w:t>
            </w:r>
          </w:p>
        </w:tc>
        <w:tc>
          <w:tcPr>
            <w:tcW w:w="4338" w:type="dxa"/>
            <w:vAlign w:val="top"/>
          </w:tcPr>
          <w:p w14:paraId="181E1F64">
            <w:pPr>
              <w:pStyle w:val="9"/>
              <w:spacing w:before="73" w:line="296" w:lineRule="auto"/>
              <w:ind w:left="108" w:right="50" w:firstLine="5"/>
              <w:jc w:val="both"/>
              <w:rPr>
                <w:color w:val="auto"/>
                <w:sz w:val="19"/>
                <w:szCs w:val="19"/>
                <w:highlight w:val="none"/>
              </w:rPr>
            </w:pPr>
            <w:r>
              <w:rPr>
                <w:color w:val="auto"/>
                <w:sz w:val="19"/>
                <w:szCs w:val="19"/>
                <w:highlight w:val="none"/>
              </w:rPr>
              <w:t>《冷水机组能效限定值及能效等级》（GB19577</w:t>
            </w:r>
            <w:r>
              <w:rPr>
                <w:color w:val="auto"/>
                <w:spacing w:val="-46"/>
                <w:w w:val="93"/>
                <w:sz w:val="19"/>
                <w:szCs w:val="19"/>
                <w:highlight w:val="none"/>
              </w:rPr>
              <w:t>），</w:t>
            </w:r>
            <w:r>
              <w:rPr>
                <w:color w:val="auto"/>
                <w:spacing w:val="1"/>
                <w:sz w:val="19"/>
                <w:szCs w:val="19"/>
                <w:highlight w:val="none"/>
              </w:rPr>
              <w:t xml:space="preserve"> </w:t>
            </w:r>
            <w:r>
              <w:rPr>
                <w:color w:val="auto"/>
                <w:spacing w:val="5"/>
                <w:sz w:val="19"/>
                <w:szCs w:val="19"/>
                <w:highlight w:val="none"/>
              </w:rPr>
              <w:t>《低环境温度空气源热泵（冷水）机组能效限定</w:t>
            </w:r>
            <w:r>
              <w:rPr>
                <w:color w:val="auto"/>
                <w:spacing w:val="16"/>
                <w:sz w:val="19"/>
                <w:szCs w:val="19"/>
                <w:highlight w:val="none"/>
              </w:rPr>
              <w:t xml:space="preserve"> </w:t>
            </w:r>
            <w:r>
              <w:rPr>
                <w:color w:val="auto"/>
                <w:spacing w:val="7"/>
                <w:sz w:val="19"/>
                <w:szCs w:val="19"/>
                <w:highlight w:val="none"/>
              </w:rPr>
              <w:t>值及能效等级》（</w:t>
            </w:r>
            <w:r>
              <w:rPr>
                <w:color w:val="auto"/>
                <w:sz w:val="19"/>
                <w:szCs w:val="19"/>
                <w:highlight w:val="none"/>
              </w:rPr>
              <w:t>GB</w:t>
            </w:r>
            <w:r>
              <w:rPr>
                <w:color w:val="auto"/>
                <w:spacing w:val="7"/>
                <w:sz w:val="19"/>
                <w:szCs w:val="19"/>
                <w:highlight w:val="none"/>
              </w:rPr>
              <w:t>37480）</w:t>
            </w:r>
          </w:p>
        </w:tc>
      </w:tr>
      <w:tr w14:paraId="7ED6E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21D03FAD">
            <w:pPr>
              <w:rPr>
                <w:rFonts w:ascii="Arial"/>
                <w:color w:val="auto"/>
                <w:sz w:val="21"/>
                <w:highlight w:val="none"/>
              </w:rPr>
            </w:pPr>
          </w:p>
        </w:tc>
        <w:tc>
          <w:tcPr>
            <w:tcW w:w="1114" w:type="dxa"/>
            <w:vMerge w:val="continue"/>
            <w:tcBorders>
              <w:top w:val="nil"/>
              <w:bottom w:val="nil"/>
            </w:tcBorders>
            <w:vAlign w:val="top"/>
          </w:tcPr>
          <w:p w14:paraId="5378A542">
            <w:pPr>
              <w:rPr>
                <w:rFonts w:ascii="Arial"/>
                <w:color w:val="auto"/>
                <w:sz w:val="21"/>
                <w:highlight w:val="none"/>
              </w:rPr>
            </w:pPr>
          </w:p>
        </w:tc>
        <w:tc>
          <w:tcPr>
            <w:tcW w:w="1513" w:type="dxa"/>
            <w:vMerge w:val="continue"/>
            <w:tcBorders>
              <w:top w:val="nil"/>
              <w:bottom w:val="nil"/>
            </w:tcBorders>
            <w:vAlign w:val="top"/>
          </w:tcPr>
          <w:p w14:paraId="6BCF51DE">
            <w:pPr>
              <w:rPr>
                <w:rFonts w:ascii="Arial"/>
                <w:color w:val="auto"/>
                <w:sz w:val="21"/>
                <w:highlight w:val="none"/>
              </w:rPr>
            </w:pPr>
          </w:p>
        </w:tc>
        <w:tc>
          <w:tcPr>
            <w:tcW w:w="1609" w:type="dxa"/>
            <w:vAlign w:val="top"/>
          </w:tcPr>
          <w:p w14:paraId="7EAA3CAB">
            <w:pPr>
              <w:pStyle w:val="9"/>
              <w:spacing w:before="240" w:line="228" w:lineRule="auto"/>
              <w:ind w:left="207"/>
              <w:rPr>
                <w:color w:val="auto"/>
                <w:sz w:val="19"/>
                <w:szCs w:val="19"/>
                <w:highlight w:val="none"/>
              </w:rPr>
            </w:pPr>
            <w:r>
              <w:rPr>
                <w:color w:val="auto"/>
                <w:spacing w:val="8"/>
                <w:sz w:val="19"/>
                <w:szCs w:val="19"/>
                <w:highlight w:val="none"/>
              </w:rPr>
              <w:t>水源热泵机组</w:t>
            </w:r>
          </w:p>
        </w:tc>
        <w:tc>
          <w:tcPr>
            <w:tcW w:w="4338" w:type="dxa"/>
            <w:vAlign w:val="top"/>
          </w:tcPr>
          <w:p w14:paraId="08B816B0">
            <w:pPr>
              <w:pStyle w:val="9"/>
              <w:spacing w:before="75" w:line="282" w:lineRule="auto"/>
              <w:ind w:left="117" w:right="34" w:hanging="4"/>
              <w:rPr>
                <w:color w:val="auto"/>
                <w:sz w:val="19"/>
                <w:szCs w:val="19"/>
                <w:highlight w:val="none"/>
              </w:rPr>
            </w:pPr>
            <w:r>
              <w:rPr>
                <w:color w:val="auto"/>
                <w:spacing w:val="8"/>
                <w:sz w:val="19"/>
                <w:szCs w:val="19"/>
                <w:highlight w:val="none"/>
              </w:rPr>
              <w:t>《水（地）源热泵机组能效限定值及能效等级》</w:t>
            </w:r>
            <w:r>
              <w:rPr>
                <w:color w:val="auto"/>
                <w:spacing w:val="1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30721）</w:t>
            </w:r>
          </w:p>
        </w:tc>
      </w:tr>
      <w:tr w14:paraId="7FD2C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650" w:type="dxa"/>
            <w:vMerge w:val="continue"/>
            <w:tcBorders>
              <w:top w:val="nil"/>
            </w:tcBorders>
            <w:vAlign w:val="top"/>
          </w:tcPr>
          <w:p w14:paraId="2382BE29">
            <w:pPr>
              <w:rPr>
                <w:rFonts w:ascii="Arial"/>
                <w:color w:val="auto"/>
                <w:sz w:val="21"/>
                <w:highlight w:val="none"/>
              </w:rPr>
            </w:pPr>
          </w:p>
        </w:tc>
        <w:tc>
          <w:tcPr>
            <w:tcW w:w="1114" w:type="dxa"/>
            <w:vMerge w:val="continue"/>
            <w:tcBorders>
              <w:top w:val="nil"/>
            </w:tcBorders>
            <w:vAlign w:val="top"/>
          </w:tcPr>
          <w:p w14:paraId="69D80463">
            <w:pPr>
              <w:rPr>
                <w:rFonts w:ascii="Arial"/>
                <w:color w:val="auto"/>
                <w:sz w:val="21"/>
                <w:highlight w:val="none"/>
              </w:rPr>
            </w:pPr>
          </w:p>
        </w:tc>
        <w:tc>
          <w:tcPr>
            <w:tcW w:w="1513" w:type="dxa"/>
            <w:vMerge w:val="continue"/>
            <w:tcBorders>
              <w:top w:val="nil"/>
            </w:tcBorders>
            <w:vAlign w:val="top"/>
          </w:tcPr>
          <w:p w14:paraId="5B3C3252">
            <w:pPr>
              <w:rPr>
                <w:rFonts w:ascii="Arial"/>
                <w:color w:val="auto"/>
                <w:sz w:val="21"/>
                <w:highlight w:val="none"/>
              </w:rPr>
            </w:pPr>
          </w:p>
        </w:tc>
        <w:tc>
          <w:tcPr>
            <w:tcW w:w="1609" w:type="dxa"/>
            <w:vAlign w:val="top"/>
          </w:tcPr>
          <w:p w14:paraId="068D6A6A">
            <w:pPr>
              <w:pStyle w:val="9"/>
              <w:spacing w:before="75" w:line="229" w:lineRule="auto"/>
              <w:ind w:left="209"/>
              <w:rPr>
                <w:color w:val="auto"/>
                <w:sz w:val="19"/>
                <w:szCs w:val="19"/>
                <w:highlight w:val="none"/>
              </w:rPr>
            </w:pPr>
            <w:r>
              <w:rPr>
                <w:color w:val="auto"/>
                <w:spacing w:val="8"/>
                <w:sz w:val="19"/>
                <w:szCs w:val="19"/>
                <w:highlight w:val="none"/>
              </w:rPr>
              <w:t>溴化锂吸收式</w:t>
            </w:r>
          </w:p>
          <w:p w14:paraId="0C610EA2">
            <w:pPr>
              <w:pStyle w:val="9"/>
              <w:spacing w:before="95" w:line="228" w:lineRule="auto"/>
              <w:ind w:left="406"/>
              <w:rPr>
                <w:color w:val="auto"/>
                <w:sz w:val="19"/>
                <w:szCs w:val="19"/>
                <w:highlight w:val="none"/>
              </w:rPr>
            </w:pPr>
            <w:r>
              <w:rPr>
                <w:color w:val="auto"/>
                <w:spacing w:val="7"/>
                <w:sz w:val="19"/>
                <w:szCs w:val="19"/>
                <w:highlight w:val="none"/>
              </w:rPr>
              <w:t>冷水机组</w:t>
            </w:r>
          </w:p>
        </w:tc>
        <w:tc>
          <w:tcPr>
            <w:tcW w:w="4338" w:type="dxa"/>
            <w:vAlign w:val="top"/>
          </w:tcPr>
          <w:p w14:paraId="1E944568">
            <w:pPr>
              <w:pStyle w:val="9"/>
              <w:spacing w:before="75" w:line="286" w:lineRule="auto"/>
              <w:ind w:left="111" w:right="224" w:firstLine="2"/>
              <w:rPr>
                <w:color w:val="auto"/>
                <w:sz w:val="19"/>
                <w:szCs w:val="19"/>
                <w:highlight w:val="none"/>
              </w:rPr>
            </w:pPr>
            <w:r>
              <w:rPr>
                <w:color w:val="auto"/>
                <w:spacing w:val="9"/>
                <w:sz w:val="19"/>
                <w:szCs w:val="19"/>
                <w:highlight w:val="none"/>
              </w:rPr>
              <w:t>《溴化锂吸收式冷水机组能效限定值及能效等</w:t>
            </w:r>
            <w:r>
              <w:rPr>
                <w:color w:val="auto"/>
                <w:spacing w:val="3"/>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29540）</w:t>
            </w:r>
          </w:p>
        </w:tc>
      </w:tr>
    </w:tbl>
    <w:p w14:paraId="041A08F9">
      <w:pPr>
        <w:pStyle w:val="2"/>
        <w:rPr>
          <w:color w:val="auto"/>
          <w:highlight w:val="none"/>
        </w:rPr>
      </w:pPr>
    </w:p>
    <w:p w14:paraId="7A9857B8">
      <w:pPr>
        <w:rPr>
          <w:color w:val="auto"/>
          <w:highlight w:val="none"/>
        </w:rPr>
        <w:sectPr>
          <w:headerReference r:id="rId13" w:type="default"/>
          <w:footerReference r:id="rId14" w:type="default"/>
          <w:pgSz w:w="11905" w:h="16839"/>
          <w:pgMar w:top="960" w:right="1103" w:bottom="1055" w:left="1562" w:header="945" w:footer="819" w:gutter="0"/>
          <w:cols w:space="720" w:num="1"/>
        </w:sectPr>
      </w:pPr>
    </w:p>
    <w:p w14:paraId="3E4C418E">
      <w:pPr>
        <w:spacing w:line="173" w:lineRule="exact"/>
        <w:rPr>
          <w:color w:val="auto"/>
          <w:highlight w:val="none"/>
        </w:rPr>
      </w:pPr>
    </w:p>
    <w:tbl>
      <w:tblPr>
        <w:tblStyle w:val="8"/>
        <w:tblW w:w="922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0"/>
        <w:gridCol w:w="1114"/>
        <w:gridCol w:w="1513"/>
        <w:gridCol w:w="1609"/>
        <w:gridCol w:w="4338"/>
      </w:tblGrid>
      <w:tr w14:paraId="194CE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2" w:hRule="atLeast"/>
        </w:trPr>
        <w:tc>
          <w:tcPr>
            <w:tcW w:w="650" w:type="dxa"/>
            <w:vMerge w:val="restart"/>
            <w:tcBorders>
              <w:top w:val="nil"/>
              <w:bottom w:val="nil"/>
            </w:tcBorders>
            <w:vAlign w:val="top"/>
          </w:tcPr>
          <w:p w14:paraId="37A2E14E">
            <w:pPr>
              <w:rPr>
                <w:rFonts w:ascii="Arial"/>
                <w:color w:val="auto"/>
                <w:sz w:val="21"/>
                <w:highlight w:val="none"/>
              </w:rPr>
            </w:pPr>
          </w:p>
        </w:tc>
        <w:tc>
          <w:tcPr>
            <w:tcW w:w="1114" w:type="dxa"/>
            <w:vMerge w:val="restart"/>
            <w:tcBorders>
              <w:top w:val="nil"/>
              <w:bottom w:val="nil"/>
            </w:tcBorders>
            <w:vAlign w:val="top"/>
          </w:tcPr>
          <w:p w14:paraId="75AC1FCD">
            <w:pPr>
              <w:rPr>
                <w:rFonts w:ascii="Arial"/>
                <w:color w:val="auto"/>
                <w:sz w:val="21"/>
                <w:highlight w:val="none"/>
              </w:rPr>
            </w:pPr>
          </w:p>
        </w:tc>
        <w:tc>
          <w:tcPr>
            <w:tcW w:w="1513" w:type="dxa"/>
            <w:vMerge w:val="restart"/>
            <w:tcBorders>
              <w:top w:val="nil"/>
              <w:bottom w:val="nil"/>
            </w:tcBorders>
            <w:vAlign w:val="top"/>
          </w:tcPr>
          <w:p w14:paraId="42AC1C7D">
            <w:pPr>
              <w:spacing w:line="347" w:lineRule="auto"/>
              <w:rPr>
                <w:rFonts w:ascii="Arial"/>
                <w:color w:val="auto"/>
                <w:sz w:val="21"/>
                <w:highlight w:val="none"/>
              </w:rPr>
            </w:pPr>
          </w:p>
          <w:p w14:paraId="177E73AE">
            <w:pPr>
              <w:spacing w:line="347" w:lineRule="auto"/>
              <w:rPr>
                <w:rFonts w:ascii="Arial"/>
                <w:color w:val="auto"/>
                <w:sz w:val="21"/>
                <w:highlight w:val="none"/>
              </w:rPr>
            </w:pPr>
          </w:p>
          <w:p w14:paraId="044997D9">
            <w:pPr>
              <w:pStyle w:val="9"/>
              <w:spacing w:before="61" w:line="236" w:lineRule="auto"/>
              <w:ind w:left="207"/>
              <w:rPr>
                <w:color w:val="auto"/>
                <w:sz w:val="19"/>
                <w:szCs w:val="19"/>
                <w:highlight w:val="none"/>
              </w:rPr>
            </w:pPr>
            <w:r>
              <w:rPr>
                <w:color w:val="auto"/>
                <w:spacing w:val="4"/>
                <w:sz w:val="19"/>
                <w:szCs w:val="19"/>
                <w:highlight w:val="none"/>
              </w:rPr>
              <w:t>★A02052305</w:t>
            </w:r>
          </w:p>
          <w:p w14:paraId="7B2BF18C">
            <w:pPr>
              <w:pStyle w:val="9"/>
              <w:spacing w:before="85" w:line="228" w:lineRule="auto"/>
              <w:ind w:left="358"/>
              <w:rPr>
                <w:color w:val="auto"/>
                <w:sz w:val="19"/>
                <w:szCs w:val="19"/>
                <w:highlight w:val="none"/>
              </w:rPr>
            </w:pPr>
            <w:r>
              <w:rPr>
                <w:color w:val="auto"/>
                <w:spacing w:val="6"/>
                <w:sz w:val="19"/>
                <w:szCs w:val="19"/>
                <w:highlight w:val="none"/>
              </w:rPr>
              <w:t>空调机组</w:t>
            </w:r>
          </w:p>
        </w:tc>
        <w:tc>
          <w:tcPr>
            <w:tcW w:w="1609" w:type="dxa"/>
            <w:tcBorders>
              <w:top w:val="nil"/>
            </w:tcBorders>
            <w:vAlign w:val="top"/>
          </w:tcPr>
          <w:p w14:paraId="59133BE0">
            <w:pPr>
              <w:pStyle w:val="9"/>
              <w:spacing w:before="88" w:line="230" w:lineRule="auto"/>
              <w:ind w:left="116"/>
              <w:rPr>
                <w:color w:val="auto"/>
                <w:sz w:val="19"/>
                <w:szCs w:val="19"/>
                <w:highlight w:val="none"/>
              </w:rPr>
            </w:pPr>
            <w:r>
              <w:rPr>
                <w:color w:val="auto"/>
                <w:spacing w:val="6"/>
                <w:sz w:val="19"/>
                <w:szCs w:val="19"/>
                <w:highlight w:val="none"/>
              </w:rPr>
              <w:t>多联式空调（热</w:t>
            </w:r>
          </w:p>
          <w:p w14:paraId="349140FB">
            <w:pPr>
              <w:pStyle w:val="9"/>
              <w:spacing w:before="92" w:line="289" w:lineRule="auto"/>
              <w:ind w:left="303" w:right="148" w:hanging="148"/>
              <w:rPr>
                <w:color w:val="auto"/>
                <w:sz w:val="19"/>
                <w:szCs w:val="19"/>
                <w:highlight w:val="none"/>
              </w:rPr>
            </w:pPr>
            <w:r>
              <w:rPr>
                <w:color w:val="auto"/>
                <w:spacing w:val="7"/>
                <w:sz w:val="19"/>
                <w:szCs w:val="19"/>
                <w:highlight w:val="none"/>
              </w:rPr>
              <w:t>泵）机组(制冷</w:t>
            </w:r>
            <w:r>
              <w:rPr>
                <w:color w:val="auto"/>
                <w:spacing w:val="4"/>
                <w:sz w:val="19"/>
                <w:szCs w:val="19"/>
                <w:highlight w:val="none"/>
              </w:rPr>
              <w:t xml:space="preserve"> 量&gt;14000W)</w:t>
            </w:r>
          </w:p>
        </w:tc>
        <w:tc>
          <w:tcPr>
            <w:tcW w:w="4338" w:type="dxa"/>
            <w:tcBorders>
              <w:top w:val="nil"/>
            </w:tcBorders>
            <w:vAlign w:val="top"/>
          </w:tcPr>
          <w:p w14:paraId="3AA200D7">
            <w:pPr>
              <w:pStyle w:val="9"/>
              <w:spacing w:before="251" w:line="323" w:lineRule="auto"/>
              <w:ind w:left="109" w:right="104" w:firstLine="3"/>
              <w:rPr>
                <w:color w:val="auto"/>
                <w:sz w:val="19"/>
                <w:szCs w:val="19"/>
                <w:highlight w:val="none"/>
              </w:rPr>
            </w:pPr>
            <w:r>
              <w:rPr>
                <w:color w:val="auto"/>
                <w:spacing w:val="5"/>
                <w:sz w:val="19"/>
                <w:szCs w:val="19"/>
                <w:highlight w:val="none"/>
              </w:rPr>
              <w:t>《多联式空调（热泵）机组能效限定值及能源效</w:t>
            </w:r>
            <w:r>
              <w:rPr>
                <w:color w:val="auto"/>
                <w:spacing w:val="9"/>
                <w:sz w:val="19"/>
                <w:szCs w:val="19"/>
                <w:highlight w:val="none"/>
              </w:rPr>
              <w:t xml:space="preserve"> </w:t>
            </w:r>
            <w:r>
              <w:rPr>
                <w:color w:val="auto"/>
                <w:spacing w:val="6"/>
                <w:sz w:val="19"/>
                <w:szCs w:val="19"/>
                <w:highlight w:val="none"/>
              </w:rPr>
              <w:t>率等级》（</w:t>
            </w:r>
            <w:r>
              <w:rPr>
                <w:color w:val="auto"/>
                <w:sz w:val="19"/>
                <w:szCs w:val="19"/>
                <w:highlight w:val="none"/>
              </w:rPr>
              <w:t>GB</w:t>
            </w:r>
            <w:r>
              <w:rPr>
                <w:color w:val="auto"/>
                <w:spacing w:val="6"/>
                <w:sz w:val="19"/>
                <w:szCs w:val="19"/>
                <w:highlight w:val="none"/>
              </w:rPr>
              <w:t>21454）</w:t>
            </w:r>
          </w:p>
        </w:tc>
      </w:tr>
      <w:tr w14:paraId="3E4FD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50" w:type="dxa"/>
            <w:vMerge w:val="continue"/>
            <w:tcBorders>
              <w:top w:val="nil"/>
              <w:bottom w:val="nil"/>
            </w:tcBorders>
            <w:vAlign w:val="top"/>
          </w:tcPr>
          <w:p w14:paraId="37ED8C55">
            <w:pPr>
              <w:rPr>
                <w:rFonts w:ascii="Arial"/>
                <w:color w:val="auto"/>
                <w:sz w:val="21"/>
                <w:highlight w:val="none"/>
              </w:rPr>
            </w:pPr>
          </w:p>
        </w:tc>
        <w:tc>
          <w:tcPr>
            <w:tcW w:w="1114" w:type="dxa"/>
            <w:vMerge w:val="continue"/>
            <w:tcBorders>
              <w:top w:val="nil"/>
              <w:bottom w:val="nil"/>
            </w:tcBorders>
            <w:vAlign w:val="top"/>
          </w:tcPr>
          <w:p w14:paraId="122D67F3">
            <w:pPr>
              <w:rPr>
                <w:rFonts w:ascii="Arial"/>
                <w:color w:val="auto"/>
                <w:sz w:val="21"/>
                <w:highlight w:val="none"/>
              </w:rPr>
            </w:pPr>
          </w:p>
        </w:tc>
        <w:tc>
          <w:tcPr>
            <w:tcW w:w="1513" w:type="dxa"/>
            <w:vMerge w:val="continue"/>
            <w:tcBorders>
              <w:top w:val="nil"/>
            </w:tcBorders>
            <w:vAlign w:val="top"/>
          </w:tcPr>
          <w:p w14:paraId="3E23CED6">
            <w:pPr>
              <w:rPr>
                <w:rFonts w:ascii="Arial"/>
                <w:color w:val="auto"/>
                <w:sz w:val="21"/>
                <w:highlight w:val="none"/>
              </w:rPr>
            </w:pPr>
          </w:p>
        </w:tc>
        <w:tc>
          <w:tcPr>
            <w:tcW w:w="1609" w:type="dxa"/>
            <w:vAlign w:val="top"/>
          </w:tcPr>
          <w:p w14:paraId="4A154938">
            <w:pPr>
              <w:pStyle w:val="9"/>
              <w:spacing w:before="63" w:line="299" w:lineRule="auto"/>
              <w:ind w:left="353" w:right="196" w:hanging="147"/>
              <w:rPr>
                <w:color w:val="auto"/>
                <w:sz w:val="19"/>
                <w:szCs w:val="19"/>
                <w:highlight w:val="none"/>
              </w:rPr>
            </w:pPr>
            <w:r>
              <w:rPr>
                <w:color w:val="auto"/>
                <w:spacing w:val="8"/>
                <w:sz w:val="19"/>
                <w:szCs w:val="19"/>
                <w:highlight w:val="none"/>
              </w:rPr>
              <w:t>单元式空气调</w:t>
            </w:r>
            <w:r>
              <w:rPr>
                <w:color w:val="auto"/>
                <w:spacing w:val="1"/>
                <w:sz w:val="19"/>
                <w:szCs w:val="19"/>
                <w:highlight w:val="none"/>
              </w:rPr>
              <w:t xml:space="preserve"> </w:t>
            </w:r>
            <w:r>
              <w:rPr>
                <w:color w:val="auto"/>
                <w:spacing w:val="6"/>
                <w:sz w:val="19"/>
                <w:szCs w:val="19"/>
                <w:highlight w:val="none"/>
              </w:rPr>
              <w:t>节机(制冷</w:t>
            </w:r>
            <w:r>
              <w:rPr>
                <w:color w:val="auto"/>
                <w:spacing w:val="1"/>
                <w:sz w:val="19"/>
                <w:szCs w:val="19"/>
                <w:highlight w:val="none"/>
              </w:rPr>
              <w:t xml:space="preserve">  </w:t>
            </w:r>
            <w:r>
              <w:rPr>
                <w:color w:val="auto"/>
                <w:spacing w:val="4"/>
                <w:sz w:val="19"/>
                <w:szCs w:val="19"/>
                <w:highlight w:val="none"/>
              </w:rPr>
              <w:t>量&gt;14000W</w:t>
            </w:r>
          </w:p>
        </w:tc>
        <w:tc>
          <w:tcPr>
            <w:tcW w:w="4338" w:type="dxa"/>
            <w:vAlign w:val="top"/>
          </w:tcPr>
          <w:p w14:paraId="24895C07">
            <w:pPr>
              <w:pStyle w:val="9"/>
              <w:spacing w:before="63" w:line="228" w:lineRule="auto"/>
              <w:ind w:left="113"/>
              <w:rPr>
                <w:color w:val="auto"/>
                <w:sz w:val="19"/>
                <w:szCs w:val="19"/>
                <w:highlight w:val="none"/>
              </w:rPr>
            </w:pPr>
            <w:r>
              <w:rPr>
                <w:color w:val="auto"/>
                <w:spacing w:val="8"/>
                <w:sz w:val="19"/>
                <w:szCs w:val="19"/>
                <w:highlight w:val="none"/>
              </w:rPr>
              <w:t>《单元式空气调节机能效限定值及能效等级》</w:t>
            </w:r>
          </w:p>
          <w:p w14:paraId="0AF54283">
            <w:pPr>
              <w:pStyle w:val="9"/>
              <w:spacing w:before="95" w:line="288" w:lineRule="auto"/>
              <w:ind w:left="107" w:right="123" w:firstLine="10"/>
              <w:jc w:val="both"/>
              <w:rPr>
                <w:color w:val="auto"/>
                <w:sz w:val="19"/>
                <w:szCs w:val="19"/>
                <w:highlight w:val="none"/>
              </w:rPr>
            </w:pPr>
            <w:r>
              <w:rPr>
                <w:color w:val="auto"/>
                <w:spacing w:val="8"/>
                <w:sz w:val="19"/>
                <w:szCs w:val="19"/>
                <w:highlight w:val="none"/>
              </w:rPr>
              <w:t>（</w:t>
            </w:r>
            <w:r>
              <w:rPr>
                <w:color w:val="auto"/>
                <w:sz w:val="19"/>
                <w:szCs w:val="19"/>
                <w:highlight w:val="none"/>
              </w:rPr>
              <w:t>GB</w:t>
            </w:r>
            <w:r>
              <w:rPr>
                <w:color w:val="auto"/>
                <w:spacing w:val="8"/>
                <w:sz w:val="19"/>
                <w:szCs w:val="19"/>
                <w:highlight w:val="none"/>
              </w:rPr>
              <w:t>19576）《风管送风式空调机组能效限定值</w:t>
            </w:r>
            <w:r>
              <w:rPr>
                <w:color w:val="auto"/>
                <w:spacing w:val="9"/>
                <w:sz w:val="19"/>
                <w:szCs w:val="19"/>
                <w:highlight w:val="none"/>
              </w:rPr>
              <w:t xml:space="preserve"> </w:t>
            </w:r>
            <w:r>
              <w:rPr>
                <w:color w:val="auto"/>
                <w:spacing w:val="7"/>
                <w:sz w:val="19"/>
                <w:szCs w:val="19"/>
                <w:highlight w:val="none"/>
              </w:rPr>
              <w:t>及能效等级》（</w:t>
            </w:r>
            <w:r>
              <w:rPr>
                <w:color w:val="auto"/>
                <w:sz w:val="19"/>
                <w:szCs w:val="19"/>
                <w:highlight w:val="none"/>
              </w:rPr>
              <w:t>GB</w:t>
            </w:r>
            <w:r>
              <w:rPr>
                <w:color w:val="auto"/>
                <w:spacing w:val="7"/>
                <w:sz w:val="19"/>
                <w:szCs w:val="19"/>
                <w:highlight w:val="none"/>
              </w:rPr>
              <w:t>37479）</w:t>
            </w:r>
          </w:p>
        </w:tc>
      </w:tr>
      <w:tr w14:paraId="63B8E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50" w:type="dxa"/>
            <w:vMerge w:val="continue"/>
            <w:tcBorders>
              <w:top w:val="nil"/>
              <w:bottom w:val="nil"/>
            </w:tcBorders>
            <w:vAlign w:val="top"/>
          </w:tcPr>
          <w:p w14:paraId="28083BBB">
            <w:pPr>
              <w:rPr>
                <w:rFonts w:ascii="Arial"/>
                <w:color w:val="auto"/>
                <w:sz w:val="21"/>
                <w:highlight w:val="none"/>
              </w:rPr>
            </w:pPr>
          </w:p>
        </w:tc>
        <w:tc>
          <w:tcPr>
            <w:tcW w:w="1114" w:type="dxa"/>
            <w:vMerge w:val="continue"/>
            <w:tcBorders>
              <w:top w:val="nil"/>
              <w:bottom w:val="nil"/>
            </w:tcBorders>
            <w:vAlign w:val="top"/>
          </w:tcPr>
          <w:p w14:paraId="36556099">
            <w:pPr>
              <w:rPr>
                <w:rFonts w:ascii="Arial"/>
                <w:color w:val="auto"/>
                <w:sz w:val="21"/>
                <w:highlight w:val="none"/>
              </w:rPr>
            </w:pPr>
          </w:p>
        </w:tc>
        <w:tc>
          <w:tcPr>
            <w:tcW w:w="1513" w:type="dxa"/>
            <w:vAlign w:val="top"/>
          </w:tcPr>
          <w:p w14:paraId="3A1DC7AB">
            <w:pPr>
              <w:pStyle w:val="9"/>
              <w:spacing w:before="64" w:line="322" w:lineRule="auto"/>
              <w:ind w:left="103" w:right="104" w:firstLine="103"/>
              <w:rPr>
                <w:color w:val="auto"/>
                <w:sz w:val="19"/>
                <w:szCs w:val="19"/>
                <w:highlight w:val="none"/>
              </w:rPr>
            </w:pPr>
            <w:r>
              <w:rPr>
                <w:color w:val="auto"/>
                <w:spacing w:val="4"/>
                <w:sz w:val="19"/>
                <w:szCs w:val="19"/>
                <w:highlight w:val="none"/>
              </w:rPr>
              <w:t>★A02052309</w:t>
            </w:r>
            <w:r>
              <w:rPr>
                <w:color w:val="auto"/>
                <w:sz w:val="19"/>
                <w:szCs w:val="19"/>
                <w:highlight w:val="none"/>
              </w:rPr>
              <w:t xml:space="preserve">  </w:t>
            </w:r>
            <w:r>
              <w:rPr>
                <w:color w:val="auto"/>
                <w:spacing w:val="-6"/>
                <w:sz w:val="19"/>
                <w:szCs w:val="19"/>
                <w:highlight w:val="none"/>
              </w:rPr>
              <w:t>专用制冷、空调</w:t>
            </w:r>
          </w:p>
          <w:p w14:paraId="51BA1D8A">
            <w:pPr>
              <w:pStyle w:val="9"/>
              <w:spacing w:line="230" w:lineRule="auto"/>
              <w:ind w:left="557"/>
              <w:rPr>
                <w:color w:val="auto"/>
                <w:sz w:val="19"/>
                <w:szCs w:val="19"/>
                <w:highlight w:val="none"/>
              </w:rPr>
            </w:pPr>
            <w:r>
              <w:rPr>
                <w:color w:val="auto"/>
                <w:spacing w:val="3"/>
                <w:sz w:val="19"/>
                <w:szCs w:val="19"/>
                <w:highlight w:val="none"/>
              </w:rPr>
              <w:t>设备</w:t>
            </w:r>
          </w:p>
        </w:tc>
        <w:tc>
          <w:tcPr>
            <w:tcW w:w="1609" w:type="dxa"/>
            <w:vAlign w:val="top"/>
          </w:tcPr>
          <w:p w14:paraId="0007C094">
            <w:pPr>
              <w:spacing w:line="332" w:lineRule="auto"/>
              <w:rPr>
                <w:rFonts w:ascii="Arial"/>
                <w:color w:val="auto"/>
                <w:sz w:val="21"/>
                <w:highlight w:val="none"/>
              </w:rPr>
            </w:pPr>
          </w:p>
          <w:p w14:paraId="1F4C2A7B">
            <w:pPr>
              <w:pStyle w:val="9"/>
              <w:spacing w:before="61" w:line="228" w:lineRule="auto"/>
              <w:ind w:left="403"/>
              <w:rPr>
                <w:color w:val="auto"/>
                <w:sz w:val="19"/>
                <w:szCs w:val="19"/>
                <w:highlight w:val="none"/>
              </w:rPr>
            </w:pPr>
            <w:r>
              <w:rPr>
                <w:color w:val="auto"/>
                <w:spacing w:val="8"/>
                <w:sz w:val="19"/>
                <w:szCs w:val="19"/>
                <w:highlight w:val="none"/>
              </w:rPr>
              <w:t>机房空调</w:t>
            </w:r>
          </w:p>
        </w:tc>
        <w:tc>
          <w:tcPr>
            <w:tcW w:w="4338" w:type="dxa"/>
            <w:vAlign w:val="top"/>
          </w:tcPr>
          <w:p w14:paraId="10B0468B">
            <w:pPr>
              <w:pStyle w:val="9"/>
              <w:spacing w:before="228" w:line="329" w:lineRule="auto"/>
              <w:ind w:left="117" w:right="236" w:hanging="4"/>
              <w:rPr>
                <w:color w:val="auto"/>
                <w:sz w:val="19"/>
                <w:szCs w:val="19"/>
                <w:highlight w:val="none"/>
              </w:rPr>
            </w:pPr>
            <w:r>
              <w:rPr>
                <w:color w:val="auto"/>
                <w:spacing w:val="8"/>
                <w:sz w:val="19"/>
                <w:szCs w:val="19"/>
                <w:highlight w:val="none"/>
              </w:rPr>
              <w:t>《单元式空气调节机能效限定值及能效等级》</w:t>
            </w:r>
            <w:r>
              <w:rPr>
                <w:color w:val="auto"/>
                <w:spacing w:val="11"/>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19576）</w:t>
            </w:r>
          </w:p>
        </w:tc>
      </w:tr>
      <w:tr w14:paraId="34033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50" w:type="dxa"/>
            <w:vMerge w:val="continue"/>
            <w:tcBorders>
              <w:top w:val="nil"/>
            </w:tcBorders>
            <w:vAlign w:val="top"/>
          </w:tcPr>
          <w:p w14:paraId="10A847A6">
            <w:pPr>
              <w:rPr>
                <w:rFonts w:ascii="Arial"/>
                <w:color w:val="auto"/>
                <w:sz w:val="21"/>
                <w:highlight w:val="none"/>
              </w:rPr>
            </w:pPr>
          </w:p>
        </w:tc>
        <w:tc>
          <w:tcPr>
            <w:tcW w:w="1114" w:type="dxa"/>
            <w:vMerge w:val="continue"/>
            <w:tcBorders>
              <w:top w:val="nil"/>
            </w:tcBorders>
            <w:vAlign w:val="top"/>
          </w:tcPr>
          <w:p w14:paraId="359D47CB">
            <w:pPr>
              <w:rPr>
                <w:rFonts w:ascii="Arial"/>
                <w:color w:val="auto"/>
                <w:sz w:val="21"/>
                <w:highlight w:val="none"/>
              </w:rPr>
            </w:pPr>
          </w:p>
        </w:tc>
        <w:tc>
          <w:tcPr>
            <w:tcW w:w="1513" w:type="dxa"/>
            <w:vAlign w:val="top"/>
          </w:tcPr>
          <w:p w14:paraId="757C1C12">
            <w:pPr>
              <w:pStyle w:val="9"/>
              <w:spacing w:before="65" w:line="322" w:lineRule="auto"/>
              <w:ind w:left="153" w:right="152" w:firstLine="17"/>
              <w:rPr>
                <w:color w:val="auto"/>
                <w:sz w:val="19"/>
                <w:szCs w:val="19"/>
                <w:highlight w:val="none"/>
              </w:rPr>
            </w:pPr>
            <w:r>
              <w:rPr>
                <w:color w:val="auto"/>
                <w:spacing w:val="4"/>
                <w:sz w:val="19"/>
                <w:szCs w:val="19"/>
                <w:highlight w:val="none"/>
              </w:rPr>
              <w:t>A02052399</w:t>
            </w:r>
            <w:r>
              <w:rPr>
                <w:color w:val="auto"/>
                <w:spacing w:val="-34"/>
                <w:sz w:val="19"/>
                <w:szCs w:val="19"/>
                <w:highlight w:val="none"/>
              </w:rPr>
              <w:t xml:space="preserve"> </w:t>
            </w:r>
            <w:r>
              <w:rPr>
                <w:color w:val="auto"/>
                <w:spacing w:val="4"/>
                <w:sz w:val="19"/>
                <w:szCs w:val="19"/>
                <w:highlight w:val="none"/>
              </w:rPr>
              <w:t>其</w:t>
            </w:r>
            <w:r>
              <w:rPr>
                <w:color w:val="auto"/>
                <w:sz w:val="19"/>
                <w:szCs w:val="19"/>
                <w:highlight w:val="none"/>
              </w:rPr>
              <w:t xml:space="preserve"> </w:t>
            </w:r>
            <w:r>
              <w:rPr>
                <w:color w:val="auto"/>
                <w:spacing w:val="8"/>
                <w:sz w:val="19"/>
                <w:szCs w:val="19"/>
                <w:highlight w:val="none"/>
              </w:rPr>
              <w:t>他制冷空调设</w:t>
            </w:r>
          </w:p>
          <w:p w14:paraId="037AF051">
            <w:pPr>
              <w:pStyle w:val="9"/>
              <w:spacing w:line="230" w:lineRule="auto"/>
              <w:ind w:left="655"/>
              <w:rPr>
                <w:color w:val="auto"/>
                <w:sz w:val="19"/>
                <w:szCs w:val="19"/>
                <w:highlight w:val="none"/>
              </w:rPr>
            </w:pPr>
            <w:r>
              <w:rPr>
                <w:color w:val="auto"/>
                <w:sz w:val="19"/>
                <w:szCs w:val="19"/>
                <w:highlight w:val="none"/>
              </w:rPr>
              <w:t>备</w:t>
            </w:r>
          </w:p>
        </w:tc>
        <w:tc>
          <w:tcPr>
            <w:tcW w:w="1609" w:type="dxa"/>
            <w:vAlign w:val="top"/>
          </w:tcPr>
          <w:p w14:paraId="7184C43E">
            <w:pPr>
              <w:spacing w:line="332" w:lineRule="auto"/>
              <w:rPr>
                <w:rFonts w:ascii="Arial"/>
                <w:color w:val="auto"/>
                <w:sz w:val="21"/>
                <w:highlight w:val="none"/>
              </w:rPr>
            </w:pPr>
          </w:p>
          <w:p w14:paraId="0B687880">
            <w:pPr>
              <w:pStyle w:val="9"/>
              <w:spacing w:before="62" w:line="231" w:lineRule="auto"/>
              <w:ind w:left="506"/>
              <w:rPr>
                <w:color w:val="auto"/>
                <w:sz w:val="19"/>
                <w:szCs w:val="19"/>
                <w:highlight w:val="none"/>
              </w:rPr>
            </w:pPr>
            <w:r>
              <w:rPr>
                <w:color w:val="auto"/>
                <w:spacing w:val="6"/>
                <w:sz w:val="19"/>
                <w:szCs w:val="19"/>
                <w:highlight w:val="none"/>
              </w:rPr>
              <w:t>冷却塔</w:t>
            </w:r>
          </w:p>
        </w:tc>
        <w:tc>
          <w:tcPr>
            <w:tcW w:w="4338" w:type="dxa"/>
            <w:vAlign w:val="top"/>
          </w:tcPr>
          <w:p w14:paraId="6A625357">
            <w:pPr>
              <w:pStyle w:val="9"/>
              <w:spacing w:before="66" w:line="298" w:lineRule="auto"/>
              <w:ind w:left="108" w:right="221" w:firstLine="5"/>
              <w:jc w:val="both"/>
              <w:rPr>
                <w:color w:val="auto"/>
                <w:sz w:val="19"/>
                <w:szCs w:val="19"/>
                <w:highlight w:val="none"/>
              </w:rPr>
            </w:pPr>
            <w:r>
              <w:rPr>
                <w:color w:val="auto"/>
                <w:spacing w:val="5"/>
                <w:sz w:val="19"/>
                <w:szCs w:val="19"/>
                <w:highlight w:val="none"/>
              </w:rPr>
              <w:t>《机械通风冷却塔第</w:t>
            </w:r>
            <w:r>
              <w:rPr>
                <w:color w:val="auto"/>
                <w:spacing w:val="-14"/>
                <w:sz w:val="19"/>
                <w:szCs w:val="19"/>
                <w:highlight w:val="none"/>
              </w:rPr>
              <w:t xml:space="preserve"> </w:t>
            </w:r>
            <w:r>
              <w:rPr>
                <w:color w:val="auto"/>
                <w:spacing w:val="5"/>
                <w:sz w:val="19"/>
                <w:szCs w:val="19"/>
                <w:highlight w:val="none"/>
              </w:rPr>
              <w:t>1</w:t>
            </w:r>
            <w:r>
              <w:rPr>
                <w:color w:val="auto"/>
                <w:spacing w:val="-33"/>
                <w:sz w:val="19"/>
                <w:szCs w:val="19"/>
                <w:highlight w:val="none"/>
              </w:rPr>
              <w:t xml:space="preserve"> </w:t>
            </w:r>
            <w:r>
              <w:rPr>
                <w:color w:val="auto"/>
                <w:spacing w:val="5"/>
                <w:sz w:val="19"/>
                <w:szCs w:val="19"/>
                <w:highlight w:val="none"/>
              </w:rPr>
              <w:t>部分：</w:t>
            </w:r>
            <w:r>
              <w:rPr>
                <w:color w:val="auto"/>
                <w:spacing w:val="-57"/>
                <w:sz w:val="19"/>
                <w:szCs w:val="19"/>
                <w:highlight w:val="none"/>
              </w:rPr>
              <w:t xml:space="preserve"> </w:t>
            </w:r>
            <w:r>
              <w:rPr>
                <w:color w:val="auto"/>
                <w:spacing w:val="5"/>
                <w:sz w:val="19"/>
                <w:szCs w:val="19"/>
                <w:highlight w:val="none"/>
              </w:rPr>
              <w:t>中小型开式冷却</w:t>
            </w:r>
            <w:r>
              <w:rPr>
                <w:color w:val="auto"/>
                <w:sz w:val="19"/>
                <w:szCs w:val="19"/>
                <w:highlight w:val="none"/>
              </w:rPr>
              <w:t xml:space="preserve"> </w:t>
            </w:r>
            <w:r>
              <w:rPr>
                <w:color w:val="auto"/>
                <w:spacing w:val="7"/>
                <w:sz w:val="19"/>
                <w:szCs w:val="19"/>
                <w:highlight w:val="none"/>
              </w:rPr>
              <w:t>塔》（</w:t>
            </w:r>
            <w:r>
              <w:rPr>
                <w:color w:val="auto"/>
                <w:sz w:val="19"/>
                <w:szCs w:val="19"/>
                <w:highlight w:val="none"/>
              </w:rPr>
              <w:t>GB</w:t>
            </w:r>
            <w:r>
              <w:rPr>
                <w:color w:val="auto"/>
                <w:spacing w:val="7"/>
                <w:sz w:val="19"/>
                <w:szCs w:val="19"/>
                <w:highlight w:val="none"/>
              </w:rPr>
              <w:t>/T7190.1</w:t>
            </w:r>
            <w:r>
              <w:rPr>
                <w:color w:val="auto"/>
                <w:spacing w:val="13"/>
                <w:sz w:val="19"/>
                <w:szCs w:val="19"/>
                <w:highlight w:val="none"/>
              </w:rPr>
              <w:t>）；</w:t>
            </w:r>
            <w:r>
              <w:rPr>
                <w:color w:val="auto"/>
                <w:spacing w:val="7"/>
                <w:sz w:val="19"/>
                <w:szCs w:val="19"/>
                <w:highlight w:val="none"/>
              </w:rPr>
              <w:t>《机械通风冷却塔第</w:t>
            </w:r>
            <w:r>
              <w:rPr>
                <w:color w:val="auto"/>
                <w:spacing w:val="-31"/>
                <w:sz w:val="19"/>
                <w:szCs w:val="19"/>
                <w:highlight w:val="none"/>
              </w:rPr>
              <w:t xml:space="preserve"> </w:t>
            </w:r>
            <w:r>
              <w:rPr>
                <w:color w:val="auto"/>
                <w:spacing w:val="7"/>
                <w:sz w:val="19"/>
                <w:szCs w:val="19"/>
                <w:highlight w:val="none"/>
              </w:rPr>
              <w:t>2</w:t>
            </w:r>
            <w:r>
              <w:rPr>
                <w:color w:val="auto"/>
                <w:sz w:val="19"/>
                <w:szCs w:val="19"/>
                <w:highlight w:val="none"/>
              </w:rPr>
              <w:t xml:space="preserve"> </w:t>
            </w:r>
            <w:r>
              <w:rPr>
                <w:color w:val="auto"/>
                <w:spacing w:val="7"/>
                <w:sz w:val="19"/>
                <w:szCs w:val="19"/>
                <w:highlight w:val="none"/>
              </w:rPr>
              <w:t>部分：大型开式冷却塔》（</w:t>
            </w:r>
            <w:r>
              <w:rPr>
                <w:color w:val="auto"/>
                <w:sz w:val="19"/>
                <w:szCs w:val="19"/>
                <w:highlight w:val="none"/>
              </w:rPr>
              <w:t>GB</w:t>
            </w:r>
            <w:r>
              <w:rPr>
                <w:color w:val="auto"/>
                <w:spacing w:val="7"/>
                <w:sz w:val="19"/>
                <w:szCs w:val="19"/>
                <w:highlight w:val="none"/>
              </w:rPr>
              <w:t>/T7190.2）</w:t>
            </w:r>
          </w:p>
        </w:tc>
      </w:tr>
      <w:tr w14:paraId="59631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Align w:val="top"/>
          </w:tcPr>
          <w:p w14:paraId="512B97F9">
            <w:pPr>
              <w:pStyle w:val="9"/>
              <w:spacing w:before="231" w:line="257" w:lineRule="exact"/>
              <w:ind w:left="275"/>
              <w:rPr>
                <w:color w:val="auto"/>
                <w:sz w:val="19"/>
                <w:szCs w:val="19"/>
                <w:highlight w:val="none"/>
              </w:rPr>
            </w:pPr>
            <w:r>
              <w:rPr>
                <w:color w:val="auto"/>
                <w:position w:val="1"/>
                <w:sz w:val="19"/>
                <w:szCs w:val="19"/>
                <w:highlight w:val="none"/>
              </w:rPr>
              <w:t>7</w:t>
            </w:r>
          </w:p>
        </w:tc>
        <w:tc>
          <w:tcPr>
            <w:tcW w:w="1114" w:type="dxa"/>
            <w:vAlign w:val="top"/>
          </w:tcPr>
          <w:p w14:paraId="37D94CA0">
            <w:pPr>
              <w:pStyle w:val="9"/>
              <w:spacing w:before="65" w:line="287" w:lineRule="auto"/>
              <w:ind w:left="373" w:right="205" w:hanging="178"/>
              <w:rPr>
                <w:color w:val="auto"/>
                <w:sz w:val="19"/>
                <w:szCs w:val="19"/>
                <w:highlight w:val="none"/>
              </w:rPr>
            </w:pPr>
            <w:r>
              <w:rPr>
                <w:color w:val="auto"/>
                <w:spacing w:val="4"/>
                <w:sz w:val="19"/>
                <w:szCs w:val="19"/>
                <w:highlight w:val="none"/>
              </w:rPr>
              <w:t>A020601</w:t>
            </w:r>
            <w:r>
              <w:rPr>
                <w:color w:val="auto"/>
                <w:spacing w:val="3"/>
                <w:sz w:val="19"/>
                <w:szCs w:val="19"/>
                <w:highlight w:val="none"/>
              </w:rPr>
              <w:t xml:space="preserve"> </w:t>
            </w:r>
            <w:r>
              <w:rPr>
                <w:color w:val="auto"/>
                <w:spacing w:val="-7"/>
                <w:sz w:val="19"/>
                <w:szCs w:val="19"/>
                <w:highlight w:val="none"/>
              </w:rPr>
              <w:t>电机</w:t>
            </w:r>
          </w:p>
        </w:tc>
        <w:tc>
          <w:tcPr>
            <w:tcW w:w="1513" w:type="dxa"/>
            <w:vAlign w:val="top"/>
          </w:tcPr>
          <w:p w14:paraId="76FB49A4">
            <w:pPr>
              <w:rPr>
                <w:rFonts w:ascii="Arial"/>
                <w:color w:val="auto"/>
                <w:sz w:val="21"/>
                <w:highlight w:val="none"/>
              </w:rPr>
            </w:pPr>
          </w:p>
        </w:tc>
        <w:tc>
          <w:tcPr>
            <w:tcW w:w="1609" w:type="dxa"/>
            <w:vAlign w:val="top"/>
          </w:tcPr>
          <w:p w14:paraId="508F8168">
            <w:pPr>
              <w:rPr>
                <w:rFonts w:ascii="Arial"/>
                <w:color w:val="auto"/>
                <w:sz w:val="21"/>
                <w:highlight w:val="none"/>
              </w:rPr>
            </w:pPr>
          </w:p>
        </w:tc>
        <w:tc>
          <w:tcPr>
            <w:tcW w:w="4338" w:type="dxa"/>
            <w:vAlign w:val="top"/>
          </w:tcPr>
          <w:p w14:paraId="42E288EF">
            <w:pPr>
              <w:pStyle w:val="9"/>
              <w:spacing w:before="65" w:line="287" w:lineRule="auto"/>
              <w:ind w:left="111" w:right="224" w:firstLine="2"/>
              <w:rPr>
                <w:color w:val="auto"/>
                <w:sz w:val="19"/>
                <w:szCs w:val="19"/>
                <w:highlight w:val="none"/>
              </w:rPr>
            </w:pPr>
            <w:r>
              <w:rPr>
                <w:color w:val="auto"/>
                <w:spacing w:val="9"/>
                <w:sz w:val="19"/>
                <w:szCs w:val="19"/>
                <w:highlight w:val="none"/>
              </w:rPr>
              <w:t>《中小型三相异步电动机能效限定值及能效等</w:t>
            </w:r>
            <w:r>
              <w:rPr>
                <w:color w:val="auto"/>
                <w:spacing w:val="3"/>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18613）</w:t>
            </w:r>
          </w:p>
        </w:tc>
      </w:tr>
      <w:tr w14:paraId="366E6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Align w:val="top"/>
          </w:tcPr>
          <w:p w14:paraId="001B3103">
            <w:pPr>
              <w:pStyle w:val="9"/>
              <w:spacing w:before="232" w:line="256" w:lineRule="exact"/>
              <w:ind w:left="271"/>
              <w:rPr>
                <w:color w:val="auto"/>
                <w:sz w:val="19"/>
                <w:szCs w:val="19"/>
                <w:highlight w:val="none"/>
              </w:rPr>
            </w:pPr>
            <w:r>
              <w:rPr>
                <w:color w:val="auto"/>
                <w:position w:val="1"/>
                <w:sz w:val="19"/>
                <w:szCs w:val="19"/>
                <w:highlight w:val="none"/>
              </w:rPr>
              <w:t>8</w:t>
            </w:r>
          </w:p>
        </w:tc>
        <w:tc>
          <w:tcPr>
            <w:tcW w:w="1114" w:type="dxa"/>
            <w:vAlign w:val="top"/>
          </w:tcPr>
          <w:p w14:paraId="2C20CE7D">
            <w:pPr>
              <w:pStyle w:val="9"/>
              <w:spacing w:before="67" w:line="286" w:lineRule="auto"/>
              <w:ind w:left="251" w:right="205" w:hanging="56"/>
              <w:rPr>
                <w:color w:val="auto"/>
                <w:sz w:val="19"/>
                <w:szCs w:val="19"/>
                <w:highlight w:val="none"/>
              </w:rPr>
            </w:pPr>
            <w:r>
              <w:rPr>
                <w:color w:val="auto"/>
                <w:spacing w:val="4"/>
                <w:sz w:val="19"/>
                <w:szCs w:val="19"/>
                <w:highlight w:val="none"/>
              </w:rPr>
              <w:t>A020602</w:t>
            </w:r>
            <w:r>
              <w:rPr>
                <w:color w:val="auto"/>
                <w:spacing w:val="3"/>
                <w:sz w:val="19"/>
                <w:szCs w:val="19"/>
                <w:highlight w:val="none"/>
              </w:rPr>
              <w:t xml:space="preserve"> </w:t>
            </w:r>
            <w:r>
              <w:rPr>
                <w:color w:val="auto"/>
                <w:spacing w:val="7"/>
                <w:sz w:val="19"/>
                <w:szCs w:val="19"/>
                <w:highlight w:val="none"/>
              </w:rPr>
              <w:t>变压器</w:t>
            </w:r>
          </w:p>
        </w:tc>
        <w:tc>
          <w:tcPr>
            <w:tcW w:w="1513" w:type="dxa"/>
            <w:vAlign w:val="top"/>
          </w:tcPr>
          <w:p w14:paraId="6C948301">
            <w:pPr>
              <w:pStyle w:val="9"/>
              <w:spacing w:before="232" w:line="230" w:lineRule="auto"/>
              <w:ind w:left="254"/>
              <w:rPr>
                <w:color w:val="auto"/>
                <w:sz w:val="19"/>
                <w:szCs w:val="19"/>
                <w:highlight w:val="none"/>
              </w:rPr>
            </w:pPr>
            <w:r>
              <w:rPr>
                <w:color w:val="auto"/>
                <w:spacing w:val="8"/>
                <w:sz w:val="19"/>
                <w:szCs w:val="19"/>
                <w:highlight w:val="none"/>
              </w:rPr>
              <w:t>配电变压器</w:t>
            </w:r>
          </w:p>
        </w:tc>
        <w:tc>
          <w:tcPr>
            <w:tcW w:w="1609" w:type="dxa"/>
            <w:vAlign w:val="top"/>
          </w:tcPr>
          <w:p w14:paraId="49903472">
            <w:pPr>
              <w:rPr>
                <w:rFonts w:ascii="Arial"/>
                <w:color w:val="auto"/>
                <w:sz w:val="21"/>
                <w:highlight w:val="none"/>
              </w:rPr>
            </w:pPr>
          </w:p>
        </w:tc>
        <w:tc>
          <w:tcPr>
            <w:tcW w:w="4338" w:type="dxa"/>
            <w:vAlign w:val="top"/>
          </w:tcPr>
          <w:p w14:paraId="34A83505">
            <w:pPr>
              <w:pStyle w:val="9"/>
              <w:spacing w:before="67" w:line="286" w:lineRule="auto"/>
              <w:ind w:left="117" w:right="435" w:hanging="4"/>
              <w:rPr>
                <w:color w:val="auto"/>
                <w:sz w:val="19"/>
                <w:szCs w:val="19"/>
                <w:highlight w:val="none"/>
              </w:rPr>
            </w:pPr>
            <w:r>
              <w:rPr>
                <w:color w:val="auto"/>
                <w:spacing w:val="8"/>
                <w:sz w:val="19"/>
                <w:szCs w:val="19"/>
                <w:highlight w:val="none"/>
              </w:rPr>
              <w:t>《三相配电变压器能效限定值及能效等级》</w:t>
            </w:r>
            <w:r>
              <w:rPr>
                <w:color w:val="auto"/>
                <w:spacing w:val="10"/>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20052）</w:t>
            </w:r>
          </w:p>
        </w:tc>
      </w:tr>
      <w:tr w14:paraId="5AA39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Align w:val="top"/>
          </w:tcPr>
          <w:p w14:paraId="60A02663">
            <w:pPr>
              <w:pStyle w:val="9"/>
              <w:spacing w:before="233" w:line="256" w:lineRule="exact"/>
              <w:ind w:left="271"/>
              <w:rPr>
                <w:color w:val="auto"/>
                <w:sz w:val="19"/>
                <w:szCs w:val="19"/>
                <w:highlight w:val="none"/>
              </w:rPr>
            </w:pPr>
            <w:r>
              <w:rPr>
                <w:color w:val="auto"/>
                <w:position w:val="1"/>
                <w:sz w:val="19"/>
                <w:szCs w:val="19"/>
                <w:highlight w:val="none"/>
              </w:rPr>
              <w:t>9</w:t>
            </w:r>
          </w:p>
        </w:tc>
        <w:tc>
          <w:tcPr>
            <w:tcW w:w="1114" w:type="dxa"/>
            <w:vAlign w:val="top"/>
          </w:tcPr>
          <w:p w14:paraId="0AE5E192">
            <w:pPr>
              <w:pStyle w:val="9"/>
              <w:spacing w:before="67" w:line="286" w:lineRule="auto"/>
              <w:ind w:left="252" w:right="106" w:hanging="148"/>
              <w:rPr>
                <w:color w:val="auto"/>
                <w:sz w:val="19"/>
                <w:szCs w:val="19"/>
                <w:highlight w:val="none"/>
              </w:rPr>
            </w:pPr>
            <w:r>
              <w:rPr>
                <w:color w:val="auto"/>
                <w:spacing w:val="4"/>
                <w:sz w:val="19"/>
                <w:szCs w:val="19"/>
                <w:highlight w:val="none"/>
              </w:rPr>
              <w:t>★A020609</w:t>
            </w:r>
            <w:r>
              <w:rPr>
                <w:color w:val="auto"/>
                <w:sz w:val="19"/>
                <w:szCs w:val="19"/>
                <w:highlight w:val="none"/>
              </w:rPr>
              <w:t xml:space="preserve"> </w:t>
            </w:r>
            <w:r>
              <w:rPr>
                <w:color w:val="auto"/>
                <w:spacing w:val="7"/>
                <w:sz w:val="19"/>
                <w:szCs w:val="19"/>
                <w:highlight w:val="none"/>
              </w:rPr>
              <w:t>镇流器</w:t>
            </w:r>
          </w:p>
        </w:tc>
        <w:tc>
          <w:tcPr>
            <w:tcW w:w="1513" w:type="dxa"/>
            <w:vAlign w:val="top"/>
          </w:tcPr>
          <w:p w14:paraId="7A9485E0">
            <w:pPr>
              <w:pStyle w:val="9"/>
              <w:spacing w:before="67" w:line="229" w:lineRule="auto"/>
              <w:ind w:left="157"/>
              <w:rPr>
                <w:color w:val="auto"/>
                <w:sz w:val="19"/>
                <w:szCs w:val="19"/>
                <w:highlight w:val="none"/>
              </w:rPr>
            </w:pPr>
            <w:r>
              <w:rPr>
                <w:color w:val="auto"/>
                <w:spacing w:val="8"/>
                <w:sz w:val="19"/>
                <w:szCs w:val="19"/>
                <w:highlight w:val="none"/>
              </w:rPr>
              <w:t>管型荧光灯镇</w:t>
            </w:r>
          </w:p>
          <w:p w14:paraId="0F311C5D">
            <w:pPr>
              <w:pStyle w:val="9"/>
              <w:spacing w:before="96" w:line="232" w:lineRule="auto"/>
              <w:ind w:left="555"/>
              <w:rPr>
                <w:color w:val="auto"/>
                <w:sz w:val="19"/>
                <w:szCs w:val="19"/>
                <w:highlight w:val="none"/>
              </w:rPr>
            </w:pPr>
            <w:r>
              <w:rPr>
                <w:color w:val="auto"/>
                <w:spacing w:val="4"/>
                <w:sz w:val="19"/>
                <w:szCs w:val="19"/>
                <w:highlight w:val="none"/>
              </w:rPr>
              <w:t>流器</w:t>
            </w:r>
          </w:p>
        </w:tc>
        <w:tc>
          <w:tcPr>
            <w:tcW w:w="1609" w:type="dxa"/>
            <w:vAlign w:val="top"/>
          </w:tcPr>
          <w:p w14:paraId="3642F267">
            <w:pPr>
              <w:rPr>
                <w:rFonts w:ascii="Arial"/>
                <w:color w:val="auto"/>
                <w:sz w:val="21"/>
                <w:highlight w:val="none"/>
              </w:rPr>
            </w:pPr>
          </w:p>
        </w:tc>
        <w:tc>
          <w:tcPr>
            <w:tcW w:w="4338" w:type="dxa"/>
            <w:vAlign w:val="top"/>
          </w:tcPr>
          <w:p w14:paraId="47168C6F">
            <w:pPr>
              <w:pStyle w:val="9"/>
              <w:spacing w:before="67" w:line="286" w:lineRule="auto"/>
              <w:ind w:left="117" w:right="236" w:hanging="4"/>
              <w:rPr>
                <w:color w:val="auto"/>
                <w:sz w:val="19"/>
                <w:szCs w:val="19"/>
                <w:highlight w:val="none"/>
              </w:rPr>
            </w:pPr>
            <w:r>
              <w:rPr>
                <w:color w:val="auto"/>
                <w:spacing w:val="8"/>
                <w:sz w:val="19"/>
                <w:szCs w:val="19"/>
                <w:highlight w:val="none"/>
              </w:rPr>
              <w:t>《管形荧光灯镇流器能效限定值及能效等级》</w:t>
            </w:r>
            <w:r>
              <w:rPr>
                <w:color w:val="auto"/>
                <w:spacing w:val="11"/>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17896）</w:t>
            </w:r>
          </w:p>
        </w:tc>
      </w:tr>
      <w:tr w14:paraId="7BFF5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restart"/>
            <w:tcBorders>
              <w:bottom w:val="nil"/>
            </w:tcBorders>
            <w:vAlign w:val="top"/>
          </w:tcPr>
          <w:p w14:paraId="7288B3F2">
            <w:pPr>
              <w:spacing w:line="252" w:lineRule="auto"/>
              <w:rPr>
                <w:rFonts w:ascii="Arial"/>
                <w:color w:val="auto"/>
                <w:sz w:val="21"/>
                <w:highlight w:val="none"/>
              </w:rPr>
            </w:pPr>
          </w:p>
          <w:p w14:paraId="554E201A">
            <w:pPr>
              <w:spacing w:line="253" w:lineRule="auto"/>
              <w:rPr>
                <w:rFonts w:ascii="Arial"/>
                <w:color w:val="auto"/>
                <w:sz w:val="21"/>
                <w:highlight w:val="none"/>
              </w:rPr>
            </w:pPr>
          </w:p>
          <w:p w14:paraId="3BDD100C">
            <w:pPr>
              <w:spacing w:line="253" w:lineRule="auto"/>
              <w:rPr>
                <w:rFonts w:ascii="Arial"/>
                <w:color w:val="auto"/>
                <w:sz w:val="21"/>
                <w:highlight w:val="none"/>
              </w:rPr>
            </w:pPr>
          </w:p>
          <w:p w14:paraId="2EAAE36F">
            <w:pPr>
              <w:spacing w:line="253" w:lineRule="auto"/>
              <w:rPr>
                <w:rFonts w:ascii="Arial"/>
                <w:color w:val="auto"/>
                <w:sz w:val="21"/>
                <w:highlight w:val="none"/>
              </w:rPr>
            </w:pPr>
          </w:p>
          <w:p w14:paraId="57CEF7F3">
            <w:pPr>
              <w:spacing w:line="253" w:lineRule="auto"/>
              <w:rPr>
                <w:rFonts w:ascii="Arial"/>
                <w:color w:val="auto"/>
                <w:sz w:val="21"/>
                <w:highlight w:val="none"/>
              </w:rPr>
            </w:pPr>
          </w:p>
          <w:p w14:paraId="3F03C7AD">
            <w:pPr>
              <w:spacing w:line="253" w:lineRule="auto"/>
              <w:rPr>
                <w:rFonts w:ascii="Arial"/>
                <w:color w:val="auto"/>
                <w:sz w:val="21"/>
                <w:highlight w:val="none"/>
              </w:rPr>
            </w:pPr>
          </w:p>
          <w:p w14:paraId="7EF5E646">
            <w:pPr>
              <w:spacing w:line="253" w:lineRule="auto"/>
              <w:rPr>
                <w:rFonts w:ascii="Arial"/>
                <w:color w:val="auto"/>
                <w:sz w:val="21"/>
                <w:highlight w:val="none"/>
              </w:rPr>
            </w:pPr>
          </w:p>
          <w:p w14:paraId="54486D51">
            <w:pPr>
              <w:spacing w:line="253" w:lineRule="auto"/>
              <w:rPr>
                <w:rFonts w:ascii="Arial"/>
                <w:color w:val="auto"/>
                <w:sz w:val="21"/>
                <w:highlight w:val="none"/>
              </w:rPr>
            </w:pPr>
          </w:p>
          <w:p w14:paraId="2029A1EF">
            <w:pPr>
              <w:spacing w:line="253" w:lineRule="auto"/>
              <w:rPr>
                <w:rFonts w:ascii="Arial"/>
                <w:color w:val="auto"/>
                <w:sz w:val="21"/>
                <w:highlight w:val="none"/>
              </w:rPr>
            </w:pPr>
          </w:p>
          <w:p w14:paraId="47E16787">
            <w:pPr>
              <w:spacing w:line="253" w:lineRule="auto"/>
              <w:rPr>
                <w:rFonts w:ascii="Arial"/>
                <w:color w:val="auto"/>
                <w:sz w:val="21"/>
                <w:highlight w:val="none"/>
              </w:rPr>
            </w:pPr>
          </w:p>
          <w:p w14:paraId="24120D93">
            <w:pPr>
              <w:spacing w:line="253" w:lineRule="auto"/>
              <w:rPr>
                <w:rFonts w:ascii="Arial"/>
                <w:color w:val="auto"/>
                <w:sz w:val="21"/>
                <w:highlight w:val="none"/>
              </w:rPr>
            </w:pPr>
          </w:p>
          <w:p w14:paraId="02BEC321">
            <w:pPr>
              <w:spacing w:line="253" w:lineRule="auto"/>
              <w:rPr>
                <w:rFonts w:ascii="Arial"/>
                <w:color w:val="auto"/>
                <w:sz w:val="21"/>
                <w:highlight w:val="none"/>
              </w:rPr>
            </w:pPr>
          </w:p>
          <w:p w14:paraId="3B813220">
            <w:pPr>
              <w:spacing w:line="253" w:lineRule="auto"/>
              <w:rPr>
                <w:rFonts w:ascii="Arial"/>
                <w:color w:val="auto"/>
                <w:sz w:val="21"/>
                <w:highlight w:val="none"/>
              </w:rPr>
            </w:pPr>
          </w:p>
          <w:p w14:paraId="21824637">
            <w:pPr>
              <w:spacing w:line="253" w:lineRule="auto"/>
              <w:rPr>
                <w:rFonts w:ascii="Arial"/>
                <w:color w:val="auto"/>
                <w:sz w:val="21"/>
                <w:highlight w:val="none"/>
              </w:rPr>
            </w:pPr>
          </w:p>
          <w:p w14:paraId="2D3B32C0">
            <w:pPr>
              <w:pStyle w:val="9"/>
              <w:spacing w:before="62" w:line="256" w:lineRule="exact"/>
              <w:ind w:left="237"/>
              <w:rPr>
                <w:color w:val="auto"/>
                <w:sz w:val="19"/>
                <w:szCs w:val="19"/>
                <w:highlight w:val="none"/>
              </w:rPr>
            </w:pPr>
            <w:r>
              <w:rPr>
                <w:color w:val="auto"/>
                <w:spacing w:val="-7"/>
                <w:position w:val="1"/>
                <w:sz w:val="19"/>
                <w:szCs w:val="19"/>
                <w:highlight w:val="none"/>
              </w:rPr>
              <w:t>10</w:t>
            </w:r>
          </w:p>
        </w:tc>
        <w:tc>
          <w:tcPr>
            <w:tcW w:w="1114" w:type="dxa"/>
            <w:vMerge w:val="restart"/>
            <w:tcBorders>
              <w:bottom w:val="nil"/>
            </w:tcBorders>
            <w:vAlign w:val="top"/>
          </w:tcPr>
          <w:p w14:paraId="0D659095">
            <w:pPr>
              <w:spacing w:line="247" w:lineRule="auto"/>
              <w:rPr>
                <w:rFonts w:ascii="Arial"/>
                <w:color w:val="auto"/>
                <w:sz w:val="21"/>
                <w:highlight w:val="none"/>
              </w:rPr>
            </w:pPr>
          </w:p>
          <w:p w14:paraId="1B74F2A9">
            <w:pPr>
              <w:spacing w:line="247" w:lineRule="auto"/>
              <w:rPr>
                <w:rFonts w:ascii="Arial"/>
                <w:color w:val="auto"/>
                <w:sz w:val="21"/>
                <w:highlight w:val="none"/>
              </w:rPr>
            </w:pPr>
          </w:p>
          <w:p w14:paraId="5602E7E8">
            <w:pPr>
              <w:spacing w:line="247" w:lineRule="auto"/>
              <w:rPr>
                <w:rFonts w:ascii="Arial"/>
                <w:color w:val="auto"/>
                <w:sz w:val="21"/>
                <w:highlight w:val="none"/>
              </w:rPr>
            </w:pPr>
          </w:p>
          <w:p w14:paraId="4D556F51">
            <w:pPr>
              <w:spacing w:line="247" w:lineRule="auto"/>
              <w:rPr>
                <w:rFonts w:ascii="Arial"/>
                <w:color w:val="auto"/>
                <w:sz w:val="21"/>
                <w:highlight w:val="none"/>
              </w:rPr>
            </w:pPr>
          </w:p>
          <w:p w14:paraId="7598C774">
            <w:pPr>
              <w:spacing w:line="247" w:lineRule="auto"/>
              <w:rPr>
                <w:rFonts w:ascii="Arial"/>
                <w:color w:val="auto"/>
                <w:sz w:val="21"/>
                <w:highlight w:val="none"/>
              </w:rPr>
            </w:pPr>
          </w:p>
          <w:p w14:paraId="1F705462">
            <w:pPr>
              <w:spacing w:line="247" w:lineRule="auto"/>
              <w:rPr>
                <w:rFonts w:ascii="Arial"/>
                <w:color w:val="auto"/>
                <w:sz w:val="21"/>
                <w:highlight w:val="none"/>
              </w:rPr>
            </w:pPr>
          </w:p>
          <w:p w14:paraId="7EB3DF9C">
            <w:pPr>
              <w:spacing w:line="247" w:lineRule="auto"/>
              <w:rPr>
                <w:rFonts w:ascii="Arial"/>
                <w:color w:val="auto"/>
                <w:sz w:val="21"/>
                <w:highlight w:val="none"/>
              </w:rPr>
            </w:pPr>
          </w:p>
          <w:p w14:paraId="68436C03">
            <w:pPr>
              <w:spacing w:line="247" w:lineRule="auto"/>
              <w:rPr>
                <w:rFonts w:ascii="Arial"/>
                <w:color w:val="auto"/>
                <w:sz w:val="21"/>
                <w:highlight w:val="none"/>
              </w:rPr>
            </w:pPr>
          </w:p>
          <w:p w14:paraId="498CCDC9">
            <w:pPr>
              <w:spacing w:line="247" w:lineRule="auto"/>
              <w:rPr>
                <w:rFonts w:ascii="Arial"/>
                <w:color w:val="auto"/>
                <w:sz w:val="21"/>
                <w:highlight w:val="none"/>
              </w:rPr>
            </w:pPr>
          </w:p>
          <w:p w14:paraId="5A0DEF81">
            <w:pPr>
              <w:spacing w:line="247" w:lineRule="auto"/>
              <w:rPr>
                <w:rFonts w:ascii="Arial"/>
                <w:color w:val="auto"/>
                <w:sz w:val="21"/>
                <w:highlight w:val="none"/>
              </w:rPr>
            </w:pPr>
          </w:p>
          <w:p w14:paraId="5B303796">
            <w:pPr>
              <w:spacing w:line="247" w:lineRule="auto"/>
              <w:rPr>
                <w:rFonts w:ascii="Arial"/>
                <w:color w:val="auto"/>
                <w:sz w:val="21"/>
                <w:highlight w:val="none"/>
              </w:rPr>
            </w:pPr>
          </w:p>
          <w:p w14:paraId="15C0EA6A">
            <w:pPr>
              <w:spacing w:line="247" w:lineRule="auto"/>
              <w:rPr>
                <w:rFonts w:ascii="Arial"/>
                <w:color w:val="auto"/>
                <w:sz w:val="21"/>
                <w:highlight w:val="none"/>
              </w:rPr>
            </w:pPr>
          </w:p>
          <w:p w14:paraId="23556824">
            <w:pPr>
              <w:spacing w:line="247" w:lineRule="auto"/>
              <w:rPr>
                <w:rFonts w:ascii="Arial"/>
                <w:color w:val="auto"/>
                <w:sz w:val="21"/>
                <w:highlight w:val="none"/>
              </w:rPr>
            </w:pPr>
          </w:p>
          <w:p w14:paraId="00E03324">
            <w:pPr>
              <w:pStyle w:val="9"/>
              <w:spacing w:before="62" w:line="322" w:lineRule="auto"/>
              <w:ind w:left="153" w:right="156" w:firstLine="42"/>
              <w:rPr>
                <w:color w:val="auto"/>
                <w:sz w:val="19"/>
                <w:szCs w:val="19"/>
                <w:highlight w:val="none"/>
              </w:rPr>
            </w:pPr>
            <w:r>
              <w:rPr>
                <w:color w:val="auto"/>
                <w:spacing w:val="4"/>
                <w:sz w:val="19"/>
                <w:szCs w:val="19"/>
                <w:highlight w:val="none"/>
              </w:rPr>
              <w:t>A020618</w:t>
            </w:r>
            <w:r>
              <w:rPr>
                <w:color w:val="auto"/>
                <w:spacing w:val="3"/>
                <w:sz w:val="19"/>
                <w:szCs w:val="19"/>
                <w:highlight w:val="none"/>
              </w:rPr>
              <w:t xml:space="preserve"> </w:t>
            </w:r>
            <w:r>
              <w:rPr>
                <w:color w:val="auto"/>
                <w:spacing w:val="7"/>
                <w:sz w:val="19"/>
                <w:szCs w:val="19"/>
                <w:highlight w:val="none"/>
              </w:rPr>
              <w:t>生活用电</w:t>
            </w:r>
          </w:p>
          <w:p w14:paraId="5C13E80E">
            <w:pPr>
              <w:pStyle w:val="9"/>
              <w:spacing w:line="233" w:lineRule="auto"/>
              <w:ind w:left="451"/>
              <w:rPr>
                <w:color w:val="auto"/>
                <w:sz w:val="19"/>
                <w:szCs w:val="19"/>
                <w:highlight w:val="none"/>
              </w:rPr>
            </w:pPr>
            <w:r>
              <w:rPr>
                <w:color w:val="auto"/>
                <w:spacing w:val="1"/>
                <w:sz w:val="19"/>
                <w:szCs w:val="19"/>
                <w:highlight w:val="none"/>
              </w:rPr>
              <w:t>器</w:t>
            </w:r>
          </w:p>
        </w:tc>
        <w:tc>
          <w:tcPr>
            <w:tcW w:w="1513" w:type="dxa"/>
            <w:vAlign w:val="top"/>
          </w:tcPr>
          <w:p w14:paraId="12283188">
            <w:pPr>
              <w:pStyle w:val="9"/>
              <w:spacing w:before="68" w:line="256" w:lineRule="exact"/>
              <w:ind w:left="197"/>
              <w:rPr>
                <w:color w:val="auto"/>
                <w:sz w:val="19"/>
                <w:szCs w:val="19"/>
                <w:highlight w:val="none"/>
              </w:rPr>
            </w:pPr>
            <w:r>
              <w:rPr>
                <w:color w:val="auto"/>
                <w:spacing w:val="4"/>
                <w:position w:val="1"/>
                <w:sz w:val="19"/>
                <w:szCs w:val="19"/>
                <w:highlight w:val="none"/>
              </w:rPr>
              <w:t>A0206180101</w:t>
            </w:r>
          </w:p>
          <w:p w14:paraId="40C99EFA">
            <w:pPr>
              <w:pStyle w:val="9"/>
              <w:spacing w:before="74" w:line="230" w:lineRule="auto"/>
              <w:ind w:left="476"/>
              <w:rPr>
                <w:color w:val="auto"/>
                <w:sz w:val="19"/>
                <w:szCs w:val="19"/>
                <w:highlight w:val="none"/>
              </w:rPr>
            </w:pPr>
            <w:r>
              <w:rPr>
                <w:color w:val="auto"/>
                <w:spacing w:val="-1"/>
                <w:sz w:val="19"/>
                <w:szCs w:val="19"/>
                <w:highlight w:val="none"/>
              </w:rPr>
              <w:t>电冰箱</w:t>
            </w:r>
          </w:p>
        </w:tc>
        <w:tc>
          <w:tcPr>
            <w:tcW w:w="1609" w:type="dxa"/>
            <w:vAlign w:val="top"/>
          </w:tcPr>
          <w:p w14:paraId="21F7AA53">
            <w:pPr>
              <w:rPr>
                <w:rFonts w:ascii="Arial"/>
                <w:color w:val="auto"/>
                <w:sz w:val="21"/>
                <w:highlight w:val="none"/>
              </w:rPr>
            </w:pPr>
          </w:p>
        </w:tc>
        <w:tc>
          <w:tcPr>
            <w:tcW w:w="4338" w:type="dxa"/>
            <w:vAlign w:val="top"/>
          </w:tcPr>
          <w:p w14:paraId="7963EDC5">
            <w:pPr>
              <w:pStyle w:val="9"/>
              <w:spacing w:before="67" w:line="286" w:lineRule="auto"/>
              <w:ind w:left="122" w:right="220" w:hanging="9"/>
              <w:rPr>
                <w:color w:val="auto"/>
                <w:sz w:val="19"/>
                <w:szCs w:val="19"/>
                <w:highlight w:val="none"/>
              </w:rPr>
            </w:pPr>
            <w:r>
              <w:rPr>
                <w:color w:val="auto"/>
                <w:spacing w:val="9"/>
                <w:sz w:val="19"/>
                <w:szCs w:val="19"/>
                <w:highlight w:val="none"/>
              </w:rPr>
              <w:t>《家用电冰箱耗电量限定值及能效等级》（</w:t>
            </w:r>
            <w:r>
              <w:rPr>
                <w:color w:val="auto"/>
                <w:sz w:val="19"/>
                <w:szCs w:val="19"/>
                <w:highlight w:val="none"/>
              </w:rPr>
              <w:t>GB</w:t>
            </w:r>
            <w:r>
              <w:rPr>
                <w:color w:val="auto"/>
                <w:spacing w:val="16"/>
                <w:sz w:val="19"/>
                <w:szCs w:val="19"/>
                <w:highlight w:val="none"/>
              </w:rPr>
              <w:t xml:space="preserve"> </w:t>
            </w:r>
            <w:r>
              <w:rPr>
                <w:color w:val="auto"/>
                <w:spacing w:val="1"/>
                <w:sz w:val="19"/>
                <w:szCs w:val="19"/>
                <w:highlight w:val="none"/>
              </w:rPr>
              <w:t>12021.2）</w:t>
            </w:r>
          </w:p>
        </w:tc>
      </w:tr>
      <w:tr w14:paraId="5136B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650" w:type="dxa"/>
            <w:vMerge w:val="continue"/>
            <w:tcBorders>
              <w:top w:val="nil"/>
              <w:bottom w:val="nil"/>
            </w:tcBorders>
            <w:vAlign w:val="top"/>
          </w:tcPr>
          <w:p w14:paraId="2B45B7ED">
            <w:pPr>
              <w:rPr>
                <w:rFonts w:ascii="Arial"/>
                <w:color w:val="auto"/>
                <w:sz w:val="21"/>
                <w:highlight w:val="none"/>
              </w:rPr>
            </w:pPr>
          </w:p>
        </w:tc>
        <w:tc>
          <w:tcPr>
            <w:tcW w:w="1114" w:type="dxa"/>
            <w:vMerge w:val="continue"/>
            <w:tcBorders>
              <w:top w:val="nil"/>
              <w:bottom w:val="nil"/>
            </w:tcBorders>
            <w:vAlign w:val="top"/>
          </w:tcPr>
          <w:p w14:paraId="1D3AE4C2">
            <w:pPr>
              <w:rPr>
                <w:rFonts w:ascii="Arial"/>
                <w:color w:val="auto"/>
                <w:sz w:val="21"/>
                <w:highlight w:val="none"/>
              </w:rPr>
            </w:pPr>
          </w:p>
        </w:tc>
        <w:tc>
          <w:tcPr>
            <w:tcW w:w="1513" w:type="dxa"/>
            <w:vMerge w:val="restart"/>
            <w:tcBorders>
              <w:bottom w:val="nil"/>
            </w:tcBorders>
            <w:vAlign w:val="top"/>
          </w:tcPr>
          <w:p w14:paraId="324E1D71">
            <w:pPr>
              <w:spacing w:line="269" w:lineRule="auto"/>
              <w:rPr>
                <w:rFonts w:ascii="Arial"/>
                <w:color w:val="auto"/>
                <w:sz w:val="21"/>
                <w:highlight w:val="none"/>
              </w:rPr>
            </w:pPr>
          </w:p>
          <w:p w14:paraId="7247DD42">
            <w:pPr>
              <w:spacing w:line="269" w:lineRule="auto"/>
              <w:rPr>
                <w:rFonts w:ascii="Arial"/>
                <w:color w:val="auto"/>
                <w:sz w:val="21"/>
                <w:highlight w:val="none"/>
              </w:rPr>
            </w:pPr>
          </w:p>
          <w:p w14:paraId="39B7A8CE">
            <w:pPr>
              <w:spacing w:line="269" w:lineRule="auto"/>
              <w:rPr>
                <w:rFonts w:ascii="Arial"/>
                <w:color w:val="auto"/>
                <w:sz w:val="21"/>
                <w:highlight w:val="none"/>
              </w:rPr>
            </w:pPr>
          </w:p>
          <w:p w14:paraId="2585ED34">
            <w:pPr>
              <w:spacing w:line="269" w:lineRule="auto"/>
              <w:rPr>
                <w:rFonts w:ascii="Arial"/>
                <w:color w:val="auto"/>
                <w:sz w:val="21"/>
                <w:highlight w:val="none"/>
              </w:rPr>
            </w:pPr>
          </w:p>
          <w:p w14:paraId="44A7ED0B">
            <w:pPr>
              <w:spacing w:line="269" w:lineRule="auto"/>
              <w:rPr>
                <w:rFonts w:ascii="Arial"/>
                <w:color w:val="auto"/>
                <w:sz w:val="21"/>
                <w:highlight w:val="none"/>
              </w:rPr>
            </w:pPr>
          </w:p>
          <w:p w14:paraId="0AD89754">
            <w:pPr>
              <w:pStyle w:val="9"/>
              <w:spacing w:before="61" w:line="236" w:lineRule="auto"/>
              <w:ind w:left="106"/>
              <w:rPr>
                <w:color w:val="auto"/>
                <w:sz w:val="19"/>
                <w:szCs w:val="19"/>
                <w:highlight w:val="none"/>
              </w:rPr>
            </w:pPr>
            <w:r>
              <w:rPr>
                <w:color w:val="auto"/>
                <w:spacing w:val="4"/>
                <w:sz w:val="19"/>
                <w:szCs w:val="19"/>
                <w:highlight w:val="none"/>
              </w:rPr>
              <w:t>★A0206180203</w:t>
            </w:r>
          </w:p>
          <w:p w14:paraId="7DAECA5B">
            <w:pPr>
              <w:pStyle w:val="9"/>
              <w:spacing w:before="85" w:line="228" w:lineRule="auto"/>
              <w:ind w:left="459"/>
              <w:rPr>
                <w:color w:val="auto"/>
                <w:sz w:val="19"/>
                <w:szCs w:val="19"/>
                <w:highlight w:val="none"/>
              </w:rPr>
            </w:pPr>
            <w:r>
              <w:rPr>
                <w:color w:val="auto"/>
                <w:spacing w:val="5"/>
                <w:sz w:val="19"/>
                <w:szCs w:val="19"/>
                <w:highlight w:val="none"/>
              </w:rPr>
              <w:t>空调机</w:t>
            </w:r>
          </w:p>
        </w:tc>
        <w:tc>
          <w:tcPr>
            <w:tcW w:w="1609" w:type="dxa"/>
            <w:vAlign w:val="top"/>
          </w:tcPr>
          <w:p w14:paraId="4A7A4CDF">
            <w:pPr>
              <w:spacing w:line="335" w:lineRule="auto"/>
              <w:rPr>
                <w:rFonts w:ascii="Arial"/>
                <w:color w:val="auto"/>
                <w:sz w:val="21"/>
                <w:highlight w:val="none"/>
              </w:rPr>
            </w:pPr>
          </w:p>
          <w:p w14:paraId="3CB05D7F">
            <w:pPr>
              <w:pStyle w:val="9"/>
              <w:spacing w:before="62" w:line="230" w:lineRule="auto"/>
              <w:ind w:left="206"/>
              <w:rPr>
                <w:color w:val="auto"/>
                <w:sz w:val="19"/>
                <w:szCs w:val="19"/>
                <w:highlight w:val="none"/>
              </w:rPr>
            </w:pPr>
            <w:r>
              <w:rPr>
                <w:color w:val="auto"/>
                <w:spacing w:val="8"/>
                <w:sz w:val="19"/>
                <w:szCs w:val="19"/>
                <w:highlight w:val="none"/>
              </w:rPr>
              <w:t>房间空气调节</w:t>
            </w:r>
          </w:p>
          <w:p w14:paraId="2C12B56C">
            <w:pPr>
              <w:pStyle w:val="9"/>
              <w:spacing w:before="94" w:line="234" w:lineRule="auto"/>
              <w:ind w:left="704"/>
              <w:rPr>
                <w:color w:val="auto"/>
                <w:sz w:val="19"/>
                <w:szCs w:val="19"/>
                <w:highlight w:val="none"/>
              </w:rPr>
            </w:pPr>
            <w:r>
              <w:rPr>
                <w:color w:val="auto"/>
                <w:spacing w:val="1"/>
                <w:sz w:val="19"/>
                <w:szCs w:val="19"/>
                <w:highlight w:val="none"/>
              </w:rPr>
              <w:t>器</w:t>
            </w:r>
          </w:p>
        </w:tc>
        <w:tc>
          <w:tcPr>
            <w:tcW w:w="4338" w:type="dxa"/>
            <w:vAlign w:val="top"/>
          </w:tcPr>
          <w:p w14:paraId="5F3B7756">
            <w:pPr>
              <w:pStyle w:val="9"/>
              <w:spacing w:before="70" w:line="303" w:lineRule="auto"/>
              <w:ind w:left="108" w:right="104" w:firstLine="5"/>
              <w:jc w:val="both"/>
              <w:rPr>
                <w:color w:val="auto"/>
                <w:sz w:val="19"/>
                <w:szCs w:val="19"/>
                <w:highlight w:val="none"/>
              </w:rPr>
            </w:pPr>
            <w:r>
              <w:rPr>
                <w:color w:val="auto"/>
                <w:spacing w:val="9"/>
                <w:sz w:val="19"/>
                <w:szCs w:val="19"/>
                <w:highlight w:val="none"/>
              </w:rPr>
              <w:t>《转速可控型房间空气调节器能效限定值及能</w:t>
            </w:r>
            <w:r>
              <w:rPr>
                <w:color w:val="auto"/>
                <w:spacing w:val="1"/>
                <w:sz w:val="19"/>
                <w:szCs w:val="19"/>
                <w:highlight w:val="none"/>
              </w:rPr>
              <w:t xml:space="preserve">  </w:t>
            </w:r>
            <w:r>
              <w:rPr>
                <w:color w:val="auto"/>
                <w:spacing w:val="6"/>
                <w:sz w:val="19"/>
                <w:szCs w:val="19"/>
                <w:highlight w:val="none"/>
              </w:rPr>
              <w:t>效等级》（</w:t>
            </w:r>
            <w:r>
              <w:rPr>
                <w:color w:val="auto"/>
                <w:sz w:val="19"/>
                <w:szCs w:val="19"/>
                <w:highlight w:val="none"/>
              </w:rPr>
              <w:t>GB</w:t>
            </w:r>
            <w:r>
              <w:rPr>
                <w:color w:val="auto"/>
                <w:spacing w:val="6"/>
                <w:sz w:val="19"/>
                <w:szCs w:val="19"/>
                <w:highlight w:val="none"/>
              </w:rPr>
              <w:t>21455-2013</w:t>
            </w:r>
            <w:r>
              <w:rPr>
                <w:color w:val="auto"/>
                <w:spacing w:val="14"/>
                <w:sz w:val="19"/>
                <w:szCs w:val="19"/>
                <w:highlight w:val="none"/>
              </w:rPr>
              <w:t>），</w:t>
            </w:r>
            <w:r>
              <w:rPr>
                <w:color w:val="auto"/>
                <w:spacing w:val="6"/>
                <w:sz w:val="19"/>
                <w:szCs w:val="19"/>
                <w:highlight w:val="none"/>
              </w:rPr>
              <w:t>待</w:t>
            </w:r>
            <w:r>
              <w:rPr>
                <w:color w:val="auto"/>
                <w:spacing w:val="-33"/>
                <w:sz w:val="19"/>
                <w:szCs w:val="19"/>
                <w:highlight w:val="none"/>
              </w:rPr>
              <w:t xml:space="preserve"> </w:t>
            </w:r>
            <w:r>
              <w:rPr>
                <w:color w:val="auto"/>
                <w:spacing w:val="6"/>
                <w:sz w:val="19"/>
                <w:szCs w:val="19"/>
                <w:highlight w:val="none"/>
              </w:rPr>
              <w:t>2019</w:t>
            </w:r>
            <w:r>
              <w:rPr>
                <w:color w:val="auto"/>
                <w:spacing w:val="-37"/>
                <w:sz w:val="19"/>
                <w:szCs w:val="19"/>
                <w:highlight w:val="none"/>
              </w:rPr>
              <w:t xml:space="preserve"> </w:t>
            </w:r>
            <w:r>
              <w:rPr>
                <w:color w:val="auto"/>
                <w:spacing w:val="6"/>
                <w:sz w:val="19"/>
                <w:szCs w:val="19"/>
                <w:highlight w:val="none"/>
              </w:rPr>
              <w:t>年修</w:t>
            </w:r>
            <w:r>
              <w:rPr>
                <w:color w:val="auto"/>
                <w:spacing w:val="5"/>
                <w:sz w:val="19"/>
                <w:szCs w:val="19"/>
                <w:highlight w:val="none"/>
              </w:rPr>
              <w:t>订发</w:t>
            </w:r>
            <w:r>
              <w:rPr>
                <w:color w:val="auto"/>
                <w:sz w:val="19"/>
                <w:szCs w:val="19"/>
                <w:highlight w:val="none"/>
              </w:rPr>
              <w:t xml:space="preserve"> </w:t>
            </w:r>
            <w:r>
              <w:rPr>
                <w:color w:val="auto"/>
                <w:spacing w:val="5"/>
                <w:sz w:val="19"/>
                <w:szCs w:val="19"/>
                <w:highlight w:val="none"/>
              </w:rPr>
              <w:t>布后，按《房间空气调节器能效限定值及能效等</w:t>
            </w:r>
            <w:r>
              <w:rPr>
                <w:color w:val="auto"/>
                <w:spacing w:val="14"/>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21455-2019</w:t>
            </w:r>
            <w:r>
              <w:rPr>
                <w:color w:val="auto"/>
                <w:spacing w:val="-26"/>
                <w:sz w:val="19"/>
                <w:szCs w:val="19"/>
                <w:highlight w:val="none"/>
              </w:rPr>
              <w:t xml:space="preserve"> </w:t>
            </w:r>
            <w:r>
              <w:rPr>
                <w:color w:val="auto"/>
                <w:spacing w:val="5"/>
                <w:sz w:val="19"/>
                <w:szCs w:val="19"/>
                <w:highlight w:val="none"/>
              </w:rPr>
              <w:t>实施。</w:t>
            </w:r>
          </w:p>
        </w:tc>
      </w:tr>
      <w:tr w14:paraId="337E0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50" w:type="dxa"/>
            <w:vMerge w:val="continue"/>
            <w:tcBorders>
              <w:top w:val="nil"/>
              <w:bottom w:val="nil"/>
            </w:tcBorders>
            <w:vAlign w:val="top"/>
          </w:tcPr>
          <w:p w14:paraId="660065C9">
            <w:pPr>
              <w:rPr>
                <w:rFonts w:ascii="Arial"/>
                <w:color w:val="auto"/>
                <w:sz w:val="21"/>
                <w:highlight w:val="none"/>
              </w:rPr>
            </w:pPr>
          </w:p>
        </w:tc>
        <w:tc>
          <w:tcPr>
            <w:tcW w:w="1114" w:type="dxa"/>
            <w:vMerge w:val="continue"/>
            <w:tcBorders>
              <w:top w:val="nil"/>
              <w:bottom w:val="nil"/>
            </w:tcBorders>
            <w:vAlign w:val="top"/>
          </w:tcPr>
          <w:p w14:paraId="34756802">
            <w:pPr>
              <w:rPr>
                <w:rFonts w:ascii="Arial"/>
                <w:color w:val="auto"/>
                <w:sz w:val="21"/>
                <w:highlight w:val="none"/>
              </w:rPr>
            </w:pPr>
          </w:p>
        </w:tc>
        <w:tc>
          <w:tcPr>
            <w:tcW w:w="1513" w:type="dxa"/>
            <w:vMerge w:val="continue"/>
            <w:tcBorders>
              <w:top w:val="nil"/>
              <w:bottom w:val="nil"/>
            </w:tcBorders>
            <w:vAlign w:val="top"/>
          </w:tcPr>
          <w:p w14:paraId="31160CE1">
            <w:pPr>
              <w:rPr>
                <w:rFonts w:ascii="Arial"/>
                <w:color w:val="auto"/>
                <w:sz w:val="21"/>
                <w:highlight w:val="none"/>
              </w:rPr>
            </w:pPr>
          </w:p>
        </w:tc>
        <w:tc>
          <w:tcPr>
            <w:tcW w:w="1609" w:type="dxa"/>
            <w:vAlign w:val="top"/>
          </w:tcPr>
          <w:p w14:paraId="09700A7A">
            <w:pPr>
              <w:pStyle w:val="9"/>
              <w:spacing w:before="72" w:line="230" w:lineRule="auto"/>
              <w:ind w:left="116"/>
              <w:rPr>
                <w:color w:val="auto"/>
                <w:sz w:val="19"/>
                <w:szCs w:val="19"/>
                <w:highlight w:val="none"/>
              </w:rPr>
            </w:pPr>
            <w:r>
              <w:rPr>
                <w:color w:val="auto"/>
                <w:spacing w:val="6"/>
                <w:sz w:val="19"/>
                <w:szCs w:val="19"/>
                <w:highlight w:val="none"/>
              </w:rPr>
              <w:t>多联式空调（热</w:t>
            </w:r>
          </w:p>
          <w:p w14:paraId="5FC6D355">
            <w:pPr>
              <w:pStyle w:val="9"/>
              <w:spacing w:before="91" w:line="285" w:lineRule="auto"/>
              <w:ind w:left="154" w:right="100" w:hanging="47"/>
              <w:rPr>
                <w:color w:val="auto"/>
                <w:sz w:val="19"/>
                <w:szCs w:val="19"/>
                <w:highlight w:val="none"/>
              </w:rPr>
            </w:pPr>
            <w:r>
              <w:rPr>
                <w:color w:val="auto"/>
                <w:spacing w:val="7"/>
                <w:sz w:val="19"/>
                <w:szCs w:val="19"/>
                <w:highlight w:val="none"/>
              </w:rPr>
              <w:t>泵）机组（制冷</w:t>
            </w:r>
            <w:r>
              <w:rPr>
                <w:color w:val="auto"/>
                <w:spacing w:val="5"/>
                <w:sz w:val="19"/>
                <w:szCs w:val="19"/>
                <w:highlight w:val="none"/>
              </w:rPr>
              <w:t xml:space="preserve"> </w:t>
            </w:r>
            <w:r>
              <w:rPr>
                <w:color w:val="auto"/>
                <w:spacing w:val="2"/>
                <w:sz w:val="19"/>
                <w:szCs w:val="19"/>
                <w:highlight w:val="none"/>
              </w:rPr>
              <w:t>量≤</w:t>
            </w:r>
            <w:r>
              <w:rPr>
                <w:color w:val="auto"/>
                <w:spacing w:val="28"/>
                <w:sz w:val="19"/>
                <w:szCs w:val="19"/>
                <w:highlight w:val="none"/>
              </w:rPr>
              <w:t xml:space="preserve"> </w:t>
            </w:r>
            <w:r>
              <w:rPr>
                <w:color w:val="auto"/>
                <w:spacing w:val="2"/>
                <w:sz w:val="19"/>
                <w:szCs w:val="19"/>
                <w:highlight w:val="none"/>
              </w:rPr>
              <w:t>14000W）</w:t>
            </w:r>
          </w:p>
        </w:tc>
        <w:tc>
          <w:tcPr>
            <w:tcW w:w="4338" w:type="dxa"/>
            <w:vAlign w:val="top"/>
          </w:tcPr>
          <w:p w14:paraId="4BE9E320">
            <w:pPr>
              <w:pStyle w:val="9"/>
              <w:spacing w:before="235" w:line="323" w:lineRule="auto"/>
              <w:ind w:left="109" w:right="104" w:firstLine="3"/>
              <w:rPr>
                <w:color w:val="auto"/>
                <w:sz w:val="19"/>
                <w:szCs w:val="19"/>
                <w:highlight w:val="none"/>
              </w:rPr>
            </w:pPr>
            <w:r>
              <w:rPr>
                <w:color w:val="auto"/>
                <w:spacing w:val="5"/>
                <w:sz w:val="19"/>
                <w:szCs w:val="19"/>
                <w:highlight w:val="none"/>
              </w:rPr>
              <w:t>《多联式空调（热泵）机组能效限定值及能源效</w:t>
            </w:r>
            <w:r>
              <w:rPr>
                <w:color w:val="auto"/>
                <w:spacing w:val="9"/>
                <w:sz w:val="19"/>
                <w:szCs w:val="19"/>
                <w:highlight w:val="none"/>
              </w:rPr>
              <w:t xml:space="preserve"> </w:t>
            </w:r>
            <w:r>
              <w:rPr>
                <w:color w:val="auto"/>
                <w:spacing w:val="6"/>
                <w:sz w:val="19"/>
                <w:szCs w:val="19"/>
                <w:highlight w:val="none"/>
              </w:rPr>
              <w:t>率等级》（</w:t>
            </w:r>
            <w:r>
              <w:rPr>
                <w:color w:val="auto"/>
                <w:sz w:val="19"/>
                <w:szCs w:val="19"/>
                <w:highlight w:val="none"/>
              </w:rPr>
              <w:t>GB</w:t>
            </w:r>
            <w:r>
              <w:rPr>
                <w:color w:val="auto"/>
                <w:spacing w:val="6"/>
                <w:sz w:val="19"/>
                <w:szCs w:val="19"/>
                <w:highlight w:val="none"/>
              </w:rPr>
              <w:t>21454）</w:t>
            </w:r>
          </w:p>
        </w:tc>
      </w:tr>
      <w:tr w14:paraId="4E4D0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50" w:type="dxa"/>
            <w:vMerge w:val="continue"/>
            <w:tcBorders>
              <w:top w:val="nil"/>
              <w:bottom w:val="nil"/>
            </w:tcBorders>
            <w:vAlign w:val="top"/>
          </w:tcPr>
          <w:p w14:paraId="163407C0">
            <w:pPr>
              <w:rPr>
                <w:rFonts w:ascii="Arial"/>
                <w:color w:val="auto"/>
                <w:sz w:val="21"/>
                <w:highlight w:val="none"/>
              </w:rPr>
            </w:pPr>
          </w:p>
        </w:tc>
        <w:tc>
          <w:tcPr>
            <w:tcW w:w="1114" w:type="dxa"/>
            <w:vMerge w:val="continue"/>
            <w:tcBorders>
              <w:top w:val="nil"/>
              <w:bottom w:val="nil"/>
            </w:tcBorders>
            <w:vAlign w:val="top"/>
          </w:tcPr>
          <w:p w14:paraId="16D53686">
            <w:pPr>
              <w:rPr>
                <w:rFonts w:ascii="Arial"/>
                <w:color w:val="auto"/>
                <w:sz w:val="21"/>
                <w:highlight w:val="none"/>
              </w:rPr>
            </w:pPr>
          </w:p>
        </w:tc>
        <w:tc>
          <w:tcPr>
            <w:tcW w:w="1513" w:type="dxa"/>
            <w:vMerge w:val="continue"/>
            <w:tcBorders>
              <w:top w:val="nil"/>
            </w:tcBorders>
            <w:vAlign w:val="top"/>
          </w:tcPr>
          <w:p w14:paraId="230FCD65">
            <w:pPr>
              <w:rPr>
                <w:rFonts w:ascii="Arial"/>
                <w:color w:val="auto"/>
                <w:sz w:val="21"/>
                <w:highlight w:val="none"/>
              </w:rPr>
            </w:pPr>
          </w:p>
        </w:tc>
        <w:tc>
          <w:tcPr>
            <w:tcW w:w="1609" w:type="dxa"/>
            <w:vAlign w:val="top"/>
          </w:tcPr>
          <w:p w14:paraId="6AABD7FD">
            <w:pPr>
              <w:pStyle w:val="9"/>
              <w:spacing w:before="72" w:line="321" w:lineRule="auto"/>
              <w:ind w:left="154" w:right="148" w:firstLine="51"/>
              <w:rPr>
                <w:color w:val="auto"/>
                <w:sz w:val="19"/>
                <w:szCs w:val="19"/>
                <w:highlight w:val="none"/>
              </w:rPr>
            </w:pPr>
            <w:r>
              <w:rPr>
                <w:color w:val="auto"/>
                <w:spacing w:val="8"/>
                <w:sz w:val="19"/>
                <w:szCs w:val="19"/>
                <w:highlight w:val="none"/>
              </w:rPr>
              <w:t>单元式空气调</w:t>
            </w:r>
            <w:r>
              <w:rPr>
                <w:color w:val="auto"/>
                <w:spacing w:val="1"/>
                <w:sz w:val="19"/>
                <w:szCs w:val="19"/>
                <w:highlight w:val="none"/>
              </w:rPr>
              <w:t xml:space="preserve"> </w:t>
            </w:r>
            <w:r>
              <w:rPr>
                <w:color w:val="auto"/>
                <w:spacing w:val="7"/>
                <w:sz w:val="19"/>
                <w:szCs w:val="19"/>
                <w:highlight w:val="none"/>
              </w:rPr>
              <w:t>节机(制冷量≤</w:t>
            </w:r>
          </w:p>
          <w:p w14:paraId="12A23929">
            <w:pPr>
              <w:pStyle w:val="9"/>
              <w:spacing w:line="231" w:lineRule="auto"/>
              <w:ind w:left="469"/>
              <w:rPr>
                <w:color w:val="auto"/>
                <w:sz w:val="19"/>
                <w:szCs w:val="19"/>
                <w:highlight w:val="none"/>
              </w:rPr>
            </w:pPr>
            <w:r>
              <w:rPr>
                <w:color w:val="auto"/>
                <w:spacing w:val="1"/>
                <w:sz w:val="19"/>
                <w:szCs w:val="19"/>
                <w:highlight w:val="none"/>
              </w:rPr>
              <w:t>14000W)</w:t>
            </w:r>
          </w:p>
        </w:tc>
        <w:tc>
          <w:tcPr>
            <w:tcW w:w="4338" w:type="dxa"/>
            <w:vAlign w:val="top"/>
          </w:tcPr>
          <w:p w14:paraId="7303B25F">
            <w:pPr>
              <w:pStyle w:val="9"/>
              <w:spacing w:before="73" w:line="296" w:lineRule="auto"/>
              <w:ind w:left="111" w:right="123" w:firstLine="2"/>
              <w:jc w:val="both"/>
              <w:rPr>
                <w:color w:val="auto"/>
                <w:sz w:val="19"/>
                <w:szCs w:val="19"/>
                <w:highlight w:val="none"/>
              </w:rPr>
            </w:pPr>
            <w:r>
              <w:rPr>
                <w:color w:val="auto"/>
                <w:spacing w:val="9"/>
                <w:sz w:val="19"/>
                <w:szCs w:val="19"/>
                <w:highlight w:val="none"/>
              </w:rPr>
              <w:t>《单元式空气调节机能效限定值及能源效率等</w:t>
            </w:r>
            <w:r>
              <w:rPr>
                <w:color w:val="auto"/>
                <w:spacing w:val="1"/>
                <w:sz w:val="19"/>
                <w:szCs w:val="19"/>
                <w:highlight w:val="none"/>
              </w:rPr>
              <w:t xml:space="preserve">  </w:t>
            </w:r>
            <w:r>
              <w:rPr>
                <w:color w:val="auto"/>
                <w:spacing w:val="8"/>
                <w:sz w:val="19"/>
                <w:szCs w:val="19"/>
                <w:highlight w:val="none"/>
              </w:rPr>
              <w:t>级》（</w:t>
            </w:r>
            <w:r>
              <w:rPr>
                <w:color w:val="auto"/>
                <w:sz w:val="19"/>
                <w:szCs w:val="19"/>
                <w:highlight w:val="none"/>
              </w:rPr>
              <w:t>GB</w:t>
            </w:r>
            <w:r>
              <w:rPr>
                <w:color w:val="auto"/>
                <w:spacing w:val="8"/>
                <w:sz w:val="19"/>
                <w:szCs w:val="19"/>
                <w:highlight w:val="none"/>
              </w:rPr>
              <w:t>19576）《风管送风式空调机组能效限</w:t>
            </w:r>
            <w:r>
              <w:rPr>
                <w:color w:val="auto"/>
                <w:spacing w:val="15"/>
                <w:sz w:val="19"/>
                <w:szCs w:val="19"/>
                <w:highlight w:val="none"/>
              </w:rPr>
              <w:t xml:space="preserve"> </w:t>
            </w:r>
            <w:r>
              <w:rPr>
                <w:color w:val="auto"/>
                <w:spacing w:val="7"/>
                <w:sz w:val="19"/>
                <w:szCs w:val="19"/>
                <w:highlight w:val="none"/>
              </w:rPr>
              <w:t>定值及能效等级》（</w:t>
            </w:r>
            <w:r>
              <w:rPr>
                <w:color w:val="auto"/>
                <w:sz w:val="19"/>
                <w:szCs w:val="19"/>
                <w:highlight w:val="none"/>
              </w:rPr>
              <w:t>GB</w:t>
            </w:r>
            <w:r>
              <w:rPr>
                <w:color w:val="auto"/>
                <w:spacing w:val="7"/>
                <w:sz w:val="19"/>
                <w:szCs w:val="19"/>
                <w:highlight w:val="none"/>
              </w:rPr>
              <w:t>37479）</w:t>
            </w:r>
          </w:p>
        </w:tc>
      </w:tr>
      <w:tr w14:paraId="35BD9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39D3BAFC">
            <w:pPr>
              <w:rPr>
                <w:rFonts w:ascii="Arial"/>
                <w:color w:val="auto"/>
                <w:sz w:val="21"/>
                <w:highlight w:val="none"/>
              </w:rPr>
            </w:pPr>
          </w:p>
        </w:tc>
        <w:tc>
          <w:tcPr>
            <w:tcW w:w="1114" w:type="dxa"/>
            <w:vMerge w:val="continue"/>
            <w:tcBorders>
              <w:top w:val="nil"/>
              <w:bottom w:val="nil"/>
            </w:tcBorders>
            <w:vAlign w:val="top"/>
          </w:tcPr>
          <w:p w14:paraId="56B0E325">
            <w:pPr>
              <w:rPr>
                <w:rFonts w:ascii="Arial"/>
                <w:color w:val="auto"/>
                <w:sz w:val="21"/>
                <w:highlight w:val="none"/>
              </w:rPr>
            </w:pPr>
          </w:p>
        </w:tc>
        <w:tc>
          <w:tcPr>
            <w:tcW w:w="1513" w:type="dxa"/>
            <w:vAlign w:val="top"/>
          </w:tcPr>
          <w:p w14:paraId="01977624">
            <w:pPr>
              <w:pStyle w:val="9"/>
              <w:spacing w:before="73" w:line="256" w:lineRule="exact"/>
              <w:ind w:left="197"/>
              <w:rPr>
                <w:color w:val="auto"/>
                <w:sz w:val="19"/>
                <w:szCs w:val="19"/>
                <w:highlight w:val="none"/>
              </w:rPr>
            </w:pPr>
            <w:r>
              <w:rPr>
                <w:color w:val="auto"/>
                <w:spacing w:val="4"/>
                <w:position w:val="1"/>
                <w:sz w:val="19"/>
                <w:szCs w:val="19"/>
                <w:highlight w:val="none"/>
              </w:rPr>
              <w:t>A0206180301</w:t>
            </w:r>
          </w:p>
          <w:p w14:paraId="4F210E2F">
            <w:pPr>
              <w:pStyle w:val="9"/>
              <w:spacing w:before="75" w:line="228" w:lineRule="auto"/>
              <w:ind w:left="452"/>
              <w:rPr>
                <w:color w:val="auto"/>
                <w:sz w:val="19"/>
                <w:szCs w:val="19"/>
                <w:highlight w:val="none"/>
              </w:rPr>
            </w:pPr>
            <w:r>
              <w:rPr>
                <w:color w:val="auto"/>
                <w:spacing w:val="7"/>
                <w:sz w:val="19"/>
                <w:szCs w:val="19"/>
                <w:highlight w:val="none"/>
              </w:rPr>
              <w:t>洗衣机</w:t>
            </w:r>
          </w:p>
        </w:tc>
        <w:tc>
          <w:tcPr>
            <w:tcW w:w="1609" w:type="dxa"/>
            <w:vAlign w:val="top"/>
          </w:tcPr>
          <w:p w14:paraId="7B842A87">
            <w:pPr>
              <w:rPr>
                <w:rFonts w:ascii="Arial"/>
                <w:color w:val="auto"/>
                <w:sz w:val="21"/>
                <w:highlight w:val="none"/>
              </w:rPr>
            </w:pPr>
          </w:p>
        </w:tc>
        <w:tc>
          <w:tcPr>
            <w:tcW w:w="4338" w:type="dxa"/>
            <w:vAlign w:val="top"/>
          </w:tcPr>
          <w:p w14:paraId="2D94FB69">
            <w:pPr>
              <w:pStyle w:val="9"/>
              <w:spacing w:before="73" w:line="283" w:lineRule="auto"/>
              <w:ind w:left="117" w:right="836" w:hanging="4"/>
              <w:rPr>
                <w:color w:val="auto"/>
                <w:sz w:val="19"/>
                <w:szCs w:val="19"/>
                <w:highlight w:val="none"/>
              </w:rPr>
            </w:pPr>
            <w:r>
              <w:rPr>
                <w:color w:val="auto"/>
                <w:spacing w:val="8"/>
                <w:sz w:val="19"/>
                <w:szCs w:val="19"/>
                <w:highlight w:val="none"/>
              </w:rPr>
              <w:t>《电动洗衣机能效水效限定值及等级》</w:t>
            </w:r>
            <w:r>
              <w:rPr>
                <w:color w:val="auto"/>
                <w:spacing w:val="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12021.4）</w:t>
            </w:r>
          </w:p>
        </w:tc>
      </w:tr>
      <w:tr w14:paraId="56AE9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115B7DD3">
            <w:pPr>
              <w:rPr>
                <w:rFonts w:ascii="Arial"/>
                <w:color w:val="auto"/>
                <w:sz w:val="21"/>
                <w:highlight w:val="none"/>
              </w:rPr>
            </w:pPr>
          </w:p>
        </w:tc>
        <w:tc>
          <w:tcPr>
            <w:tcW w:w="1114" w:type="dxa"/>
            <w:vMerge w:val="continue"/>
            <w:tcBorders>
              <w:top w:val="nil"/>
              <w:bottom w:val="nil"/>
            </w:tcBorders>
            <w:vAlign w:val="top"/>
          </w:tcPr>
          <w:p w14:paraId="1BAA29BD">
            <w:pPr>
              <w:rPr>
                <w:rFonts w:ascii="Arial"/>
                <w:color w:val="auto"/>
                <w:sz w:val="21"/>
                <w:highlight w:val="none"/>
              </w:rPr>
            </w:pPr>
          </w:p>
        </w:tc>
        <w:tc>
          <w:tcPr>
            <w:tcW w:w="1513" w:type="dxa"/>
            <w:vMerge w:val="restart"/>
            <w:tcBorders>
              <w:bottom w:val="nil"/>
            </w:tcBorders>
            <w:vAlign w:val="top"/>
          </w:tcPr>
          <w:p w14:paraId="5A91D353">
            <w:pPr>
              <w:spacing w:line="257" w:lineRule="auto"/>
              <w:rPr>
                <w:rFonts w:ascii="Arial"/>
                <w:color w:val="auto"/>
                <w:sz w:val="21"/>
                <w:highlight w:val="none"/>
              </w:rPr>
            </w:pPr>
          </w:p>
          <w:p w14:paraId="648676DB">
            <w:pPr>
              <w:spacing w:line="257" w:lineRule="auto"/>
              <w:rPr>
                <w:rFonts w:ascii="Arial"/>
                <w:color w:val="auto"/>
                <w:sz w:val="21"/>
                <w:highlight w:val="none"/>
              </w:rPr>
            </w:pPr>
          </w:p>
          <w:p w14:paraId="22DCD46C">
            <w:pPr>
              <w:spacing w:line="257" w:lineRule="auto"/>
              <w:rPr>
                <w:rFonts w:ascii="Arial"/>
                <w:color w:val="auto"/>
                <w:sz w:val="21"/>
                <w:highlight w:val="none"/>
              </w:rPr>
            </w:pPr>
          </w:p>
          <w:p w14:paraId="377F0DD6">
            <w:pPr>
              <w:spacing w:line="257" w:lineRule="auto"/>
              <w:rPr>
                <w:rFonts w:ascii="Arial"/>
                <w:color w:val="auto"/>
                <w:sz w:val="21"/>
                <w:highlight w:val="none"/>
              </w:rPr>
            </w:pPr>
          </w:p>
          <w:p w14:paraId="35866C78">
            <w:pPr>
              <w:pStyle w:val="9"/>
              <w:spacing w:before="61" w:line="235" w:lineRule="auto"/>
              <w:ind w:left="171"/>
              <w:rPr>
                <w:color w:val="auto"/>
                <w:sz w:val="19"/>
                <w:szCs w:val="19"/>
                <w:highlight w:val="none"/>
              </w:rPr>
            </w:pPr>
            <w:r>
              <w:rPr>
                <w:color w:val="auto"/>
                <w:spacing w:val="4"/>
                <w:sz w:val="19"/>
                <w:szCs w:val="19"/>
                <w:highlight w:val="none"/>
              </w:rPr>
              <w:t>A02061808</w:t>
            </w:r>
            <w:r>
              <w:rPr>
                <w:color w:val="auto"/>
                <w:spacing w:val="-31"/>
                <w:sz w:val="19"/>
                <w:szCs w:val="19"/>
                <w:highlight w:val="none"/>
              </w:rPr>
              <w:t xml:space="preserve"> </w:t>
            </w:r>
            <w:r>
              <w:rPr>
                <w:color w:val="auto"/>
                <w:spacing w:val="4"/>
                <w:sz w:val="19"/>
                <w:szCs w:val="19"/>
                <w:highlight w:val="none"/>
              </w:rPr>
              <w:t>热</w:t>
            </w:r>
          </w:p>
          <w:p w14:paraId="5E8D6BBA">
            <w:pPr>
              <w:pStyle w:val="9"/>
              <w:spacing w:before="89" w:line="229" w:lineRule="auto"/>
              <w:ind w:left="556"/>
              <w:rPr>
                <w:color w:val="auto"/>
                <w:sz w:val="19"/>
                <w:szCs w:val="19"/>
                <w:highlight w:val="none"/>
              </w:rPr>
            </w:pPr>
            <w:r>
              <w:rPr>
                <w:color w:val="auto"/>
                <w:spacing w:val="4"/>
                <w:sz w:val="19"/>
                <w:szCs w:val="19"/>
                <w:highlight w:val="none"/>
              </w:rPr>
              <w:t>水器</w:t>
            </w:r>
          </w:p>
        </w:tc>
        <w:tc>
          <w:tcPr>
            <w:tcW w:w="1609" w:type="dxa"/>
            <w:vAlign w:val="top"/>
          </w:tcPr>
          <w:p w14:paraId="21EE992C">
            <w:pPr>
              <w:pStyle w:val="9"/>
              <w:spacing w:before="239" w:line="229" w:lineRule="auto"/>
              <w:ind w:left="306"/>
              <w:rPr>
                <w:color w:val="auto"/>
                <w:sz w:val="19"/>
                <w:szCs w:val="19"/>
                <w:highlight w:val="none"/>
              </w:rPr>
            </w:pPr>
            <w:r>
              <w:rPr>
                <w:color w:val="auto"/>
                <w:spacing w:val="7"/>
                <w:sz w:val="19"/>
                <w:szCs w:val="19"/>
                <w:highlight w:val="none"/>
              </w:rPr>
              <w:t>★电热水器</w:t>
            </w:r>
          </w:p>
        </w:tc>
        <w:tc>
          <w:tcPr>
            <w:tcW w:w="4338" w:type="dxa"/>
            <w:vAlign w:val="top"/>
          </w:tcPr>
          <w:p w14:paraId="61A3377F">
            <w:pPr>
              <w:pStyle w:val="9"/>
              <w:spacing w:before="73" w:line="283" w:lineRule="auto"/>
              <w:ind w:left="117" w:right="435" w:hanging="4"/>
              <w:rPr>
                <w:color w:val="auto"/>
                <w:sz w:val="19"/>
                <w:szCs w:val="19"/>
                <w:highlight w:val="none"/>
              </w:rPr>
            </w:pPr>
            <w:r>
              <w:rPr>
                <w:color w:val="auto"/>
                <w:spacing w:val="8"/>
                <w:sz w:val="19"/>
                <w:szCs w:val="19"/>
                <w:highlight w:val="none"/>
              </w:rPr>
              <w:t>《储水式电热水器能效限定值及能效等级》</w:t>
            </w:r>
            <w:r>
              <w:rPr>
                <w:color w:val="auto"/>
                <w:spacing w:val="10"/>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21519）</w:t>
            </w:r>
          </w:p>
        </w:tc>
      </w:tr>
      <w:tr w14:paraId="444FA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50" w:type="dxa"/>
            <w:vMerge w:val="continue"/>
            <w:tcBorders>
              <w:top w:val="nil"/>
              <w:bottom w:val="nil"/>
            </w:tcBorders>
            <w:vAlign w:val="top"/>
          </w:tcPr>
          <w:p w14:paraId="0CA37D42">
            <w:pPr>
              <w:rPr>
                <w:rFonts w:ascii="Arial"/>
                <w:color w:val="auto"/>
                <w:sz w:val="21"/>
                <w:highlight w:val="none"/>
              </w:rPr>
            </w:pPr>
          </w:p>
        </w:tc>
        <w:tc>
          <w:tcPr>
            <w:tcW w:w="1114" w:type="dxa"/>
            <w:vMerge w:val="continue"/>
            <w:tcBorders>
              <w:top w:val="nil"/>
              <w:bottom w:val="nil"/>
            </w:tcBorders>
            <w:vAlign w:val="top"/>
          </w:tcPr>
          <w:p w14:paraId="6948ADA6">
            <w:pPr>
              <w:rPr>
                <w:rFonts w:ascii="Arial"/>
                <w:color w:val="auto"/>
                <w:sz w:val="21"/>
                <w:highlight w:val="none"/>
              </w:rPr>
            </w:pPr>
          </w:p>
        </w:tc>
        <w:tc>
          <w:tcPr>
            <w:tcW w:w="1513" w:type="dxa"/>
            <w:vMerge w:val="continue"/>
            <w:tcBorders>
              <w:top w:val="nil"/>
              <w:bottom w:val="nil"/>
            </w:tcBorders>
            <w:vAlign w:val="top"/>
          </w:tcPr>
          <w:p w14:paraId="113D7058">
            <w:pPr>
              <w:rPr>
                <w:rFonts w:ascii="Arial"/>
                <w:color w:val="auto"/>
                <w:sz w:val="21"/>
                <w:highlight w:val="none"/>
              </w:rPr>
            </w:pPr>
          </w:p>
        </w:tc>
        <w:tc>
          <w:tcPr>
            <w:tcW w:w="1609" w:type="dxa"/>
            <w:vAlign w:val="top"/>
          </w:tcPr>
          <w:p w14:paraId="25EAC55D">
            <w:pPr>
              <w:pStyle w:val="9"/>
              <w:spacing w:before="240" w:line="229" w:lineRule="auto"/>
              <w:ind w:left="302"/>
              <w:rPr>
                <w:color w:val="auto"/>
                <w:sz w:val="19"/>
                <w:szCs w:val="19"/>
                <w:highlight w:val="none"/>
              </w:rPr>
            </w:pPr>
            <w:r>
              <w:rPr>
                <w:color w:val="auto"/>
                <w:spacing w:val="8"/>
                <w:sz w:val="19"/>
                <w:szCs w:val="19"/>
                <w:highlight w:val="none"/>
              </w:rPr>
              <w:t>燃气热水器</w:t>
            </w:r>
          </w:p>
        </w:tc>
        <w:tc>
          <w:tcPr>
            <w:tcW w:w="4338" w:type="dxa"/>
            <w:vAlign w:val="top"/>
          </w:tcPr>
          <w:p w14:paraId="51632487">
            <w:pPr>
              <w:pStyle w:val="9"/>
              <w:spacing w:before="74" w:line="283" w:lineRule="auto"/>
              <w:ind w:left="121" w:right="224" w:hanging="8"/>
              <w:rPr>
                <w:color w:val="auto"/>
                <w:sz w:val="19"/>
                <w:szCs w:val="19"/>
                <w:highlight w:val="none"/>
              </w:rPr>
            </w:pPr>
            <w:r>
              <w:rPr>
                <w:color w:val="auto"/>
                <w:spacing w:val="9"/>
                <w:sz w:val="19"/>
                <w:szCs w:val="19"/>
                <w:highlight w:val="none"/>
              </w:rPr>
              <w:t>《家用燃气快速热水器和燃气采暖热水炉能效</w:t>
            </w:r>
            <w:r>
              <w:rPr>
                <w:color w:val="auto"/>
                <w:spacing w:val="3"/>
                <w:sz w:val="19"/>
                <w:szCs w:val="19"/>
                <w:highlight w:val="none"/>
              </w:rPr>
              <w:t xml:space="preserve"> </w:t>
            </w:r>
            <w:r>
              <w:rPr>
                <w:color w:val="auto"/>
                <w:spacing w:val="7"/>
                <w:sz w:val="19"/>
                <w:szCs w:val="19"/>
                <w:highlight w:val="none"/>
              </w:rPr>
              <w:t>限定值及能效等级》（</w:t>
            </w:r>
            <w:r>
              <w:rPr>
                <w:color w:val="auto"/>
                <w:sz w:val="19"/>
                <w:szCs w:val="19"/>
                <w:highlight w:val="none"/>
              </w:rPr>
              <w:t>GB</w:t>
            </w:r>
            <w:r>
              <w:rPr>
                <w:color w:val="auto"/>
                <w:spacing w:val="7"/>
                <w:sz w:val="19"/>
                <w:szCs w:val="19"/>
                <w:highlight w:val="none"/>
              </w:rPr>
              <w:t>20665）</w:t>
            </w:r>
          </w:p>
        </w:tc>
      </w:tr>
      <w:tr w14:paraId="44A61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4531E7C6">
            <w:pPr>
              <w:rPr>
                <w:rFonts w:ascii="Arial"/>
                <w:color w:val="auto"/>
                <w:sz w:val="21"/>
                <w:highlight w:val="none"/>
              </w:rPr>
            </w:pPr>
          </w:p>
        </w:tc>
        <w:tc>
          <w:tcPr>
            <w:tcW w:w="1114" w:type="dxa"/>
            <w:vMerge w:val="continue"/>
            <w:tcBorders>
              <w:top w:val="nil"/>
              <w:bottom w:val="nil"/>
            </w:tcBorders>
            <w:vAlign w:val="top"/>
          </w:tcPr>
          <w:p w14:paraId="2E753B0C">
            <w:pPr>
              <w:rPr>
                <w:rFonts w:ascii="Arial"/>
                <w:color w:val="auto"/>
                <w:sz w:val="21"/>
                <w:highlight w:val="none"/>
              </w:rPr>
            </w:pPr>
          </w:p>
        </w:tc>
        <w:tc>
          <w:tcPr>
            <w:tcW w:w="1513" w:type="dxa"/>
            <w:vMerge w:val="continue"/>
            <w:tcBorders>
              <w:top w:val="nil"/>
              <w:bottom w:val="nil"/>
            </w:tcBorders>
            <w:vAlign w:val="top"/>
          </w:tcPr>
          <w:p w14:paraId="10445520">
            <w:pPr>
              <w:rPr>
                <w:rFonts w:ascii="Arial"/>
                <w:color w:val="auto"/>
                <w:sz w:val="21"/>
                <w:highlight w:val="none"/>
              </w:rPr>
            </w:pPr>
          </w:p>
        </w:tc>
        <w:tc>
          <w:tcPr>
            <w:tcW w:w="1609" w:type="dxa"/>
            <w:vAlign w:val="top"/>
          </w:tcPr>
          <w:p w14:paraId="61290895">
            <w:pPr>
              <w:pStyle w:val="9"/>
              <w:spacing w:before="239" w:line="229" w:lineRule="auto"/>
              <w:ind w:left="307"/>
              <w:rPr>
                <w:color w:val="auto"/>
                <w:sz w:val="19"/>
                <w:szCs w:val="19"/>
                <w:highlight w:val="none"/>
              </w:rPr>
            </w:pPr>
            <w:r>
              <w:rPr>
                <w:color w:val="auto"/>
                <w:spacing w:val="7"/>
                <w:sz w:val="19"/>
                <w:szCs w:val="19"/>
                <w:highlight w:val="none"/>
              </w:rPr>
              <w:t>热泵热水器</w:t>
            </w:r>
          </w:p>
        </w:tc>
        <w:tc>
          <w:tcPr>
            <w:tcW w:w="4338" w:type="dxa"/>
            <w:vAlign w:val="top"/>
          </w:tcPr>
          <w:p w14:paraId="07D57055">
            <w:pPr>
              <w:pStyle w:val="9"/>
              <w:spacing w:before="73" w:line="283" w:lineRule="auto"/>
              <w:ind w:left="117" w:right="236" w:hanging="4"/>
              <w:rPr>
                <w:color w:val="auto"/>
                <w:sz w:val="19"/>
                <w:szCs w:val="19"/>
                <w:highlight w:val="none"/>
              </w:rPr>
            </w:pPr>
            <w:r>
              <w:rPr>
                <w:color w:val="auto"/>
                <w:spacing w:val="8"/>
                <w:sz w:val="19"/>
                <w:szCs w:val="19"/>
                <w:highlight w:val="none"/>
              </w:rPr>
              <w:t>《热泵热水机（器）能效限定值及能效等级》</w:t>
            </w:r>
            <w:r>
              <w:rPr>
                <w:color w:val="auto"/>
                <w:spacing w:val="11"/>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29541）</w:t>
            </w:r>
          </w:p>
        </w:tc>
      </w:tr>
      <w:tr w14:paraId="6CB19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tcBorders>
            <w:vAlign w:val="top"/>
          </w:tcPr>
          <w:p w14:paraId="0C43A85F">
            <w:pPr>
              <w:rPr>
                <w:rFonts w:ascii="Arial"/>
                <w:color w:val="auto"/>
                <w:sz w:val="21"/>
                <w:highlight w:val="none"/>
              </w:rPr>
            </w:pPr>
          </w:p>
        </w:tc>
        <w:tc>
          <w:tcPr>
            <w:tcW w:w="1114" w:type="dxa"/>
            <w:vMerge w:val="continue"/>
            <w:tcBorders>
              <w:top w:val="nil"/>
            </w:tcBorders>
            <w:vAlign w:val="top"/>
          </w:tcPr>
          <w:p w14:paraId="73947275">
            <w:pPr>
              <w:rPr>
                <w:rFonts w:ascii="Arial"/>
                <w:color w:val="auto"/>
                <w:sz w:val="21"/>
                <w:highlight w:val="none"/>
              </w:rPr>
            </w:pPr>
          </w:p>
        </w:tc>
        <w:tc>
          <w:tcPr>
            <w:tcW w:w="1513" w:type="dxa"/>
            <w:vMerge w:val="continue"/>
            <w:tcBorders>
              <w:top w:val="nil"/>
            </w:tcBorders>
            <w:vAlign w:val="top"/>
          </w:tcPr>
          <w:p w14:paraId="15A40563">
            <w:pPr>
              <w:rPr>
                <w:rFonts w:ascii="Arial"/>
                <w:color w:val="auto"/>
                <w:sz w:val="21"/>
                <w:highlight w:val="none"/>
              </w:rPr>
            </w:pPr>
          </w:p>
        </w:tc>
        <w:tc>
          <w:tcPr>
            <w:tcW w:w="1609" w:type="dxa"/>
            <w:vAlign w:val="top"/>
          </w:tcPr>
          <w:p w14:paraId="3BE2A8FA">
            <w:pPr>
              <w:pStyle w:val="9"/>
              <w:spacing w:before="74" w:line="229" w:lineRule="auto"/>
              <w:ind w:left="205"/>
              <w:rPr>
                <w:color w:val="auto"/>
                <w:sz w:val="19"/>
                <w:szCs w:val="19"/>
                <w:highlight w:val="none"/>
              </w:rPr>
            </w:pPr>
            <w:r>
              <w:rPr>
                <w:color w:val="auto"/>
                <w:spacing w:val="8"/>
                <w:sz w:val="19"/>
                <w:szCs w:val="19"/>
                <w:highlight w:val="none"/>
              </w:rPr>
              <w:t>太阳能热水系</w:t>
            </w:r>
          </w:p>
          <w:p w14:paraId="03691FBE">
            <w:pPr>
              <w:pStyle w:val="9"/>
              <w:spacing w:before="95" w:line="230" w:lineRule="auto"/>
              <w:ind w:left="709"/>
              <w:rPr>
                <w:color w:val="auto"/>
                <w:sz w:val="19"/>
                <w:szCs w:val="19"/>
                <w:highlight w:val="none"/>
              </w:rPr>
            </w:pPr>
            <w:r>
              <w:rPr>
                <w:color w:val="auto"/>
                <w:sz w:val="19"/>
                <w:szCs w:val="19"/>
                <w:highlight w:val="none"/>
              </w:rPr>
              <w:t>统</w:t>
            </w:r>
          </w:p>
        </w:tc>
        <w:tc>
          <w:tcPr>
            <w:tcW w:w="4338" w:type="dxa"/>
            <w:vAlign w:val="top"/>
          </w:tcPr>
          <w:p w14:paraId="3EFA1714">
            <w:pPr>
              <w:pStyle w:val="9"/>
              <w:spacing w:before="75" w:line="282" w:lineRule="auto"/>
              <w:ind w:left="117" w:right="34" w:hanging="4"/>
              <w:rPr>
                <w:color w:val="auto"/>
                <w:sz w:val="19"/>
                <w:szCs w:val="19"/>
                <w:highlight w:val="none"/>
              </w:rPr>
            </w:pPr>
            <w:r>
              <w:rPr>
                <w:color w:val="auto"/>
                <w:spacing w:val="8"/>
                <w:sz w:val="19"/>
                <w:szCs w:val="19"/>
                <w:highlight w:val="none"/>
              </w:rPr>
              <w:t>《家用太阳能热水系统能效限定值及能效等级》</w:t>
            </w:r>
            <w:r>
              <w:rPr>
                <w:color w:val="auto"/>
                <w:spacing w:val="1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26969）</w:t>
            </w:r>
          </w:p>
        </w:tc>
      </w:tr>
      <w:tr w14:paraId="5EC0A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4" w:hRule="atLeast"/>
        </w:trPr>
        <w:tc>
          <w:tcPr>
            <w:tcW w:w="650" w:type="dxa"/>
            <w:vAlign w:val="top"/>
          </w:tcPr>
          <w:p w14:paraId="0A01E504">
            <w:pPr>
              <w:pStyle w:val="9"/>
              <w:spacing w:before="241" w:line="258" w:lineRule="exact"/>
              <w:ind w:left="237"/>
              <w:rPr>
                <w:color w:val="auto"/>
                <w:sz w:val="19"/>
                <w:szCs w:val="19"/>
                <w:highlight w:val="none"/>
              </w:rPr>
            </w:pPr>
            <w:r>
              <w:rPr>
                <w:color w:val="auto"/>
                <w:spacing w:val="-7"/>
                <w:position w:val="1"/>
                <w:sz w:val="19"/>
                <w:szCs w:val="19"/>
                <w:highlight w:val="none"/>
              </w:rPr>
              <w:t>11</w:t>
            </w:r>
          </w:p>
        </w:tc>
        <w:tc>
          <w:tcPr>
            <w:tcW w:w="1114" w:type="dxa"/>
            <w:vAlign w:val="top"/>
          </w:tcPr>
          <w:p w14:paraId="3AE111EB">
            <w:pPr>
              <w:pStyle w:val="9"/>
              <w:spacing w:before="77" w:line="285" w:lineRule="auto"/>
              <w:ind w:left="152" w:right="156" w:firstLine="43"/>
              <w:rPr>
                <w:color w:val="auto"/>
                <w:sz w:val="19"/>
                <w:szCs w:val="19"/>
                <w:highlight w:val="none"/>
              </w:rPr>
            </w:pPr>
            <w:r>
              <w:rPr>
                <w:color w:val="auto"/>
                <w:spacing w:val="4"/>
                <w:sz w:val="19"/>
                <w:szCs w:val="19"/>
                <w:highlight w:val="none"/>
              </w:rPr>
              <w:t>A020619</w:t>
            </w:r>
            <w:r>
              <w:rPr>
                <w:color w:val="auto"/>
                <w:spacing w:val="3"/>
                <w:sz w:val="19"/>
                <w:szCs w:val="19"/>
                <w:highlight w:val="none"/>
              </w:rPr>
              <w:t xml:space="preserve"> </w:t>
            </w:r>
            <w:r>
              <w:rPr>
                <w:color w:val="auto"/>
                <w:spacing w:val="7"/>
                <w:sz w:val="19"/>
                <w:szCs w:val="19"/>
                <w:highlight w:val="none"/>
              </w:rPr>
              <w:t>照明设备</w:t>
            </w:r>
          </w:p>
        </w:tc>
        <w:tc>
          <w:tcPr>
            <w:tcW w:w="1513" w:type="dxa"/>
            <w:vAlign w:val="top"/>
          </w:tcPr>
          <w:p w14:paraId="207296A0">
            <w:pPr>
              <w:pStyle w:val="9"/>
              <w:spacing w:before="77" w:line="285" w:lineRule="auto"/>
              <w:ind w:left="253" w:right="154" w:hanging="97"/>
              <w:rPr>
                <w:color w:val="auto"/>
                <w:sz w:val="19"/>
                <w:szCs w:val="19"/>
                <w:highlight w:val="none"/>
              </w:rPr>
            </w:pPr>
            <w:r>
              <w:rPr>
                <w:color w:val="auto"/>
                <w:spacing w:val="7"/>
                <w:sz w:val="19"/>
                <w:szCs w:val="19"/>
                <w:highlight w:val="none"/>
              </w:rPr>
              <w:t>★普通照明用</w:t>
            </w:r>
            <w:r>
              <w:rPr>
                <w:color w:val="auto"/>
                <w:spacing w:val="3"/>
                <w:sz w:val="19"/>
                <w:szCs w:val="19"/>
                <w:highlight w:val="none"/>
              </w:rPr>
              <w:t xml:space="preserve"> </w:t>
            </w:r>
            <w:r>
              <w:rPr>
                <w:color w:val="auto"/>
                <w:spacing w:val="8"/>
                <w:sz w:val="19"/>
                <w:szCs w:val="19"/>
                <w:highlight w:val="none"/>
              </w:rPr>
              <w:t>双端荧光灯</w:t>
            </w:r>
          </w:p>
        </w:tc>
        <w:tc>
          <w:tcPr>
            <w:tcW w:w="1609" w:type="dxa"/>
            <w:vAlign w:val="top"/>
          </w:tcPr>
          <w:p w14:paraId="407EAACA">
            <w:pPr>
              <w:rPr>
                <w:rFonts w:ascii="Arial"/>
                <w:color w:val="auto"/>
                <w:sz w:val="21"/>
                <w:highlight w:val="none"/>
              </w:rPr>
            </w:pPr>
          </w:p>
        </w:tc>
        <w:tc>
          <w:tcPr>
            <w:tcW w:w="4338" w:type="dxa"/>
            <w:vAlign w:val="top"/>
          </w:tcPr>
          <w:p w14:paraId="4661263A">
            <w:pPr>
              <w:pStyle w:val="9"/>
              <w:spacing w:before="77" w:line="285" w:lineRule="auto"/>
              <w:ind w:left="111" w:right="224" w:firstLine="2"/>
              <w:rPr>
                <w:color w:val="auto"/>
                <w:sz w:val="19"/>
                <w:szCs w:val="19"/>
                <w:highlight w:val="none"/>
              </w:rPr>
            </w:pPr>
            <w:r>
              <w:rPr>
                <w:color w:val="auto"/>
                <w:spacing w:val="9"/>
                <w:sz w:val="19"/>
                <w:szCs w:val="19"/>
                <w:highlight w:val="none"/>
              </w:rPr>
              <w:t>《普通照明用双端荧光灯能效限定值及能效等</w:t>
            </w:r>
            <w:r>
              <w:rPr>
                <w:color w:val="auto"/>
                <w:spacing w:val="3"/>
                <w:sz w:val="19"/>
                <w:szCs w:val="19"/>
                <w:highlight w:val="none"/>
              </w:rPr>
              <w:t xml:space="preserve"> </w:t>
            </w:r>
            <w:r>
              <w:rPr>
                <w:color w:val="auto"/>
                <w:spacing w:val="5"/>
                <w:sz w:val="19"/>
                <w:szCs w:val="19"/>
                <w:highlight w:val="none"/>
              </w:rPr>
              <w:t>级》（</w:t>
            </w:r>
            <w:r>
              <w:rPr>
                <w:color w:val="auto"/>
                <w:sz w:val="19"/>
                <w:szCs w:val="19"/>
                <w:highlight w:val="none"/>
              </w:rPr>
              <w:t>GB</w:t>
            </w:r>
            <w:r>
              <w:rPr>
                <w:color w:val="auto"/>
                <w:spacing w:val="5"/>
                <w:sz w:val="19"/>
                <w:szCs w:val="19"/>
                <w:highlight w:val="none"/>
              </w:rPr>
              <w:t>19043）</w:t>
            </w:r>
          </w:p>
        </w:tc>
      </w:tr>
    </w:tbl>
    <w:p w14:paraId="201466F5">
      <w:pPr>
        <w:pStyle w:val="2"/>
        <w:rPr>
          <w:color w:val="auto"/>
          <w:highlight w:val="none"/>
        </w:rPr>
      </w:pPr>
    </w:p>
    <w:p w14:paraId="33C3C95A">
      <w:pPr>
        <w:rPr>
          <w:color w:val="auto"/>
          <w:highlight w:val="none"/>
        </w:rPr>
        <w:sectPr>
          <w:footerReference r:id="rId15" w:type="default"/>
          <w:pgSz w:w="11905" w:h="16839"/>
          <w:pgMar w:top="960" w:right="1103" w:bottom="1055" w:left="1562" w:header="945" w:footer="819" w:gutter="0"/>
          <w:cols w:space="720" w:num="1"/>
        </w:sectPr>
      </w:pPr>
    </w:p>
    <w:p w14:paraId="0F37C26D">
      <w:pPr>
        <w:spacing w:line="173" w:lineRule="exact"/>
        <w:rPr>
          <w:color w:val="auto"/>
          <w:highlight w:val="none"/>
        </w:rPr>
      </w:pPr>
    </w:p>
    <w:tbl>
      <w:tblPr>
        <w:tblStyle w:val="8"/>
        <w:tblW w:w="922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50"/>
        <w:gridCol w:w="1114"/>
        <w:gridCol w:w="1513"/>
        <w:gridCol w:w="1609"/>
        <w:gridCol w:w="4338"/>
      </w:tblGrid>
      <w:tr w14:paraId="2766A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650" w:type="dxa"/>
            <w:vMerge w:val="restart"/>
            <w:tcBorders>
              <w:top w:val="nil"/>
              <w:bottom w:val="nil"/>
            </w:tcBorders>
            <w:vAlign w:val="top"/>
          </w:tcPr>
          <w:p w14:paraId="352D93DA">
            <w:pPr>
              <w:rPr>
                <w:rFonts w:ascii="Arial"/>
                <w:color w:val="auto"/>
                <w:sz w:val="21"/>
                <w:highlight w:val="none"/>
              </w:rPr>
            </w:pPr>
          </w:p>
        </w:tc>
        <w:tc>
          <w:tcPr>
            <w:tcW w:w="1114" w:type="dxa"/>
            <w:vMerge w:val="restart"/>
            <w:tcBorders>
              <w:top w:val="nil"/>
              <w:bottom w:val="nil"/>
            </w:tcBorders>
            <w:vAlign w:val="top"/>
          </w:tcPr>
          <w:p w14:paraId="5D3EEC0D">
            <w:pPr>
              <w:rPr>
                <w:rFonts w:ascii="Arial"/>
                <w:color w:val="auto"/>
                <w:sz w:val="21"/>
                <w:highlight w:val="none"/>
              </w:rPr>
            </w:pPr>
          </w:p>
        </w:tc>
        <w:tc>
          <w:tcPr>
            <w:tcW w:w="1513" w:type="dxa"/>
            <w:tcBorders>
              <w:top w:val="nil"/>
            </w:tcBorders>
            <w:vAlign w:val="top"/>
          </w:tcPr>
          <w:p w14:paraId="43F2D994">
            <w:pPr>
              <w:pStyle w:val="9"/>
              <w:spacing w:before="87" w:line="229" w:lineRule="auto"/>
              <w:ind w:left="125"/>
              <w:rPr>
                <w:color w:val="auto"/>
                <w:sz w:val="19"/>
                <w:szCs w:val="19"/>
                <w:highlight w:val="none"/>
              </w:rPr>
            </w:pPr>
            <w:r>
              <w:rPr>
                <w:color w:val="auto"/>
                <w:sz w:val="19"/>
                <w:szCs w:val="19"/>
                <w:highlight w:val="none"/>
              </w:rPr>
              <w:t>LED</w:t>
            </w:r>
            <w:r>
              <w:rPr>
                <w:color w:val="auto"/>
                <w:spacing w:val="-37"/>
                <w:sz w:val="19"/>
                <w:szCs w:val="19"/>
                <w:highlight w:val="none"/>
              </w:rPr>
              <w:t xml:space="preserve"> </w:t>
            </w:r>
            <w:r>
              <w:rPr>
                <w:color w:val="auto"/>
                <w:spacing w:val="9"/>
                <w:sz w:val="19"/>
                <w:szCs w:val="19"/>
                <w:highlight w:val="none"/>
              </w:rPr>
              <w:t>道路/隧道</w:t>
            </w:r>
          </w:p>
          <w:p w14:paraId="6084B532">
            <w:pPr>
              <w:pStyle w:val="9"/>
              <w:spacing w:before="93" w:line="229" w:lineRule="auto"/>
              <w:ind w:left="353"/>
              <w:rPr>
                <w:color w:val="auto"/>
                <w:sz w:val="19"/>
                <w:szCs w:val="19"/>
                <w:highlight w:val="none"/>
              </w:rPr>
            </w:pPr>
            <w:r>
              <w:rPr>
                <w:color w:val="auto"/>
                <w:spacing w:val="7"/>
                <w:sz w:val="19"/>
                <w:szCs w:val="19"/>
                <w:highlight w:val="none"/>
              </w:rPr>
              <w:t>照明产品</w:t>
            </w:r>
          </w:p>
        </w:tc>
        <w:tc>
          <w:tcPr>
            <w:tcW w:w="1609" w:type="dxa"/>
            <w:tcBorders>
              <w:top w:val="nil"/>
            </w:tcBorders>
            <w:vAlign w:val="top"/>
          </w:tcPr>
          <w:p w14:paraId="15F4C862">
            <w:pPr>
              <w:rPr>
                <w:rFonts w:ascii="Arial"/>
                <w:color w:val="auto"/>
                <w:sz w:val="21"/>
                <w:highlight w:val="none"/>
              </w:rPr>
            </w:pPr>
          </w:p>
        </w:tc>
        <w:tc>
          <w:tcPr>
            <w:tcW w:w="4338" w:type="dxa"/>
            <w:tcBorders>
              <w:top w:val="nil"/>
            </w:tcBorders>
            <w:vAlign w:val="top"/>
          </w:tcPr>
          <w:p w14:paraId="665F2FB0">
            <w:pPr>
              <w:pStyle w:val="9"/>
              <w:spacing w:before="88" w:line="288" w:lineRule="auto"/>
              <w:ind w:left="113" w:right="221"/>
              <w:rPr>
                <w:color w:val="auto"/>
                <w:sz w:val="19"/>
                <w:szCs w:val="19"/>
                <w:highlight w:val="none"/>
              </w:rPr>
            </w:pPr>
            <w:r>
              <w:rPr>
                <w:color w:val="auto"/>
                <w:spacing w:val="12"/>
                <w:sz w:val="19"/>
                <w:szCs w:val="19"/>
                <w:highlight w:val="none"/>
              </w:rPr>
              <w:t>《道路和隧道照明用</w:t>
            </w:r>
            <w:r>
              <w:rPr>
                <w:color w:val="auto"/>
                <w:sz w:val="19"/>
                <w:szCs w:val="19"/>
                <w:highlight w:val="none"/>
              </w:rPr>
              <w:t>LED</w:t>
            </w:r>
            <w:r>
              <w:rPr>
                <w:color w:val="auto"/>
                <w:spacing w:val="-30"/>
                <w:sz w:val="19"/>
                <w:szCs w:val="19"/>
                <w:highlight w:val="none"/>
              </w:rPr>
              <w:t xml:space="preserve"> </w:t>
            </w:r>
            <w:r>
              <w:rPr>
                <w:color w:val="auto"/>
                <w:spacing w:val="12"/>
                <w:sz w:val="19"/>
                <w:szCs w:val="19"/>
                <w:highlight w:val="none"/>
              </w:rPr>
              <w:t>灯具能效限定值及能</w:t>
            </w:r>
            <w:r>
              <w:rPr>
                <w:color w:val="auto"/>
                <w:sz w:val="19"/>
                <w:szCs w:val="19"/>
                <w:highlight w:val="none"/>
              </w:rPr>
              <w:t xml:space="preserve"> </w:t>
            </w:r>
            <w:r>
              <w:rPr>
                <w:color w:val="auto"/>
                <w:spacing w:val="6"/>
                <w:sz w:val="19"/>
                <w:szCs w:val="19"/>
                <w:highlight w:val="none"/>
              </w:rPr>
              <w:t>效等级》（</w:t>
            </w:r>
            <w:r>
              <w:rPr>
                <w:color w:val="auto"/>
                <w:sz w:val="19"/>
                <w:szCs w:val="19"/>
                <w:highlight w:val="none"/>
              </w:rPr>
              <w:t>GB</w:t>
            </w:r>
            <w:r>
              <w:rPr>
                <w:color w:val="auto"/>
                <w:spacing w:val="6"/>
                <w:sz w:val="19"/>
                <w:szCs w:val="19"/>
                <w:highlight w:val="none"/>
              </w:rPr>
              <w:t>37478）</w:t>
            </w:r>
          </w:p>
        </w:tc>
      </w:tr>
      <w:tr w14:paraId="01EEC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7FEDA27B">
            <w:pPr>
              <w:rPr>
                <w:rFonts w:ascii="Arial"/>
                <w:color w:val="auto"/>
                <w:sz w:val="21"/>
                <w:highlight w:val="none"/>
              </w:rPr>
            </w:pPr>
          </w:p>
        </w:tc>
        <w:tc>
          <w:tcPr>
            <w:tcW w:w="1114" w:type="dxa"/>
            <w:vMerge w:val="continue"/>
            <w:tcBorders>
              <w:top w:val="nil"/>
              <w:bottom w:val="nil"/>
            </w:tcBorders>
            <w:vAlign w:val="top"/>
          </w:tcPr>
          <w:p w14:paraId="0939568F">
            <w:pPr>
              <w:rPr>
                <w:rFonts w:ascii="Arial"/>
                <w:color w:val="auto"/>
                <w:sz w:val="21"/>
                <w:highlight w:val="none"/>
              </w:rPr>
            </w:pPr>
          </w:p>
        </w:tc>
        <w:tc>
          <w:tcPr>
            <w:tcW w:w="1513" w:type="dxa"/>
            <w:vAlign w:val="top"/>
          </w:tcPr>
          <w:p w14:paraId="53FE6BA0">
            <w:pPr>
              <w:pStyle w:val="9"/>
              <w:spacing w:before="226" w:line="229" w:lineRule="auto"/>
              <w:ind w:left="377"/>
              <w:rPr>
                <w:color w:val="auto"/>
                <w:sz w:val="19"/>
                <w:szCs w:val="19"/>
                <w:highlight w:val="none"/>
              </w:rPr>
            </w:pPr>
            <w:r>
              <w:rPr>
                <w:color w:val="auto"/>
                <w:sz w:val="19"/>
                <w:szCs w:val="19"/>
                <w:highlight w:val="none"/>
              </w:rPr>
              <w:t>LED</w:t>
            </w:r>
            <w:r>
              <w:rPr>
                <w:color w:val="auto"/>
                <w:spacing w:val="-35"/>
                <w:sz w:val="19"/>
                <w:szCs w:val="19"/>
                <w:highlight w:val="none"/>
              </w:rPr>
              <w:t xml:space="preserve"> </w:t>
            </w:r>
            <w:r>
              <w:rPr>
                <w:color w:val="auto"/>
                <w:spacing w:val="7"/>
                <w:sz w:val="19"/>
                <w:szCs w:val="19"/>
                <w:highlight w:val="none"/>
              </w:rPr>
              <w:t>筒灯</w:t>
            </w:r>
          </w:p>
        </w:tc>
        <w:tc>
          <w:tcPr>
            <w:tcW w:w="1609" w:type="dxa"/>
            <w:vAlign w:val="top"/>
          </w:tcPr>
          <w:p w14:paraId="485AC029">
            <w:pPr>
              <w:rPr>
                <w:rFonts w:ascii="Arial"/>
                <w:color w:val="auto"/>
                <w:sz w:val="21"/>
                <w:highlight w:val="none"/>
              </w:rPr>
            </w:pPr>
          </w:p>
        </w:tc>
        <w:tc>
          <w:tcPr>
            <w:tcW w:w="4338" w:type="dxa"/>
            <w:vAlign w:val="top"/>
          </w:tcPr>
          <w:p w14:paraId="410DD1A8">
            <w:pPr>
              <w:pStyle w:val="9"/>
              <w:spacing w:before="63" w:line="288" w:lineRule="auto"/>
              <w:ind w:left="117" w:right="34" w:hanging="4"/>
              <w:rPr>
                <w:color w:val="auto"/>
                <w:sz w:val="19"/>
                <w:szCs w:val="19"/>
                <w:highlight w:val="none"/>
              </w:rPr>
            </w:pPr>
            <w:r>
              <w:rPr>
                <w:color w:val="auto"/>
                <w:spacing w:val="11"/>
                <w:sz w:val="19"/>
                <w:szCs w:val="19"/>
                <w:highlight w:val="none"/>
              </w:rPr>
              <w:t>《室内照明用</w:t>
            </w:r>
            <w:r>
              <w:rPr>
                <w:color w:val="auto"/>
                <w:sz w:val="19"/>
                <w:szCs w:val="19"/>
                <w:highlight w:val="none"/>
              </w:rPr>
              <w:t>LED</w:t>
            </w:r>
            <w:r>
              <w:rPr>
                <w:color w:val="auto"/>
                <w:spacing w:val="-26"/>
                <w:sz w:val="19"/>
                <w:szCs w:val="19"/>
                <w:highlight w:val="none"/>
              </w:rPr>
              <w:t xml:space="preserve"> </w:t>
            </w:r>
            <w:r>
              <w:rPr>
                <w:color w:val="auto"/>
                <w:spacing w:val="11"/>
                <w:sz w:val="19"/>
                <w:szCs w:val="19"/>
                <w:highlight w:val="none"/>
              </w:rPr>
              <w:t>产品能效限定值及能效等级》</w:t>
            </w:r>
            <w:r>
              <w:rPr>
                <w:color w:val="auto"/>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30255）</w:t>
            </w:r>
          </w:p>
        </w:tc>
      </w:tr>
      <w:tr w14:paraId="7D333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50" w:type="dxa"/>
            <w:vMerge w:val="continue"/>
            <w:tcBorders>
              <w:top w:val="nil"/>
            </w:tcBorders>
            <w:vAlign w:val="top"/>
          </w:tcPr>
          <w:p w14:paraId="06EFAC38">
            <w:pPr>
              <w:rPr>
                <w:rFonts w:ascii="Arial"/>
                <w:color w:val="auto"/>
                <w:sz w:val="21"/>
                <w:highlight w:val="none"/>
              </w:rPr>
            </w:pPr>
          </w:p>
        </w:tc>
        <w:tc>
          <w:tcPr>
            <w:tcW w:w="1114" w:type="dxa"/>
            <w:vMerge w:val="continue"/>
            <w:tcBorders>
              <w:top w:val="nil"/>
            </w:tcBorders>
            <w:vAlign w:val="top"/>
          </w:tcPr>
          <w:p w14:paraId="499A7163">
            <w:pPr>
              <w:rPr>
                <w:rFonts w:ascii="Arial"/>
                <w:color w:val="auto"/>
                <w:sz w:val="21"/>
                <w:highlight w:val="none"/>
              </w:rPr>
            </w:pPr>
          </w:p>
        </w:tc>
        <w:tc>
          <w:tcPr>
            <w:tcW w:w="1513" w:type="dxa"/>
            <w:vAlign w:val="top"/>
          </w:tcPr>
          <w:p w14:paraId="3903B687">
            <w:pPr>
              <w:pStyle w:val="9"/>
              <w:spacing w:before="63" w:line="322" w:lineRule="auto"/>
              <w:ind w:left="258" w:right="152" w:hanging="106"/>
              <w:rPr>
                <w:color w:val="auto"/>
                <w:sz w:val="19"/>
                <w:szCs w:val="19"/>
                <w:highlight w:val="none"/>
              </w:rPr>
            </w:pPr>
            <w:r>
              <w:rPr>
                <w:color w:val="auto"/>
                <w:spacing w:val="8"/>
                <w:sz w:val="19"/>
                <w:szCs w:val="19"/>
                <w:highlight w:val="none"/>
              </w:rPr>
              <w:t>普通照明用非</w:t>
            </w:r>
            <w:r>
              <w:rPr>
                <w:color w:val="auto"/>
                <w:spacing w:val="3"/>
                <w:sz w:val="19"/>
                <w:szCs w:val="19"/>
                <w:highlight w:val="none"/>
              </w:rPr>
              <w:t xml:space="preserve"> </w:t>
            </w:r>
            <w:r>
              <w:rPr>
                <w:color w:val="auto"/>
                <w:spacing w:val="7"/>
                <w:sz w:val="19"/>
                <w:szCs w:val="19"/>
                <w:highlight w:val="none"/>
              </w:rPr>
              <w:t>定向自镇流</w:t>
            </w:r>
          </w:p>
          <w:p w14:paraId="20449E04">
            <w:pPr>
              <w:pStyle w:val="9"/>
              <w:spacing w:line="229" w:lineRule="auto"/>
              <w:ind w:left="475"/>
              <w:rPr>
                <w:color w:val="auto"/>
                <w:sz w:val="19"/>
                <w:szCs w:val="19"/>
                <w:highlight w:val="none"/>
              </w:rPr>
            </w:pPr>
            <w:r>
              <w:rPr>
                <w:color w:val="auto"/>
                <w:sz w:val="19"/>
                <w:szCs w:val="19"/>
                <w:highlight w:val="none"/>
              </w:rPr>
              <w:t>LED</w:t>
            </w:r>
            <w:r>
              <w:rPr>
                <w:color w:val="auto"/>
                <w:spacing w:val="-39"/>
                <w:sz w:val="19"/>
                <w:szCs w:val="19"/>
                <w:highlight w:val="none"/>
              </w:rPr>
              <w:t xml:space="preserve"> </w:t>
            </w:r>
            <w:r>
              <w:rPr>
                <w:color w:val="auto"/>
                <w:spacing w:val="11"/>
                <w:sz w:val="19"/>
                <w:szCs w:val="19"/>
                <w:highlight w:val="none"/>
              </w:rPr>
              <w:t>灯</w:t>
            </w:r>
          </w:p>
        </w:tc>
        <w:tc>
          <w:tcPr>
            <w:tcW w:w="1609" w:type="dxa"/>
            <w:vAlign w:val="top"/>
          </w:tcPr>
          <w:p w14:paraId="54CAEBEC">
            <w:pPr>
              <w:rPr>
                <w:rFonts w:ascii="Arial"/>
                <w:color w:val="auto"/>
                <w:sz w:val="21"/>
                <w:highlight w:val="none"/>
              </w:rPr>
            </w:pPr>
          </w:p>
        </w:tc>
        <w:tc>
          <w:tcPr>
            <w:tcW w:w="4338" w:type="dxa"/>
            <w:vAlign w:val="top"/>
          </w:tcPr>
          <w:p w14:paraId="6DEB1A6A">
            <w:pPr>
              <w:pStyle w:val="9"/>
              <w:spacing w:before="230" w:line="329" w:lineRule="auto"/>
              <w:ind w:left="117" w:right="34" w:hanging="4"/>
              <w:rPr>
                <w:color w:val="auto"/>
                <w:sz w:val="19"/>
                <w:szCs w:val="19"/>
                <w:highlight w:val="none"/>
              </w:rPr>
            </w:pPr>
            <w:r>
              <w:rPr>
                <w:color w:val="auto"/>
                <w:spacing w:val="11"/>
                <w:sz w:val="19"/>
                <w:szCs w:val="19"/>
                <w:highlight w:val="none"/>
              </w:rPr>
              <w:t>《室内照明用</w:t>
            </w:r>
            <w:r>
              <w:rPr>
                <w:color w:val="auto"/>
                <w:sz w:val="19"/>
                <w:szCs w:val="19"/>
                <w:highlight w:val="none"/>
              </w:rPr>
              <w:t>LED</w:t>
            </w:r>
            <w:r>
              <w:rPr>
                <w:color w:val="auto"/>
                <w:spacing w:val="-26"/>
                <w:sz w:val="19"/>
                <w:szCs w:val="19"/>
                <w:highlight w:val="none"/>
              </w:rPr>
              <w:t xml:space="preserve"> </w:t>
            </w:r>
            <w:r>
              <w:rPr>
                <w:color w:val="auto"/>
                <w:spacing w:val="11"/>
                <w:sz w:val="19"/>
                <w:szCs w:val="19"/>
                <w:highlight w:val="none"/>
              </w:rPr>
              <w:t>产品能效限定值及能效等级》</w:t>
            </w:r>
            <w:r>
              <w:rPr>
                <w:color w:val="auto"/>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30255）</w:t>
            </w:r>
          </w:p>
        </w:tc>
      </w:tr>
      <w:tr w14:paraId="20A6F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50" w:type="dxa"/>
            <w:vAlign w:val="top"/>
          </w:tcPr>
          <w:p w14:paraId="40F14FB1">
            <w:pPr>
              <w:spacing w:line="333" w:lineRule="auto"/>
              <w:rPr>
                <w:rFonts w:ascii="Arial"/>
                <w:color w:val="auto"/>
                <w:sz w:val="21"/>
                <w:highlight w:val="none"/>
              </w:rPr>
            </w:pPr>
          </w:p>
          <w:p w14:paraId="66E1C0D7">
            <w:pPr>
              <w:pStyle w:val="9"/>
              <w:spacing w:before="62" w:line="257" w:lineRule="exact"/>
              <w:ind w:left="237"/>
              <w:rPr>
                <w:color w:val="auto"/>
                <w:sz w:val="19"/>
                <w:szCs w:val="19"/>
                <w:highlight w:val="none"/>
              </w:rPr>
            </w:pPr>
            <w:r>
              <w:rPr>
                <w:color w:val="auto"/>
                <w:spacing w:val="-7"/>
                <w:position w:val="1"/>
                <w:sz w:val="19"/>
                <w:szCs w:val="19"/>
                <w:highlight w:val="none"/>
              </w:rPr>
              <w:t>12</w:t>
            </w:r>
          </w:p>
        </w:tc>
        <w:tc>
          <w:tcPr>
            <w:tcW w:w="1114" w:type="dxa"/>
            <w:vAlign w:val="top"/>
          </w:tcPr>
          <w:p w14:paraId="55F8D34F">
            <w:pPr>
              <w:pStyle w:val="9"/>
              <w:spacing w:before="232" w:line="323" w:lineRule="auto"/>
              <w:ind w:left="174" w:right="106" w:hanging="70"/>
              <w:rPr>
                <w:color w:val="auto"/>
                <w:sz w:val="19"/>
                <w:szCs w:val="19"/>
                <w:highlight w:val="none"/>
              </w:rPr>
            </w:pPr>
            <w:r>
              <w:rPr>
                <w:color w:val="auto"/>
                <w:spacing w:val="4"/>
                <w:sz w:val="19"/>
                <w:szCs w:val="19"/>
                <w:highlight w:val="none"/>
              </w:rPr>
              <w:t>★A020910</w:t>
            </w:r>
            <w:r>
              <w:rPr>
                <w:color w:val="auto"/>
                <w:sz w:val="19"/>
                <w:szCs w:val="19"/>
                <w:highlight w:val="none"/>
              </w:rPr>
              <w:t xml:space="preserve"> </w:t>
            </w:r>
            <w:r>
              <w:rPr>
                <w:color w:val="auto"/>
                <w:spacing w:val="1"/>
                <w:sz w:val="19"/>
                <w:szCs w:val="19"/>
                <w:highlight w:val="none"/>
              </w:rPr>
              <w:t>电视设备</w:t>
            </w:r>
          </w:p>
        </w:tc>
        <w:tc>
          <w:tcPr>
            <w:tcW w:w="1513" w:type="dxa"/>
            <w:vAlign w:val="top"/>
          </w:tcPr>
          <w:p w14:paraId="071FAA75">
            <w:pPr>
              <w:pStyle w:val="9"/>
              <w:spacing w:before="65" w:line="322" w:lineRule="auto"/>
              <w:ind w:left="103" w:right="104" w:firstLine="68"/>
              <w:rPr>
                <w:color w:val="auto"/>
                <w:sz w:val="19"/>
                <w:szCs w:val="19"/>
                <w:highlight w:val="none"/>
              </w:rPr>
            </w:pPr>
            <w:r>
              <w:rPr>
                <w:color w:val="auto"/>
                <w:spacing w:val="4"/>
                <w:sz w:val="19"/>
                <w:szCs w:val="19"/>
                <w:highlight w:val="none"/>
              </w:rPr>
              <w:t>A02091001</w:t>
            </w:r>
            <w:r>
              <w:rPr>
                <w:color w:val="auto"/>
                <w:spacing w:val="-34"/>
                <w:sz w:val="19"/>
                <w:szCs w:val="19"/>
                <w:highlight w:val="none"/>
              </w:rPr>
              <w:t xml:space="preserve"> </w:t>
            </w:r>
            <w:r>
              <w:rPr>
                <w:color w:val="auto"/>
                <w:spacing w:val="4"/>
                <w:sz w:val="19"/>
                <w:szCs w:val="19"/>
                <w:highlight w:val="none"/>
              </w:rPr>
              <w:t>普</w:t>
            </w:r>
            <w:r>
              <w:rPr>
                <w:color w:val="auto"/>
                <w:sz w:val="19"/>
                <w:szCs w:val="19"/>
                <w:highlight w:val="none"/>
              </w:rPr>
              <w:t xml:space="preserve"> </w:t>
            </w:r>
            <w:r>
              <w:rPr>
                <w:color w:val="auto"/>
                <w:spacing w:val="-6"/>
                <w:sz w:val="19"/>
                <w:szCs w:val="19"/>
                <w:highlight w:val="none"/>
              </w:rPr>
              <w:t>通电视设备（电</w:t>
            </w:r>
          </w:p>
          <w:p w14:paraId="18A37146">
            <w:pPr>
              <w:pStyle w:val="9"/>
              <w:spacing w:line="228" w:lineRule="auto"/>
              <w:ind w:left="452"/>
              <w:rPr>
                <w:color w:val="auto"/>
                <w:sz w:val="19"/>
                <w:szCs w:val="19"/>
                <w:highlight w:val="none"/>
              </w:rPr>
            </w:pPr>
            <w:r>
              <w:rPr>
                <w:color w:val="auto"/>
                <w:spacing w:val="3"/>
                <w:sz w:val="19"/>
                <w:szCs w:val="19"/>
                <w:highlight w:val="none"/>
              </w:rPr>
              <w:t>视机）</w:t>
            </w:r>
          </w:p>
        </w:tc>
        <w:tc>
          <w:tcPr>
            <w:tcW w:w="1609" w:type="dxa"/>
            <w:vAlign w:val="top"/>
          </w:tcPr>
          <w:p w14:paraId="26C52702">
            <w:pPr>
              <w:rPr>
                <w:rFonts w:ascii="Arial"/>
                <w:color w:val="auto"/>
                <w:sz w:val="21"/>
                <w:highlight w:val="none"/>
              </w:rPr>
            </w:pPr>
          </w:p>
        </w:tc>
        <w:tc>
          <w:tcPr>
            <w:tcW w:w="4338" w:type="dxa"/>
            <w:vAlign w:val="top"/>
          </w:tcPr>
          <w:p w14:paraId="0ED0C641">
            <w:pPr>
              <w:spacing w:line="333" w:lineRule="auto"/>
              <w:rPr>
                <w:rFonts w:ascii="Arial"/>
                <w:color w:val="auto"/>
                <w:sz w:val="21"/>
                <w:highlight w:val="none"/>
              </w:rPr>
            </w:pPr>
          </w:p>
          <w:p w14:paraId="02D88F39">
            <w:pPr>
              <w:pStyle w:val="9"/>
              <w:spacing w:before="62" w:line="228" w:lineRule="auto"/>
              <w:ind w:right="13"/>
              <w:jc w:val="right"/>
              <w:rPr>
                <w:color w:val="auto"/>
                <w:sz w:val="19"/>
                <w:szCs w:val="19"/>
                <w:highlight w:val="none"/>
              </w:rPr>
            </w:pPr>
            <w:r>
              <w:rPr>
                <w:color w:val="auto"/>
                <w:spacing w:val="4"/>
                <w:sz w:val="19"/>
                <w:szCs w:val="19"/>
                <w:highlight w:val="none"/>
              </w:rPr>
              <w:t>《平板电视能效限定值及能效等级》（</w:t>
            </w:r>
            <w:r>
              <w:rPr>
                <w:color w:val="auto"/>
                <w:sz w:val="19"/>
                <w:szCs w:val="19"/>
                <w:highlight w:val="none"/>
              </w:rPr>
              <w:t>GB</w:t>
            </w:r>
            <w:r>
              <w:rPr>
                <w:color w:val="auto"/>
                <w:spacing w:val="4"/>
                <w:sz w:val="19"/>
                <w:szCs w:val="19"/>
                <w:highlight w:val="none"/>
              </w:rPr>
              <w:t>24850）</w:t>
            </w:r>
          </w:p>
        </w:tc>
      </w:tr>
      <w:tr w14:paraId="5D045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 w:hRule="atLeast"/>
        </w:trPr>
        <w:tc>
          <w:tcPr>
            <w:tcW w:w="650" w:type="dxa"/>
            <w:vAlign w:val="top"/>
          </w:tcPr>
          <w:p w14:paraId="02CC7226">
            <w:pPr>
              <w:spacing w:line="249" w:lineRule="auto"/>
              <w:rPr>
                <w:rFonts w:ascii="Arial"/>
                <w:color w:val="auto"/>
                <w:sz w:val="21"/>
                <w:highlight w:val="none"/>
              </w:rPr>
            </w:pPr>
          </w:p>
          <w:p w14:paraId="15D9C9BA">
            <w:pPr>
              <w:spacing w:line="250" w:lineRule="auto"/>
              <w:rPr>
                <w:rFonts w:ascii="Arial"/>
                <w:color w:val="auto"/>
                <w:sz w:val="21"/>
                <w:highlight w:val="none"/>
              </w:rPr>
            </w:pPr>
          </w:p>
          <w:p w14:paraId="1496E408">
            <w:pPr>
              <w:pStyle w:val="9"/>
              <w:spacing w:before="62" w:line="256" w:lineRule="exact"/>
              <w:ind w:left="237"/>
              <w:rPr>
                <w:color w:val="auto"/>
                <w:sz w:val="19"/>
                <w:szCs w:val="19"/>
                <w:highlight w:val="none"/>
              </w:rPr>
            </w:pPr>
            <w:r>
              <w:rPr>
                <w:color w:val="auto"/>
                <w:spacing w:val="-7"/>
                <w:position w:val="1"/>
                <w:sz w:val="19"/>
                <w:szCs w:val="19"/>
                <w:highlight w:val="none"/>
              </w:rPr>
              <w:t>13</w:t>
            </w:r>
          </w:p>
        </w:tc>
        <w:tc>
          <w:tcPr>
            <w:tcW w:w="1114" w:type="dxa"/>
            <w:vAlign w:val="top"/>
          </w:tcPr>
          <w:p w14:paraId="26C1FE89">
            <w:pPr>
              <w:spacing w:line="336" w:lineRule="auto"/>
              <w:rPr>
                <w:rFonts w:ascii="Arial"/>
                <w:color w:val="auto"/>
                <w:sz w:val="21"/>
                <w:highlight w:val="none"/>
              </w:rPr>
            </w:pPr>
          </w:p>
          <w:p w14:paraId="58606B11">
            <w:pPr>
              <w:pStyle w:val="9"/>
              <w:spacing w:before="61" w:line="323" w:lineRule="auto"/>
              <w:ind w:left="150" w:right="106" w:hanging="46"/>
              <w:rPr>
                <w:color w:val="auto"/>
                <w:sz w:val="19"/>
                <w:szCs w:val="19"/>
                <w:highlight w:val="none"/>
              </w:rPr>
            </w:pPr>
            <w:r>
              <w:rPr>
                <w:color w:val="auto"/>
                <w:spacing w:val="4"/>
                <w:sz w:val="19"/>
                <w:szCs w:val="19"/>
                <w:highlight w:val="none"/>
              </w:rPr>
              <w:t>★A020911</w:t>
            </w:r>
            <w:r>
              <w:rPr>
                <w:color w:val="auto"/>
                <w:sz w:val="19"/>
                <w:szCs w:val="19"/>
                <w:highlight w:val="none"/>
              </w:rPr>
              <w:t xml:space="preserve"> </w:t>
            </w:r>
            <w:r>
              <w:rPr>
                <w:color w:val="auto"/>
                <w:spacing w:val="8"/>
                <w:sz w:val="19"/>
                <w:szCs w:val="19"/>
                <w:highlight w:val="none"/>
              </w:rPr>
              <w:t>视频设备</w:t>
            </w:r>
          </w:p>
        </w:tc>
        <w:tc>
          <w:tcPr>
            <w:tcW w:w="1513" w:type="dxa"/>
            <w:vAlign w:val="top"/>
          </w:tcPr>
          <w:p w14:paraId="5C6908A9">
            <w:pPr>
              <w:spacing w:line="336" w:lineRule="auto"/>
              <w:rPr>
                <w:rFonts w:ascii="Arial"/>
                <w:color w:val="auto"/>
                <w:sz w:val="21"/>
                <w:highlight w:val="none"/>
              </w:rPr>
            </w:pPr>
          </w:p>
          <w:p w14:paraId="7DDE75B9">
            <w:pPr>
              <w:pStyle w:val="9"/>
              <w:spacing w:before="61" w:line="323" w:lineRule="auto"/>
              <w:ind w:left="254" w:right="178" w:hanging="83"/>
              <w:rPr>
                <w:color w:val="auto"/>
                <w:sz w:val="19"/>
                <w:szCs w:val="19"/>
                <w:highlight w:val="none"/>
              </w:rPr>
            </w:pPr>
            <w:r>
              <w:rPr>
                <w:color w:val="auto"/>
                <w:spacing w:val="4"/>
                <w:sz w:val="19"/>
                <w:szCs w:val="19"/>
                <w:highlight w:val="none"/>
              </w:rPr>
              <w:t>A02091107</w:t>
            </w:r>
            <w:r>
              <w:rPr>
                <w:color w:val="auto"/>
                <w:spacing w:val="-34"/>
                <w:sz w:val="19"/>
                <w:szCs w:val="19"/>
                <w:highlight w:val="none"/>
              </w:rPr>
              <w:t xml:space="preserve"> </w:t>
            </w:r>
            <w:r>
              <w:rPr>
                <w:color w:val="auto"/>
                <w:spacing w:val="4"/>
                <w:sz w:val="19"/>
                <w:szCs w:val="19"/>
                <w:highlight w:val="none"/>
              </w:rPr>
              <w:t>视</w:t>
            </w:r>
            <w:r>
              <w:rPr>
                <w:color w:val="auto"/>
                <w:sz w:val="19"/>
                <w:szCs w:val="19"/>
                <w:highlight w:val="none"/>
              </w:rPr>
              <w:t xml:space="preserve"> </w:t>
            </w:r>
            <w:r>
              <w:rPr>
                <w:color w:val="auto"/>
                <w:spacing w:val="7"/>
                <w:sz w:val="19"/>
                <w:szCs w:val="19"/>
                <w:highlight w:val="none"/>
              </w:rPr>
              <w:t>频监控设备</w:t>
            </w:r>
          </w:p>
        </w:tc>
        <w:tc>
          <w:tcPr>
            <w:tcW w:w="1609" w:type="dxa"/>
            <w:vAlign w:val="top"/>
          </w:tcPr>
          <w:p w14:paraId="66F75BBD">
            <w:pPr>
              <w:spacing w:line="249" w:lineRule="auto"/>
              <w:rPr>
                <w:rFonts w:ascii="Arial"/>
                <w:color w:val="auto"/>
                <w:sz w:val="21"/>
                <w:highlight w:val="none"/>
              </w:rPr>
            </w:pPr>
          </w:p>
          <w:p w14:paraId="3D5ABE45">
            <w:pPr>
              <w:spacing w:line="250" w:lineRule="auto"/>
              <w:rPr>
                <w:rFonts w:ascii="Arial"/>
                <w:color w:val="auto"/>
                <w:sz w:val="21"/>
                <w:highlight w:val="none"/>
              </w:rPr>
            </w:pPr>
          </w:p>
          <w:p w14:paraId="2CC5F41A">
            <w:pPr>
              <w:pStyle w:val="9"/>
              <w:spacing w:before="62" w:line="230" w:lineRule="auto"/>
              <w:ind w:left="506"/>
              <w:rPr>
                <w:color w:val="auto"/>
                <w:sz w:val="19"/>
                <w:szCs w:val="19"/>
                <w:highlight w:val="none"/>
              </w:rPr>
            </w:pPr>
            <w:r>
              <w:rPr>
                <w:color w:val="auto"/>
                <w:spacing w:val="7"/>
                <w:sz w:val="19"/>
                <w:szCs w:val="19"/>
                <w:highlight w:val="none"/>
              </w:rPr>
              <w:t>监视器</w:t>
            </w:r>
          </w:p>
        </w:tc>
        <w:tc>
          <w:tcPr>
            <w:tcW w:w="4338" w:type="dxa"/>
            <w:vAlign w:val="top"/>
          </w:tcPr>
          <w:p w14:paraId="6EA1EAE1">
            <w:pPr>
              <w:pStyle w:val="9"/>
              <w:spacing w:before="69" w:line="303" w:lineRule="auto"/>
              <w:ind w:left="109" w:right="21" w:firstLine="21"/>
              <w:jc w:val="both"/>
              <w:rPr>
                <w:color w:val="auto"/>
                <w:sz w:val="19"/>
                <w:szCs w:val="19"/>
                <w:highlight w:val="none"/>
              </w:rPr>
            </w:pPr>
            <w:r>
              <w:rPr>
                <w:color w:val="auto"/>
                <w:spacing w:val="4"/>
                <w:sz w:val="19"/>
                <w:szCs w:val="19"/>
                <w:highlight w:val="none"/>
              </w:rPr>
              <w:t>以射频信号为主要信号输入的监视器应符合《平</w:t>
            </w:r>
            <w:r>
              <w:rPr>
                <w:color w:val="auto"/>
                <w:spacing w:val="6"/>
                <w:sz w:val="19"/>
                <w:szCs w:val="19"/>
                <w:highlight w:val="none"/>
              </w:rPr>
              <w:t xml:space="preserve">  </w:t>
            </w:r>
            <w:r>
              <w:rPr>
                <w:color w:val="auto"/>
                <w:spacing w:val="8"/>
                <w:sz w:val="19"/>
                <w:szCs w:val="19"/>
                <w:highlight w:val="none"/>
              </w:rPr>
              <w:t>板电视能效限定值及能效等级》（</w:t>
            </w:r>
            <w:r>
              <w:rPr>
                <w:color w:val="auto"/>
                <w:sz w:val="19"/>
                <w:szCs w:val="19"/>
                <w:highlight w:val="none"/>
              </w:rPr>
              <w:t>GB</w:t>
            </w:r>
            <w:r>
              <w:rPr>
                <w:color w:val="auto"/>
                <w:spacing w:val="8"/>
                <w:sz w:val="19"/>
                <w:szCs w:val="19"/>
                <w:highlight w:val="none"/>
              </w:rPr>
              <w:t>24850</w:t>
            </w:r>
            <w:r>
              <w:rPr>
                <w:color w:val="auto"/>
                <w:spacing w:val="23"/>
                <w:sz w:val="19"/>
                <w:szCs w:val="19"/>
                <w:highlight w:val="none"/>
              </w:rPr>
              <w:t>），</w:t>
            </w:r>
            <w:r>
              <w:rPr>
                <w:color w:val="auto"/>
                <w:sz w:val="19"/>
                <w:szCs w:val="19"/>
                <w:highlight w:val="none"/>
              </w:rPr>
              <w:t xml:space="preserve">  </w:t>
            </w:r>
            <w:r>
              <w:rPr>
                <w:color w:val="auto"/>
                <w:spacing w:val="5"/>
                <w:sz w:val="19"/>
                <w:szCs w:val="19"/>
                <w:highlight w:val="none"/>
              </w:rPr>
              <w:t>以数字信号为主要信号输入的监视器应符合《计</w:t>
            </w:r>
            <w:r>
              <w:rPr>
                <w:color w:val="auto"/>
                <w:spacing w:val="6"/>
                <w:sz w:val="19"/>
                <w:szCs w:val="19"/>
                <w:highlight w:val="none"/>
              </w:rPr>
              <w:t xml:space="preserve">  </w:t>
            </w:r>
            <w:r>
              <w:rPr>
                <w:color w:val="auto"/>
                <w:spacing w:val="4"/>
                <w:sz w:val="19"/>
                <w:szCs w:val="19"/>
                <w:highlight w:val="none"/>
              </w:rPr>
              <w:t>算机显示器能效限定值及能效等级》（</w:t>
            </w:r>
            <w:r>
              <w:rPr>
                <w:color w:val="auto"/>
                <w:sz w:val="19"/>
                <w:szCs w:val="19"/>
                <w:highlight w:val="none"/>
              </w:rPr>
              <w:t>GB</w:t>
            </w:r>
            <w:r>
              <w:rPr>
                <w:color w:val="auto"/>
                <w:spacing w:val="4"/>
                <w:sz w:val="19"/>
                <w:szCs w:val="19"/>
                <w:highlight w:val="none"/>
              </w:rPr>
              <w:t>21520）</w:t>
            </w:r>
          </w:p>
        </w:tc>
      </w:tr>
      <w:tr w14:paraId="4455D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50" w:type="dxa"/>
            <w:vAlign w:val="top"/>
          </w:tcPr>
          <w:p w14:paraId="30A35C7A">
            <w:pPr>
              <w:spacing w:line="337" w:lineRule="auto"/>
              <w:rPr>
                <w:rFonts w:ascii="Arial"/>
                <w:color w:val="auto"/>
                <w:sz w:val="21"/>
                <w:highlight w:val="none"/>
              </w:rPr>
            </w:pPr>
          </w:p>
          <w:p w14:paraId="05B34572">
            <w:pPr>
              <w:pStyle w:val="9"/>
              <w:spacing w:before="61" w:line="258" w:lineRule="exact"/>
              <w:ind w:left="237"/>
              <w:rPr>
                <w:color w:val="auto"/>
                <w:sz w:val="19"/>
                <w:szCs w:val="19"/>
                <w:highlight w:val="none"/>
              </w:rPr>
            </w:pPr>
            <w:r>
              <w:rPr>
                <w:color w:val="auto"/>
                <w:spacing w:val="-7"/>
                <w:position w:val="1"/>
                <w:sz w:val="19"/>
                <w:szCs w:val="19"/>
                <w:highlight w:val="none"/>
              </w:rPr>
              <w:t>14</w:t>
            </w:r>
          </w:p>
        </w:tc>
        <w:tc>
          <w:tcPr>
            <w:tcW w:w="1114" w:type="dxa"/>
            <w:vAlign w:val="top"/>
          </w:tcPr>
          <w:p w14:paraId="09E8DC9A">
            <w:pPr>
              <w:pStyle w:val="9"/>
              <w:spacing w:before="69" w:line="257" w:lineRule="exact"/>
              <w:ind w:left="195"/>
              <w:rPr>
                <w:color w:val="auto"/>
                <w:sz w:val="19"/>
                <w:szCs w:val="19"/>
                <w:highlight w:val="none"/>
              </w:rPr>
            </w:pPr>
            <w:r>
              <w:rPr>
                <w:color w:val="auto"/>
                <w:spacing w:val="4"/>
                <w:position w:val="1"/>
                <w:sz w:val="19"/>
                <w:szCs w:val="19"/>
                <w:highlight w:val="none"/>
              </w:rPr>
              <w:t>A031210</w:t>
            </w:r>
          </w:p>
          <w:p w14:paraId="27995984">
            <w:pPr>
              <w:pStyle w:val="9"/>
              <w:spacing w:before="74" w:line="230" w:lineRule="auto"/>
              <w:ind w:left="151"/>
              <w:rPr>
                <w:color w:val="auto"/>
                <w:sz w:val="19"/>
                <w:szCs w:val="19"/>
                <w:highlight w:val="none"/>
              </w:rPr>
            </w:pPr>
            <w:r>
              <w:rPr>
                <w:color w:val="auto"/>
                <w:spacing w:val="7"/>
                <w:sz w:val="19"/>
                <w:szCs w:val="19"/>
                <w:highlight w:val="none"/>
              </w:rPr>
              <w:t>饮食炊事</w:t>
            </w:r>
          </w:p>
          <w:p w14:paraId="3CEFFB82">
            <w:pPr>
              <w:pStyle w:val="9"/>
              <w:spacing w:before="95" w:line="228" w:lineRule="auto"/>
              <w:ind w:left="349"/>
              <w:rPr>
                <w:color w:val="auto"/>
                <w:sz w:val="19"/>
                <w:szCs w:val="19"/>
                <w:highlight w:val="none"/>
              </w:rPr>
            </w:pPr>
            <w:r>
              <w:rPr>
                <w:color w:val="auto"/>
                <w:spacing w:val="5"/>
                <w:sz w:val="19"/>
                <w:szCs w:val="19"/>
                <w:highlight w:val="none"/>
              </w:rPr>
              <w:t>机械</w:t>
            </w:r>
          </w:p>
        </w:tc>
        <w:tc>
          <w:tcPr>
            <w:tcW w:w="1513" w:type="dxa"/>
            <w:vAlign w:val="top"/>
          </w:tcPr>
          <w:p w14:paraId="3E098CFE">
            <w:pPr>
              <w:spacing w:line="336" w:lineRule="auto"/>
              <w:rPr>
                <w:rFonts w:ascii="Arial"/>
                <w:color w:val="auto"/>
                <w:sz w:val="21"/>
                <w:highlight w:val="none"/>
              </w:rPr>
            </w:pPr>
          </w:p>
          <w:p w14:paraId="0F94C5BA">
            <w:pPr>
              <w:pStyle w:val="9"/>
              <w:spacing w:before="62" w:line="230" w:lineRule="auto"/>
              <w:ind w:left="157"/>
              <w:rPr>
                <w:color w:val="auto"/>
                <w:sz w:val="19"/>
                <w:szCs w:val="19"/>
                <w:highlight w:val="none"/>
              </w:rPr>
            </w:pPr>
            <w:r>
              <w:rPr>
                <w:color w:val="auto"/>
                <w:spacing w:val="8"/>
                <w:sz w:val="19"/>
                <w:szCs w:val="19"/>
                <w:highlight w:val="none"/>
              </w:rPr>
              <w:t>商用燃气灶具</w:t>
            </w:r>
          </w:p>
        </w:tc>
        <w:tc>
          <w:tcPr>
            <w:tcW w:w="1609" w:type="dxa"/>
            <w:vAlign w:val="top"/>
          </w:tcPr>
          <w:p w14:paraId="03C5D2EA">
            <w:pPr>
              <w:rPr>
                <w:rFonts w:ascii="Arial"/>
                <w:color w:val="auto"/>
                <w:sz w:val="21"/>
                <w:highlight w:val="none"/>
              </w:rPr>
            </w:pPr>
          </w:p>
        </w:tc>
        <w:tc>
          <w:tcPr>
            <w:tcW w:w="4338" w:type="dxa"/>
            <w:vAlign w:val="top"/>
          </w:tcPr>
          <w:p w14:paraId="62AB2048">
            <w:pPr>
              <w:pStyle w:val="9"/>
              <w:spacing w:before="235" w:line="329" w:lineRule="auto"/>
              <w:ind w:left="117" w:right="635" w:hanging="4"/>
              <w:rPr>
                <w:color w:val="auto"/>
                <w:sz w:val="19"/>
                <w:szCs w:val="19"/>
                <w:highlight w:val="none"/>
              </w:rPr>
            </w:pPr>
            <w:r>
              <w:rPr>
                <w:color w:val="auto"/>
                <w:spacing w:val="8"/>
                <w:sz w:val="19"/>
                <w:szCs w:val="19"/>
                <w:highlight w:val="none"/>
              </w:rPr>
              <w:t>《商用燃气灶具能效限定值及能效等级》</w:t>
            </w:r>
            <w:r>
              <w:rPr>
                <w:color w:val="auto"/>
                <w:spacing w:val="9"/>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30531）</w:t>
            </w:r>
          </w:p>
        </w:tc>
      </w:tr>
      <w:tr w14:paraId="0D28D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6" w:hRule="atLeast"/>
        </w:trPr>
        <w:tc>
          <w:tcPr>
            <w:tcW w:w="650" w:type="dxa"/>
            <w:vMerge w:val="restart"/>
            <w:tcBorders>
              <w:bottom w:val="nil"/>
            </w:tcBorders>
            <w:vAlign w:val="top"/>
          </w:tcPr>
          <w:p w14:paraId="4251ECC2">
            <w:pPr>
              <w:spacing w:line="343" w:lineRule="auto"/>
              <w:rPr>
                <w:rFonts w:ascii="Arial"/>
                <w:color w:val="auto"/>
                <w:sz w:val="21"/>
                <w:highlight w:val="none"/>
              </w:rPr>
            </w:pPr>
          </w:p>
          <w:p w14:paraId="2C8BFE71">
            <w:pPr>
              <w:spacing w:line="344" w:lineRule="auto"/>
              <w:rPr>
                <w:rFonts w:ascii="Arial"/>
                <w:color w:val="auto"/>
                <w:sz w:val="21"/>
                <w:highlight w:val="none"/>
              </w:rPr>
            </w:pPr>
          </w:p>
          <w:p w14:paraId="345F578F">
            <w:pPr>
              <w:pStyle w:val="9"/>
              <w:spacing w:before="62" w:line="256" w:lineRule="exact"/>
              <w:ind w:left="237"/>
              <w:rPr>
                <w:color w:val="auto"/>
                <w:sz w:val="19"/>
                <w:szCs w:val="19"/>
                <w:highlight w:val="none"/>
              </w:rPr>
            </w:pPr>
            <w:r>
              <w:rPr>
                <w:color w:val="auto"/>
                <w:spacing w:val="-7"/>
                <w:position w:val="1"/>
                <w:sz w:val="19"/>
                <w:szCs w:val="19"/>
                <w:highlight w:val="none"/>
              </w:rPr>
              <w:t>15</w:t>
            </w:r>
          </w:p>
        </w:tc>
        <w:tc>
          <w:tcPr>
            <w:tcW w:w="1114" w:type="dxa"/>
            <w:vMerge w:val="restart"/>
            <w:tcBorders>
              <w:bottom w:val="nil"/>
            </w:tcBorders>
            <w:vAlign w:val="top"/>
          </w:tcPr>
          <w:p w14:paraId="4357C209">
            <w:pPr>
              <w:spacing w:line="261" w:lineRule="auto"/>
              <w:rPr>
                <w:rFonts w:ascii="Arial"/>
                <w:color w:val="auto"/>
                <w:sz w:val="21"/>
                <w:highlight w:val="none"/>
              </w:rPr>
            </w:pPr>
          </w:p>
          <w:p w14:paraId="2F21E332">
            <w:pPr>
              <w:spacing w:line="261" w:lineRule="auto"/>
              <w:rPr>
                <w:rFonts w:ascii="Arial"/>
                <w:color w:val="auto"/>
                <w:sz w:val="21"/>
                <w:highlight w:val="none"/>
              </w:rPr>
            </w:pPr>
          </w:p>
          <w:p w14:paraId="225890AF">
            <w:pPr>
              <w:pStyle w:val="9"/>
              <w:spacing w:before="62" w:line="236" w:lineRule="auto"/>
              <w:ind w:left="104"/>
              <w:rPr>
                <w:color w:val="auto"/>
                <w:sz w:val="19"/>
                <w:szCs w:val="19"/>
                <w:highlight w:val="none"/>
              </w:rPr>
            </w:pPr>
            <w:r>
              <w:rPr>
                <w:color w:val="auto"/>
                <w:spacing w:val="4"/>
                <w:sz w:val="19"/>
                <w:szCs w:val="19"/>
                <w:highlight w:val="none"/>
              </w:rPr>
              <w:t>★A060805</w:t>
            </w:r>
          </w:p>
          <w:p w14:paraId="0E5DC5B5">
            <w:pPr>
              <w:pStyle w:val="9"/>
              <w:spacing w:before="88" w:line="229" w:lineRule="auto"/>
              <w:ind w:left="351"/>
              <w:rPr>
                <w:color w:val="auto"/>
                <w:sz w:val="19"/>
                <w:szCs w:val="19"/>
                <w:highlight w:val="none"/>
              </w:rPr>
            </w:pPr>
            <w:r>
              <w:rPr>
                <w:color w:val="auto"/>
                <w:spacing w:val="4"/>
                <w:sz w:val="19"/>
                <w:szCs w:val="19"/>
                <w:highlight w:val="none"/>
              </w:rPr>
              <w:t>便器</w:t>
            </w:r>
          </w:p>
        </w:tc>
        <w:tc>
          <w:tcPr>
            <w:tcW w:w="1513" w:type="dxa"/>
            <w:vAlign w:val="top"/>
          </w:tcPr>
          <w:p w14:paraId="1F3E4CB1">
            <w:pPr>
              <w:pStyle w:val="9"/>
              <w:spacing w:before="71" w:line="229" w:lineRule="auto"/>
              <w:ind w:left="454"/>
              <w:rPr>
                <w:color w:val="auto"/>
                <w:sz w:val="19"/>
                <w:szCs w:val="19"/>
                <w:highlight w:val="none"/>
              </w:rPr>
            </w:pPr>
            <w:r>
              <w:rPr>
                <w:color w:val="auto"/>
                <w:spacing w:val="7"/>
                <w:sz w:val="19"/>
                <w:szCs w:val="19"/>
                <w:highlight w:val="none"/>
              </w:rPr>
              <w:t>坐便器</w:t>
            </w:r>
          </w:p>
        </w:tc>
        <w:tc>
          <w:tcPr>
            <w:tcW w:w="1609" w:type="dxa"/>
            <w:vAlign w:val="top"/>
          </w:tcPr>
          <w:p w14:paraId="4B9EB19B">
            <w:pPr>
              <w:rPr>
                <w:rFonts w:ascii="Arial"/>
                <w:color w:val="auto"/>
                <w:sz w:val="21"/>
                <w:highlight w:val="none"/>
              </w:rPr>
            </w:pPr>
          </w:p>
        </w:tc>
        <w:tc>
          <w:tcPr>
            <w:tcW w:w="4338" w:type="dxa"/>
            <w:vAlign w:val="top"/>
          </w:tcPr>
          <w:p w14:paraId="1B461287">
            <w:pPr>
              <w:pStyle w:val="9"/>
              <w:spacing w:before="71" w:line="229" w:lineRule="auto"/>
              <w:ind w:left="113"/>
              <w:rPr>
                <w:color w:val="auto"/>
                <w:sz w:val="19"/>
                <w:szCs w:val="19"/>
                <w:highlight w:val="none"/>
              </w:rPr>
            </w:pPr>
            <w:r>
              <w:rPr>
                <w:color w:val="auto"/>
                <w:spacing w:val="8"/>
                <w:sz w:val="19"/>
                <w:szCs w:val="19"/>
                <w:highlight w:val="none"/>
              </w:rPr>
              <w:t>《坐便器水效限定值及水效等级》（</w:t>
            </w:r>
            <w:r>
              <w:rPr>
                <w:color w:val="auto"/>
                <w:sz w:val="19"/>
                <w:szCs w:val="19"/>
                <w:highlight w:val="none"/>
              </w:rPr>
              <w:t>GB</w:t>
            </w:r>
            <w:r>
              <w:rPr>
                <w:color w:val="auto"/>
                <w:spacing w:val="8"/>
                <w:sz w:val="19"/>
                <w:szCs w:val="19"/>
                <w:highlight w:val="none"/>
              </w:rPr>
              <w:t>25502）</w:t>
            </w:r>
          </w:p>
        </w:tc>
      </w:tr>
      <w:tr w14:paraId="698FC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bottom w:val="nil"/>
            </w:tcBorders>
            <w:vAlign w:val="top"/>
          </w:tcPr>
          <w:p w14:paraId="31DBEC1F">
            <w:pPr>
              <w:rPr>
                <w:rFonts w:ascii="Arial"/>
                <w:color w:val="auto"/>
                <w:sz w:val="21"/>
                <w:highlight w:val="none"/>
              </w:rPr>
            </w:pPr>
          </w:p>
        </w:tc>
        <w:tc>
          <w:tcPr>
            <w:tcW w:w="1114" w:type="dxa"/>
            <w:vMerge w:val="continue"/>
            <w:tcBorders>
              <w:top w:val="nil"/>
              <w:bottom w:val="nil"/>
            </w:tcBorders>
            <w:vAlign w:val="top"/>
          </w:tcPr>
          <w:p w14:paraId="26D79651">
            <w:pPr>
              <w:rPr>
                <w:rFonts w:ascii="Arial"/>
                <w:color w:val="auto"/>
                <w:sz w:val="21"/>
                <w:highlight w:val="none"/>
              </w:rPr>
            </w:pPr>
          </w:p>
        </w:tc>
        <w:tc>
          <w:tcPr>
            <w:tcW w:w="1513" w:type="dxa"/>
            <w:vAlign w:val="top"/>
          </w:tcPr>
          <w:p w14:paraId="27A1D073">
            <w:pPr>
              <w:pStyle w:val="9"/>
              <w:spacing w:before="236" w:line="229" w:lineRule="auto"/>
              <w:ind w:left="452"/>
              <w:rPr>
                <w:color w:val="auto"/>
                <w:sz w:val="19"/>
                <w:szCs w:val="19"/>
                <w:highlight w:val="none"/>
              </w:rPr>
            </w:pPr>
            <w:r>
              <w:rPr>
                <w:color w:val="auto"/>
                <w:spacing w:val="7"/>
                <w:sz w:val="19"/>
                <w:szCs w:val="19"/>
                <w:highlight w:val="none"/>
              </w:rPr>
              <w:t>蹲便器</w:t>
            </w:r>
          </w:p>
        </w:tc>
        <w:tc>
          <w:tcPr>
            <w:tcW w:w="1609" w:type="dxa"/>
            <w:vAlign w:val="top"/>
          </w:tcPr>
          <w:p w14:paraId="20609FB1">
            <w:pPr>
              <w:rPr>
                <w:rFonts w:ascii="Arial"/>
                <w:color w:val="auto"/>
                <w:sz w:val="21"/>
                <w:highlight w:val="none"/>
              </w:rPr>
            </w:pPr>
          </w:p>
        </w:tc>
        <w:tc>
          <w:tcPr>
            <w:tcW w:w="4338" w:type="dxa"/>
            <w:vAlign w:val="top"/>
          </w:tcPr>
          <w:p w14:paraId="2DD58A98">
            <w:pPr>
              <w:pStyle w:val="9"/>
              <w:spacing w:before="71" w:line="284" w:lineRule="auto"/>
              <w:ind w:left="117" w:right="435" w:hanging="4"/>
              <w:rPr>
                <w:color w:val="auto"/>
                <w:sz w:val="19"/>
                <w:szCs w:val="19"/>
                <w:highlight w:val="none"/>
              </w:rPr>
            </w:pPr>
            <w:r>
              <w:rPr>
                <w:color w:val="auto"/>
                <w:spacing w:val="8"/>
                <w:sz w:val="19"/>
                <w:szCs w:val="19"/>
                <w:highlight w:val="none"/>
              </w:rPr>
              <w:t>《蹲便器用水效率限定值及用水效率等级》</w:t>
            </w:r>
            <w:r>
              <w:rPr>
                <w:color w:val="auto"/>
                <w:spacing w:val="10"/>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30717）</w:t>
            </w:r>
          </w:p>
        </w:tc>
      </w:tr>
      <w:tr w14:paraId="0D479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Merge w:val="continue"/>
            <w:tcBorders>
              <w:top w:val="nil"/>
            </w:tcBorders>
            <w:vAlign w:val="top"/>
          </w:tcPr>
          <w:p w14:paraId="4AA09D66">
            <w:pPr>
              <w:rPr>
                <w:rFonts w:ascii="Arial"/>
                <w:color w:val="auto"/>
                <w:sz w:val="21"/>
                <w:highlight w:val="none"/>
              </w:rPr>
            </w:pPr>
          </w:p>
        </w:tc>
        <w:tc>
          <w:tcPr>
            <w:tcW w:w="1114" w:type="dxa"/>
            <w:vMerge w:val="continue"/>
            <w:tcBorders>
              <w:top w:val="nil"/>
            </w:tcBorders>
            <w:vAlign w:val="top"/>
          </w:tcPr>
          <w:p w14:paraId="6FB53BF5">
            <w:pPr>
              <w:rPr>
                <w:rFonts w:ascii="Arial"/>
                <w:color w:val="auto"/>
                <w:sz w:val="21"/>
                <w:highlight w:val="none"/>
              </w:rPr>
            </w:pPr>
          </w:p>
        </w:tc>
        <w:tc>
          <w:tcPr>
            <w:tcW w:w="1513" w:type="dxa"/>
            <w:vAlign w:val="top"/>
          </w:tcPr>
          <w:p w14:paraId="4309A849">
            <w:pPr>
              <w:pStyle w:val="9"/>
              <w:spacing w:before="237" w:line="229" w:lineRule="auto"/>
              <w:ind w:left="458"/>
              <w:rPr>
                <w:color w:val="auto"/>
                <w:sz w:val="19"/>
                <w:szCs w:val="19"/>
                <w:highlight w:val="none"/>
              </w:rPr>
            </w:pPr>
            <w:r>
              <w:rPr>
                <w:color w:val="auto"/>
                <w:spacing w:val="5"/>
                <w:sz w:val="19"/>
                <w:szCs w:val="19"/>
                <w:highlight w:val="none"/>
              </w:rPr>
              <w:t>小便器</w:t>
            </w:r>
          </w:p>
        </w:tc>
        <w:tc>
          <w:tcPr>
            <w:tcW w:w="1609" w:type="dxa"/>
            <w:vAlign w:val="top"/>
          </w:tcPr>
          <w:p w14:paraId="46DB9A2D">
            <w:pPr>
              <w:rPr>
                <w:rFonts w:ascii="Arial"/>
                <w:color w:val="auto"/>
                <w:sz w:val="21"/>
                <w:highlight w:val="none"/>
              </w:rPr>
            </w:pPr>
          </w:p>
        </w:tc>
        <w:tc>
          <w:tcPr>
            <w:tcW w:w="4338" w:type="dxa"/>
            <w:vAlign w:val="top"/>
          </w:tcPr>
          <w:p w14:paraId="172A91F9">
            <w:pPr>
              <w:pStyle w:val="9"/>
              <w:spacing w:before="73" w:line="283" w:lineRule="auto"/>
              <w:ind w:left="117" w:right="435" w:hanging="4"/>
              <w:rPr>
                <w:color w:val="auto"/>
                <w:sz w:val="19"/>
                <w:szCs w:val="19"/>
                <w:highlight w:val="none"/>
              </w:rPr>
            </w:pPr>
            <w:r>
              <w:rPr>
                <w:color w:val="auto"/>
                <w:spacing w:val="8"/>
                <w:sz w:val="19"/>
                <w:szCs w:val="19"/>
                <w:highlight w:val="none"/>
              </w:rPr>
              <w:t>《小便器用水效率限定值及用水效率等级》</w:t>
            </w:r>
            <w:r>
              <w:rPr>
                <w:color w:val="auto"/>
                <w:spacing w:val="10"/>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28377）</w:t>
            </w:r>
          </w:p>
        </w:tc>
      </w:tr>
      <w:tr w14:paraId="3ACD2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50" w:type="dxa"/>
            <w:vAlign w:val="top"/>
          </w:tcPr>
          <w:p w14:paraId="723EF591">
            <w:pPr>
              <w:pStyle w:val="9"/>
              <w:spacing w:before="237" w:line="257" w:lineRule="exact"/>
              <w:ind w:left="237"/>
              <w:rPr>
                <w:color w:val="auto"/>
                <w:sz w:val="19"/>
                <w:szCs w:val="19"/>
                <w:highlight w:val="none"/>
              </w:rPr>
            </w:pPr>
            <w:r>
              <w:rPr>
                <w:color w:val="auto"/>
                <w:spacing w:val="-7"/>
                <w:position w:val="1"/>
                <w:sz w:val="19"/>
                <w:szCs w:val="19"/>
                <w:highlight w:val="none"/>
              </w:rPr>
              <w:t>16</w:t>
            </w:r>
          </w:p>
        </w:tc>
        <w:tc>
          <w:tcPr>
            <w:tcW w:w="1114" w:type="dxa"/>
            <w:vAlign w:val="top"/>
          </w:tcPr>
          <w:p w14:paraId="119BE039">
            <w:pPr>
              <w:pStyle w:val="9"/>
              <w:spacing w:before="74" w:line="236" w:lineRule="auto"/>
              <w:ind w:left="104"/>
              <w:rPr>
                <w:color w:val="auto"/>
                <w:sz w:val="19"/>
                <w:szCs w:val="19"/>
                <w:highlight w:val="none"/>
              </w:rPr>
            </w:pPr>
            <w:r>
              <w:rPr>
                <w:color w:val="auto"/>
                <w:spacing w:val="4"/>
                <w:sz w:val="19"/>
                <w:szCs w:val="19"/>
                <w:highlight w:val="none"/>
              </w:rPr>
              <w:t>★A060806</w:t>
            </w:r>
          </w:p>
          <w:p w14:paraId="40118FF4">
            <w:pPr>
              <w:pStyle w:val="9"/>
              <w:spacing w:before="88" w:line="229" w:lineRule="auto"/>
              <w:ind w:left="353"/>
              <w:rPr>
                <w:color w:val="auto"/>
                <w:sz w:val="19"/>
                <w:szCs w:val="19"/>
                <w:highlight w:val="none"/>
              </w:rPr>
            </w:pPr>
            <w:r>
              <w:rPr>
                <w:color w:val="auto"/>
                <w:spacing w:val="4"/>
                <w:sz w:val="19"/>
                <w:szCs w:val="19"/>
                <w:highlight w:val="none"/>
              </w:rPr>
              <w:t>水嘴</w:t>
            </w:r>
          </w:p>
        </w:tc>
        <w:tc>
          <w:tcPr>
            <w:tcW w:w="1513" w:type="dxa"/>
            <w:vAlign w:val="top"/>
          </w:tcPr>
          <w:p w14:paraId="5551E497">
            <w:pPr>
              <w:rPr>
                <w:rFonts w:ascii="Arial"/>
                <w:color w:val="auto"/>
                <w:sz w:val="21"/>
                <w:highlight w:val="none"/>
              </w:rPr>
            </w:pPr>
          </w:p>
        </w:tc>
        <w:tc>
          <w:tcPr>
            <w:tcW w:w="1609" w:type="dxa"/>
            <w:vAlign w:val="top"/>
          </w:tcPr>
          <w:p w14:paraId="612CA4F7">
            <w:pPr>
              <w:rPr>
                <w:rFonts w:ascii="Arial"/>
                <w:color w:val="auto"/>
                <w:sz w:val="21"/>
                <w:highlight w:val="none"/>
              </w:rPr>
            </w:pPr>
          </w:p>
        </w:tc>
        <w:tc>
          <w:tcPr>
            <w:tcW w:w="4338" w:type="dxa"/>
            <w:vAlign w:val="top"/>
          </w:tcPr>
          <w:p w14:paraId="07FCFB62">
            <w:pPr>
              <w:pStyle w:val="9"/>
              <w:spacing w:before="75" w:line="282" w:lineRule="auto"/>
              <w:ind w:left="110" w:right="220" w:firstLine="2"/>
              <w:rPr>
                <w:color w:val="auto"/>
                <w:sz w:val="19"/>
                <w:szCs w:val="19"/>
                <w:highlight w:val="none"/>
              </w:rPr>
            </w:pPr>
            <w:r>
              <w:rPr>
                <w:color w:val="auto"/>
                <w:spacing w:val="9"/>
                <w:sz w:val="19"/>
                <w:szCs w:val="19"/>
                <w:highlight w:val="none"/>
              </w:rPr>
              <w:t>《水嘴用水效率限定值及用水效率等级》（</w:t>
            </w:r>
            <w:r>
              <w:rPr>
                <w:color w:val="auto"/>
                <w:sz w:val="19"/>
                <w:szCs w:val="19"/>
                <w:highlight w:val="none"/>
              </w:rPr>
              <w:t>GB</w:t>
            </w:r>
            <w:r>
              <w:rPr>
                <w:color w:val="auto"/>
                <w:spacing w:val="16"/>
                <w:sz w:val="19"/>
                <w:szCs w:val="19"/>
                <w:highlight w:val="none"/>
              </w:rPr>
              <w:t xml:space="preserve"> </w:t>
            </w:r>
            <w:r>
              <w:rPr>
                <w:color w:val="auto"/>
                <w:spacing w:val="2"/>
                <w:sz w:val="19"/>
                <w:szCs w:val="19"/>
                <w:highlight w:val="none"/>
              </w:rPr>
              <w:t>25501）</w:t>
            </w:r>
          </w:p>
        </w:tc>
      </w:tr>
      <w:tr w14:paraId="59E45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50" w:type="dxa"/>
            <w:vAlign w:val="top"/>
          </w:tcPr>
          <w:p w14:paraId="350D2336">
            <w:pPr>
              <w:spacing w:line="342" w:lineRule="auto"/>
              <w:rPr>
                <w:rFonts w:ascii="Arial"/>
                <w:color w:val="auto"/>
                <w:sz w:val="21"/>
                <w:highlight w:val="none"/>
              </w:rPr>
            </w:pPr>
          </w:p>
          <w:p w14:paraId="083A69F6">
            <w:pPr>
              <w:pStyle w:val="9"/>
              <w:spacing w:before="62" w:line="256" w:lineRule="exact"/>
              <w:ind w:left="237"/>
              <w:rPr>
                <w:color w:val="auto"/>
                <w:sz w:val="19"/>
                <w:szCs w:val="19"/>
                <w:highlight w:val="none"/>
              </w:rPr>
            </w:pPr>
            <w:r>
              <w:rPr>
                <w:color w:val="auto"/>
                <w:spacing w:val="-7"/>
                <w:position w:val="1"/>
                <w:sz w:val="19"/>
                <w:szCs w:val="19"/>
                <w:highlight w:val="none"/>
              </w:rPr>
              <w:t>17</w:t>
            </w:r>
          </w:p>
        </w:tc>
        <w:tc>
          <w:tcPr>
            <w:tcW w:w="1114" w:type="dxa"/>
            <w:vAlign w:val="top"/>
          </w:tcPr>
          <w:p w14:paraId="5EA64917">
            <w:pPr>
              <w:pStyle w:val="9"/>
              <w:spacing w:before="74" w:line="322" w:lineRule="auto"/>
              <w:ind w:left="152" w:right="156" w:firstLine="43"/>
              <w:rPr>
                <w:color w:val="auto"/>
                <w:sz w:val="19"/>
                <w:szCs w:val="19"/>
                <w:highlight w:val="none"/>
              </w:rPr>
            </w:pPr>
            <w:r>
              <w:rPr>
                <w:color w:val="auto"/>
                <w:spacing w:val="4"/>
                <w:sz w:val="19"/>
                <w:szCs w:val="19"/>
                <w:highlight w:val="none"/>
              </w:rPr>
              <w:t>A060807</w:t>
            </w:r>
            <w:r>
              <w:rPr>
                <w:color w:val="auto"/>
                <w:spacing w:val="3"/>
                <w:sz w:val="19"/>
                <w:szCs w:val="19"/>
                <w:highlight w:val="none"/>
              </w:rPr>
              <w:t xml:space="preserve"> </w:t>
            </w:r>
            <w:r>
              <w:rPr>
                <w:color w:val="auto"/>
                <w:spacing w:val="7"/>
                <w:sz w:val="19"/>
                <w:szCs w:val="19"/>
                <w:highlight w:val="none"/>
              </w:rPr>
              <w:t>便器冲洗</w:t>
            </w:r>
          </w:p>
          <w:p w14:paraId="1085CD6A">
            <w:pPr>
              <w:pStyle w:val="9"/>
              <w:spacing w:line="230" w:lineRule="auto"/>
              <w:ind w:left="470"/>
              <w:rPr>
                <w:color w:val="auto"/>
                <w:sz w:val="19"/>
                <w:szCs w:val="19"/>
                <w:highlight w:val="none"/>
              </w:rPr>
            </w:pPr>
            <w:r>
              <w:rPr>
                <w:color w:val="auto"/>
                <w:sz w:val="19"/>
                <w:szCs w:val="19"/>
                <w:highlight w:val="none"/>
              </w:rPr>
              <w:t>阀</w:t>
            </w:r>
          </w:p>
        </w:tc>
        <w:tc>
          <w:tcPr>
            <w:tcW w:w="1513" w:type="dxa"/>
            <w:vAlign w:val="top"/>
          </w:tcPr>
          <w:p w14:paraId="1780A982">
            <w:pPr>
              <w:rPr>
                <w:rFonts w:ascii="Arial"/>
                <w:color w:val="auto"/>
                <w:sz w:val="21"/>
                <w:highlight w:val="none"/>
              </w:rPr>
            </w:pPr>
          </w:p>
        </w:tc>
        <w:tc>
          <w:tcPr>
            <w:tcW w:w="1609" w:type="dxa"/>
            <w:vAlign w:val="top"/>
          </w:tcPr>
          <w:p w14:paraId="3318BF52">
            <w:pPr>
              <w:rPr>
                <w:rFonts w:ascii="Arial"/>
                <w:color w:val="auto"/>
                <w:sz w:val="21"/>
                <w:highlight w:val="none"/>
              </w:rPr>
            </w:pPr>
          </w:p>
        </w:tc>
        <w:tc>
          <w:tcPr>
            <w:tcW w:w="4338" w:type="dxa"/>
            <w:vAlign w:val="top"/>
          </w:tcPr>
          <w:p w14:paraId="2B7FA2C8">
            <w:pPr>
              <w:pStyle w:val="9"/>
              <w:spacing w:before="241" w:line="329" w:lineRule="auto"/>
              <w:ind w:left="117" w:right="34" w:hanging="4"/>
              <w:rPr>
                <w:color w:val="auto"/>
                <w:sz w:val="19"/>
                <w:szCs w:val="19"/>
                <w:highlight w:val="none"/>
              </w:rPr>
            </w:pPr>
            <w:r>
              <w:rPr>
                <w:color w:val="auto"/>
                <w:spacing w:val="8"/>
                <w:sz w:val="19"/>
                <w:szCs w:val="19"/>
                <w:highlight w:val="none"/>
              </w:rPr>
              <w:t>《便器冲洗阀用水效率限定值及用水效率等级》</w:t>
            </w:r>
            <w:r>
              <w:rPr>
                <w:color w:val="auto"/>
                <w:spacing w:val="15"/>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28379）</w:t>
            </w:r>
          </w:p>
        </w:tc>
      </w:tr>
      <w:tr w14:paraId="3EB6D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650" w:type="dxa"/>
            <w:vAlign w:val="top"/>
          </w:tcPr>
          <w:p w14:paraId="5DA80D1B">
            <w:pPr>
              <w:pStyle w:val="9"/>
              <w:spacing w:before="242" w:line="256" w:lineRule="exact"/>
              <w:ind w:left="237"/>
              <w:rPr>
                <w:color w:val="auto"/>
                <w:sz w:val="19"/>
                <w:szCs w:val="19"/>
                <w:highlight w:val="none"/>
              </w:rPr>
            </w:pPr>
            <w:r>
              <w:rPr>
                <w:color w:val="auto"/>
                <w:spacing w:val="-7"/>
                <w:position w:val="1"/>
                <w:sz w:val="19"/>
                <w:szCs w:val="19"/>
                <w:highlight w:val="none"/>
              </w:rPr>
              <w:t>18</w:t>
            </w:r>
          </w:p>
        </w:tc>
        <w:tc>
          <w:tcPr>
            <w:tcW w:w="1114" w:type="dxa"/>
            <w:vAlign w:val="top"/>
          </w:tcPr>
          <w:p w14:paraId="475B903A">
            <w:pPr>
              <w:pStyle w:val="9"/>
              <w:spacing w:before="77" w:line="286" w:lineRule="auto"/>
              <w:ind w:left="253" w:right="205" w:hanging="58"/>
              <w:rPr>
                <w:color w:val="auto"/>
                <w:sz w:val="19"/>
                <w:szCs w:val="19"/>
                <w:highlight w:val="none"/>
              </w:rPr>
            </w:pPr>
            <w:r>
              <w:rPr>
                <w:color w:val="auto"/>
                <w:spacing w:val="4"/>
                <w:sz w:val="19"/>
                <w:szCs w:val="19"/>
                <w:highlight w:val="none"/>
              </w:rPr>
              <w:t>A060810</w:t>
            </w:r>
            <w:r>
              <w:rPr>
                <w:color w:val="auto"/>
                <w:spacing w:val="3"/>
                <w:sz w:val="19"/>
                <w:szCs w:val="19"/>
                <w:highlight w:val="none"/>
              </w:rPr>
              <w:t xml:space="preserve"> </w:t>
            </w:r>
            <w:r>
              <w:rPr>
                <w:color w:val="auto"/>
                <w:spacing w:val="6"/>
                <w:sz w:val="19"/>
                <w:szCs w:val="19"/>
                <w:highlight w:val="none"/>
              </w:rPr>
              <w:t>淋浴器</w:t>
            </w:r>
          </w:p>
        </w:tc>
        <w:tc>
          <w:tcPr>
            <w:tcW w:w="1513" w:type="dxa"/>
            <w:vAlign w:val="top"/>
          </w:tcPr>
          <w:p w14:paraId="2BA60960">
            <w:pPr>
              <w:rPr>
                <w:rFonts w:ascii="Arial"/>
                <w:color w:val="auto"/>
                <w:sz w:val="21"/>
                <w:highlight w:val="none"/>
              </w:rPr>
            </w:pPr>
          </w:p>
        </w:tc>
        <w:tc>
          <w:tcPr>
            <w:tcW w:w="1609" w:type="dxa"/>
            <w:vAlign w:val="top"/>
          </w:tcPr>
          <w:p w14:paraId="160AF47C">
            <w:pPr>
              <w:rPr>
                <w:rFonts w:ascii="Arial"/>
                <w:color w:val="auto"/>
                <w:sz w:val="21"/>
                <w:highlight w:val="none"/>
              </w:rPr>
            </w:pPr>
          </w:p>
        </w:tc>
        <w:tc>
          <w:tcPr>
            <w:tcW w:w="4338" w:type="dxa"/>
            <w:vAlign w:val="top"/>
          </w:tcPr>
          <w:p w14:paraId="201B90FE">
            <w:pPr>
              <w:pStyle w:val="9"/>
              <w:spacing w:before="77" w:line="286" w:lineRule="auto"/>
              <w:ind w:left="117" w:right="435" w:hanging="4"/>
              <w:rPr>
                <w:color w:val="auto"/>
                <w:sz w:val="19"/>
                <w:szCs w:val="19"/>
                <w:highlight w:val="none"/>
              </w:rPr>
            </w:pPr>
            <w:r>
              <w:rPr>
                <w:color w:val="auto"/>
                <w:spacing w:val="8"/>
                <w:sz w:val="19"/>
                <w:szCs w:val="19"/>
                <w:highlight w:val="none"/>
              </w:rPr>
              <w:t>《淋浴器用水效率限定值及用水效率等级》</w:t>
            </w:r>
            <w:r>
              <w:rPr>
                <w:color w:val="auto"/>
                <w:spacing w:val="10"/>
                <w:sz w:val="19"/>
                <w:szCs w:val="19"/>
                <w:highlight w:val="none"/>
              </w:rPr>
              <w:t xml:space="preserve"> </w:t>
            </w:r>
            <w:r>
              <w:rPr>
                <w:color w:val="auto"/>
                <w:spacing w:val="4"/>
                <w:sz w:val="19"/>
                <w:szCs w:val="19"/>
                <w:highlight w:val="none"/>
              </w:rPr>
              <w:t>（</w:t>
            </w:r>
            <w:r>
              <w:rPr>
                <w:color w:val="auto"/>
                <w:sz w:val="19"/>
                <w:szCs w:val="19"/>
                <w:highlight w:val="none"/>
              </w:rPr>
              <w:t>GB</w:t>
            </w:r>
            <w:r>
              <w:rPr>
                <w:color w:val="auto"/>
                <w:spacing w:val="4"/>
                <w:sz w:val="19"/>
                <w:szCs w:val="19"/>
                <w:highlight w:val="none"/>
              </w:rPr>
              <w:t>28378）</w:t>
            </w:r>
          </w:p>
        </w:tc>
      </w:tr>
    </w:tbl>
    <w:p w14:paraId="4C3F7398">
      <w:pPr>
        <w:spacing w:before="144" w:line="228" w:lineRule="auto"/>
        <w:ind w:left="3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注：1.节能产品认证应依据相关国家标准的最新版本，依据国家标准中二级能效（水效）指标。</w:t>
      </w:r>
    </w:p>
    <w:p w14:paraId="539A4B98">
      <w:pPr>
        <w:spacing w:before="285" w:line="228" w:lineRule="auto"/>
        <w:ind w:left="45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2.以“★</w:t>
      </w:r>
      <w:r>
        <w:rPr>
          <w:rFonts w:ascii="宋体" w:hAnsi="宋体" w:eastAsia="宋体" w:cs="宋体"/>
          <w:color w:val="auto"/>
          <w:spacing w:val="-57"/>
          <w:sz w:val="20"/>
          <w:szCs w:val="20"/>
          <w:highlight w:val="none"/>
        </w:rPr>
        <w:t xml:space="preserve"> </w:t>
      </w:r>
      <w:r>
        <w:rPr>
          <w:rFonts w:ascii="宋体" w:hAnsi="宋体" w:eastAsia="宋体" w:cs="宋体"/>
          <w:color w:val="auto"/>
          <w:spacing w:val="6"/>
          <w:sz w:val="20"/>
          <w:szCs w:val="20"/>
          <w:highlight w:val="none"/>
        </w:rPr>
        <w:t>”标注的为政府强制采购产品。</w:t>
      </w:r>
    </w:p>
    <w:p w14:paraId="045CC649">
      <w:pPr>
        <w:spacing w:line="228" w:lineRule="auto"/>
        <w:rPr>
          <w:rFonts w:ascii="宋体" w:hAnsi="宋体" w:eastAsia="宋体" w:cs="宋体"/>
          <w:color w:val="auto"/>
          <w:sz w:val="20"/>
          <w:szCs w:val="20"/>
          <w:highlight w:val="none"/>
        </w:rPr>
        <w:sectPr>
          <w:footerReference r:id="rId16" w:type="default"/>
          <w:pgSz w:w="11905" w:h="16839"/>
          <w:pgMar w:top="960" w:right="1103" w:bottom="1055" w:left="1562" w:header="945" w:footer="819" w:gutter="0"/>
          <w:cols w:space="720" w:num="1"/>
        </w:sectPr>
      </w:pPr>
    </w:p>
    <w:p w14:paraId="39A8EB5A">
      <w:pPr>
        <w:pStyle w:val="2"/>
        <w:spacing w:line="243" w:lineRule="auto"/>
        <w:rPr>
          <w:color w:val="auto"/>
          <w:highlight w:val="none"/>
        </w:rPr>
      </w:pPr>
    </w:p>
    <w:p w14:paraId="253CF30B">
      <w:pPr>
        <w:spacing w:before="100" w:line="225" w:lineRule="auto"/>
        <w:ind w:left="36"/>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附件</w:t>
      </w:r>
      <w:r>
        <w:rPr>
          <w:rFonts w:ascii="宋体" w:hAnsi="宋体" w:eastAsia="宋体" w:cs="宋体"/>
          <w:color w:val="auto"/>
          <w:spacing w:val="-57"/>
          <w:sz w:val="31"/>
          <w:szCs w:val="31"/>
          <w:highlight w:val="none"/>
        </w:rPr>
        <w:t xml:space="preserve"> </w:t>
      </w:r>
      <w:r>
        <w:rPr>
          <w:rFonts w:ascii="宋体" w:hAnsi="宋体" w:eastAsia="宋体" w:cs="宋体"/>
          <w:color w:val="auto"/>
          <w:spacing w:val="-8"/>
          <w:sz w:val="31"/>
          <w:szCs w:val="31"/>
          <w:highlight w:val="none"/>
        </w:rPr>
        <w:t>2：</w:t>
      </w:r>
    </w:p>
    <w:p w14:paraId="571A2187">
      <w:pPr>
        <w:spacing w:before="189" w:line="208" w:lineRule="auto"/>
        <w:ind w:left="2618"/>
        <w:rPr>
          <w:rFonts w:ascii="宋体" w:hAnsi="宋体" w:eastAsia="宋体" w:cs="宋体"/>
          <w:color w:val="auto"/>
          <w:sz w:val="40"/>
          <w:szCs w:val="40"/>
          <w:highlight w:val="none"/>
        </w:rPr>
      </w:pPr>
      <w:r>
        <w:rPr>
          <w:rFonts w:ascii="宋体" w:hAnsi="宋体" w:eastAsia="宋体" w:cs="宋体"/>
          <w:color w:val="auto"/>
          <w:spacing w:val="-6"/>
          <w:sz w:val="40"/>
          <w:szCs w:val="40"/>
          <w:highlight w:val="none"/>
        </w:rPr>
        <w:t>中小微企业划型标准</w:t>
      </w:r>
    </w:p>
    <w:tbl>
      <w:tblPr>
        <w:tblStyle w:val="8"/>
        <w:tblW w:w="8294" w:type="dxa"/>
        <w:tblInd w:w="2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6"/>
        <w:gridCol w:w="1383"/>
        <w:gridCol w:w="912"/>
        <w:gridCol w:w="1619"/>
        <w:gridCol w:w="1439"/>
        <w:gridCol w:w="1235"/>
      </w:tblGrid>
      <w:tr w14:paraId="24BC7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706" w:type="dxa"/>
            <w:vAlign w:val="top"/>
          </w:tcPr>
          <w:p w14:paraId="4133F5FE">
            <w:pPr>
              <w:pStyle w:val="9"/>
              <w:spacing w:before="215" w:line="221" w:lineRule="auto"/>
              <w:ind w:left="382"/>
              <w:rPr>
                <w:color w:val="auto"/>
                <w:sz w:val="24"/>
                <w:szCs w:val="24"/>
                <w:highlight w:val="none"/>
              </w:rPr>
            </w:pPr>
            <w:r>
              <w:rPr>
                <w:b/>
                <w:bCs/>
                <w:color w:val="auto"/>
                <w:spacing w:val="-6"/>
                <w:sz w:val="24"/>
                <w:szCs w:val="24"/>
                <w:highlight w:val="none"/>
              </w:rPr>
              <w:t>行业名称</w:t>
            </w:r>
          </w:p>
        </w:tc>
        <w:tc>
          <w:tcPr>
            <w:tcW w:w="1383" w:type="dxa"/>
            <w:vAlign w:val="top"/>
          </w:tcPr>
          <w:p w14:paraId="20E09EB6">
            <w:pPr>
              <w:pStyle w:val="9"/>
              <w:spacing w:before="215" w:line="221" w:lineRule="auto"/>
              <w:ind w:left="219"/>
              <w:rPr>
                <w:color w:val="auto"/>
                <w:sz w:val="24"/>
                <w:szCs w:val="24"/>
                <w:highlight w:val="none"/>
              </w:rPr>
            </w:pPr>
            <w:r>
              <w:rPr>
                <w:b/>
                <w:bCs/>
                <w:color w:val="auto"/>
                <w:spacing w:val="-5"/>
                <w:sz w:val="24"/>
                <w:szCs w:val="24"/>
                <w:highlight w:val="none"/>
              </w:rPr>
              <w:t>指标名称</w:t>
            </w:r>
          </w:p>
        </w:tc>
        <w:tc>
          <w:tcPr>
            <w:tcW w:w="912" w:type="dxa"/>
            <w:vAlign w:val="top"/>
          </w:tcPr>
          <w:p w14:paraId="71C2145B">
            <w:pPr>
              <w:pStyle w:val="9"/>
              <w:spacing w:before="50" w:line="222" w:lineRule="auto"/>
              <w:ind w:left="220"/>
              <w:rPr>
                <w:color w:val="auto"/>
                <w:sz w:val="24"/>
                <w:szCs w:val="24"/>
                <w:highlight w:val="none"/>
              </w:rPr>
            </w:pPr>
            <w:r>
              <w:rPr>
                <w:b/>
                <w:bCs/>
                <w:color w:val="auto"/>
                <w:spacing w:val="-8"/>
                <w:sz w:val="24"/>
                <w:szCs w:val="24"/>
                <w:highlight w:val="none"/>
              </w:rPr>
              <w:t>计量</w:t>
            </w:r>
          </w:p>
          <w:p w14:paraId="62B7FBFB">
            <w:pPr>
              <w:pStyle w:val="9"/>
              <w:spacing w:before="42" w:line="215" w:lineRule="auto"/>
              <w:ind w:left="222"/>
              <w:rPr>
                <w:color w:val="auto"/>
                <w:sz w:val="24"/>
                <w:szCs w:val="24"/>
                <w:highlight w:val="none"/>
              </w:rPr>
            </w:pPr>
            <w:r>
              <w:rPr>
                <w:b/>
                <w:bCs/>
                <w:color w:val="auto"/>
                <w:spacing w:val="-9"/>
                <w:sz w:val="24"/>
                <w:szCs w:val="24"/>
                <w:highlight w:val="none"/>
              </w:rPr>
              <w:t>单位</w:t>
            </w:r>
          </w:p>
        </w:tc>
        <w:tc>
          <w:tcPr>
            <w:tcW w:w="1619" w:type="dxa"/>
            <w:vAlign w:val="top"/>
          </w:tcPr>
          <w:p w14:paraId="07BFD881">
            <w:pPr>
              <w:pStyle w:val="9"/>
              <w:spacing w:before="215" w:line="221" w:lineRule="auto"/>
              <w:ind w:left="598"/>
              <w:rPr>
                <w:color w:val="auto"/>
                <w:sz w:val="24"/>
                <w:szCs w:val="24"/>
                <w:highlight w:val="none"/>
              </w:rPr>
            </w:pPr>
            <w:r>
              <w:rPr>
                <w:b/>
                <w:bCs/>
                <w:color w:val="auto"/>
                <w:spacing w:val="-19"/>
                <w:sz w:val="24"/>
                <w:szCs w:val="24"/>
                <w:highlight w:val="none"/>
              </w:rPr>
              <w:t>中型</w:t>
            </w:r>
          </w:p>
        </w:tc>
        <w:tc>
          <w:tcPr>
            <w:tcW w:w="1439" w:type="dxa"/>
            <w:vAlign w:val="top"/>
          </w:tcPr>
          <w:p w14:paraId="453659B5">
            <w:pPr>
              <w:pStyle w:val="9"/>
              <w:spacing w:before="216" w:line="222" w:lineRule="auto"/>
              <w:ind w:left="494"/>
              <w:rPr>
                <w:color w:val="auto"/>
                <w:sz w:val="24"/>
                <w:szCs w:val="24"/>
                <w:highlight w:val="none"/>
              </w:rPr>
            </w:pPr>
            <w:r>
              <w:rPr>
                <w:b/>
                <w:bCs/>
                <w:color w:val="auto"/>
                <w:spacing w:val="-11"/>
                <w:sz w:val="24"/>
                <w:szCs w:val="24"/>
                <w:highlight w:val="none"/>
              </w:rPr>
              <w:t>小型</w:t>
            </w:r>
          </w:p>
        </w:tc>
        <w:tc>
          <w:tcPr>
            <w:tcW w:w="1235" w:type="dxa"/>
            <w:vAlign w:val="top"/>
          </w:tcPr>
          <w:p w14:paraId="5A810CC6">
            <w:pPr>
              <w:pStyle w:val="9"/>
              <w:spacing w:before="216" w:line="220" w:lineRule="auto"/>
              <w:ind w:left="383"/>
              <w:rPr>
                <w:color w:val="auto"/>
                <w:sz w:val="24"/>
                <w:szCs w:val="24"/>
                <w:highlight w:val="none"/>
              </w:rPr>
            </w:pPr>
            <w:r>
              <w:rPr>
                <w:b/>
                <w:bCs/>
                <w:color w:val="auto"/>
                <w:spacing w:val="-8"/>
                <w:sz w:val="24"/>
                <w:szCs w:val="24"/>
                <w:highlight w:val="none"/>
              </w:rPr>
              <w:t>微型</w:t>
            </w:r>
          </w:p>
        </w:tc>
      </w:tr>
      <w:tr w14:paraId="3CD36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6" w:type="dxa"/>
            <w:vAlign w:val="top"/>
          </w:tcPr>
          <w:p w14:paraId="0DFB2114">
            <w:pPr>
              <w:pStyle w:val="9"/>
              <w:spacing w:before="76" w:line="220" w:lineRule="auto"/>
              <w:ind w:left="225"/>
              <w:rPr>
                <w:color w:val="auto"/>
                <w:sz w:val="18"/>
                <w:szCs w:val="18"/>
                <w:highlight w:val="none"/>
              </w:rPr>
            </w:pPr>
            <w:r>
              <w:rPr>
                <w:b/>
                <w:bCs/>
                <w:color w:val="auto"/>
                <w:spacing w:val="-2"/>
                <w:sz w:val="18"/>
                <w:szCs w:val="18"/>
                <w:highlight w:val="none"/>
              </w:rPr>
              <w:t>农、林、牧、渔</w:t>
            </w:r>
          </w:p>
        </w:tc>
        <w:tc>
          <w:tcPr>
            <w:tcW w:w="1383" w:type="dxa"/>
            <w:vAlign w:val="top"/>
          </w:tcPr>
          <w:p w14:paraId="39F92993">
            <w:pPr>
              <w:pStyle w:val="9"/>
              <w:spacing w:before="76"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4F591232">
            <w:pPr>
              <w:pStyle w:val="9"/>
              <w:spacing w:before="76"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4A243D70">
            <w:pPr>
              <w:pStyle w:val="9"/>
              <w:spacing w:before="76" w:line="237" w:lineRule="auto"/>
              <w:ind w:left="233"/>
              <w:rPr>
                <w:color w:val="auto"/>
                <w:sz w:val="18"/>
                <w:szCs w:val="18"/>
                <w:highlight w:val="none"/>
              </w:rPr>
            </w:pPr>
            <w:r>
              <w:rPr>
                <w:color w:val="auto"/>
                <w:spacing w:val="-1"/>
                <w:sz w:val="18"/>
                <w:szCs w:val="18"/>
                <w:highlight w:val="none"/>
              </w:rPr>
              <w:t>500≤Y＜20000</w:t>
            </w:r>
          </w:p>
        </w:tc>
        <w:tc>
          <w:tcPr>
            <w:tcW w:w="1439" w:type="dxa"/>
            <w:vAlign w:val="top"/>
          </w:tcPr>
          <w:p w14:paraId="7AABAF36">
            <w:pPr>
              <w:pStyle w:val="9"/>
              <w:spacing w:before="76" w:line="237" w:lineRule="auto"/>
              <w:ind w:left="280"/>
              <w:rPr>
                <w:color w:val="auto"/>
                <w:sz w:val="18"/>
                <w:szCs w:val="18"/>
                <w:highlight w:val="none"/>
              </w:rPr>
            </w:pPr>
            <w:r>
              <w:rPr>
                <w:color w:val="auto"/>
                <w:spacing w:val="-2"/>
                <w:sz w:val="18"/>
                <w:szCs w:val="18"/>
                <w:highlight w:val="none"/>
              </w:rPr>
              <w:t>50≤Y＜500</w:t>
            </w:r>
          </w:p>
        </w:tc>
        <w:tc>
          <w:tcPr>
            <w:tcW w:w="1235" w:type="dxa"/>
            <w:vAlign w:val="top"/>
          </w:tcPr>
          <w:p w14:paraId="3F71D876">
            <w:pPr>
              <w:pStyle w:val="9"/>
              <w:spacing w:before="76"/>
              <w:ind w:left="394"/>
              <w:rPr>
                <w:color w:val="auto"/>
                <w:sz w:val="18"/>
                <w:szCs w:val="18"/>
                <w:highlight w:val="none"/>
              </w:rPr>
            </w:pPr>
            <w:r>
              <w:rPr>
                <w:color w:val="auto"/>
                <w:spacing w:val="-2"/>
                <w:sz w:val="18"/>
                <w:szCs w:val="18"/>
                <w:highlight w:val="none"/>
              </w:rPr>
              <w:t>Y＜50</w:t>
            </w:r>
          </w:p>
        </w:tc>
      </w:tr>
      <w:tr w14:paraId="0BE8F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6FF76DEC">
            <w:pPr>
              <w:pStyle w:val="9"/>
              <w:spacing w:before="248" w:line="232" w:lineRule="auto"/>
              <w:ind w:left="678"/>
              <w:rPr>
                <w:color w:val="auto"/>
                <w:sz w:val="18"/>
                <w:szCs w:val="18"/>
                <w:highlight w:val="none"/>
              </w:rPr>
            </w:pPr>
            <w:r>
              <w:rPr>
                <w:b/>
                <w:bCs/>
                <w:color w:val="auto"/>
                <w:spacing w:val="-7"/>
                <w:sz w:val="18"/>
                <w:szCs w:val="18"/>
                <w:highlight w:val="none"/>
              </w:rPr>
              <w:t>工业</w:t>
            </w:r>
          </w:p>
        </w:tc>
        <w:tc>
          <w:tcPr>
            <w:tcW w:w="1383" w:type="dxa"/>
            <w:vAlign w:val="top"/>
          </w:tcPr>
          <w:p w14:paraId="3E403B80">
            <w:pPr>
              <w:pStyle w:val="9"/>
              <w:spacing w:before="77"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7BCA6335">
            <w:pPr>
              <w:pStyle w:val="9"/>
              <w:spacing w:before="77" w:line="223" w:lineRule="auto"/>
              <w:ind w:left="370"/>
              <w:rPr>
                <w:color w:val="auto"/>
                <w:sz w:val="18"/>
                <w:szCs w:val="18"/>
                <w:highlight w:val="none"/>
              </w:rPr>
            </w:pPr>
            <w:r>
              <w:rPr>
                <w:color w:val="auto"/>
                <w:sz w:val="18"/>
                <w:szCs w:val="18"/>
                <w:highlight w:val="none"/>
              </w:rPr>
              <w:t>人</w:t>
            </w:r>
          </w:p>
        </w:tc>
        <w:tc>
          <w:tcPr>
            <w:tcW w:w="1619" w:type="dxa"/>
            <w:vAlign w:val="top"/>
          </w:tcPr>
          <w:p w14:paraId="6A1D4F29">
            <w:pPr>
              <w:pStyle w:val="9"/>
              <w:spacing w:before="77" w:line="237" w:lineRule="auto"/>
              <w:ind w:left="279"/>
              <w:rPr>
                <w:color w:val="auto"/>
                <w:sz w:val="18"/>
                <w:szCs w:val="18"/>
                <w:highlight w:val="none"/>
              </w:rPr>
            </w:pPr>
            <w:r>
              <w:rPr>
                <w:color w:val="auto"/>
                <w:spacing w:val="-1"/>
                <w:sz w:val="18"/>
                <w:szCs w:val="18"/>
                <w:highlight w:val="none"/>
              </w:rPr>
              <w:t>300≤X＜1000</w:t>
            </w:r>
          </w:p>
        </w:tc>
        <w:tc>
          <w:tcPr>
            <w:tcW w:w="1439" w:type="dxa"/>
            <w:vAlign w:val="top"/>
          </w:tcPr>
          <w:p w14:paraId="70E80B2B">
            <w:pPr>
              <w:pStyle w:val="9"/>
              <w:spacing w:before="77" w:line="237" w:lineRule="auto"/>
              <w:ind w:left="278"/>
              <w:rPr>
                <w:color w:val="auto"/>
                <w:sz w:val="18"/>
                <w:szCs w:val="18"/>
                <w:highlight w:val="none"/>
              </w:rPr>
            </w:pPr>
            <w:r>
              <w:rPr>
                <w:color w:val="auto"/>
                <w:spacing w:val="-2"/>
                <w:sz w:val="18"/>
                <w:szCs w:val="18"/>
                <w:highlight w:val="none"/>
              </w:rPr>
              <w:t>20≤X＜300</w:t>
            </w:r>
          </w:p>
        </w:tc>
        <w:tc>
          <w:tcPr>
            <w:tcW w:w="1235" w:type="dxa"/>
            <w:vAlign w:val="top"/>
          </w:tcPr>
          <w:p w14:paraId="43D11218">
            <w:pPr>
              <w:pStyle w:val="9"/>
              <w:spacing w:before="77"/>
              <w:ind w:left="395"/>
              <w:rPr>
                <w:color w:val="auto"/>
                <w:sz w:val="18"/>
                <w:szCs w:val="18"/>
                <w:highlight w:val="none"/>
              </w:rPr>
            </w:pPr>
            <w:r>
              <w:rPr>
                <w:color w:val="auto"/>
                <w:spacing w:val="-2"/>
                <w:sz w:val="18"/>
                <w:szCs w:val="18"/>
                <w:highlight w:val="none"/>
              </w:rPr>
              <w:t>X＜20</w:t>
            </w:r>
          </w:p>
        </w:tc>
      </w:tr>
      <w:tr w14:paraId="42BD1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2257D434">
            <w:pPr>
              <w:rPr>
                <w:rFonts w:ascii="Arial"/>
                <w:color w:val="auto"/>
                <w:sz w:val="21"/>
                <w:highlight w:val="none"/>
              </w:rPr>
            </w:pPr>
          </w:p>
        </w:tc>
        <w:tc>
          <w:tcPr>
            <w:tcW w:w="1383" w:type="dxa"/>
            <w:vAlign w:val="top"/>
          </w:tcPr>
          <w:p w14:paraId="11A52E4D">
            <w:pPr>
              <w:pStyle w:val="9"/>
              <w:spacing w:before="77"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206AA3E0">
            <w:pPr>
              <w:pStyle w:val="9"/>
              <w:spacing w:before="76"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365578EA">
            <w:pPr>
              <w:pStyle w:val="9"/>
              <w:spacing w:before="76" w:line="237" w:lineRule="auto"/>
              <w:ind w:left="186"/>
              <w:rPr>
                <w:color w:val="auto"/>
                <w:sz w:val="18"/>
                <w:szCs w:val="18"/>
                <w:highlight w:val="none"/>
              </w:rPr>
            </w:pPr>
            <w:r>
              <w:rPr>
                <w:color w:val="auto"/>
                <w:spacing w:val="-1"/>
                <w:sz w:val="18"/>
                <w:szCs w:val="18"/>
                <w:highlight w:val="none"/>
              </w:rPr>
              <w:t>2000≤Y＜40000</w:t>
            </w:r>
          </w:p>
        </w:tc>
        <w:tc>
          <w:tcPr>
            <w:tcW w:w="1439" w:type="dxa"/>
            <w:vAlign w:val="top"/>
          </w:tcPr>
          <w:p w14:paraId="54D99677">
            <w:pPr>
              <w:pStyle w:val="9"/>
              <w:spacing w:before="76" w:line="237" w:lineRule="auto"/>
              <w:ind w:left="189"/>
              <w:rPr>
                <w:color w:val="auto"/>
                <w:sz w:val="18"/>
                <w:szCs w:val="18"/>
                <w:highlight w:val="none"/>
              </w:rPr>
            </w:pPr>
            <w:r>
              <w:rPr>
                <w:color w:val="auto"/>
                <w:spacing w:val="-1"/>
                <w:sz w:val="18"/>
                <w:szCs w:val="18"/>
                <w:highlight w:val="none"/>
              </w:rPr>
              <w:t>300≤Y＜2000</w:t>
            </w:r>
          </w:p>
        </w:tc>
        <w:tc>
          <w:tcPr>
            <w:tcW w:w="1235" w:type="dxa"/>
            <w:vAlign w:val="top"/>
          </w:tcPr>
          <w:p w14:paraId="0927E6ED">
            <w:pPr>
              <w:pStyle w:val="9"/>
              <w:spacing w:before="77"/>
              <w:ind w:left="349"/>
              <w:rPr>
                <w:color w:val="auto"/>
                <w:sz w:val="18"/>
                <w:szCs w:val="18"/>
                <w:highlight w:val="none"/>
              </w:rPr>
            </w:pPr>
            <w:r>
              <w:rPr>
                <w:color w:val="auto"/>
                <w:spacing w:val="-1"/>
                <w:sz w:val="18"/>
                <w:szCs w:val="18"/>
                <w:highlight w:val="none"/>
              </w:rPr>
              <w:t>Y＜300</w:t>
            </w:r>
          </w:p>
        </w:tc>
      </w:tr>
      <w:tr w14:paraId="4921D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71A5001C">
            <w:pPr>
              <w:pStyle w:val="9"/>
              <w:spacing w:before="247" w:line="221" w:lineRule="auto"/>
              <w:ind w:left="589"/>
              <w:rPr>
                <w:color w:val="auto"/>
                <w:sz w:val="18"/>
                <w:szCs w:val="18"/>
                <w:highlight w:val="none"/>
              </w:rPr>
            </w:pPr>
            <w:r>
              <w:rPr>
                <w:b/>
                <w:bCs/>
                <w:color w:val="auto"/>
                <w:spacing w:val="-5"/>
                <w:sz w:val="18"/>
                <w:szCs w:val="18"/>
                <w:highlight w:val="none"/>
              </w:rPr>
              <w:t>建筑业</w:t>
            </w:r>
          </w:p>
        </w:tc>
        <w:tc>
          <w:tcPr>
            <w:tcW w:w="1383" w:type="dxa"/>
            <w:vAlign w:val="top"/>
          </w:tcPr>
          <w:p w14:paraId="61588836">
            <w:pPr>
              <w:pStyle w:val="9"/>
              <w:spacing w:before="79"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16FB8E06">
            <w:pPr>
              <w:pStyle w:val="9"/>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35B27003">
            <w:pPr>
              <w:pStyle w:val="9"/>
              <w:spacing w:before="79" w:line="237" w:lineRule="auto"/>
              <w:ind w:left="185"/>
              <w:rPr>
                <w:color w:val="auto"/>
                <w:sz w:val="18"/>
                <w:szCs w:val="18"/>
                <w:highlight w:val="none"/>
              </w:rPr>
            </w:pPr>
            <w:r>
              <w:rPr>
                <w:color w:val="auto"/>
                <w:spacing w:val="-1"/>
                <w:sz w:val="18"/>
                <w:szCs w:val="18"/>
                <w:highlight w:val="none"/>
              </w:rPr>
              <w:t>6000≤Y＜80000</w:t>
            </w:r>
          </w:p>
        </w:tc>
        <w:tc>
          <w:tcPr>
            <w:tcW w:w="1439" w:type="dxa"/>
            <w:vAlign w:val="top"/>
          </w:tcPr>
          <w:p w14:paraId="123DF397">
            <w:pPr>
              <w:pStyle w:val="9"/>
              <w:spacing w:before="79" w:line="237" w:lineRule="auto"/>
              <w:ind w:left="189"/>
              <w:rPr>
                <w:color w:val="auto"/>
                <w:sz w:val="18"/>
                <w:szCs w:val="18"/>
                <w:highlight w:val="none"/>
              </w:rPr>
            </w:pPr>
            <w:r>
              <w:rPr>
                <w:color w:val="auto"/>
                <w:spacing w:val="-1"/>
                <w:sz w:val="18"/>
                <w:szCs w:val="18"/>
                <w:highlight w:val="none"/>
              </w:rPr>
              <w:t>300≤Y＜6000</w:t>
            </w:r>
          </w:p>
        </w:tc>
        <w:tc>
          <w:tcPr>
            <w:tcW w:w="1235" w:type="dxa"/>
            <w:vAlign w:val="top"/>
          </w:tcPr>
          <w:p w14:paraId="748588B0">
            <w:pPr>
              <w:pStyle w:val="9"/>
              <w:spacing w:before="79"/>
              <w:ind w:left="349"/>
              <w:rPr>
                <w:color w:val="auto"/>
                <w:sz w:val="18"/>
                <w:szCs w:val="18"/>
                <w:highlight w:val="none"/>
              </w:rPr>
            </w:pPr>
            <w:r>
              <w:rPr>
                <w:color w:val="auto"/>
                <w:spacing w:val="-1"/>
                <w:sz w:val="18"/>
                <w:szCs w:val="18"/>
                <w:highlight w:val="none"/>
              </w:rPr>
              <w:t>Y＜300</w:t>
            </w:r>
          </w:p>
        </w:tc>
      </w:tr>
      <w:tr w14:paraId="7B195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2A36CFC7">
            <w:pPr>
              <w:rPr>
                <w:rFonts w:ascii="Arial"/>
                <w:color w:val="auto"/>
                <w:sz w:val="21"/>
                <w:highlight w:val="none"/>
              </w:rPr>
            </w:pPr>
          </w:p>
        </w:tc>
        <w:tc>
          <w:tcPr>
            <w:tcW w:w="1383" w:type="dxa"/>
            <w:vAlign w:val="top"/>
          </w:tcPr>
          <w:p w14:paraId="5F88E13C">
            <w:pPr>
              <w:pStyle w:val="9"/>
              <w:spacing w:before="79" w:line="220" w:lineRule="auto"/>
              <w:ind w:left="118"/>
              <w:rPr>
                <w:color w:val="auto"/>
                <w:sz w:val="18"/>
                <w:szCs w:val="18"/>
                <w:highlight w:val="none"/>
              </w:rPr>
            </w:pPr>
            <w:r>
              <w:rPr>
                <w:color w:val="auto"/>
                <w:spacing w:val="-3"/>
                <w:sz w:val="18"/>
                <w:szCs w:val="18"/>
                <w:highlight w:val="none"/>
              </w:rPr>
              <w:t>资产总额（Z）</w:t>
            </w:r>
          </w:p>
        </w:tc>
        <w:tc>
          <w:tcPr>
            <w:tcW w:w="912" w:type="dxa"/>
            <w:vAlign w:val="top"/>
          </w:tcPr>
          <w:p w14:paraId="70B7D531">
            <w:pPr>
              <w:pStyle w:val="9"/>
              <w:spacing w:before="78"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17C7A0C7">
            <w:pPr>
              <w:pStyle w:val="9"/>
              <w:spacing w:before="78" w:line="237" w:lineRule="auto"/>
              <w:ind w:left="188"/>
              <w:rPr>
                <w:color w:val="auto"/>
                <w:sz w:val="18"/>
                <w:szCs w:val="18"/>
                <w:highlight w:val="none"/>
              </w:rPr>
            </w:pPr>
            <w:r>
              <w:rPr>
                <w:color w:val="auto"/>
                <w:spacing w:val="-1"/>
                <w:sz w:val="18"/>
                <w:szCs w:val="18"/>
                <w:highlight w:val="none"/>
              </w:rPr>
              <w:t>5000≤Z＜80000</w:t>
            </w:r>
          </w:p>
        </w:tc>
        <w:tc>
          <w:tcPr>
            <w:tcW w:w="1439" w:type="dxa"/>
            <w:vAlign w:val="top"/>
          </w:tcPr>
          <w:p w14:paraId="6437CA18">
            <w:pPr>
              <w:pStyle w:val="9"/>
              <w:spacing w:before="78" w:line="237" w:lineRule="auto"/>
              <w:ind w:left="189"/>
              <w:rPr>
                <w:color w:val="auto"/>
                <w:sz w:val="18"/>
                <w:szCs w:val="18"/>
                <w:highlight w:val="none"/>
              </w:rPr>
            </w:pPr>
            <w:r>
              <w:rPr>
                <w:color w:val="auto"/>
                <w:spacing w:val="-1"/>
                <w:sz w:val="18"/>
                <w:szCs w:val="18"/>
                <w:highlight w:val="none"/>
              </w:rPr>
              <w:t>300≤Z＜5000</w:t>
            </w:r>
          </w:p>
        </w:tc>
        <w:tc>
          <w:tcPr>
            <w:tcW w:w="1235" w:type="dxa"/>
            <w:vAlign w:val="top"/>
          </w:tcPr>
          <w:p w14:paraId="77A102E4">
            <w:pPr>
              <w:pStyle w:val="9"/>
              <w:spacing w:before="79"/>
              <w:ind w:left="351"/>
              <w:rPr>
                <w:color w:val="auto"/>
                <w:sz w:val="18"/>
                <w:szCs w:val="18"/>
                <w:highlight w:val="none"/>
              </w:rPr>
            </w:pPr>
            <w:r>
              <w:rPr>
                <w:color w:val="auto"/>
                <w:spacing w:val="-2"/>
                <w:sz w:val="18"/>
                <w:szCs w:val="18"/>
                <w:highlight w:val="none"/>
              </w:rPr>
              <w:t>Z＜300</w:t>
            </w:r>
          </w:p>
        </w:tc>
      </w:tr>
      <w:tr w14:paraId="3145F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6" w:type="dxa"/>
            <w:vMerge w:val="restart"/>
            <w:tcBorders>
              <w:bottom w:val="nil"/>
            </w:tcBorders>
            <w:vAlign w:val="top"/>
          </w:tcPr>
          <w:p w14:paraId="2EF53960">
            <w:pPr>
              <w:pStyle w:val="9"/>
              <w:spacing w:before="249" w:line="221" w:lineRule="auto"/>
              <w:ind w:left="587"/>
              <w:rPr>
                <w:color w:val="auto"/>
                <w:sz w:val="18"/>
                <w:szCs w:val="18"/>
                <w:highlight w:val="none"/>
              </w:rPr>
            </w:pPr>
            <w:r>
              <w:rPr>
                <w:b/>
                <w:bCs/>
                <w:color w:val="auto"/>
                <w:spacing w:val="-4"/>
                <w:sz w:val="18"/>
                <w:szCs w:val="18"/>
                <w:highlight w:val="none"/>
              </w:rPr>
              <w:t>批发业</w:t>
            </w:r>
          </w:p>
        </w:tc>
        <w:tc>
          <w:tcPr>
            <w:tcW w:w="1383" w:type="dxa"/>
            <w:vAlign w:val="top"/>
          </w:tcPr>
          <w:p w14:paraId="4F1B7EAC">
            <w:pPr>
              <w:pStyle w:val="9"/>
              <w:spacing w:before="78"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0FD39D51">
            <w:pPr>
              <w:pStyle w:val="9"/>
              <w:spacing w:before="78" w:line="223" w:lineRule="auto"/>
              <w:ind w:left="370"/>
              <w:rPr>
                <w:color w:val="auto"/>
                <w:sz w:val="18"/>
                <w:szCs w:val="18"/>
                <w:highlight w:val="none"/>
              </w:rPr>
            </w:pPr>
            <w:r>
              <w:rPr>
                <w:color w:val="auto"/>
                <w:sz w:val="18"/>
                <w:szCs w:val="18"/>
                <w:highlight w:val="none"/>
              </w:rPr>
              <w:t>人</w:t>
            </w:r>
          </w:p>
        </w:tc>
        <w:tc>
          <w:tcPr>
            <w:tcW w:w="1619" w:type="dxa"/>
            <w:vAlign w:val="top"/>
          </w:tcPr>
          <w:p w14:paraId="62A94469">
            <w:pPr>
              <w:pStyle w:val="9"/>
              <w:spacing w:before="78" w:line="237" w:lineRule="auto"/>
              <w:ind w:left="366"/>
              <w:rPr>
                <w:color w:val="auto"/>
                <w:sz w:val="18"/>
                <w:szCs w:val="18"/>
                <w:highlight w:val="none"/>
              </w:rPr>
            </w:pPr>
            <w:r>
              <w:rPr>
                <w:color w:val="auto"/>
                <w:spacing w:val="-1"/>
                <w:sz w:val="18"/>
                <w:szCs w:val="18"/>
                <w:highlight w:val="none"/>
              </w:rPr>
              <w:t>20≤X＜200</w:t>
            </w:r>
          </w:p>
        </w:tc>
        <w:tc>
          <w:tcPr>
            <w:tcW w:w="1439" w:type="dxa"/>
            <w:vAlign w:val="top"/>
          </w:tcPr>
          <w:p w14:paraId="361673DC">
            <w:pPr>
              <w:pStyle w:val="9"/>
              <w:spacing w:before="78" w:line="237" w:lineRule="auto"/>
              <w:ind w:left="369"/>
              <w:rPr>
                <w:color w:val="auto"/>
                <w:sz w:val="18"/>
                <w:szCs w:val="18"/>
                <w:highlight w:val="none"/>
              </w:rPr>
            </w:pPr>
            <w:r>
              <w:rPr>
                <w:color w:val="auto"/>
                <w:spacing w:val="-2"/>
                <w:sz w:val="18"/>
                <w:szCs w:val="18"/>
                <w:highlight w:val="none"/>
              </w:rPr>
              <w:t>5≤X＜20</w:t>
            </w:r>
          </w:p>
        </w:tc>
        <w:tc>
          <w:tcPr>
            <w:tcW w:w="1235" w:type="dxa"/>
            <w:vAlign w:val="top"/>
          </w:tcPr>
          <w:p w14:paraId="7BA0F9DC">
            <w:pPr>
              <w:pStyle w:val="9"/>
              <w:spacing w:before="79"/>
              <w:ind w:left="438"/>
              <w:rPr>
                <w:color w:val="auto"/>
                <w:sz w:val="18"/>
                <w:szCs w:val="18"/>
                <w:highlight w:val="none"/>
              </w:rPr>
            </w:pPr>
            <w:r>
              <w:rPr>
                <w:color w:val="auto"/>
                <w:spacing w:val="-2"/>
                <w:sz w:val="18"/>
                <w:szCs w:val="18"/>
                <w:highlight w:val="none"/>
              </w:rPr>
              <w:t>X＜5</w:t>
            </w:r>
          </w:p>
        </w:tc>
      </w:tr>
      <w:tr w14:paraId="626DD1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7FCDE120">
            <w:pPr>
              <w:rPr>
                <w:rFonts w:ascii="Arial"/>
                <w:color w:val="auto"/>
                <w:sz w:val="21"/>
                <w:highlight w:val="none"/>
              </w:rPr>
            </w:pPr>
          </w:p>
        </w:tc>
        <w:tc>
          <w:tcPr>
            <w:tcW w:w="1383" w:type="dxa"/>
            <w:vAlign w:val="top"/>
          </w:tcPr>
          <w:p w14:paraId="06E3233A">
            <w:pPr>
              <w:pStyle w:val="9"/>
              <w:spacing w:before="79"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7C698899">
            <w:pPr>
              <w:pStyle w:val="9"/>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0005EC17">
            <w:pPr>
              <w:pStyle w:val="9"/>
              <w:spacing w:before="79" w:line="237" w:lineRule="auto"/>
              <w:ind w:left="188"/>
              <w:rPr>
                <w:color w:val="auto"/>
                <w:sz w:val="18"/>
                <w:szCs w:val="18"/>
                <w:highlight w:val="none"/>
              </w:rPr>
            </w:pPr>
            <w:r>
              <w:rPr>
                <w:color w:val="auto"/>
                <w:spacing w:val="-1"/>
                <w:sz w:val="18"/>
                <w:szCs w:val="18"/>
                <w:highlight w:val="none"/>
              </w:rPr>
              <w:t>5000≤Y＜40000</w:t>
            </w:r>
          </w:p>
        </w:tc>
        <w:tc>
          <w:tcPr>
            <w:tcW w:w="1439" w:type="dxa"/>
            <w:vAlign w:val="top"/>
          </w:tcPr>
          <w:p w14:paraId="7186BBB6">
            <w:pPr>
              <w:pStyle w:val="9"/>
              <w:spacing w:before="79" w:line="237" w:lineRule="auto"/>
              <w:ind w:left="153"/>
              <w:rPr>
                <w:color w:val="auto"/>
                <w:sz w:val="18"/>
                <w:szCs w:val="18"/>
                <w:highlight w:val="none"/>
              </w:rPr>
            </w:pPr>
            <w:r>
              <w:rPr>
                <w:color w:val="auto"/>
                <w:spacing w:val="-2"/>
                <w:sz w:val="18"/>
                <w:szCs w:val="18"/>
                <w:highlight w:val="none"/>
              </w:rPr>
              <w:t>1000≤Y＜5000</w:t>
            </w:r>
          </w:p>
        </w:tc>
        <w:tc>
          <w:tcPr>
            <w:tcW w:w="1235" w:type="dxa"/>
            <w:vAlign w:val="top"/>
          </w:tcPr>
          <w:p w14:paraId="31F623FE">
            <w:pPr>
              <w:pStyle w:val="9"/>
              <w:spacing w:before="80"/>
              <w:ind w:left="303"/>
              <w:rPr>
                <w:color w:val="auto"/>
                <w:sz w:val="18"/>
                <w:szCs w:val="18"/>
                <w:highlight w:val="none"/>
              </w:rPr>
            </w:pPr>
            <w:r>
              <w:rPr>
                <w:color w:val="auto"/>
                <w:spacing w:val="-1"/>
                <w:sz w:val="18"/>
                <w:szCs w:val="18"/>
                <w:highlight w:val="none"/>
              </w:rPr>
              <w:t>Y＜1000</w:t>
            </w:r>
          </w:p>
        </w:tc>
      </w:tr>
      <w:tr w14:paraId="4BC09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6A3FA8C1">
            <w:pPr>
              <w:pStyle w:val="9"/>
              <w:spacing w:before="250" w:line="220" w:lineRule="auto"/>
              <w:ind w:left="588"/>
              <w:rPr>
                <w:color w:val="auto"/>
                <w:sz w:val="18"/>
                <w:szCs w:val="18"/>
                <w:highlight w:val="none"/>
              </w:rPr>
            </w:pPr>
            <w:r>
              <w:rPr>
                <w:b/>
                <w:bCs/>
                <w:color w:val="auto"/>
                <w:spacing w:val="-4"/>
                <w:sz w:val="18"/>
                <w:szCs w:val="18"/>
                <w:highlight w:val="none"/>
              </w:rPr>
              <w:t>零售业</w:t>
            </w:r>
          </w:p>
        </w:tc>
        <w:tc>
          <w:tcPr>
            <w:tcW w:w="1383" w:type="dxa"/>
            <w:vAlign w:val="top"/>
          </w:tcPr>
          <w:p w14:paraId="17070B24">
            <w:pPr>
              <w:pStyle w:val="9"/>
              <w:spacing w:before="79"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634678A7">
            <w:pPr>
              <w:pStyle w:val="9"/>
              <w:spacing w:before="79" w:line="223" w:lineRule="auto"/>
              <w:ind w:left="370"/>
              <w:rPr>
                <w:color w:val="auto"/>
                <w:sz w:val="18"/>
                <w:szCs w:val="18"/>
                <w:highlight w:val="none"/>
              </w:rPr>
            </w:pPr>
            <w:r>
              <w:rPr>
                <w:color w:val="auto"/>
                <w:sz w:val="18"/>
                <w:szCs w:val="18"/>
                <w:highlight w:val="none"/>
              </w:rPr>
              <w:t>人</w:t>
            </w:r>
          </w:p>
        </w:tc>
        <w:tc>
          <w:tcPr>
            <w:tcW w:w="1619" w:type="dxa"/>
            <w:vAlign w:val="top"/>
          </w:tcPr>
          <w:p w14:paraId="189A62C6">
            <w:pPr>
              <w:pStyle w:val="9"/>
              <w:spacing w:before="79" w:line="237" w:lineRule="auto"/>
              <w:ind w:left="368"/>
              <w:rPr>
                <w:color w:val="auto"/>
                <w:sz w:val="18"/>
                <w:szCs w:val="18"/>
                <w:highlight w:val="none"/>
              </w:rPr>
            </w:pPr>
            <w:r>
              <w:rPr>
                <w:color w:val="auto"/>
                <w:spacing w:val="-2"/>
                <w:sz w:val="18"/>
                <w:szCs w:val="18"/>
                <w:highlight w:val="none"/>
              </w:rPr>
              <w:t>50≤X＜300</w:t>
            </w:r>
          </w:p>
        </w:tc>
        <w:tc>
          <w:tcPr>
            <w:tcW w:w="1439" w:type="dxa"/>
            <w:vAlign w:val="top"/>
          </w:tcPr>
          <w:p w14:paraId="4532456B">
            <w:pPr>
              <w:pStyle w:val="9"/>
              <w:spacing w:before="79" w:line="237" w:lineRule="auto"/>
              <w:ind w:left="333"/>
              <w:rPr>
                <w:color w:val="auto"/>
                <w:sz w:val="18"/>
                <w:szCs w:val="18"/>
                <w:highlight w:val="none"/>
              </w:rPr>
            </w:pPr>
            <w:r>
              <w:rPr>
                <w:color w:val="auto"/>
                <w:spacing w:val="-3"/>
                <w:sz w:val="18"/>
                <w:szCs w:val="18"/>
                <w:highlight w:val="none"/>
              </w:rPr>
              <w:t>10≤X＜50</w:t>
            </w:r>
          </w:p>
        </w:tc>
        <w:tc>
          <w:tcPr>
            <w:tcW w:w="1235" w:type="dxa"/>
            <w:vAlign w:val="top"/>
          </w:tcPr>
          <w:p w14:paraId="0BA4673C">
            <w:pPr>
              <w:pStyle w:val="9"/>
              <w:spacing w:before="79"/>
              <w:ind w:left="395"/>
              <w:rPr>
                <w:color w:val="auto"/>
                <w:sz w:val="18"/>
                <w:szCs w:val="18"/>
                <w:highlight w:val="none"/>
              </w:rPr>
            </w:pPr>
            <w:r>
              <w:rPr>
                <w:color w:val="auto"/>
                <w:spacing w:val="-2"/>
                <w:sz w:val="18"/>
                <w:szCs w:val="18"/>
                <w:highlight w:val="none"/>
              </w:rPr>
              <w:t>X＜10</w:t>
            </w:r>
          </w:p>
        </w:tc>
      </w:tr>
      <w:tr w14:paraId="62A77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269B9994">
            <w:pPr>
              <w:rPr>
                <w:rFonts w:ascii="Arial"/>
                <w:color w:val="auto"/>
                <w:sz w:val="21"/>
                <w:highlight w:val="none"/>
              </w:rPr>
            </w:pPr>
          </w:p>
        </w:tc>
        <w:tc>
          <w:tcPr>
            <w:tcW w:w="1383" w:type="dxa"/>
            <w:vAlign w:val="top"/>
          </w:tcPr>
          <w:p w14:paraId="7E249125">
            <w:pPr>
              <w:pStyle w:val="9"/>
              <w:spacing w:before="79"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6667F3BF">
            <w:pPr>
              <w:pStyle w:val="9"/>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6D06A3FC">
            <w:pPr>
              <w:pStyle w:val="9"/>
              <w:spacing w:before="79" w:line="237" w:lineRule="auto"/>
              <w:ind w:left="233"/>
              <w:rPr>
                <w:color w:val="auto"/>
                <w:sz w:val="18"/>
                <w:szCs w:val="18"/>
                <w:highlight w:val="none"/>
              </w:rPr>
            </w:pPr>
            <w:r>
              <w:rPr>
                <w:color w:val="auto"/>
                <w:spacing w:val="-1"/>
                <w:sz w:val="18"/>
                <w:szCs w:val="18"/>
                <w:highlight w:val="none"/>
              </w:rPr>
              <w:t>500≤Y＜20000</w:t>
            </w:r>
          </w:p>
        </w:tc>
        <w:tc>
          <w:tcPr>
            <w:tcW w:w="1439" w:type="dxa"/>
            <w:vAlign w:val="top"/>
          </w:tcPr>
          <w:p w14:paraId="43A5C4EE">
            <w:pPr>
              <w:pStyle w:val="9"/>
              <w:spacing w:before="79" w:line="237" w:lineRule="auto"/>
              <w:ind w:left="244"/>
              <w:rPr>
                <w:color w:val="auto"/>
                <w:sz w:val="18"/>
                <w:szCs w:val="18"/>
                <w:highlight w:val="none"/>
              </w:rPr>
            </w:pPr>
            <w:r>
              <w:rPr>
                <w:color w:val="auto"/>
                <w:spacing w:val="-3"/>
                <w:sz w:val="18"/>
                <w:szCs w:val="18"/>
                <w:highlight w:val="none"/>
              </w:rPr>
              <w:t>100≤Y＜500</w:t>
            </w:r>
          </w:p>
        </w:tc>
        <w:tc>
          <w:tcPr>
            <w:tcW w:w="1235" w:type="dxa"/>
            <w:vAlign w:val="top"/>
          </w:tcPr>
          <w:p w14:paraId="4EC23CA1">
            <w:pPr>
              <w:pStyle w:val="9"/>
              <w:spacing w:before="79"/>
              <w:ind w:left="349"/>
              <w:rPr>
                <w:color w:val="auto"/>
                <w:sz w:val="18"/>
                <w:szCs w:val="18"/>
                <w:highlight w:val="none"/>
              </w:rPr>
            </w:pPr>
            <w:r>
              <w:rPr>
                <w:color w:val="auto"/>
                <w:spacing w:val="-1"/>
                <w:sz w:val="18"/>
                <w:szCs w:val="18"/>
                <w:highlight w:val="none"/>
              </w:rPr>
              <w:t>Y＜100</w:t>
            </w:r>
          </w:p>
        </w:tc>
      </w:tr>
      <w:tr w14:paraId="2903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524CFFC7">
            <w:pPr>
              <w:pStyle w:val="9"/>
              <w:spacing w:before="249" w:line="220" w:lineRule="auto"/>
              <w:ind w:left="409"/>
              <w:rPr>
                <w:color w:val="auto"/>
                <w:sz w:val="18"/>
                <w:szCs w:val="18"/>
                <w:highlight w:val="none"/>
              </w:rPr>
            </w:pPr>
            <w:r>
              <w:rPr>
                <w:b/>
                <w:bCs/>
                <w:color w:val="auto"/>
                <w:spacing w:val="-4"/>
                <w:sz w:val="18"/>
                <w:szCs w:val="18"/>
                <w:highlight w:val="none"/>
              </w:rPr>
              <w:t>交通运输业</w:t>
            </w:r>
          </w:p>
        </w:tc>
        <w:tc>
          <w:tcPr>
            <w:tcW w:w="1383" w:type="dxa"/>
            <w:vAlign w:val="top"/>
          </w:tcPr>
          <w:p w14:paraId="3C2F276F">
            <w:pPr>
              <w:pStyle w:val="9"/>
              <w:spacing w:before="78"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2A60A789">
            <w:pPr>
              <w:pStyle w:val="9"/>
              <w:spacing w:before="79" w:line="223" w:lineRule="auto"/>
              <w:ind w:left="370"/>
              <w:rPr>
                <w:color w:val="auto"/>
                <w:sz w:val="18"/>
                <w:szCs w:val="18"/>
                <w:highlight w:val="none"/>
              </w:rPr>
            </w:pPr>
            <w:r>
              <w:rPr>
                <w:color w:val="auto"/>
                <w:sz w:val="18"/>
                <w:szCs w:val="18"/>
                <w:highlight w:val="none"/>
              </w:rPr>
              <w:t>人</w:t>
            </w:r>
          </w:p>
        </w:tc>
        <w:tc>
          <w:tcPr>
            <w:tcW w:w="1619" w:type="dxa"/>
            <w:vAlign w:val="top"/>
          </w:tcPr>
          <w:p w14:paraId="408E11B4">
            <w:pPr>
              <w:pStyle w:val="9"/>
              <w:spacing w:before="78" w:line="237" w:lineRule="auto"/>
              <w:ind w:left="279"/>
              <w:rPr>
                <w:color w:val="auto"/>
                <w:sz w:val="18"/>
                <w:szCs w:val="18"/>
                <w:highlight w:val="none"/>
              </w:rPr>
            </w:pPr>
            <w:r>
              <w:rPr>
                <w:color w:val="auto"/>
                <w:spacing w:val="-1"/>
                <w:sz w:val="18"/>
                <w:szCs w:val="18"/>
                <w:highlight w:val="none"/>
              </w:rPr>
              <w:t>300≤X＜1000</w:t>
            </w:r>
          </w:p>
        </w:tc>
        <w:tc>
          <w:tcPr>
            <w:tcW w:w="1439" w:type="dxa"/>
            <w:vAlign w:val="top"/>
          </w:tcPr>
          <w:p w14:paraId="06B6D127">
            <w:pPr>
              <w:pStyle w:val="9"/>
              <w:spacing w:before="78" w:line="237" w:lineRule="auto"/>
              <w:ind w:left="278"/>
              <w:rPr>
                <w:color w:val="auto"/>
                <w:sz w:val="18"/>
                <w:szCs w:val="18"/>
                <w:highlight w:val="none"/>
              </w:rPr>
            </w:pPr>
            <w:r>
              <w:rPr>
                <w:color w:val="auto"/>
                <w:spacing w:val="-2"/>
                <w:sz w:val="18"/>
                <w:szCs w:val="18"/>
                <w:highlight w:val="none"/>
              </w:rPr>
              <w:t>20≤X＜300</w:t>
            </w:r>
          </w:p>
        </w:tc>
        <w:tc>
          <w:tcPr>
            <w:tcW w:w="1235" w:type="dxa"/>
            <w:vAlign w:val="top"/>
          </w:tcPr>
          <w:p w14:paraId="684DFB4D">
            <w:pPr>
              <w:pStyle w:val="9"/>
              <w:spacing w:before="79"/>
              <w:ind w:left="395"/>
              <w:rPr>
                <w:color w:val="auto"/>
                <w:sz w:val="18"/>
                <w:szCs w:val="18"/>
                <w:highlight w:val="none"/>
              </w:rPr>
            </w:pPr>
            <w:r>
              <w:rPr>
                <w:color w:val="auto"/>
                <w:spacing w:val="-2"/>
                <w:sz w:val="18"/>
                <w:szCs w:val="18"/>
                <w:highlight w:val="none"/>
              </w:rPr>
              <w:t>X＜20</w:t>
            </w:r>
          </w:p>
        </w:tc>
      </w:tr>
      <w:tr w14:paraId="4D6CC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6" w:type="dxa"/>
            <w:vMerge w:val="continue"/>
            <w:tcBorders>
              <w:top w:val="nil"/>
            </w:tcBorders>
            <w:vAlign w:val="top"/>
          </w:tcPr>
          <w:p w14:paraId="00DF0073">
            <w:pPr>
              <w:rPr>
                <w:rFonts w:ascii="Arial"/>
                <w:color w:val="auto"/>
                <w:sz w:val="21"/>
                <w:highlight w:val="none"/>
              </w:rPr>
            </w:pPr>
          </w:p>
        </w:tc>
        <w:tc>
          <w:tcPr>
            <w:tcW w:w="1383" w:type="dxa"/>
            <w:vAlign w:val="top"/>
          </w:tcPr>
          <w:p w14:paraId="4FE2A368">
            <w:pPr>
              <w:pStyle w:val="9"/>
              <w:spacing w:before="79"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6A36DD88">
            <w:pPr>
              <w:pStyle w:val="9"/>
              <w:spacing w:before="78"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7E99ECA7">
            <w:pPr>
              <w:pStyle w:val="9"/>
              <w:spacing w:before="78" w:line="237" w:lineRule="auto"/>
              <w:ind w:left="188"/>
              <w:rPr>
                <w:color w:val="auto"/>
                <w:sz w:val="18"/>
                <w:szCs w:val="18"/>
                <w:highlight w:val="none"/>
              </w:rPr>
            </w:pPr>
            <w:r>
              <w:rPr>
                <w:color w:val="auto"/>
                <w:spacing w:val="-1"/>
                <w:sz w:val="18"/>
                <w:szCs w:val="18"/>
                <w:highlight w:val="none"/>
              </w:rPr>
              <w:t>3000≤Y＜30000</w:t>
            </w:r>
          </w:p>
        </w:tc>
        <w:tc>
          <w:tcPr>
            <w:tcW w:w="1439" w:type="dxa"/>
            <w:vAlign w:val="top"/>
          </w:tcPr>
          <w:p w14:paraId="57CF02EA">
            <w:pPr>
              <w:pStyle w:val="9"/>
              <w:spacing w:before="78" w:line="237" w:lineRule="auto"/>
              <w:ind w:left="187"/>
              <w:rPr>
                <w:color w:val="auto"/>
                <w:sz w:val="18"/>
                <w:szCs w:val="18"/>
                <w:highlight w:val="none"/>
              </w:rPr>
            </w:pPr>
            <w:r>
              <w:rPr>
                <w:color w:val="auto"/>
                <w:spacing w:val="-1"/>
                <w:sz w:val="18"/>
                <w:szCs w:val="18"/>
                <w:highlight w:val="none"/>
              </w:rPr>
              <w:t>200≤Y＜3000</w:t>
            </w:r>
          </w:p>
        </w:tc>
        <w:tc>
          <w:tcPr>
            <w:tcW w:w="1235" w:type="dxa"/>
            <w:vAlign w:val="top"/>
          </w:tcPr>
          <w:p w14:paraId="50C4B89E">
            <w:pPr>
              <w:pStyle w:val="9"/>
              <w:spacing w:before="79"/>
              <w:ind w:left="349"/>
              <w:rPr>
                <w:color w:val="auto"/>
                <w:sz w:val="18"/>
                <w:szCs w:val="18"/>
                <w:highlight w:val="none"/>
              </w:rPr>
            </w:pPr>
            <w:r>
              <w:rPr>
                <w:color w:val="auto"/>
                <w:spacing w:val="-1"/>
                <w:sz w:val="18"/>
                <w:szCs w:val="18"/>
                <w:highlight w:val="none"/>
              </w:rPr>
              <w:t>Y＜200</w:t>
            </w:r>
          </w:p>
        </w:tc>
      </w:tr>
      <w:tr w14:paraId="5AF910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226FE267">
            <w:pPr>
              <w:pStyle w:val="9"/>
              <w:spacing w:before="249" w:line="221" w:lineRule="auto"/>
              <w:ind w:left="587"/>
              <w:rPr>
                <w:color w:val="auto"/>
                <w:sz w:val="18"/>
                <w:szCs w:val="18"/>
                <w:highlight w:val="none"/>
              </w:rPr>
            </w:pPr>
            <w:r>
              <w:rPr>
                <w:b/>
                <w:bCs/>
                <w:color w:val="auto"/>
                <w:spacing w:val="-4"/>
                <w:sz w:val="18"/>
                <w:szCs w:val="18"/>
                <w:highlight w:val="none"/>
              </w:rPr>
              <w:t>仓储业</w:t>
            </w:r>
          </w:p>
        </w:tc>
        <w:tc>
          <w:tcPr>
            <w:tcW w:w="1383" w:type="dxa"/>
            <w:vAlign w:val="top"/>
          </w:tcPr>
          <w:p w14:paraId="5D97A3CA">
            <w:pPr>
              <w:pStyle w:val="9"/>
              <w:spacing w:before="79"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6891F2F5">
            <w:pPr>
              <w:pStyle w:val="9"/>
              <w:spacing w:before="79" w:line="223" w:lineRule="auto"/>
              <w:ind w:left="370"/>
              <w:rPr>
                <w:color w:val="auto"/>
                <w:sz w:val="18"/>
                <w:szCs w:val="18"/>
                <w:highlight w:val="none"/>
              </w:rPr>
            </w:pPr>
            <w:r>
              <w:rPr>
                <w:color w:val="auto"/>
                <w:sz w:val="18"/>
                <w:szCs w:val="18"/>
                <w:highlight w:val="none"/>
              </w:rPr>
              <w:t>人</w:t>
            </w:r>
          </w:p>
        </w:tc>
        <w:tc>
          <w:tcPr>
            <w:tcW w:w="1619" w:type="dxa"/>
            <w:vAlign w:val="top"/>
          </w:tcPr>
          <w:p w14:paraId="4826A427">
            <w:pPr>
              <w:pStyle w:val="9"/>
              <w:spacing w:before="79" w:line="237" w:lineRule="auto"/>
              <w:ind w:left="332"/>
              <w:rPr>
                <w:color w:val="auto"/>
                <w:sz w:val="18"/>
                <w:szCs w:val="18"/>
                <w:highlight w:val="none"/>
              </w:rPr>
            </w:pPr>
            <w:r>
              <w:rPr>
                <w:color w:val="auto"/>
                <w:spacing w:val="-3"/>
                <w:sz w:val="18"/>
                <w:szCs w:val="18"/>
                <w:highlight w:val="none"/>
              </w:rPr>
              <w:t>100≤X＜200</w:t>
            </w:r>
          </w:p>
        </w:tc>
        <w:tc>
          <w:tcPr>
            <w:tcW w:w="1439" w:type="dxa"/>
            <w:vAlign w:val="top"/>
          </w:tcPr>
          <w:p w14:paraId="46573164">
            <w:pPr>
              <w:pStyle w:val="9"/>
              <w:spacing w:before="79" w:line="237" w:lineRule="auto"/>
              <w:ind w:left="278"/>
              <w:rPr>
                <w:color w:val="auto"/>
                <w:sz w:val="18"/>
                <w:szCs w:val="18"/>
                <w:highlight w:val="none"/>
              </w:rPr>
            </w:pPr>
            <w:r>
              <w:rPr>
                <w:color w:val="auto"/>
                <w:spacing w:val="-2"/>
                <w:sz w:val="18"/>
                <w:szCs w:val="18"/>
                <w:highlight w:val="none"/>
              </w:rPr>
              <w:t>20≤X＜100</w:t>
            </w:r>
          </w:p>
        </w:tc>
        <w:tc>
          <w:tcPr>
            <w:tcW w:w="1235" w:type="dxa"/>
            <w:vAlign w:val="top"/>
          </w:tcPr>
          <w:p w14:paraId="70858CED">
            <w:pPr>
              <w:pStyle w:val="9"/>
              <w:spacing w:before="80"/>
              <w:ind w:left="395"/>
              <w:rPr>
                <w:color w:val="auto"/>
                <w:sz w:val="18"/>
                <w:szCs w:val="18"/>
                <w:highlight w:val="none"/>
              </w:rPr>
            </w:pPr>
            <w:r>
              <w:rPr>
                <w:color w:val="auto"/>
                <w:spacing w:val="-2"/>
                <w:sz w:val="18"/>
                <w:szCs w:val="18"/>
                <w:highlight w:val="none"/>
              </w:rPr>
              <w:t>X＜20</w:t>
            </w:r>
          </w:p>
        </w:tc>
      </w:tr>
      <w:tr w14:paraId="59D09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4282C2FD">
            <w:pPr>
              <w:rPr>
                <w:rFonts w:ascii="Arial"/>
                <w:color w:val="auto"/>
                <w:sz w:val="21"/>
                <w:highlight w:val="none"/>
              </w:rPr>
            </w:pPr>
          </w:p>
        </w:tc>
        <w:tc>
          <w:tcPr>
            <w:tcW w:w="1383" w:type="dxa"/>
            <w:vAlign w:val="top"/>
          </w:tcPr>
          <w:p w14:paraId="39865279">
            <w:pPr>
              <w:pStyle w:val="9"/>
              <w:spacing w:before="79"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34B5CDB9">
            <w:pPr>
              <w:pStyle w:val="9"/>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75423C3F">
            <w:pPr>
              <w:pStyle w:val="9"/>
              <w:spacing w:before="79" w:line="237" w:lineRule="auto"/>
              <w:ind w:left="197"/>
              <w:rPr>
                <w:color w:val="auto"/>
                <w:sz w:val="18"/>
                <w:szCs w:val="18"/>
                <w:highlight w:val="none"/>
              </w:rPr>
            </w:pPr>
            <w:r>
              <w:rPr>
                <w:color w:val="auto"/>
                <w:spacing w:val="-2"/>
                <w:sz w:val="18"/>
                <w:szCs w:val="18"/>
                <w:highlight w:val="none"/>
              </w:rPr>
              <w:t>1000≤Y＜30000</w:t>
            </w:r>
          </w:p>
        </w:tc>
        <w:tc>
          <w:tcPr>
            <w:tcW w:w="1439" w:type="dxa"/>
            <w:vAlign w:val="top"/>
          </w:tcPr>
          <w:p w14:paraId="44119BCD">
            <w:pPr>
              <w:pStyle w:val="9"/>
              <w:spacing w:before="79" w:line="237" w:lineRule="auto"/>
              <w:ind w:left="198"/>
              <w:rPr>
                <w:color w:val="auto"/>
                <w:sz w:val="18"/>
                <w:szCs w:val="18"/>
                <w:highlight w:val="none"/>
              </w:rPr>
            </w:pPr>
            <w:r>
              <w:rPr>
                <w:color w:val="auto"/>
                <w:spacing w:val="-2"/>
                <w:sz w:val="18"/>
                <w:szCs w:val="18"/>
                <w:highlight w:val="none"/>
              </w:rPr>
              <w:t>100≤Y＜1000</w:t>
            </w:r>
          </w:p>
        </w:tc>
        <w:tc>
          <w:tcPr>
            <w:tcW w:w="1235" w:type="dxa"/>
            <w:vAlign w:val="top"/>
          </w:tcPr>
          <w:p w14:paraId="0D3FA519">
            <w:pPr>
              <w:pStyle w:val="9"/>
              <w:spacing w:before="79"/>
              <w:ind w:left="349"/>
              <w:rPr>
                <w:color w:val="auto"/>
                <w:sz w:val="18"/>
                <w:szCs w:val="18"/>
                <w:highlight w:val="none"/>
              </w:rPr>
            </w:pPr>
            <w:r>
              <w:rPr>
                <w:color w:val="auto"/>
                <w:spacing w:val="-1"/>
                <w:sz w:val="18"/>
                <w:szCs w:val="18"/>
                <w:highlight w:val="none"/>
              </w:rPr>
              <w:t>Y＜100</w:t>
            </w:r>
          </w:p>
        </w:tc>
      </w:tr>
      <w:tr w14:paraId="72E32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75F160E5">
            <w:pPr>
              <w:pStyle w:val="9"/>
              <w:spacing w:before="249" w:line="222" w:lineRule="auto"/>
              <w:ind w:left="601"/>
              <w:rPr>
                <w:color w:val="auto"/>
                <w:sz w:val="18"/>
                <w:szCs w:val="18"/>
                <w:highlight w:val="none"/>
              </w:rPr>
            </w:pPr>
            <w:r>
              <w:rPr>
                <w:b/>
                <w:bCs/>
                <w:color w:val="auto"/>
                <w:spacing w:val="-8"/>
                <w:sz w:val="18"/>
                <w:szCs w:val="18"/>
                <w:highlight w:val="none"/>
              </w:rPr>
              <w:t>邮政业</w:t>
            </w:r>
          </w:p>
        </w:tc>
        <w:tc>
          <w:tcPr>
            <w:tcW w:w="1383" w:type="dxa"/>
            <w:vAlign w:val="top"/>
          </w:tcPr>
          <w:p w14:paraId="52CE9F39">
            <w:pPr>
              <w:pStyle w:val="9"/>
              <w:spacing w:before="79"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3096BBA2">
            <w:pPr>
              <w:pStyle w:val="9"/>
              <w:spacing w:before="79" w:line="223" w:lineRule="auto"/>
              <w:ind w:left="370"/>
              <w:rPr>
                <w:color w:val="auto"/>
                <w:sz w:val="18"/>
                <w:szCs w:val="18"/>
                <w:highlight w:val="none"/>
              </w:rPr>
            </w:pPr>
            <w:r>
              <w:rPr>
                <w:color w:val="auto"/>
                <w:sz w:val="18"/>
                <w:szCs w:val="18"/>
                <w:highlight w:val="none"/>
              </w:rPr>
              <w:t>人</w:t>
            </w:r>
          </w:p>
        </w:tc>
        <w:tc>
          <w:tcPr>
            <w:tcW w:w="1619" w:type="dxa"/>
            <w:vAlign w:val="top"/>
          </w:tcPr>
          <w:p w14:paraId="15070BD9">
            <w:pPr>
              <w:pStyle w:val="9"/>
              <w:spacing w:before="79" w:line="237" w:lineRule="auto"/>
              <w:ind w:left="279"/>
              <w:rPr>
                <w:color w:val="auto"/>
                <w:sz w:val="18"/>
                <w:szCs w:val="18"/>
                <w:highlight w:val="none"/>
              </w:rPr>
            </w:pPr>
            <w:r>
              <w:rPr>
                <w:color w:val="auto"/>
                <w:spacing w:val="-1"/>
                <w:sz w:val="18"/>
                <w:szCs w:val="18"/>
                <w:highlight w:val="none"/>
              </w:rPr>
              <w:t>300≤X＜1000</w:t>
            </w:r>
          </w:p>
        </w:tc>
        <w:tc>
          <w:tcPr>
            <w:tcW w:w="1439" w:type="dxa"/>
            <w:vAlign w:val="top"/>
          </w:tcPr>
          <w:p w14:paraId="7E048D2B">
            <w:pPr>
              <w:pStyle w:val="9"/>
              <w:spacing w:before="79" w:line="237" w:lineRule="auto"/>
              <w:ind w:left="278"/>
              <w:rPr>
                <w:color w:val="auto"/>
                <w:sz w:val="18"/>
                <w:szCs w:val="18"/>
                <w:highlight w:val="none"/>
              </w:rPr>
            </w:pPr>
            <w:r>
              <w:rPr>
                <w:color w:val="auto"/>
                <w:spacing w:val="-2"/>
                <w:sz w:val="18"/>
                <w:szCs w:val="18"/>
                <w:highlight w:val="none"/>
              </w:rPr>
              <w:t>20≤X＜300</w:t>
            </w:r>
          </w:p>
        </w:tc>
        <w:tc>
          <w:tcPr>
            <w:tcW w:w="1235" w:type="dxa"/>
            <w:vAlign w:val="top"/>
          </w:tcPr>
          <w:p w14:paraId="60DFD5BD">
            <w:pPr>
              <w:pStyle w:val="9"/>
              <w:spacing w:before="79"/>
              <w:ind w:left="395"/>
              <w:rPr>
                <w:color w:val="auto"/>
                <w:sz w:val="18"/>
                <w:szCs w:val="18"/>
                <w:highlight w:val="none"/>
              </w:rPr>
            </w:pPr>
            <w:r>
              <w:rPr>
                <w:color w:val="auto"/>
                <w:spacing w:val="-2"/>
                <w:sz w:val="18"/>
                <w:szCs w:val="18"/>
                <w:highlight w:val="none"/>
              </w:rPr>
              <w:t>X＜20</w:t>
            </w:r>
          </w:p>
        </w:tc>
      </w:tr>
      <w:tr w14:paraId="0A496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7F7E1EBF">
            <w:pPr>
              <w:rPr>
                <w:rFonts w:ascii="Arial"/>
                <w:color w:val="auto"/>
                <w:sz w:val="21"/>
                <w:highlight w:val="none"/>
              </w:rPr>
            </w:pPr>
          </w:p>
        </w:tc>
        <w:tc>
          <w:tcPr>
            <w:tcW w:w="1383" w:type="dxa"/>
            <w:vAlign w:val="top"/>
          </w:tcPr>
          <w:p w14:paraId="3E7070A3">
            <w:pPr>
              <w:pStyle w:val="9"/>
              <w:spacing w:before="79"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12D5EC90">
            <w:pPr>
              <w:pStyle w:val="9"/>
              <w:spacing w:before="78"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71A9685D">
            <w:pPr>
              <w:pStyle w:val="9"/>
              <w:spacing w:before="78" w:line="237" w:lineRule="auto"/>
              <w:ind w:left="186"/>
              <w:rPr>
                <w:color w:val="auto"/>
                <w:sz w:val="18"/>
                <w:szCs w:val="18"/>
                <w:highlight w:val="none"/>
              </w:rPr>
            </w:pPr>
            <w:r>
              <w:rPr>
                <w:color w:val="auto"/>
                <w:spacing w:val="-1"/>
                <w:sz w:val="18"/>
                <w:szCs w:val="18"/>
                <w:highlight w:val="none"/>
              </w:rPr>
              <w:t>2000≤Y＜30000</w:t>
            </w:r>
          </w:p>
        </w:tc>
        <w:tc>
          <w:tcPr>
            <w:tcW w:w="1439" w:type="dxa"/>
            <w:vAlign w:val="top"/>
          </w:tcPr>
          <w:p w14:paraId="49847BD6">
            <w:pPr>
              <w:pStyle w:val="9"/>
              <w:spacing w:before="78" w:line="237" w:lineRule="auto"/>
              <w:ind w:left="198"/>
              <w:rPr>
                <w:color w:val="auto"/>
                <w:sz w:val="18"/>
                <w:szCs w:val="18"/>
                <w:highlight w:val="none"/>
              </w:rPr>
            </w:pPr>
            <w:r>
              <w:rPr>
                <w:color w:val="auto"/>
                <w:spacing w:val="-2"/>
                <w:sz w:val="18"/>
                <w:szCs w:val="18"/>
                <w:highlight w:val="none"/>
              </w:rPr>
              <w:t>100≤Y＜2000</w:t>
            </w:r>
          </w:p>
        </w:tc>
        <w:tc>
          <w:tcPr>
            <w:tcW w:w="1235" w:type="dxa"/>
            <w:vAlign w:val="top"/>
          </w:tcPr>
          <w:p w14:paraId="18A17154">
            <w:pPr>
              <w:pStyle w:val="9"/>
              <w:spacing w:before="79"/>
              <w:ind w:left="349"/>
              <w:rPr>
                <w:color w:val="auto"/>
                <w:sz w:val="18"/>
                <w:szCs w:val="18"/>
                <w:highlight w:val="none"/>
              </w:rPr>
            </w:pPr>
            <w:r>
              <w:rPr>
                <w:color w:val="auto"/>
                <w:spacing w:val="-1"/>
                <w:sz w:val="18"/>
                <w:szCs w:val="18"/>
                <w:highlight w:val="none"/>
              </w:rPr>
              <w:t>Y＜100</w:t>
            </w:r>
          </w:p>
        </w:tc>
      </w:tr>
      <w:tr w14:paraId="7D5A1A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377E3765">
            <w:pPr>
              <w:pStyle w:val="9"/>
              <w:spacing w:before="249" w:line="220" w:lineRule="auto"/>
              <w:ind w:left="587"/>
              <w:rPr>
                <w:color w:val="auto"/>
                <w:sz w:val="18"/>
                <w:szCs w:val="18"/>
                <w:highlight w:val="none"/>
              </w:rPr>
            </w:pPr>
            <w:r>
              <w:rPr>
                <w:b/>
                <w:bCs/>
                <w:color w:val="auto"/>
                <w:spacing w:val="-4"/>
                <w:sz w:val="18"/>
                <w:szCs w:val="18"/>
                <w:highlight w:val="none"/>
              </w:rPr>
              <w:t>住宿业</w:t>
            </w:r>
          </w:p>
        </w:tc>
        <w:tc>
          <w:tcPr>
            <w:tcW w:w="1383" w:type="dxa"/>
            <w:vAlign w:val="top"/>
          </w:tcPr>
          <w:p w14:paraId="6E221C0B">
            <w:pPr>
              <w:pStyle w:val="9"/>
              <w:spacing w:before="81"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73A847BD">
            <w:pPr>
              <w:pStyle w:val="9"/>
              <w:spacing w:before="81" w:line="223" w:lineRule="auto"/>
              <w:ind w:left="370"/>
              <w:rPr>
                <w:color w:val="auto"/>
                <w:sz w:val="18"/>
                <w:szCs w:val="18"/>
                <w:highlight w:val="none"/>
              </w:rPr>
            </w:pPr>
            <w:r>
              <w:rPr>
                <w:color w:val="auto"/>
                <w:sz w:val="18"/>
                <w:szCs w:val="18"/>
                <w:highlight w:val="none"/>
              </w:rPr>
              <w:t>人</w:t>
            </w:r>
          </w:p>
        </w:tc>
        <w:tc>
          <w:tcPr>
            <w:tcW w:w="1619" w:type="dxa"/>
            <w:vAlign w:val="top"/>
          </w:tcPr>
          <w:p w14:paraId="67ADC2E0">
            <w:pPr>
              <w:pStyle w:val="9"/>
              <w:spacing w:before="81" w:line="237" w:lineRule="auto"/>
              <w:ind w:left="332"/>
              <w:rPr>
                <w:color w:val="auto"/>
                <w:sz w:val="18"/>
                <w:szCs w:val="18"/>
                <w:highlight w:val="none"/>
              </w:rPr>
            </w:pPr>
            <w:r>
              <w:rPr>
                <w:color w:val="auto"/>
                <w:spacing w:val="-3"/>
                <w:sz w:val="18"/>
                <w:szCs w:val="18"/>
                <w:highlight w:val="none"/>
              </w:rPr>
              <w:t>100≤X＜300</w:t>
            </w:r>
          </w:p>
        </w:tc>
        <w:tc>
          <w:tcPr>
            <w:tcW w:w="1439" w:type="dxa"/>
            <w:vAlign w:val="top"/>
          </w:tcPr>
          <w:p w14:paraId="7BD96EA5">
            <w:pPr>
              <w:pStyle w:val="9"/>
              <w:spacing w:before="81" w:line="237" w:lineRule="auto"/>
              <w:ind w:left="289"/>
              <w:rPr>
                <w:color w:val="auto"/>
                <w:sz w:val="18"/>
                <w:szCs w:val="18"/>
                <w:highlight w:val="none"/>
              </w:rPr>
            </w:pPr>
            <w:r>
              <w:rPr>
                <w:color w:val="auto"/>
                <w:spacing w:val="-3"/>
                <w:sz w:val="18"/>
                <w:szCs w:val="18"/>
                <w:highlight w:val="none"/>
              </w:rPr>
              <w:t>10≤X＜100</w:t>
            </w:r>
          </w:p>
        </w:tc>
        <w:tc>
          <w:tcPr>
            <w:tcW w:w="1235" w:type="dxa"/>
            <w:vAlign w:val="top"/>
          </w:tcPr>
          <w:p w14:paraId="21793659">
            <w:pPr>
              <w:pStyle w:val="9"/>
              <w:spacing w:before="81"/>
              <w:ind w:left="395"/>
              <w:rPr>
                <w:color w:val="auto"/>
                <w:sz w:val="18"/>
                <w:szCs w:val="18"/>
                <w:highlight w:val="none"/>
              </w:rPr>
            </w:pPr>
            <w:r>
              <w:rPr>
                <w:color w:val="auto"/>
                <w:spacing w:val="-2"/>
                <w:sz w:val="18"/>
                <w:szCs w:val="18"/>
                <w:highlight w:val="none"/>
              </w:rPr>
              <w:t>X＜10</w:t>
            </w:r>
          </w:p>
        </w:tc>
      </w:tr>
      <w:tr w14:paraId="3FB33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37370D6A">
            <w:pPr>
              <w:rPr>
                <w:rFonts w:ascii="Arial"/>
                <w:color w:val="auto"/>
                <w:sz w:val="21"/>
                <w:highlight w:val="none"/>
              </w:rPr>
            </w:pPr>
          </w:p>
        </w:tc>
        <w:tc>
          <w:tcPr>
            <w:tcW w:w="1383" w:type="dxa"/>
            <w:vAlign w:val="top"/>
          </w:tcPr>
          <w:p w14:paraId="4688F814">
            <w:pPr>
              <w:pStyle w:val="9"/>
              <w:spacing w:before="81"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3E4295F3">
            <w:pPr>
              <w:pStyle w:val="9"/>
              <w:spacing w:before="80"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75474212">
            <w:pPr>
              <w:pStyle w:val="9"/>
              <w:spacing w:before="80" w:line="237" w:lineRule="auto"/>
              <w:ind w:left="186"/>
              <w:rPr>
                <w:color w:val="auto"/>
                <w:sz w:val="18"/>
                <w:szCs w:val="18"/>
                <w:highlight w:val="none"/>
              </w:rPr>
            </w:pPr>
            <w:r>
              <w:rPr>
                <w:color w:val="auto"/>
                <w:spacing w:val="-1"/>
                <w:sz w:val="18"/>
                <w:szCs w:val="18"/>
                <w:highlight w:val="none"/>
              </w:rPr>
              <w:t>2000≤Y＜10000</w:t>
            </w:r>
          </w:p>
        </w:tc>
        <w:tc>
          <w:tcPr>
            <w:tcW w:w="1439" w:type="dxa"/>
            <w:vAlign w:val="top"/>
          </w:tcPr>
          <w:p w14:paraId="67DCDC99">
            <w:pPr>
              <w:pStyle w:val="9"/>
              <w:spacing w:before="80" w:line="237" w:lineRule="auto"/>
              <w:ind w:left="198"/>
              <w:rPr>
                <w:color w:val="auto"/>
                <w:sz w:val="18"/>
                <w:szCs w:val="18"/>
                <w:highlight w:val="none"/>
              </w:rPr>
            </w:pPr>
            <w:r>
              <w:rPr>
                <w:color w:val="auto"/>
                <w:spacing w:val="-2"/>
                <w:sz w:val="18"/>
                <w:szCs w:val="18"/>
                <w:highlight w:val="none"/>
              </w:rPr>
              <w:t>100≤Y＜2000</w:t>
            </w:r>
          </w:p>
        </w:tc>
        <w:tc>
          <w:tcPr>
            <w:tcW w:w="1235" w:type="dxa"/>
            <w:vAlign w:val="top"/>
          </w:tcPr>
          <w:p w14:paraId="7E40618B">
            <w:pPr>
              <w:pStyle w:val="9"/>
              <w:spacing w:before="81"/>
              <w:ind w:left="349"/>
              <w:rPr>
                <w:color w:val="auto"/>
                <w:sz w:val="18"/>
                <w:szCs w:val="18"/>
                <w:highlight w:val="none"/>
              </w:rPr>
            </w:pPr>
            <w:r>
              <w:rPr>
                <w:color w:val="auto"/>
                <w:spacing w:val="-1"/>
                <w:sz w:val="18"/>
                <w:szCs w:val="18"/>
                <w:highlight w:val="none"/>
              </w:rPr>
              <w:t>Y＜100</w:t>
            </w:r>
          </w:p>
        </w:tc>
      </w:tr>
      <w:tr w14:paraId="14DF6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2FF5D7C6">
            <w:pPr>
              <w:pStyle w:val="9"/>
              <w:spacing w:before="251" w:line="220" w:lineRule="auto"/>
              <w:ind w:left="589"/>
              <w:rPr>
                <w:color w:val="auto"/>
                <w:sz w:val="18"/>
                <w:szCs w:val="18"/>
                <w:highlight w:val="none"/>
              </w:rPr>
            </w:pPr>
            <w:r>
              <w:rPr>
                <w:b/>
                <w:bCs/>
                <w:color w:val="auto"/>
                <w:spacing w:val="-4"/>
                <w:sz w:val="18"/>
                <w:szCs w:val="18"/>
                <w:highlight w:val="none"/>
              </w:rPr>
              <w:t>餐饮业</w:t>
            </w:r>
          </w:p>
        </w:tc>
        <w:tc>
          <w:tcPr>
            <w:tcW w:w="1383" w:type="dxa"/>
            <w:vAlign w:val="top"/>
          </w:tcPr>
          <w:p w14:paraId="240259D9">
            <w:pPr>
              <w:pStyle w:val="9"/>
              <w:spacing w:before="80"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6AB97713">
            <w:pPr>
              <w:pStyle w:val="9"/>
              <w:spacing w:before="80" w:line="223" w:lineRule="auto"/>
              <w:ind w:left="370"/>
              <w:rPr>
                <w:color w:val="auto"/>
                <w:sz w:val="18"/>
                <w:szCs w:val="18"/>
                <w:highlight w:val="none"/>
              </w:rPr>
            </w:pPr>
            <w:r>
              <w:rPr>
                <w:color w:val="auto"/>
                <w:sz w:val="18"/>
                <w:szCs w:val="18"/>
                <w:highlight w:val="none"/>
              </w:rPr>
              <w:t>人</w:t>
            </w:r>
          </w:p>
        </w:tc>
        <w:tc>
          <w:tcPr>
            <w:tcW w:w="1619" w:type="dxa"/>
            <w:vAlign w:val="top"/>
          </w:tcPr>
          <w:p w14:paraId="09B41EE6">
            <w:pPr>
              <w:pStyle w:val="9"/>
              <w:spacing w:before="80" w:line="237" w:lineRule="auto"/>
              <w:ind w:left="332"/>
              <w:rPr>
                <w:color w:val="auto"/>
                <w:sz w:val="18"/>
                <w:szCs w:val="18"/>
                <w:highlight w:val="none"/>
              </w:rPr>
            </w:pPr>
            <w:r>
              <w:rPr>
                <w:color w:val="auto"/>
                <w:spacing w:val="-3"/>
                <w:sz w:val="18"/>
                <w:szCs w:val="18"/>
                <w:highlight w:val="none"/>
              </w:rPr>
              <w:t>100≤X＜300</w:t>
            </w:r>
          </w:p>
        </w:tc>
        <w:tc>
          <w:tcPr>
            <w:tcW w:w="1439" w:type="dxa"/>
            <w:vAlign w:val="top"/>
          </w:tcPr>
          <w:p w14:paraId="1A00698A">
            <w:pPr>
              <w:pStyle w:val="9"/>
              <w:spacing w:before="80" w:line="237" w:lineRule="auto"/>
              <w:ind w:left="289"/>
              <w:rPr>
                <w:color w:val="auto"/>
                <w:sz w:val="18"/>
                <w:szCs w:val="18"/>
                <w:highlight w:val="none"/>
              </w:rPr>
            </w:pPr>
            <w:r>
              <w:rPr>
                <w:color w:val="auto"/>
                <w:spacing w:val="-3"/>
                <w:sz w:val="18"/>
                <w:szCs w:val="18"/>
                <w:highlight w:val="none"/>
              </w:rPr>
              <w:t>10≤X＜100</w:t>
            </w:r>
          </w:p>
        </w:tc>
        <w:tc>
          <w:tcPr>
            <w:tcW w:w="1235" w:type="dxa"/>
            <w:vAlign w:val="top"/>
          </w:tcPr>
          <w:p w14:paraId="17D41F1F">
            <w:pPr>
              <w:pStyle w:val="9"/>
              <w:spacing w:before="81"/>
              <w:ind w:left="395"/>
              <w:rPr>
                <w:color w:val="auto"/>
                <w:sz w:val="18"/>
                <w:szCs w:val="18"/>
                <w:highlight w:val="none"/>
              </w:rPr>
            </w:pPr>
            <w:r>
              <w:rPr>
                <w:color w:val="auto"/>
                <w:spacing w:val="-2"/>
                <w:sz w:val="18"/>
                <w:szCs w:val="18"/>
                <w:highlight w:val="none"/>
              </w:rPr>
              <w:t>X＜10</w:t>
            </w:r>
          </w:p>
        </w:tc>
      </w:tr>
      <w:tr w14:paraId="3E3BA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35117A99">
            <w:pPr>
              <w:rPr>
                <w:rFonts w:ascii="Arial"/>
                <w:color w:val="auto"/>
                <w:sz w:val="21"/>
                <w:highlight w:val="none"/>
              </w:rPr>
            </w:pPr>
          </w:p>
        </w:tc>
        <w:tc>
          <w:tcPr>
            <w:tcW w:w="1383" w:type="dxa"/>
            <w:vAlign w:val="top"/>
          </w:tcPr>
          <w:p w14:paraId="772B31A3">
            <w:pPr>
              <w:pStyle w:val="9"/>
              <w:spacing w:before="80"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565C35B9">
            <w:pPr>
              <w:pStyle w:val="9"/>
              <w:spacing w:before="80"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7D60E31E">
            <w:pPr>
              <w:pStyle w:val="9"/>
              <w:spacing w:before="80" w:line="237" w:lineRule="auto"/>
              <w:ind w:left="186"/>
              <w:rPr>
                <w:color w:val="auto"/>
                <w:sz w:val="18"/>
                <w:szCs w:val="18"/>
                <w:highlight w:val="none"/>
              </w:rPr>
            </w:pPr>
            <w:r>
              <w:rPr>
                <w:color w:val="auto"/>
                <w:spacing w:val="-1"/>
                <w:sz w:val="18"/>
                <w:szCs w:val="18"/>
                <w:highlight w:val="none"/>
              </w:rPr>
              <w:t>2000≤Y＜10000</w:t>
            </w:r>
          </w:p>
        </w:tc>
        <w:tc>
          <w:tcPr>
            <w:tcW w:w="1439" w:type="dxa"/>
            <w:vAlign w:val="top"/>
          </w:tcPr>
          <w:p w14:paraId="3C550179">
            <w:pPr>
              <w:pStyle w:val="9"/>
              <w:spacing w:before="80" w:line="237" w:lineRule="auto"/>
              <w:ind w:left="198"/>
              <w:rPr>
                <w:color w:val="auto"/>
                <w:sz w:val="18"/>
                <w:szCs w:val="18"/>
                <w:highlight w:val="none"/>
              </w:rPr>
            </w:pPr>
            <w:r>
              <w:rPr>
                <w:color w:val="auto"/>
                <w:spacing w:val="-2"/>
                <w:sz w:val="18"/>
                <w:szCs w:val="18"/>
                <w:highlight w:val="none"/>
              </w:rPr>
              <w:t>100≤Y＜2000</w:t>
            </w:r>
          </w:p>
        </w:tc>
        <w:tc>
          <w:tcPr>
            <w:tcW w:w="1235" w:type="dxa"/>
            <w:vAlign w:val="top"/>
          </w:tcPr>
          <w:p w14:paraId="49746DDF">
            <w:pPr>
              <w:pStyle w:val="9"/>
              <w:spacing w:before="81"/>
              <w:ind w:left="349"/>
              <w:rPr>
                <w:color w:val="auto"/>
                <w:sz w:val="18"/>
                <w:szCs w:val="18"/>
                <w:highlight w:val="none"/>
              </w:rPr>
            </w:pPr>
            <w:r>
              <w:rPr>
                <w:color w:val="auto"/>
                <w:spacing w:val="-1"/>
                <w:sz w:val="18"/>
                <w:szCs w:val="18"/>
                <w:highlight w:val="none"/>
              </w:rPr>
              <w:t>Y＜100</w:t>
            </w:r>
          </w:p>
        </w:tc>
      </w:tr>
      <w:tr w14:paraId="4280F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42917E1D">
            <w:pPr>
              <w:pStyle w:val="9"/>
              <w:spacing w:before="251" w:line="219" w:lineRule="auto"/>
              <w:ind w:left="405"/>
              <w:rPr>
                <w:color w:val="auto"/>
                <w:sz w:val="18"/>
                <w:szCs w:val="18"/>
                <w:highlight w:val="none"/>
              </w:rPr>
            </w:pPr>
            <w:r>
              <w:rPr>
                <w:b/>
                <w:bCs/>
                <w:color w:val="auto"/>
                <w:spacing w:val="-3"/>
                <w:sz w:val="18"/>
                <w:szCs w:val="18"/>
                <w:highlight w:val="none"/>
              </w:rPr>
              <w:t>信息传输业</w:t>
            </w:r>
          </w:p>
        </w:tc>
        <w:tc>
          <w:tcPr>
            <w:tcW w:w="1383" w:type="dxa"/>
            <w:vAlign w:val="top"/>
          </w:tcPr>
          <w:p w14:paraId="3C7FD331">
            <w:pPr>
              <w:pStyle w:val="9"/>
              <w:spacing w:before="80"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5DC935CD">
            <w:pPr>
              <w:pStyle w:val="9"/>
              <w:spacing w:before="80" w:line="223" w:lineRule="auto"/>
              <w:ind w:left="370"/>
              <w:rPr>
                <w:color w:val="auto"/>
                <w:sz w:val="18"/>
                <w:szCs w:val="18"/>
                <w:highlight w:val="none"/>
              </w:rPr>
            </w:pPr>
            <w:r>
              <w:rPr>
                <w:color w:val="auto"/>
                <w:sz w:val="18"/>
                <w:szCs w:val="18"/>
                <w:highlight w:val="none"/>
              </w:rPr>
              <w:t>人</w:t>
            </w:r>
          </w:p>
        </w:tc>
        <w:tc>
          <w:tcPr>
            <w:tcW w:w="1619" w:type="dxa"/>
            <w:vAlign w:val="top"/>
          </w:tcPr>
          <w:p w14:paraId="0649D9B6">
            <w:pPr>
              <w:pStyle w:val="9"/>
              <w:spacing w:before="80" w:line="237" w:lineRule="auto"/>
              <w:ind w:left="288"/>
              <w:rPr>
                <w:color w:val="auto"/>
                <w:sz w:val="18"/>
                <w:szCs w:val="18"/>
                <w:highlight w:val="none"/>
              </w:rPr>
            </w:pPr>
            <w:r>
              <w:rPr>
                <w:color w:val="auto"/>
                <w:spacing w:val="-2"/>
                <w:sz w:val="18"/>
                <w:szCs w:val="18"/>
                <w:highlight w:val="none"/>
              </w:rPr>
              <w:t>100≤X＜2000</w:t>
            </w:r>
          </w:p>
        </w:tc>
        <w:tc>
          <w:tcPr>
            <w:tcW w:w="1439" w:type="dxa"/>
            <w:vAlign w:val="top"/>
          </w:tcPr>
          <w:p w14:paraId="1D3A6CFD">
            <w:pPr>
              <w:pStyle w:val="9"/>
              <w:spacing w:before="80" w:line="237" w:lineRule="auto"/>
              <w:ind w:left="289"/>
              <w:rPr>
                <w:color w:val="auto"/>
                <w:sz w:val="18"/>
                <w:szCs w:val="18"/>
                <w:highlight w:val="none"/>
              </w:rPr>
            </w:pPr>
            <w:r>
              <w:rPr>
                <w:color w:val="auto"/>
                <w:spacing w:val="-3"/>
                <w:sz w:val="18"/>
                <w:szCs w:val="18"/>
                <w:highlight w:val="none"/>
              </w:rPr>
              <w:t>10≤X＜100</w:t>
            </w:r>
          </w:p>
        </w:tc>
        <w:tc>
          <w:tcPr>
            <w:tcW w:w="1235" w:type="dxa"/>
            <w:vAlign w:val="top"/>
          </w:tcPr>
          <w:p w14:paraId="192BAFDA">
            <w:pPr>
              <w:pStyle w:val="9"/>
              <w:spacing w:before="80"/>
              <w:ind w:left="395"/>
              <w:rPr>
                <w:color w:val="auto"/>
                <w:sz w:val="18"/>
                <w:szCs w:val="18"/>
                <w:highlight w:val="none"/>
              </w:rPr>
            </w:pPr>
            <w:r>
              <w:rPr>
                <w:color w:val="auto"/>
                <w:spacing w:val="-2"/>
                <w:sz w:val="18"/>
                <w:szCs w:val="18"/>
                <w:highlight w:val="none"/>
              </w:rPr>
              <w:t>X＜10</w:t>
            </w:r>
          </w:p>
        </w:tc>
      </w:tr>
      <w:tr w14:paraId="2DFDF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52D93559">
            <w:pPr>
              <w:rPr>
                <w:rFonts w:ascii="Arial"/>
                <w:color w:val="auto"/>
                <w:sz w:val="21"/>
                <w:highlight w:val="none"/>
              </w:rPr>
            </w:pPr>
          </w:p>
        </w:tc>
        <w:tc>
          <w:tcPr>
            <w:tcW w:w="1383" w:type="dxa"/>
            <w:vAlign w:val="top"/>
          </w:tcPr>
          <w:p w14:paraId="5EDE84CA">
            <w:pPr>
              <w:pStyle w:val="9"/>
              <w:spacing w:before="80"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2C21B762">
            <w:pPr>
              <w:pStyle w:val="9"/>
              <w:spacing w:before="80"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086A0413">
            <w:pPr>
              <w:pStyle w:val="9"/>
              <w:spacing w:before="80" w:line="237" w:lineRule="auto"/>
              <w:ind w:left="152"/>
              <w:rPr>
                <w:color w:val="auto"/>
                <w:sz w:val="18"/>
                <w:szCs w:val="18"/>
                <w:highlight w:val="none"/>
              </w:rPr>
            </w:pPr>
            <w:r>
              <w:rPr>
                <w:color w:val="auto"/>
                <w:spacing w:val="-2"/>
                <w:sz w:val="18"/>
                <w:szCs w:val="18"/>
                <w:highlight w:val="none"/>
              </w:rPr>
              <w:t>1000≤Y＜100000</w:t>
            </w:r>
          </w:p>
        </w:tc>
        <w:tc>
          <w:tcPr>
            <w:tcW w:w="1439" w:type="dxa"/>
            <w:vAlign w:val="top"/>
          </w:tcPr>
          <w:p w14:paraId="7C3B28C1">
            <w:pPr>
              <w:pStyle w:val="9"/>
              <w:spacing w:before="80" w:line="237" w:lineRule="auto"/>
              <w:ind w:left="198"/>
              <w:rPr>
                <w:color w:val="auto"/>
                <w:sz w:val="18"/>
                <w:szCs w:val="18"/>
                <w:highlight w:val="none"/>
              </w:rPr>
            </w:pPr>
            <w:r>
              <w:rPr>
                <w:color w:val="auto"/>
                <w:spacing w:val="-2"/>
                <w:sz w:val="18"/>
                <w:szCs w:val="18"/>
                <w:highlight w:val="none"/>
              </w:rPr>
              <w:t>100≤Y＜1000</w:t>
            </w:r>
          </w:p>
        </w:tc>
        <w:tc>
          <w:tcPr>
            <w:tcW w:w="1235" w:type="dxa"/>
            <w:vAlign w:val="top"/>
          </w:tcPr>
          <w:p w14:paraId="7A53D502">
            <w:pPr>
              <w:pStyle w:val="9"/>
              <w:spacing w:before="80"/>
              <w:ind w:left="349"/>
              <w:rPr>
                <w:color w:val="auto"/>
                <w:sz w:val="18"/>
                <w:szCs w:val="18"/>
                <w:highlight w:val="none"/>
              </w:rPr>
            </w:pPr>
            <w:r>
              <w:rPr>
                <w:color w:val="auto"/>
                <w:spacing w:val="-1"/>
                <w:sz w:val="18"/>
                <w:szCs w:val="18"/>
                <w:highlight w:val="none"/>
              </w:rPr>
              <w:t>Y＜100</w:t>
            </w:r>
          </w:p>
        </w:tc>
      </w:tr>
      <w:tr w14:paraId="495EB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07101952">
            <w:pPr>
              <w:pStyle w:val="9"/>
              <w:spacing w:before="85" w:line="298" w:lineRule="auto"/>
              <w:ind w:left="677" w:right="129" w:hanging="541"/>
              <w:rPr>
                <w:color w:val="auto"/>
                <w:sz w:val="18"/>
                <w:szCs w:val="18"/>
                <w:highlight w:val="none"/>
              </w:rPr>
            </w:pPr>
            <w:r>
              <w:rPr>
                <w:b/>
                <w:bCs/>
                <w:color w:val="auto"/>
                <w:spacing w:val="-3"/>
                <w:sz w:val="18"/>
                <w:szCs w:val="18"/>
                <w:highlight w:val="none"/>
              </w:rPr>
              <w:t>软件和信息技术服</w:t>
            </w:r>
            <w:r>
              <w:rPr>
                <w:color w:val="auto"/>
                <w:spacing w:val="3"/>
                <w:sz w:val="18"/>
                <w:szCs w:val="18"/>
                <w:highlight w:val="none"/>
              </w:rPr>
              <w:t xml:space="preserve"> </w:t>
            </w:r>
            <w:r>
              <w:rPr>
                <w:b/>
                <w:bCs/>
                <w:color w:val="auto"/>
                <w:spacing w:val="-7"/>
                <w:sz w:val="18"/>
                <w:szCs w:val="18"/>
                <w:highlight w:val="none"/>
              </w:rPr>
              <w:t>务业</w:t>
            </w:r>
          </w:p>
        </w:tc>
        <w:tc>
          <w:tcPr>
            <w:tcW w:w="1383" w:type="dxa"/>
            <w:vAlign w:val="top"/>
          </w:tcPr>
          <w:p w14:paraId="03BE7678">
            <w:pPr>
              <w:pStyle w:val="9"/>
              <w:spacing w:before="79"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50521E6D">
            <w:pPr>
              <w:pStyle w:val="9"/>
              <w:spacing w:before="80" w:line="223" w:lineRule="auto"/>
              <w:ind w:left="370"/>
              <w:rPr>
                <w:color w:val="auto"/>
                <w:sz w:val="18"/>
                <w:szCs w:val="18"/>
                <w:highlight w:val="none"/>
              </w:rPr>
            </w:pPr>
            <w:r>
              <w:rPr>
                <w:color w:val="auto"/>
                <w:sz w:val="18"/>
                <w:szCs w:val="18"/>
                <w:highlight w:val="none"/>
              </w:rPr>
              <w:t>人</w:t>
            </w:r>
          </w:p>
        </w:tc>
        <w:tc>
          <w:tcPr>
            <w:tcW w:w="1619" w:type="dxa"/>
            <w:vAlign w:val="top"/>
          </w:tcPr>
          <w:p w14:paraId="74C7B5D3">
            <w:pPr>
              <w:pStyle w:val="9"/>
              <w:spacing w:before="79" w:line="237" w:lineRule="auto"/>
              <w:ind w:left="332"/>
              <w:rPr>
                <w:color w:val="auto"/>
                <w:sz w:val="18"/>
                <w:szCs w:val="18"/>
                <w:highlight w:val="none"/>
              </w:rPr>
            </w:pPr>
            <w:r>
              <w:rPr>
                <w:color w:val="auto"/>
                <w:spacing w:val="-3"/>
                <w:sz w:val="18"/>
                <w:szCs w:val="18"/>
                <w:highlight w:val="none"/>
              </w:rPr>
              <w:t>100≤X＜300</w:t>
            </w:r>
          </w:p>
        </w:tc>
        <w:tc>
          <w:tcPr>
            <w:tcW w:w="1439" w:type="dxa"/>
            <w:vAlign w:val="top"/>
          </w:tcPr>
          <w:p w14:paraId="6283F741">
            <w:pPr>
              <w:pStyle w:val="9"/>
              <w:spacing w:before="79" w:line="237" w:lineRule="auto"/>
              <w:ind w:left="289"/>
              <w:rPr>
                <w:color w:val="auto"/>
                <w:sz w:val="18"/>
                <w:szCs w:val="18"/>
                <w:highlight w:val="none"/>
              </w:rPr>
            </w:pPr>
            <w:r>
              <w:rPr>
                <w:color w:val="auto"/>
                <w:spacing w:val="-3"/>
                <w:sz w:val="18"/>
                <w:szCs w:val="18"/>
                <w:highlight w:val="none"/>
              </w:rPr>
              <w:t>10≤X＜100</w:t>
            </w:r>
          </w:p>
        </w:tc>
        <w:tc>
          <w:tcPr>
            <w:tcW w:w="1235" w:type="dxa"/>
            <w:vAlign w:val="top"/>
          </w:tcPr>
          <w:p w14:paraId="5FAC0A4D">
            <w:pPr>
              <w:pStyle w:val="9"/>
              <w:spacing w:before="80"/>
              <w:ind w:left="395"/>
              <w:rPr>
                <w:color w:val="auto"/>
                <w:sz w:val="18"/>
                <w:szCs w:val="18"/>
                <w:highlight w:val="none"/>
              </w:rPr>
            </w:pPr>
            <w:r>
              <w:rPr>
                <w:color w:val="auto"/>
                <w:spacing w:val="-2"/>
                <w:sz w:val="18"/>
                <w:szCs w:val="18"/>
                <w:highlight w:val="none"/>
              </w:rPr>
              <w:t>X＜10</w:t>
            </w:r>
          </w:p>
        </w:tc>
      </w:tr>
      <w:tr w14:paraId="06876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1B499EA9">
            <w:pPr>
              <w:rPr>
                <w:rFonts w:ascii="Arial"/>
                <w:color w:val="auto"/>
                <w:sz w:val="21"/>
                <w:highlight w:val="none"/>
              </w:rPr>
            </w:pPr>
          </w:p>
        </w:tc>
        <w:tc>
          <w:tcPr>
            <w:tcW w:w="1383" w:type="dxa"/>
            <w:vAlign w:val="top"/>
          </w:tcPr>
          <w:p w14:paraId="329F92BB">
            <w:pPr>
              <w:pStyle w:val="9"/>
              <w:spacing w:before="80"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5AADCECA">
            <w:pPr>
              <w:pStyle w:val="9"/>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20784FB7">
            <w:pPr>
              <w:pStyle w:val="9"/>
              <w:spacing w:before="79" w:line="237" w:lineRule="auto"/>
              <w:ind w:left="197"/>
              <w:rPr>
                <w:color w:val="auto"/>
                <w:sz w:val="18"/>
                <w:szCs w:val="18"/>
                <w:highlight w:val="none"/>
              </w:rPr>
            </w:pPr>
            <w:r>
              <w:rPr>
                <w:color w:val="auto"/>
                <w:spacing w:val="-2"/>
                <w:sz w:val="18"/>
                <w:szCs w:val="18"/>
                <w:highlight w:val="none"/>
              </w:rPr>
              <w:t>1000≤Y＜10000</w:t>
            </w:r>
          </w:p>
        </w:tc>
        <w:tc>
          <w:tcPr>
            <w:tcW w:w="1439" w:type="dxa"/>
            <w:vAlign w:val="top"/>
          </w:tcPr>
          <w:p w14:paraId="3EAF4A59">
            <w:pPr>
              <w:pStyle w:val="9"/>
              <w:spacing w:before="79" w:line="237" w:lineRule="auto"/>
              <w:ind w:left="234"/>
              <w:rPr>
                <w:color w:val="auto"/>
                <w:sz w:val="18"/>
                <w:szCs w:val="18"/>
                <w:highlight w:val="none"/>
              </w:rPr>
            </w:pPr>
            <w:r>
              <w:rPr>
                <w:color w:val="auto"/>
                <w:spacing w:val="-2"/>
                <w:sz w:val="18"/>
                <w:szCs w:val="18"/>
                <w:highlight w:val="none"/>
              </w:rPr>
              <w:t>50≤Y＜1000</w:t>
            </w:r>
          </w:p>
        </w:tc>
        <w:tc>
          <w:tcPr>
            <w:tcW w:w="1235" w:type="dxa"/>
            <w:vAlign w:val="top"/>
          </w:tcPr>
          <w:p w14:paraId="3B9744ED">
            <w:pPr>
              <w:pStyle w:val="9"/>
              <w:spacing w:before="80"/>
              <w:ind w:left="394"/>
              <w:rPr>
                <w:color w:val="auto"/>
                <w:sz w:val="18"/>
                <w:szCs w:val="18"/>
                <w:highlight w:val="none"/>
              </w:rPr>
            </w:pPr>
            <w:r>
              <w:rPr>
                <w:color w:val="auto"/>
                <w:spacing w:val="-2"/>
                <w:sz w:val="18"/>
                <w:szCs w:val="18"/>
                <w:highlight w:val="none"/>
              </w:rPr>
              <w:t>Y＜50</w:t>
            </w:r>
          </w:p>
        </w:tc>
      </w:tr>
      <w:tr w14:paraId="13DEC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69881FF6">
            <w:pPr>
              <w:pStyle w:val="9"/>
              <w:spacing w:before="250" w:line="220" w:lineRule="auto"/>
              <w:ind w:left="226"/>
              <w:rPr>
                <w:color w:val="auto"/>
                <w:sz w:val="18"/>
                <w:szCs w:val="18"/>
                <w:highlight w:val="none"/>
              </w:rPr>
            </w:pPr>
            <w:r>
              <w:rPr>
                <w:b/>
                <w:bCs/>
                <w:color w:val="auto"/>
                <w:spacing w:val="-3"/>
                <w:sz w:val="18"/>
                <w:szCs w:val="18"/>
                <w:highlight w:val="none"/>
              </w:rPr>
              <w:t>房地产开发经营</w:t>
            </w:r>
          </w:p>
        </w:tc>
        <w:tc>
          <w:tcPr>
            <w:tcW w:w="1383" w:type="dxa"/>
            <w:vAlign w:val="top"/>
          </w:tcPr>
          <w:p w14:paraId="7EF6D50B">
            <w:pPr>
              <w:pStyle w:val="9"/>
              <w:spacing w:before="79"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0B88D74F">
            <w:pPr>
              <w:pStyle w:val="9"/>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3D713B87">
            <w:pPr>
              <w:pStyle w:val="9"/>
              <w:spacing w:before="79" w:line="237" w:lineRule="auto"/>
              <w:ind w:left="152"/>
              <w:rPr>
                <w:color w:val="auto"/>
                <w:sz w:val="18"/>
                <w:szCs w:val="18"/>
                <w:highlight w:val="none"/>
              </w:rPr>
            </w:pPr>
            <w:r>
              <w:rPr>
                <w:color w:val="auto"/>
                <w:spacing w:val="-2"/>
                <w:sz w:val="18"/>
                <w:szCs w:val="18"/>
                <w:highlight w:val="none"/>
              </w:rPr>
              <w:t>1000≤Y＜200000</w:t>
            </w:r>
          </w:p>
        </w:tc>
        <w:tc>
          <w:tcPr>
            <w:tcW w:w="1439" w:type="dxa"/>
            <w:vAlign w:val="top"/>
          </w:tcPr>
          <w:p w14:paraId="0DCEF1FE">
            <w:pPr>
              <w:pStyle w:val="9"/>
              <w:spacing w:before="79" w:line="237" w:lineRule="auto"/>
              <w:ind w:left="198"/>
              <w:rPr>
                <w:color w:val="auto"/>
                <w:sz w:val="18"/>
                <w:szCs w:val="18"/>
                <w:highlight w:val="none"/>
              </w:rPr>
            </w:pPr>
            <w:r>
              <w:rPr>
                <w:color w:val="auto"/>
                <w:spacing w:val="-2"/>
                <w:sz w:val="18"/>
                <w:szCs w:val="18"/>
                <w:highlight w:val="none"/>
              </w:rPr>
              <w:t>100≤X＜1000</w:t>
            </w:r>
          </w:p>
        </w:tc>
        <w:tc>
          <w:tcPr>
            <w:tcW w:w="1235" w:type="dxa"/>
            <w:vAlign w:val="top"/>
          </w:tcPr>
          <w:p w14:paraId="20AD5313">
            <w:pPr>
              <w:pStyle w:val="9"/>
              <w:spacing w:before="80"/>
              <w:ind w:left="349"/>
              <w:rPr>
                <w:color w:val="auto"/>
                <w:sz w:val="18"/>
                <w:szCs w:val="18"/>
                <w:highlight w:val="none"/>
              </w:rPr>
            </w:pPr>
            <w:r>
              <w:rPr>
                <w:color w:val="auto"/>
                <w:spacing w:val="-1"/>
                <w:sz w:val="18"/>
                <w:szCs w:val="18"/>
                <w:highlight w:val="none"/>
              </w:rPr>
              <w:t>X＜100</w:t>
            </w:r>
          </w:p>
        </w:tc>
      </w:tr>
      <w:tr w14:paraId="66D41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4266F963">
            <w:pPr>
              <w:rPr>
                <w:rFonts w:ascii="Arial"/>
                <w:color w:val="auto"/>
                <w:sz w:val="21"/>
                <w:highlight w:val="none"/>
              </w:rPr>
            </w:pPr>
          </w:p>
        </w:tc>
        <w:tc>
          <w:tcPr>
            <w:tcW w:w="1383" w:type="dxa"/>
            <w:vAlign w:val="top"/>
          </w:tcPr>
          <w:p w14:paraId="5797894D">
            <w:pPr>
              <w:pStyle w:val="9"/>
              <w:spacing w:before="79" w:line="220" w:lineRule="auto"/>
              <w:ind w:left="118"/>
              <w:rPr>
                <w:color w:val="auto"/>
                <w:sz w:val="18"/>
                <w:szCs w:val="18"/>
                <w:highlight w:val="none"/>
              </w:rPr>
            </w:pPr>
            <w:r>
              <w:rPr>
                <w:color w:val="auto"/>
                <w:spacing w:val="-3"/>
                <w:sz w:val="18"/>
                <w:szCs w:val="18"/>
                <w:highlight w:val="none"/>
              </w:rPr>
              <w:t>资产总额（Z）</w:t>
            </w:r>
          </w:p>
        </w:tc>
        <w:tc>
          <w:tcPr>
            <w:tcW w:w="912" w:type="dxa"/>
            <w:vAlign w:val="top"/>
          </w:tcPr>
          <w:p w14:paraId="265649B6">
            <w:pPr>
              <w:pStyle w:val="9"/>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729F5242">
            <w:pPr>
              <w:pStyle w:val="9"/>
              <w:spacing w:before="79" w:line="237" w:lineRule="auto"/>
              <w:ind w:left="188"/>
              <w:rPr>
                <w:color w:val="auto"/>
                <w:sz w:val="18"/>
                <w:szCs w:val="18"/>
                <w:highlight w:val="none"/>
              </w:rPr>
            </w:pPr>
            <w:r>
              <w:rPr>
                <w:color w:val="auto"/>
                <w:spacing w:val="-1"/>
                <w:sz w:val="18"/>
                <w:szCs w:val="18"/>
                <w:highlight w:val="none"/>
              </w:rPr>
              <w:t>5000≤Z＜10000</w:t>
            </w:r>
          </w:p>
        </w:tc>
        <w:tc>
          <w:tcPr>
            <w:tcW w:w="1439" w:type="dxa"/>
            <w:vAlign w:val="top"/>
          </w:tcPr>
          <w:p w14:paraId="50A7FD48">
            <w:pPr>
              <w:pStyle w:val="9"/>
              <w:spacing w:before="79" w:line="237" w:lineRule="auto"/>
              <w:ind w:left="141"/>
              <w:rPr>
                <w:color w:val="auto"/>
                <w:sz w:val="18"/>
                <w:szCs w:val="18"/>
                <w:highlight w:val="none"/>
              </w:rPr>
            </w:pPr>
            <w:r>
              <w:rPr>
                <w:color w:val="auto"/>
                <w:spacing w:val="-1"/>
                <w:sz w:val="18"/>
                <w:szCs w:val="18"/>
                <w:highlight w:val="none"/>
              </w:rPr>
              <w:t>2000≤Y＜5000</w:t>
            </w:r>
          </w:p>
        </w:tc>
        <w:tc>
          <w:tcPr>
            <w:tcW w:w="1235" w:type="dxa"/>
            <w:vAlign w:val="top"/>
          </w:tcPr>
          <w:p w14:paraId="11044657">
            <w:pPr>
              <w:pStyle w:val="9"/>
              <w:spacing w:before="79"/>
              <w:ind w:left="303"/>
              <w:rPr>
                <w:color w:val="auto"/>
                <w:sz w:val="18"/>
                <w:szCs w:val="18"/>
                <w:highlight w:val="none"/>
              </w:rPr>
            </w:pPr>
            <w:r>
              <w:rPr>
                <w:color w:val="auto"/>
                <w:spacing w:val="-1"/>
                <w:sz w:val="18"/>
                <w:szCs w:val="18"/>
                <w:highlight w:val="none"/>
              </w:rPr>
              <w:t>Y＜2000</w:t>
            </w:r>
          </w:p>
        </w:tc>
      </w:tr>
      <w:tr w14:paraId="51C0E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706" w:type="dxa"/>
            <w:vMerge w:val="restart"/>
            <w:tcBorders>
              <w:bottom w:val="nil"/>
            </w:tcBorders>
            <w:vAlign w:val="top"/>
          </w:tcPr>
          <w:p w14:paraId="77F255B1">
            <w:pPr>
              <w:pStyle w:val="9"/>
              <w:spacing w:before="249" w:line="220" w:lineRule="auto"/>
              <w:ind w:left="496"/>
              <w:rPr>
                <w:color w:val="auto"/>
                <w:sz w:val="18"/>
                <w:szCs w:val="18"/>
                <w:highlight w:val="none"/>
              </w:rPr>
            </w:pPr>
            <w:r>
              <w:rPr>
                <w:b/>
                <w:bCs/>
                <w:color w:val="auto"/>
                <w:spacing w:val="-4"/>
                <w:sz w:val="18"/>
                <w:szCs w:val="18"/>
                <w:highlight w:val="none"/>
              </w:rPr>
              <w:t>物业管理</w:t>
            </w:r>
          </w:p>
        </w:tc>
        <w:tc>
          <w:tcPr>
            <w:tcW w:w="1383" w:type="dxa"/>
            <w:vAlign w:val="top"/>
          </w:tcPr>
          <w:p w14:paraId="1E0A2F8C">
            <w:pPr>
              <w:pStyle w:val="9"/>
              <w:spacing w:before="79"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374A4B78">
            <w:pPr>
              <w:pStyle w:val="9"/>
              <w:spacing w:before="79" w:line="223" w:lineRule="auto"/>
              <w:ind w:left="370"/>
              <w:rPr>
                <w:color w:val="auto"/>
                <w:sz w:val="18"/>
                <w:szCs w:val="18"/>
                <w:highlight w:val="none"/>
              </w:rPr>
            </w:pPr>
            <w:r>
              <w:rPr>
                <w:color w:val="auto"/>
                <w:sz w:val="18"/>
                <w:szCs w:val="18"/>
                <w:highlight w:val="none"/>
              </w:rPr>
              <w:t>人</w:t>
            </w:r>
          </w:p>
        </w:tc>
        <w:tc>
          <w:tcPr>
            <w:tcW w:w="1619" w:type="dxa"/>
            <w:vAlign w:val="top"/>
          </w:tcPr>
          <w:p w14:paraId="37E4E8B2">
            <w:pPr>
              <w:pStyle w:val="9"/>
              <w:spacing w:before="79" w:line="237" w:lineRule="auto"/>
              <w:ind w:left="279"/>
              <w:rPr>
                <w:color w:val="auto"/>
                <w:sz w:val="18"/>
                <w:szCs w:val="18"/>
                <w:highlight w:val="none"/>
              </w:rPr>
            </w:pPr>
            <w:r>
              <w:rPr>
                <w:color w:val="auto"/>
                <w:spacing w:val="-1"/>
                <w:sz w:val="18"/>
                <w:szCs w:val="18"/>
                <w:highlight w:val="none"/>
              </w:rPr>
              <w:t>300≤X＜1000</w:t>
            </w:r>
          </w:p>
        </w:tc>
        <w:tc>
          <w:tcPr>
            <w:tcW w:w="1439" w:type="dxa"/>
            <w:vAlign w:val="top"/>
          </w:tcPr>
          <w:p w14:paraId="2BF78140">
            <w:pPr>
              <w:pStyle w:val="9"/>
              <w:spacing w:before="79" w:line="237" w:lineRule="auto"/>
              <w:ind w:left="244"/>
              <w:rPr>
                <w:color w:val="auto"/>
                <w:sz w:val="18"/>
                <w:szCs w:val="18"/>
                <w:highlight w:val="none"/>
              </w:rPr>
            </w:pPr>
            <w:r>
              <w:rPr>
                <w:color w:val="auto"/>
                <w:spacing w:val="-3"/>
                <w:sz w:val="18"/>
                <w:szCs w:val="18"/>
                <w:highlight w:val="none"/>
              </w:rPr>
              <w:t>100≤X＜300</w:t>
            </w:r>
          </w:p>
        </w:tc>
        <w:tc>
          <w:tcPr>
            <w:tcW w:w="1235" w:type="dxa"/>
            <w:vAlign w:val="top"/>
          </w:tcPr>
          <w:p w14:paraId="385CB55B">
            <w:pPr>
              <w:pStyle w:val="9"/>
              <w:spacing w:before="79"/>
              <w:ind w:left="349"/>
              <w:rPr>
                <w:color w:val="auto"/>
                <w:sz w:val="18"/>
                <w:szCs w:val="18"/>
                <w:highlight w:val="none"/>
              </w:rPr>
            </w:pPr>
            <w:r>
              <w:rPr>
                <w:color w:val="auto"/>
                <w:spacing w:val="-1"/>
                <w:sz w:val="18"/>
                <w:szCs w:val="18"/>
                <w:highlight w:val="none"/>
              </w:rPr>
              <w:t>X＜100</w:t>
            </w:r>
          </w:p>
        </w:tc>
      </w:tr>
      <w:tr w14:paraId="371C2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67D6E07B">
            <w:pPr>
              <w:rPr>
                <w:rFonts w:ascii="Arial"/>
                <w:color w:val="auto"/>
                <w:sz w:val="21"/>
                <w:highlight w:val="none"/>
              </w:rPr>
            </w:pPr>
          </w:p>
        </w:tc>
        <w:tc>
          <w:tcPr>
            <w:tcW w:w="1383" w:type="dxa"/>
            <w:vAlign w:val="top"/>
          </w:tcPr>
          <w:p w14:paraId="7A0891B9">
            <w:pPr>
              <w:pStyle w:val="9"/>
              <w:spacing w:before="80" w:line="220" w:lineRule="auto"/>
              <w:ind w:left="116"/>
              <w:rPr>
                <w:color w:val="auto"/>
                <w:sz w:val="18"/>
                <w:szCs w:val="18"/>
                <w:highlight w:val="none"/>
              </w:rPr>
            </w:pPr>
            <w:r>
              <w:rPr>
                <w:color w:val="auto"/>
                <w:spacing w:val="-2"/>
                <w:sz w:val="18"/>
                <w:szCs w:val="18"/>
                <w:highlight w:val="none"/>
              </w:rPr>
              <w:t>营业收入（Y）</w:t>
            </w:r>
          </w:p>
        </w:tc>
        <w:tc>
          <w:tcPr>
            <w:tcW w:w="912" w:type="dxa"/>
            <w:vAlign w:val="top"/>
          </w:tcPr>
          <w:p w14:paraId="325988EF">
            <w:pPr>
              <w:pStyle w:val="9"/>
              <w:spacing w:before="79"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5C89CFB4">
            <w:pPr>
              <w:pStyle w:val="9"/>
              <w:spacing w:before="79" w:line="237" w:lineRule="auto"/>
              <w:ind w:left="243"/>
              <w:rPr>
                <w:color w:val="auto"/>
                <w:sz w:val="18"/>
                <w:szCs w:val="18"/>
                <w:highlight w:val="none"/>
              </w:rPr>
            </w:pPr>
            <w:r>
              <w:rPr>
                <w:color w:val="auto"/>
                <w:spacing w:val="-2"/>
                <w:sz w:val="18"/>
                <w:szCs w:val="18"/>
                <w:highlight w:val="none"/>
              </w:rPr>
              <w:t>1000≤Y＜5000</w:t>
            </w:r>
          </w:p>
        </w:tc>
        <w:tc>
          <w:tcPr>
            <w:tcW w:w="1439" w:type="dxa"/>
            <w:vAlign w:val="top"/>
          </w:tcPr>
          <w:p w14:paraId="03D31697">
            <w:pPr>
              <w:pStyle w:val="9"/>
              <w:spacing w:before="79" w:line="237" w:lineRule="auto"/>
              <w:ind w:left="189"/>
              <w:rPr>
                <w:color w:val="auto"/>
                <w:sz w:val="18"/>
                <w:szCs w:val="18"/>
                <w:highlight w:val="none"/>
              </w:rPr>
            </w:pPr>
            <w:r>
              <w:rPr>
                <w:color w:val="auto"/>
                <w:spacing w:val="-1"/>
                <w:sz w:val="18"/>
                <w:szCs w:val="18"/>
                <w:highlight w:val="none"/>
              </w:rPr>
              <w:t>500≤Y＜1000</w:t>
            </w:r>
          </w:p>
        </w:tc>
        <w:tc>
          <w:tcPr>
            <w:tcW w:w="1235" w:type="dxa"/>
            <w:vAlign w:val="top"/>
          </w:tcPr>
          <w:p w14:paraId="519A443C">
            <w:pPr>
              <w:pStyle w:val="9"/>
              <w:spacing w:before="80"/>
              <w:ind w:left="349"/>
              <w:rPr>
                <w:color w:val="auto"/>
                <w:sz w:val="18"/>
                <w:szCs w:val="18"/>
                <w:highlight w:val="none"/>
              </w:rPr>
            </w:pPr>
            <w:r>
              <w:rPr>
                <w:color w:val="auto"/>
                <w:spacing w:val="-1"/>
                <w:sz w:val="18"/>
                <w:szCs w:val="18"/>
                <w:highlight w:val="none"/>
              </w:rPr>
              <w:t>Y＜500</w:t>
            </w:r>
          </w:p>
        </w:tc>
      </w:tr>
      <w:tr w14:paraId="40D82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restart"/>
            <w:tcBorders>
              <w:bottom w:val="nil"/>
            </w:tcBorders>
            <w:vAlign w:val="top"/>
          </w:tcPr>
          <w:p w14:paraId="3786DA73">
            <w:pPr>
              <w:pStyle w:val="9"/>
              <w:spacing w:before="250" w:line="220" w:lineRule="auto"/>
              <w:ind w:left="135"/>
              <w:rPr>
                <w:color w:val="auto"/>
                <w:sz w:val="18"/>
                <w:szCs w:val="18"/>
                <w:highlight w:val="none"/>
              </w:rPr>
            </w:pPr>
            <w:r>
              <w:rPr>
                <w:b/>
                <w:bCs/>
                <w:color w:val="auto"/>
                <w:spacing w:val="-3"/>
                <w:sz w:val="18"/>
                <w:szCs w:val="18"/>
                <w:highlight w:val="none"/>
              </w:rPr>
              <w:t>租赁和商务服务业</w:t>
            </w:r>
          </w:p>
        </w:tc>
        <w:tc>
          <w:tcPr>
            <w:tcW w:w="1383" w:type="dxa"/>
            <w:vAlign w:val="top"/>
          </w:tcPr>
          <w:p w14:paraId="52463922">
            <w:pPr>
              <w:pStyle w:val="9"/>
              <w:spacing w:before="82"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3289A15E">
            <w:pPr>
              <w:pStyle w:val="9"/>
              <w:spacing w:before="82" w:line="223" w:lineRule="auto"/>
              <w:ind w:left="370"/>
              <w:rPr>
                <w:color w:val="auto"/>
                <w:sz w:val="18"/>
                <w:szCs w:val="18"/>
                <w:highlight w:val="none"/>
              </w:rPr>
            </w:pPr>
            <w:r>
              <w:rPr>
                <w:color w:val="auto"/>
                <w:sz w:val="18"/>
                <w:szCs w:val="18"/>
                <w:highlight w:val="none"/>
              </w:rPr>
              <w:t>人</w:t>
            </w:r>
          </w:p>
        </w:tc>
        <w:tc>
          <w:tcPr>
            <w:tcW w:w="1619" w:type="dxa"/>
            <w:vAlign w:val="top"/>
          </w:tcPr>
          <w:p w14:paraId="717543AF">
            <w:pPr>
              <w:pStyle w:val="9"/>
              <w:spacing w:before="82" w:line="237" w:lineRule="auto"/>
              <w:ind w:left="332"/>
              <w:rPr>
                <w:color w:val="auto"/>
                <w:sz w:val="18"/>
                <w:szCs w:val="18"/>
                <w:highlight w:val="none"/>
              </w:rPr>
            </w:pPr>
            <w:r>
              <w:rPr>
                <w:color w:val="auto"/>
                <w:spacing w:val="-3"/>
                <w:sz w:val="18"/>
                <w:szCs w:val="18"/>
                <w:highlight w:val="none"/>
              </w:rPr>
              <w:t>100≤X＜300</w:t>
            </w:r>
          </w:p>
        </w:tc>
        <w:tc>
          <w:tcPr>
            <w:tcW w:w="1439" w:type="dxa"/>
            <w:vAlign w:val="top"/>
          </w:tcPr>
          <w:p w14:paraId="79056084">
            <w:pPr>
              <w:pStyle w:val="9"/>
              <w:spacing w:before="82" w:line="237" w:lineRule="auto"/>
              <w:ind w:left="289"/>
              <w:rPr>
                <w:color w:val="auto"/>
                <w:sz w:val="18"/>
                <w:szCs w:val="18"/>
                <w:highlight w:val="none"/>
              </w:rPr>
            </w:pPr>
            <w:r>
              <w:rPr>
                <w:color w:val="auto"/>
                <w:spacing w:val="-3"/>
                <w:sz w:val="18"/>
                <w:szCs w:val="18"/>
                <w:highlight w:val="none"/>
              </w:rPr>
              <w:t>10≤X＜100</w:t>
            </w:r>
          </w:p>
        </w:tc>
        <w:tc>
          <w:tcPr>
            <w:tcW w:w="1235" w:type="dxa"/>
            <w:vAlign w:val="top"/>
          </w:tcPr>
          <w:p w14:paraId="0AEE034A">
            <w:pPr>
              <w:pStyle w:val="9"/>
              <w:spacing w:before="82"/>
              <w:ind w:left="395"/>
              <w:rPr>
                <w:color w:val="auto"/>
                <w:sz w:val="18"/>
                <w:szCs w:val="18"/>
                <w:highlight w:val="none"/>
              </w:rPr>
            </w:pPr>
            <w:r>
              <w:rPr>
                <w:color w:val="auto"/>
                <w:spacing w:val="-2"/>
                <w:sz w:val="18"/>
                <w:szCs w:val="18"/>
                <w:highlight w:val="none"/>
              </w:rPr>
              <w:t>X＜10</w:t>
            </w:r>
          </w:p>
        </w:tc>
      </w:tr>
      <w:tr w14:paraId="5A886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 w:hRule="atLeast"/>
        </w:trPr>
        <w:tc>
          <w:tcPr>
            <w:tcW w:w="1706" w:type="dxa"/>
            <w:vMerge w:val="continue"/>
            <w:tcBorders>
              <w:top w:val="nil"/>
            </w:tcBorders>
            <w:vAlign w:val="top"/>
          </w:tcPr>
          <w:p w14:paraId="3CB6C91D">
            <w:pPr>
              <w:rPr>
                <w:rFonts w:ascii="Arial"/>
                <w:color w:val="auto"/>
                <w:sz w:val="21"/>
                <w:highlight w:val="none"/>
              </w:rPr>
            </w:pPr>
          </w:p>
        </w:tc>
        <w:tc>
          <w:tcPr>
            <w:tcW w:w="1383" w:type="dxa"/>
            <w:vAlign w:val="top"/>
          </w:tcPr>
          <w:p w14:paraId="66CB9E13">
            <w:pPr>
              <w:pStyle w:val="9"/>
              <w:spacing w:before="82" w:line="220" w:lineRule="auto"/>
              <w:ind w:left="118"/>
              <w:rPr>
                <w:color w:val="auto"/>
                <w:sz w:val="18"/>
                <w:szCs w:val="18"/>
                <w:highlight w:val="none"/>
              </w:rPr>
            </w:pPr>
            <w:r>
              <w:rPr>
                <w:color w:val="auto"/>
                <w:spacing w:val="-3"/>
                <w:sz w:val="18"/>
                <w:szCs w:val="18"/>
                <w:highlight w:val="none"/>
              </w:rPr>
              <w:t>资产总额（Z）</w:t>
            </w:r>
          </w:p>
        </w:tc>
        <w:tc>
          <w:tcPr>
            <w:tcW w:w="912" w:type="dxa"/>
            <w:vAlign w:val="top"/>
          </w:tcPr>
          <w:p w14:paraId="6BC2ABD4">
            <w:pPr>
              <w:pStyle w:val="9"/>
              <w:spacing w:before="81" w:line="221" w:lineRule="auto"/>
              <w:ind w:left="284"/>
              <w:rPr>
                <w:color w:val="auto"/>
                <w:sz w:val="18"/>
                <w:szCs w:val="18"/>
                <w:highlight w:val="none"/>
              </w:rPr>
            </w:pPr>
            <w:r>
              <w:rPr>
                <w:color w:val="auto"/>
                <w:spacing w:val="-6"/>
                <w:sz w:val="18"/>
                <w:szCs w:val="18"/>
                <w:highlight w:val="none"/>
              </w:rPr>
              <w:t>万元</w:t>
            </w:r>
          </w:p>
        </w:tc>
        <w:tc>
          <w:tcPr>
            <w:tcW w:w="1619" w:type="dxa"/>
            <w:vAlign w:val="top"/>
          </w:tcPr>
          <w:p w14:paraId="3EF4BA23">
            <w:pPr>
              <w:pStyle w:val="9"/>
              <w:spacing w:before="81" w:line="237" w:lineRule="auto"/>
              <w:ind w:left="139"/>
              <w:rPr>
                <w:color w:val="auto"/>
                <w:sz w:val="18"/>
                <w:szCs w:val="18"/>
                <w:highlight w:val="none"/>
              </w:rPr>
            </w:pPr>
            <w:r>
              <w:rPr>
                <w:color w:val="auto"/>
                <w:spacing w:val="-1"/>
                <w:sz w:val="18"/>
                <w:szCs w:val="18"/>
                <w:highlight w:val="none"/>
              </w:rPr>
              <w:t>8000≤Z＜120000</w:t>
            </w:r>
          </w:p>
        </w:tc>
        <w:tc>
          <w:tcPr>
            <w:tcW w:w="1439" w:type="dxa"/>
            <w:vAlign w:val="top"/>
          </w:tcPr>
          <w:p w14:paraId="03496ED2">
            <w:pPr>
              <w:pStyle w:val="9"/>
              <w:spacing w:before="81" w:line="237" w:lineRule="auto"/>
              <w:ind w:left="198"/>
              <w:rPr>
                <w:color w:val="auto"/>
                <w:sz w:val="18"/>
                <w:szCs w:val="18"/>
                <w:highlight w:val="none"/>
              </w:rPr>
            </w:pPr>
            <w:r>
              <w:rPr>
                <w:color w:val="auto"/>
                <w:spacing w:val="-2"/>
                <w:sz w:val="18"/>
                <w:szCs w:val="18"/>
                <w:highlight w:val="none"/>
              </w:rPr>
              <w:t>100≤Z＜8000</w:t>
            </w:r>
          </w:p>
        </w:tc>
        <w:tc>
          <w:tcPr>
            <w:tcW w:w="1235" w:type="dxa"/>
            <w:vAlign w:val="top"/>
          </w:tcPr>
          <w:p w14:paraId="37DD2155">
            <w:pPr>
              <w:pStyle w:val="9"/>
              <w:spacing w:before="82"/>
              <w:ind w:left="349"/>
              <w:rPr>
                <w:color w:val="auto"/>
                <w:sz w:val="18"/>
                <w:szCs w:val="18"/>
                <w:highlight w:val="none"/>
              </w:rPr>
            </w:pPr>
            <w:r>
              <w:rPr>
                <w:color w:val="auto"/>
                <w:spacing w:val="-1"/>
                <w:sz w:val="18"/>
                <w:szCs w:val="18"/>
                <w:highlight w:val="none"/>
              </w:rPr>
              <w:t>Y＜100</w:t>
            </w:r>
          </w:p>
        </w:tc>
      </w:tr>
      <w:tr w14:paraId="7D03F3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706" w:type="dxa"/>
            <w:vAlign w:val="top"/>
          </w:tcPr>
          <w:p w14:paraId="6F70C202">
            <w:pPr>
              <w:pStyle w:val="9"/>
              <w:spacing w:before="82" w:line="220" w:lineRule="auto"/>
              <w:ind w:left="226"/>
              <w:rPr>
                <w:color w:val="auto"/>
                <w:sz w:val="18"/>
                <w:szCs w:val="18"/>
                <w:highlight w:val="none"/>
              </w:rPr>
            </w:pPr>
            <w:r>
              <w:rPr>
                <w:b/>
                <w:bCs/>
                <w:color w:val="auto"/>
                <w:spacing w:val="-3"/>
                <w:sz w:val="18"/>
                <w:szCs w:val="18"/>
                <w:highlight w:val="none"/>
              </w:rPr>
              <w:t>其他未列明行业</w:t>
            </w:r>
          </w:p>
        </w:tc>
        <w:tc>
          <w:tcPr>
            <w:tcW w:w="1383" w:type="dxa"/>
            <w:vAlign w:val="top"/>
          </w:tcPr>
          <w:p w14:paraId="58E8315D">
            <w:pPr>
              <w:pStyle w:val="9"/>
              <w:spacing w:before="81" w:line="221" w:lineRule="auto"/>
              <w:ind w:left="112"/>
              <w:rPr>
                <w:color w:val="auto"/>
                <w:sz w:val="18"/>
                <w:szCs w:val="18"/>
                <w:highlight w:val="none"/>
              </w:rPr>
            </w:pPr>
            <w:r>
              <w:rPr>
                <w:color w:val="auto"/>
                <w:spacing w:val="-2"/>
                <w:sz w:val="18"/>
                <w:szCs w:val="18"/>
                <w:highlight w:val="none"/>
              </w:rPr>
              <w:t>从业人员（X）</w:t>
            </w:r>
          </w:p>
        </w:tc>
        <w:tc>
          <w:tcPr>
            <w:tcW w:w="912" w:type="dxa"/>
            <w:vAlign w:val="top"/>
          </w:tcPr>
          <w:p w14:paraId="00B0B206">
            <w:pPr>
              <w:pStyle w:val="9"/>
              <w:spacing w:before="81" w:line="223" w:lineRule="auto"/>
              <w:ind w:left="370"/>
              <w:rPr>
                <w:color w:val="auto"/>
                <w:sz w:val="18"/>
                <w:szCs w:val="18"/>
                <w:highlight w:val="none"/>
              </w:rPr>
            </w:pPr>
            <w:r>
              <w:rPr>
                <w:color w:val="auto"/>
                <w:sz w:val="18"/>
                <w:szCs w:val="18"/>
                <w:highlight w:val="none"/>
              </w:rPr>
              <w:t>人</w:t>
            </w:r>
          </w:p>
        </w:tc>
        <w:tc>
          <w:tcPr>
            <w:tcW w:w="1619" w:type="dxa"/>
            <w:vAlign w:val="top"/>
          </w:tcPr>
          <w:p w14:paraId="79D80C9A">
            <w:pPr>
              <w:pStyle w:val="9"/>
              <w:spacing w:before="81" w:line="237" w:lineRule="auto"/>
              <w:ind w:left="332"/>
              <w:rPr>
                <w:color w:val="auto"/>
                <w:sz w:val="18"/>
                <w:szCs w:val="18"/>
                <w:highlight w:val="none"/>
              </w:rPr>
            </w:pPr>
            <w:r>
              <w:rPr>
                <w:color w:val="auto"/>
                <w:spacing w:val="-3"/>
                <w:sz w:val="18"/>
                <w:szCs w:val="18"/>
                <w:highlight w:val="none"/>
              </w:rPr>
              <w:t>100≤X＜300</w:t>
            </w:r>
          </w:p>
        </w:tc>
        <w:tc>
          <w:tcPr>
            <w:tcW w:w="1439" w:type="dxa"/>
            <w:vAlign w:val="top"/>
          </w:tcPr>
          <w:p w14:paraId="4311AA4B">
            <w:pPr>
              <w:pStyle w:val="9"/>
              <w:spacing w:before="81" w:line="237" w:lineRule="auto"/>
              <w:ind w:left="289"/>
              <w:rPr>
                <w:color w:val="auto"/>
                <w:sz w:val="18"/>
                <w:szCs w:val="18"/>
                <w:highlight w:val="none"/>
              </w:rPr>
            </w:pPr>
            <w:r>
              <w:rPr>
                <w:color w:val="auto"/>
                <w:spacing w:val="-3"/>
                <w:sz w:val="18"/>
                <w:szCs w:val="18"/>
                <w:highlight w:val="none"/>
              </w:rPr>
              <w:t>10≤X＜100</w:t>
            </w:r>
          </w:p>
        </w:tc>
        <w:tc>
          <w:tcPr>
            <w:tcW w:w="1235" w:type="dxa"/>
            <w:vAlign w:val="top"/>
          </w:tcPr>
          <w:p w14:paraId="27A2E77B">
            <w:pPr>
              <w:pStyle w:val="9"/>
              <w:spacing w:before="82"/>
              <w:ind w:left="395"/>
              <w:rPr>
                <w:color w:val="auto"/>
                <w:sz w:val="18"/>
                <w:szCs w:val="18"/>
                <w:highlight w:val="none"/>
              </w:rPr>
            </w:pPr>
            <w:r>
              <w:rPr>
                <w:color w:val="auto"/>
                <w:spacing w:val="-2"/>
                <w:sz w:val="18"/>
                <w:szCs w:val="18"/>
                <w:highlight w:val="none"/>
              </w:rPr>
              <w:t>X＜10</w:t>
            </w:r>
          </w:p>
        </w:tc>
      </w:tr>
    </w:tbl>
    <w:p w14:paraId="1E6A325D">
      <w:pPr>
        <w:spacing w:before="142" w:line="460" w:lineRule="auto"/>
        <w:ind w:left="11" w:firstLine="523"/>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说明：上述标准参照《关于印发中小企业划型标准规定的通知》</w:t>
      </w:r>
      <w:r>
        <w:rPr>
          <w:rFonts w:ascii="宋体" w:hAnsi="宋体" w:eastAsia="宋体" w:cs="宋体"/>
          <w:color w:val="auto"/>
          <w:spacing w:val="6"/>
          <w:sz w:val="20"/>
          <w:szCs w:val="20"/>
          <w:highlight w:val="none"/>
        </w:rPr>
        <w:t>（工信部联企业[2011]300</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号</w:t>
      </w:r>
      <w:r>
        <w:rPr>
          <w:rFonts w:ascii="宋体" w:hAnsi="宋体" w:eastAsia="宋体" w:cs="宋体"/>
          <w:color w:val="auto"/>
          <w:spacing w:val="-1"/>
          <w:sz w:val="20"/>
          <w:szCs w:val="20"/>
          <w:highlight w:val="none"/>
        </w:rPr>
        <w:t>），</w:t>
      </w:r>
      <w:r>
        <w:rPr>
          <w:rFonts w:ascii="宋体" w:hAnsi="宋体" w:eastAsia="宋体" w:cs="宋体"/>
          <w:color w:val="auto"/>
          <w:spacing w:val="8"/>
          <w:sz w:val="20"/>
          <w:szCs w:val="20"/>
          <w:highlight w:val="none"/>
        </w:rPr>
        <w:t>大型、中型和小型企业须同时满足所列指标的下限，否则下划一档；微型企业只须满足所</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列指标中的一项即可。</w:t>
      </w:r>
    </w:p>
    <w:p w14:paraId="3EF06CBD">
      <w:pPr>
        <w:spacing w:line="460" w:lineRule="auto"/>
        <w:rPr>
          <w:rFonts w:ascii="宋体" w:hAnsi="宋体" w:eastAsia="宋体" w:cs="宋体"/>
          <w:color w:val="auto"/>
          <w:sz w:val="20"/>
          <w:szCs w:val="20"/>
          <w:highlight w:val="none"/>
        </w:rPr>
        <w:sectPr>
          <w:headerReference r:id="rId17" w:type="default"/>
          <w:footerReference r:id="rId18" w:type="default"/>
          <w:pgSz w:w="11905" w:h="16839"/>
          <w:pgMar w:top="960" w:right="1586" w:bottom="1055" w:left="1587" w:header="945" w:footer="819" w:gutter="0"/>
          <w:cols w:space="720" w:num="1"/>
        </w:sectPr>
      </w:pPr>
    </w:p>
    <w:p w14:paraId="693774BE">
      <w:pPr>
        <w:spacing w:before="140" w:line="223" w:lineRule="auto"/>
        <w:ind w:left="3110"/>
        <w:outlineLvl w:val="0"/>
        <w:rPr>
          <w:rFonts w:ascii="宋体" w:hAnsi="宋体" w:eastAsia="宋体" w:cs="宋体"/>
          <w:color w:val="auto"/>
          <w:sz w:val="36"/>
          <w:szCs w:val="36"/>
          <w:highlight w:val="none"/>
        </w:rPr>
      </w:pPr>
      <w:bookmarkStart w:id="3" w:name="_Toc18396"/>
      <w:r>
        <w:rPr>
          <w:rFonts w:ascii="宋体" w:hAnsi="宋体" w:eastAsia="宋体" w:cs="宋体"/>
          <w:b/>
          <w:bCs/>
          <w:color w:val="auto"/>
          <w:spacing w:val="4"/>
          <w:sz w:val="36"/>
          <w:szCs w:val="36"/>
          <w:highlight w:val="none"/>
        </w:rPr>
        <w:t>第三章</w:t>
      </w:r>
      <w:r>
        <w:rPr>
          <w:rFonts w:ascii="宋体" w:hAnsi="宋体" w:eastAsia="宋体" w:cs="宋体"/>
          <w:color w:val="auto"/>
          <w:spacing w:val="4"/>
          <w:sz w:val="36"/>
          <w:szCs w:val="36"/>
          <w:highlight w:val="none"/>
        </w:rPr>
        <w:t xml:space="preserve"> </w:t>
      </w:r>
      <w:r>
        <w:rPr>
          <w:rFonts w:ascii="宋体" w:hAnsi="宋体" w:eastAsia="宋体" w:cs="宋体"/>
          <w:b/>
          <w:bCs/>
          <w:color w:val="auto"/>
          <w:spacing w:val="4"/>
          <w:sz w:val="36"/>
          <w:szCs w:val="36"/>
          <w:highlight w:val="none"/>
        </w:rPr>
        <w:t>供应商须知</w:t>
      </w:r>
      <w:bookmarkEnd w:id="3"/>
    </w:p>
    <w:p w14:paraId="1263995C">
      <w:pPr>
        <w:spacing w:before="201" w:line="225" w:lineRule="auto"/>
        <w:ind w:left="3141"/>
        <w:jc w:val="both"/>
        <w:outlineLvl w:val="1"/>
        <w:rPr>
          <w:rFonts w:ascii="宋体" w:hAnsi="宋体" w:eastAsia="宋体" w:cs="宋体"/>
          <w:color w:val="auto"/>
          <w:sz w:val="28"/>
          <w:szCs w:val="28"/>
          <w:highlight w:val="none"/>
        </w:rPr>
      </w:pPr>
      <w:bookmarkStart w:id="4" w:name="_Toc25135"/>
      <w:r>
        <w:rPr>
          <w:rFonts w:ascii="宋体" w:hAnsi="宋体" w:eastAsia="宋体" w:cs="宋体"/>
          <w:color w:val="auto"/>
          <w:spacing w:val="8"/>
          <w:sz w:val="28"/>
          <w:szCs w:val="28"/>
          <w:highlight w:val="none"/>
        </w:rPr>
        <w:t>第一节 供应商须知前附表</w:t>
      </w:r>
      <w:bookmarkEnd w:id="4"/>
    </w:p>
    <w:p w14:paraId="23543AF2">
      <w:pPr>
        <w:spacing w:line="112" w:lineRule="exact"/>
        <w:rPr>
          <w:color w:val="auto"/>
          <w:highlight w:val="none"/>
        </w:rPr>
      </w:pPr>
    </w:p>
    <w:tbl>
      <w:tblPr>
        <w:tblStyle w:val="8"/>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2242"/>
        <w:gridCol w:w="6829"/>
      </w:tblGrid>
      <w:tr w14:paraId="00F2A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63" w:type="dxa"/>
            <w:vAlign w:val="top"/>
          </w:tcPr>
          <w:p w14:paraId="4F6D0C16">
            <w:pPr>
              <w:pStyle w:val="9"/>
              <w:spacing w:before="145" w:line="228" w:lineRule="auto"/>
              <w:ind w:left="121"/>
              <w:rPr>
                <w:color w:val="auto"/>
                <w:highlight w:val="none"/>
              </w:rPr>
            </w:pPr>
            <w:r>
              <w:rPr>
                <w:b/>
                <w:bCs/>
                <w:color w:val="auto"/>
                <w:spacing w:val="5"/>
                <w:highlight w:val="none"/>
              </w:rPr>
              <w:t>条款号</w:t>
            </w:r>
          </w:p>
        </w:tc>
        <w:tc>
          <w:tcPr>
            <w:tcW w:w="2242" w:type="dxa"/>
            <w:vAlign w:val="top"/>
          </w:tcPr>
          <w:p w14:paraId="19FA316C">
            <w:pPr>
              <w:pStyle w:val="9"/>
              <w:spacing w:before="145" w:line="228" w:lineRule="auto"/>
              <w:ind w:left="797"/>
              <w:rPr>
                <w:color w:val="auto"/>
                <w:highlight w:val="none"/>
              </w:rPr>
            </w:pPr>
            <w:r>
              <w:rPr>
                <w:b/>
                <w:bCs/>
                <w:color w:val="auto"/>
                <w:spacing w:val="6"/>
                <w:highlight w:val="none"/>
              </w:rPr>
              <w:t>条款内容</w:t>
            </w:r>
          </w:p>
        </w:tc>
        <w:tc>
          <w:tcPr>
            <w:tcW w:w="6829" w:type="dxa"/>
            <w:vAlign w:val="top"/>
          </w:tcPr>
          <w:p w14:paraId="10DE526C">
            <w:pPr>
              <w:pStyle w:val="9"/>
              <w:spacing w:before="144" w:line="230" w:lineRule="auto"/>
              <w:ind w:left="2909"/>
              <w:rPr>
                <w:color w:val="auto"/>
                <w:highlight w:val="none"/>
              </w:rPr>
            </w:pPr>
            <w:r>
              <w:rPr>
                <w:b/>
                <w:bCs/>
                <w:color w:val="auto"/>
                <w:spacing w:val="5"/>
                <w:highlight w:val="none"/>
              </w:rPr>
              <w:t>具体要求</w:t>
            </w:r>
          </w:p>
        </w:tc>
      </w:tr>
      <w:tr w14:paraId="7E2FB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3" w:type="dxa"/>
            <w:vAlign w:val="top"/>
          </w:tcPr>
          <w:p w14:paraId="747EC498">
            <w:pPr>
              <w:pStyle w:val="9"/>
              <w:spacing w:before="141" w:line="234" w:lineRule="auto"/>
              <w:ind w:left="285"/>
              <w:rPr>
                <w:color w:val="auto"/>
                <w:highlight w:val="none"/>
              </w:rPr>
            </w:pPr>
            <w:r>
              <w:rPr>
                <w:color w:val="auto"/>
                <w:spacing w:val="1"/>
                <w:highlight w:val="none"/>
              </w:rPr>
              <w:t>3.1</w:t>
            </w:r>
          </w:p>
        </w:tc>
        <w:tc>
          <w:tcPr>
            <w:tcW w:w="2242" w:type="dxa"/>
            <w:vAlign w:val="top"/>
          </w:tcPr>
          <w:p w14:paraId="49455DBA">
            <w:pPr>
              <w:pStyle w:val="9"/>
              <w:spacing w:before="140" w:line="228" w:lineRule="auto"/>
              <w:ind w:left="481"/>
              <w:rPr>
                <w:color w:val="auto"/>
                <w:highlight w:val="none"/>
              </w:rPr>
            </w:pPr>
            <w:r>
              <w:rPr>
                <w:color w:val="auto"/>
                <w:spacing w:val="8"/>
                <w:highlight w:val="none"/>
              </w:rPr>
              <w:t>供应商资格条件</w:t>
            </w:r>
          </w:p>
        </w:tc>
        <w:tc>
          <w:tcPr>
            <w:tcW w:w="6829" w:type="dxa"/>
            <w:vAlign w:val="top"/>
          </w:tcPr>
          <w:p w14:paraId="5AEA6B0D">
            <w:pPr>
              <w:pStyle w:val="9"/>
              <w:spacing w:before="141" w:line="227" w:lineRule="auto"/>
              <w:ind w:left="111"/>
              <w:rPr>
                <w:color w:val="auto"/>
                <w:highlight w:val="none"/>
              </w:rPr>
            </w:pPr>
            <w:r>
              <w:rPr>
                <w:color w:val="auto"/>
                <w:spacing w:val="8"/>
                <w:highlight w:val="none"/>
              </w:rPr>
              <w:t>供应商资格条件要求详见公告。</w:t>
            </w:r>
          </w:p>
        </w:tc>
      </w:tr>
      <w:tr w14:paraId="040A6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3" w:type="dxa"/>
            <w:vAlign w:val="top"/>
          </w:tcPr>
          <w:p w14:paraId="4E7E9CCC">
            <w:pPr>
              <w:pStyle w:val="9"/>
              <w:spacing w:before="141" w:line="234" w:lineRule="auto"/>
              <w:ind w:left="285"/>
              <w:rPr>
                <w:color w:val="auto"/>
                <w:highlight w:val="none"/>
              </w:rPr>
            </w:pPr>
            <w:r>
              <w:rPr>
                <w:color w:val="auto"/>
                <w:spacing w:val="1"/>
                <w:highlight w:val="none"/>
              </w:rPr>
              <w:t>5.1</w:t>
            </w:r>
          </w:p>
        </w:tc>
        <w:tc>
          <w:tcPr>
            <w:tcW w:w="2242" w:type="dxa"/>
            <w:vAlign w:val="top"/>
          </w:tcPr>
          <w:p w14:paraId="6FBB36A5">
            <w:pPr>
              <w:pStyle w:val="9"/>
              <w:spacing w:before="141" w:line="229" w:lineRule="auto"/>
              <w:ind w:left="275"/>
              <w:rPr>
                <w:color w:val="auto"/>
                <w:highlight w:val="none"/>
              </w:rPr>
            </w:pPr>
            <w:r>
              <w:rPr>
                <w:color w:val="auto"/>
                <w:spacing w:val="8"/>
                <w:highlight w:val="none"/>
              </w:rPr>
              <w:t>是否接受联合体竞标</w:t>
            </w:r>
          </w:p>
        </w:tc>
        <w:tc>
          <w:tcPr>
            <w:tcW w:w="6829" w:type="dxa"/>
            <w:vAlign w:val="top"/>
          </w:tcPr>
          <w:p w14:paraId="5056C5B0">
            <w:pPr>
              <w:pStyle w:val="9"/>
              <w:spacing w:before="142" w:line="228" w:lineRule="auto"/>
              <w:ind w:left="115"/>
              <w:rPr>
                <w:color w:val="auto"/>
                <w:highlight w:val="none"/>
              </w:rPr>
            </w:pPr>
            <w:r>
              <w:rPr>
                <w:color w:val="auto"/>
                <w:spacing w:val="8"/>
                <w:highlight w:val="none"/>
              </w:rPr>
              <w:t>不允许联合体投标</w:t>
            </w:r>
          </w:p>
        </w:tc>
      </w:tr>
      <w:tr w14:paraId="5695B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3" w:type="dxa"/>
            <w:vAlign w:val="top"/>
          </w:tcPr>
          <w:p w14:paraId="015FB7E8">
            <w:pPr>
              <w:pStyle w:val="9"/>
              <w:spacing w:before="142" w:line="233" w:lineRule="auto"/>
              <w:ind w:left="285"/>
              <w:rPr>
                <w:color w:val="auto"/>
                <w:highlight w:val="none"/>
              </w:rPr>
            </w:pPr>
            <w:r>
              <w:rPr>
                <w:color w:val="auto"/>
                <w:spacing w:val="1"/>
                <w:highlight w:val="none"/>
              </w:rPr>
              <w:t>5.2</w:t>
            </w:r>
          </w:p>
        </w:tc>
        <w:tc>
          <w:tcPr>
            <w:tcW w:w="2242" w:type="dxa"/>
            <w:vAlign w:val="top"/>
          </w:tcPr>
          <w:p w14:paraId="430F033B">
            <w:pPr>
              <w:pStyle w:val="9"/>
              <w:spacing w:before="142" w:line="229" w:lineRule="auto"/>
              <w:ind w:left="481"/>
              <w:rPr>
                <w:color w:val="auto"/>
                <w:highlight w:val="none"/>
              </w:rPr>
            </w:pPr>
            <w:r>
              <w:rPr>
                <w:color w:val="auto"/>
                <w:spacing w:val="8"/>
                <w:highlight w:val="none"/>
              </w:rPr>
              <w:t>联合体竞标要求</w:t>
            </w:r>
          </w:p>
        </w:tc>
        <w:tc>
          <w:tcPr>
            <w:tcW w:w="6829" w:type="dxa"/>
            <w:vAlign w:val="top"/>
          </w:tcPr>
          <w:p w14:paraId="350214C8">
            <w:pPr>
              <w:pStyle w:val="9"/>
              <w:spacing w:before="142" w:line="229" w:lineRule="auto"/>
              <w:ind w:left="113"/>
              <w:rPr>
                <w:color w:val="auto"/>
                <w:highlight w:val="none"/>
              </w:rPr>
            </w:pPr>
            <w:r>
              <w:rPr>
                <w:color w:val="auto"/>
                <w:highlight w:val="none"/>
              </w:rPr>
              <w:t>无</w:t>
            </w:r>
          </w:p>
        </w:tc>
      </w:tr>
      <w:tr w14:paraId="28359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3" w:type="dxa"/>
            <w:vAlign w:val="top"/>
          </w:tcPr>
          <w:p w14:paraId="5AB68AD7">
            <w:pPr>
              <w:pStyle w:val="9"/>
              <w:spacing w:before="142" w:line="233" w:lineRule="auto"/>
              <w:ind w:left="282"/>
              <w:rPr>
                <w:color w:val="auto"/>
                <w:highlight w:val="none"/>
              </w:rPr>
            </w:pPr>
            <w:r>
              <w:rPr>
                <w:color w:val="auto"/>
                <w:spacing w:val="1"/>
                <w:highlight w:val="none"/>
              </w:rPr>
              <w:t>6.1</w:t>
            </w:r>
          </w:p>
        </w:tc>
        <w:tc>
          <w:tcPr>
            <w:tcW w:w="2242" w:type="dxa"/>
            <w:vAlign w:val="top"/>
          </w:tcPr>
          <w:p w14:paraId="68A8A0D6">
            <w:pPr>
              <w:pStyle w:val="9"/>
              <w:spacing w:before="142" w:line="228" w:lineRule="auto"/>
              <w:ind w:left="590"/>
              <w:rPr>
                <w:color w:val="auto"/>
                <w:highlight w:val="none"/>
              </w:rPr>
            </w:pPr>
            <w:r>
              <w:rPr>
                <w:color w:val="auto"/>
                <w:spacing w:val="7"/>
                <w:highlight w:val="none"/>
              </w:rPr>
              <w:t>是否允许分包</w:t>
            </w:r>
          </w:p>
        </w:tc>
        <w:tc>
          <w:tcPr>
            <w:tcW w:w="6829" w:type="dxa"/>
            <w:vAlign w:val="top"/>
          </w:tcPr>
          <w:p w14:paraId="54020856">
            <w:pPr>
              <w:pStyle w:val="9"/>
              <w:spacing w:before="142" w:line="228" w:lineRule="auto"/>
              <w:ind w:left="115"/>
              <w:rPr>
                <w:color w:val="auto"/>
                <w:highlight w:val="none"/>
              </w:rPr>
            </w:pPr>
            <w:r>
              <w:rPr>
                <w:color w:val="auto"/>
                <w:spacing w:val="7"/>
                <w:highlight w:val="none"/>
              </w:rPr>
              <w:t>不允许分包</w:t>
            </w:r>
          </w:p>
        </w:tc>
      </w:tr>
      <w:tr w14:paraId="15DCE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5" w:hRule="atLeast"/>
        </w:trPr>
        <w:tc>
          <w:tcPr>
            <w:tcW w:w="863" w:type="dxa"/>
            <w:vAlign w:val="top"/>
          </w:tcPr>
          <w:p w14:paraId="6630C481">
            <w:pPr>
              <w:spacing w:line="241" w:lineRule="auto"/>
              <w:rPr>
                <w:rFonts w:ascii="Arial"/>
                <w:color w:val="auto"/>
                <w:sz w:val="21"/>
                <w:highlight w:val="none"/>
              </w:rPr>
            </w:pPr>
          </w:p>
          <w:p w14:paraId="1BD5AC29">
            <w:pPr>
              <w:spacing w:line="241" w:lineRule="auto"/>
              <w:rPr>
                <w:rFonts w:ascii="Arial"/>
                <w:color w:val="auto"/>
                <w:sz w:val="21"/>
                <w:highlight w:val="none"/>
              </w:rPr>
            </w:pPr>
          </w:p>
          <w:p w14:paraId="20961538">
            <w:pPr>
              <w:spacing w:line="241" w:lineRule="auto"/>
              <w:rPr>
                <w:rFonts w:ascii="Arial"/>
                <w:color w:val="auto"/>
                <w:sz w:val="21"/>
                <w:highlight w:val="none"/>
              </w:rPr>
            </w:pPr>
          </w:p>
          <w:p w14:paraId="5895050D">
            <w:pPr>
              <w:spacing w:line="241" w:lineRule="auto"/>
              <w:rPr>
                <w:rFonts w:ascii="Arial"/>
                <w:color w:val="auto"/>
                <w:sz w:val="21"/>
                <w:highlight w:val="none"/>
              </w:rPr>
            </w:pPr>
          </w:p>
          <w:p w14:paraId="089FD345">
            <w:pPr>
              <w:spacing w:line="241" w:lineRule="auto"/>
              <w:rPr>
                <w:rFonts w:ascii="Arial"/>
                <w:color w:val="auto"/>
                <w:sz w:val="21"/>
                <w:highlight w:val="none"/>
              </w:rPr>
            </w:pPr>
          </w:p>
          <w:p w14:paraId="234CD6BE">
            <w:pPr>
              <w:spacing w:line="241" w:lineRule="auto"/>
              <w:rPr>
                <w:rFonts w:ascii="Arial"/>
                <w:color w:val="auto"/>
                <w:sz w:val="21"/>
                <w:highlight w:val="none"/>
              </w:rPr>
            </w:pPr>
          </w:p>
          <w:p w14:paraId="6D900039">
            <w:pPr>
              <w:spacing w:line="241" w:lineRule="auto"/>
              <w:rPr>
                <w:rFonts w:ascii="Arial"/>
                <w:color w:val="auto"/>
                <w:sz w:val="21"/>
                <w:highlight w:val="none"/>
              </w:rPr>
            </w:pPr>
          </w:p>
          <w:p w14:paraId="2306CA53">
            <w:pPr>
              <w:spacing w:line="242" w:lineRule="auto"/>
              <w:rPr>
                <w:rFonts w:ascii="Arial"/>
                <w:color w:val="auto"/>
                <w:sz w:val="21"/>
                <w:highlight w:val="none"/>
              </w:rPr>
            </w:pPr>
          </w:p>
          <w:p w14:paraId="2DCFA03A">
            <w:pPr>
              <w:spacing w:line="242" w:lineRule="auto"/>
              <w:rPr>
                <w:rFonts w:ascii="Arial"/>
                <w:color w:val="auto"/>
                <w:sz w:val="21"/>
                <w:highlight w:val="none"/>
              </w:rPr>
            </w:pPr>
          </w:p>
          <w:p w14:paraId="61E7D920">
            <w:pPr>
              <w:spacing w:line="242" w:lineRule="auto"/>
              <w:rPr>
                <w:rFonts w:ascii="Arial"/>
                <w:color w:val="auto"/>
                <w:sz w:val="21"/>
                <w:highlight w:val="none"/>
              </w:rPr>
            </w:pPr>
          </w:p>
          <w:p w14:paraId="54E82244">
            <w:pPr>
              <w:spacing w:line="242" w:lineRule="auto"/>
              <w:rPr>
                <w:rFonts w:ascii="Arial"/>
                <w:color w:val="auto"/>
                <w:sz w:val="21"/>
                <w:highlight w:val="none"/>
              </w:rPr>
            </w:pPr>
          </w:p>
          <w:p w14:paraId="0518FB2F">
            <w:pPr>
              <w:spacing w:line="242" w:lineRule="auto"/>
              <w:rPr>
                <w:rFonts w:ascii="Arial"/>
                <w:color w:val="auto"/>
                <w:sz w:val="21"/>
                <w:highlight w:val="none"/>
              </w:rPr>
            </w:pPr>
          </w:p>
          <w:p w14:paraId="0C12EE33">
            <w:pPr>
              <w:spacing w:line="242" w:lineRule="auto"/>
              <w:rPr>
                <w:rFonts w:ascii="Arial"/>
                <w:color w:val="auto"/>
                <w:sz w:val="21"/>
                <w:highlight w:val="none"/>
              </w:rPr>
            </w:pPr>
          </w:p>
          <w:p w14:paraId="04F972F7">
            <w:pPr>
              <w:spacing w:line="242" w:lineRule="auto"/>
              <w:rPr>
                <w:rFonts w:ascii="Arial"/>
                <w:color w:val="auto"/>
                <w:sz w:val="21"/>
                <w:highlight w:val="none"/>
              </w:rPr>
            </w:pPr>
          </w:p>
          <w:p w14:paraId="75365EA5">
            <w:pPr>
              <w:spacing w:line="242" w:lineRule="auto"/>
              <w:rPr>
                <w:rFonts w:ascii="Arial"/>
                <w:color w:val="auto"/>
                <w:sz w:val="21"/>
                <w:highlight w:val="none"/>
              </w:rPr>
            </w:pPr>
          </w:p>
          <w:p w14:paraId="002B075C">
            <w:pPr>
              <w:spacing w:line="242" w:lineRule="auto"/>
              <w:rPr>
                <w:rFonts w:ascii="Arial"/>
                <w:color w:val="auto"/>
                <w:sz w:val="21"/>
                <w:highlight w:val="none"/>
              </w:rPr>
            </w:pPr>
          </w:p>
          <w:p w14:paraId="2118B3FE">
            <w:pPr>
              <w:spacing w:line="242" w:lineRule="auto"/>
              <w:rPr>
                <w:rFonts w:ascii="Arial"/>
                <w:color w:val="auto"/>
                <w:sz w:val="21"/>
                <w:highlight w:val="none"/>
              </w:rPr>
            </w:pPr>
          </w:p>
          <w:p w14:paraId="6831FEF7">
            <w:pPr>
              <w:spacing w:line="242" w:lineRule="auto"/>
              <w:rPr>
                <w:rFonts w:ascii="Arial"/>
                <w:color w:val="auto"/>
                <w:sz w:val="21"/>
                <w:highlight w:val="none"/>
              </w:rPr>
            </w:pPr>
          </w:p>
          <w:p w14:paraId="40AC0148">
            <w:pPr>
              <w:spacing w:line="242" w:lineRule="auto"/>
              <w:rPr>
                <w:rFonts w:ascii="Arial"/>
                <w:color w:val="auto"/>
                <w:sz w:val="21"/>
                <w:highlight w:val="none"/>
              </w:rPr>
            </w:pPr>
          </w:p>
          <w:p w14:paraId="63834BDC">
            <w:pPr>
              <w:spacing w:line="242" w:lineRule="auto"/>
              <w:rPr>
                <w:rFonts w:ascii="Arial"/>
                <w:color w:val="auto"/>
                <w:sz w:val="21"/>
                <w:highlight w:val="none"/>
              </w:rPr>
            </w:pPr>
          </w:p>
          <w:p w14:paraId="6D1018A9">
            <w:pPr>
              <w:spacing w:line="242" w:lineRule="auto"/>
              <w:rPr>
                <w:rFonts w:ascii="Arial"/>
                <w:color w:val="auto"/>
                <w:sz w:val="21"/>
                <w:highlight w:val="none"/>
              </w:rPr>
            </w:pPr>
          </w:p>
          <w:p w14:paraId="7CC6ACB3">
            <w:pPr>
              <w:spacing w:line="242" w:lineRule="auto"/>
              <w:rPr>
                <w:rFonts w:ascii="Arial"/>
                <w:color w:val="auto"/>
                <w:sz w:val="21"/>
                <w:highlight w:val="none"/>
              </w:rPr>
            </w:pPr>
          </w:p>
          <w:p w14:paraId="3841209F">
            <w:pPr>
              <w:pStyle w:val="9"/>
              <w:spacing w:before="65" w:line="269" w:lineRule="exact"/>
              <w:ind w:left="138"/>
              <w:rPr>
                <w:color w:val="auto"/>
                <w:highlight w:val="none"/>
              </w:rPr>
            </w:pPr>
            <w:r>
              <w:rPr>
                <w:color w:val="auto"/>
                <w:spacing w:val="1"/>
                <w:position w:val="1"/>
                <w:highlight w:val="none"/>
              </w:rPr>
              <w:t>12.1.1</w:t>
            </w:r>
          </w:p>
        </w:tc>
        <w:tc>
          <w:tcPr>
            <w:tcW w:w="2242" w:type="dxa"/>
            <w:vAlign w:val="top"/>
          </w:tcPr>
          <w:p w14:paraId="6B0ADF7B">
            <w:pPr>
              <w:spacing w:line="241" w:lineRule="auto"/>
              <w:rPr>
                <w:rFonts w:ascii="Arial"/>
                <w:color w:val="auto"/>
                <w:sz w:val="21"/>
                <w:highlight w:val="none"/>
              </w:rPr>
            </w:pPr>
          </w:p>
          <w:p w14:paraId="203F73B2">
            <w:pPr>
              <w:spacing w:line="241" w:lineRule="auto"/>
              <w:rPr>
                <w:rFonts w:ascii="Arial"/>
                <w:color w:val="auto"/>
                <w:sz w:val="21"/>
                <w:highlight w:val="none"/>
              </w:rPr>
            </w:pPr>
          </w:p>
          <w:p w14:paraId="0B61FCE2">
            <w:pPr>
              <w:spacing w:line="241" w:lineRule="auto"/>
              <w:rPr>
                <w:rFonts w:ascii="Arial"/>
                <w:color w:val="auto"/>
                <w:sz w:val="21"/>
                <w:highlight w:val="none"/>
              </w:rPr>
            </w:pPr>
          </w:p>
          <w:p w14:paraId="18BE9E32">
            <w:pPr>
              <w:spacing w:line="241" w:lineRule="auto"/>
              <w:rPr>
                <w:rFonts w:ascii="Arial"/>
                <w:color w:val="auto"/>
                <w:sz w:val="21"/>
                <w:highlight w:val="none"/>
              </w:rPr>
            </w:pPr>
          </w:p>
          <w:p w14:paraId="139B2E6F">
            <w:pPr>
              <w:spacing w:line="241" w:lineRule="auto"/>
              <w:rPr>
                <w:rFonts w:ascii="Arial"/>
                <w:color w:val="auto"/>
                <w:sz w:val="21"/>
                <w:highlight w:val="none"/>
              </w:rPr>
            </w:pPr>
          </w:p>
          <w:p w14:paraId="45D5F15F">
            <w:pPr>
              <w:spacing w:line="241" w:lineRule="auto"/>
              <w:rPr>
                <w:rFonts w:ascii="Arial"/>
                <w:color w:val="auto"/>
                <w:sz w:val="21"/>
                <w:highlight w:val="none"/>
              </w:rPr>
            </w:pPr>
          </w:p>
          <w:p w14:paraId="18D7B7A9">
            <w:pPr>
              <w:spacing w:line="242" w:lineRule="auto"/>
              <w:rPr>
                <w:rFonts w:ascii="Arial"/>
                <w:color w:val="auto"/>
                <w:sz w:val="21"/>
                <w:highlight w:val="none"/>
              </w:rPr>
            </w:pPr>
          </w:p>
          <w:p w14:paraId="76616450">
            <w:pPr>
              <w:spacing w:line="242" w:lineRule="auto"/>
              <w:rPr>
                <w:rFonts w:ascii="Arial"/>
                <w:color w:val="auto"/>
                <w:sz w:val="21"/>
                <w:highlight w:val="none"/>
              </w:rPr>
            </w:pPr>
          </w:p>
          <w:p w14:paraId="768BE62D">
            <w:pPr>
              <w:spacing w:line="242" w:lineRule="auto"/>
              <w:rPr>
                <w:rFonts w:ascii="Arial"/>
                <w:color w:val="auto"/>
                <w:sz w:val="21"/>
                <w:highlight w:val="none"/>
              </w:rPr>
            </w:pPr>
          </w:p>
          <w:p w14:paraId="5ABCB7EC">
            <w:pPr>
              <w:spacing w:line="242" w:lineRule="auto"/>
              <w:rPr>
                <w:rFonts w:ascii="Arial"/>
                <w:color w:val="auto"/>
                <w:sz w:val="21"/>
                <w:highlight w:val="none"/>
              </w:rPr>
            </w:pPr>
          </w:p>
          <w:p w14:paraId="55FC70C6">
            <w:pPr>
              <w:spacing w:line="242" w:lineRule="auto"/>
              <w:rPr>
                <w:rFonts w:ascii="Arial"/>
                <w:color w:val="auto"/>
                <w:sz w:val="21"/>
                <w:highlight w:val="none"/>
              </w:rPr>
            </w:pPr>
          </w:p>
          <w:p w14:paraId="6DA2FF78">
            <w:pPr>
              <w:spacing w:line="242" w:lineRule="auto"/>
              <w:rPr>
                <w:rFonts w:ascii="Arial"/>
                <w:color w:val="auto"/>
                <w:sz w:val="21"/>
                <w:highlight w:val="none"/>
              </w:rPr>
            </w:pPr>
          </w:p>
          <w:p w14:paraId="267CE0A5">
            <w:pPr>
              <w:spacing w:line="242" w:lineRule="auto"/>
              <w:rPr>
                <w:rFonts w:ascii="Arial"/>
                <w:color w:val="auto"/>
                <w:sz w:val="21"/>
                <w:highlight w:val="none"/>
              </w:rPr>
            </w:pPr>
          </w:p>
          <w:p w14:paraId="55097979">
            <w:pPr>
              <w:spacing w:line="242" w:lineRule="auto"/>
              <w:rPr>
                <w:rFonts w:ascii="Arial"/>
                <w:color w:val="auto"/>
                <w:sz w:val="21"/>
                <w:highlight w:val="none"/>
              </w:rPr>
            </w:pPr>
          </w:p>
          <w:p w14:paraId="14C60298">
            <w:pPr>
              <w:spacing w:line="242" w:lineRule="auto"/>
              <w:rPr>
                <w:rFonts w:ascii="Arial"/>
                <w:color w:val="auto"/>
                <w:sz w:val="21"/>
                <w:highlight w:val="none"/>
              </w:rPr>
            </w:pPr>
          </w:p>
          <w:p w14:paraId="5133DD05">
            <w:pPr>
              <w:spacing w:line="242" w:lineRule="auto"/>
              <w:rPr>
                <w:rFonts w:ascii="Arial"/>
                <w:color w:val="auto"/>
                <w:sz w:val="21"/>
                <w:highlight w:val="none"/>
              </w:rPr>
            </w:pPr>
          </w:p>
          <w:p w14:paraId="5D0FA857">
            <w:pPr>
              <w:spacing w:line="242" w:lineRule="auto"/>
              <w:rPr>
                <w:rFonts w:ascii="Arial"/>
                <w:color w:val="auto"/>
                <w:sz w:val="21"/>
                <w:highlight w:val="none"/>
              </w:rPr>
            </w:pPr>
          </w:p>
          <w:p w14:paraId="09E00B41">
            <w:pPr>
              <w:spacing w:line="242" w:lineRule="auto"/>
              <w:rPr>
                <w:rFonts w:ascii="Arial"/>
                <w:color w:val="auto"/>
                <w:sz w:val="21"/>
                <w:highlight w:val="none"/>
              </w:rPr>
            </w:pPr>
          </w:p>
          <w:p w14:paraId="2C85990B">
            <w:pPr>
              <w:spacing w:line="242" w:lineRule="auto"/>
              <w:rPr>
                <w:rFonts w:ascii="Arial"/>
                <w:color w:val="auto"/>
                <w:sz w:val="21"/>
                <w:highlight w:val="none"/>
              </w:rPr>
            </w:pPr>
          </w:p>
          <w:p w14:paraId="78DC7859">
            <w:pPr>
              <w:spacing w:line="242" w:lineRule="auto"/>
              <w:rPr>
                <w:rFonts w:ascii="Arial"/>
                <w:color w:val="auto"/>
                <w:sz w:val="21"/>
                <w:highlight w:val="none"/>
              </w:rPr>
            </w:pPr>
          </w:p>
          <w:p w14:paraId="22EA3EC6">
            <w:pPr>
              <w:spacing w:line="242" w:lineRule="auto"/>
              <w:rPr>
                <w:rFonts w:ascii="Arial"/>
                <w:color w:val="auto"/>
                <w:sz w:val="21"/>
                <w:highlight w:val="none"/>
              </w:rPr>
            </w:pPr>
          </w:p>
          <w:p w14:paraId="3A58C2C2">
            <w:pPr>
              <w:spacing w:line="242" w:lineRule="auto"/>
              <w:rPr>
                <w:rFonts w:ascii="Arial"/>
                <w:color w:val="auto"/>
                <w:sz w:val="21"/>
                <w:highlight w:val="none"/>
              </w:rPr>
            </w:pPr>
          </w:p>
          <w:p w14:paraId="23D63C51">
            <w:pPr>
              <w:pStyle w:val="9"/>
              <w:spacing w:before="65" w:line="228" w:lineRule="auto"/>
              <w:ind w:left="382"/>
              <w:rPr>
                <w:color w:val="auto"/>
                <w:highlight w:val="none"/>
              </w:rPr>
            </w:pPr>
            <w:r>
              <w:rPr>
                <w:b/>
                <w:bCs/>
                <w:color w:val="auto"/>
                <w:spacing w:val="6"/>
                <w:highlight w:val="none"/>
              </w:rPr>
              <w:t>资格证明文件组成</w:t>
            </w:r>
          </w:p>
        </w:tc>
        <w:tc>
          <w:tcPr>
            <w:tcW w:w="6829" w:type="dxa"/>
            <w:vAlign w:val="top"/>
          </w:tcPr>
          <w:p w14:paraId="022FB7C2">
            <w:pPr>
              <w:pStyle w:val="9"/>
              <w:spacing w:before="144" w:line="381" w:lineRule="auto"/>
              <w:ind w:left="112" w:right="108" w:firstLine="14"/>
              <w:rPr>
                <w:rFonts w:ascii="宋体" w:hAnsi="宋体" w:eastAsia="宋体" w:cs="宋体"/>
                <w:color w:val="auto"/>
                <w:spacing w:val="6"/>
                <w:highlight w:val="none"/>
              </w:rPr>
            </w:pPr>
            <w:r>
              <w:rPr>
                <w:color w:val="auto"/>
                <w:spacing w:val="6"/>
                <w:highlight w:val="none"/>
              </w:rPr>
              <w:t>1.供应商为法人或者其他组织的提供其营业执照等证明文件（如营业执</w:t>
            </w:r>
            <w:r>
              <w:rPr>
                <w:color w:val="auto"/>
                <w:spacing w:val="10"/>
                <w:highlight w:val="none"/>
              </w:rPr>
              <w:t xml:space="preserve"> </w:t>
            </w:r>
            <w:r>
              <w:rPr>
                <w:color w:val="auto"/>
                <w:spacing w:val="9"/>
                <w:highlight w:val="none"/>
              </w:rPr>
              <w:t>照或者事业单位法人证书或者执业许可证等</w:t>
            </w:r>
            <w:r>
              <w:rPr>
                <w:color w:val="auto"/>
                <w:spacing w:val="-22"/>
                <w:highlight w:val="none"/>
              </w:rPr>
              <w:t>），</w:t>
            </w:r>
            <w:r>
              <w:rPr>
                <w:color w:val="auto"/>
                <w:spacing w:val="9"/>
                <w:highlight w:val="none"/>
              </w:rPr>
              <w:t>供应商为自然人的提供</w:t>
            </w:r>
            <w:r>
              <w:rPr>
                <w:color w:val="auto"/>
                <w:highlight w:val="none"/>
              </w:rPr>
              <w:t xml:space="preserve"> </w:t>
            </w:r>
            <w:r>
              <w:rPr>
                <w:rFonts w:ascii="宋体" w:hAnsi="宋体" w:eastAsia="宋体" w:cs="宋体"/>
                <w:color w:val="auto"/>
                <w:spacing w:val="6"/>
                <w:highlight w:val="none"/>
              </w:rPr>
              <w:t>其身份证复印件；（</w:t>
            </w:r>
            <w:r>
              <w:rPr>
                <w:rFonts w:ascii="宋体" w:hAnsi="宋体" w:eastAsia="宋体" w:cs="宋体"/>
                <w:b/>
                <w:bCs/>
                <w:color w:val="auto"/>
                <w:spacing w:val="6"/>
                <w:highlight w:val="none"/>
              </w:rPr>
              <w:t>必须提供，否则按无效响应处理</w:t>
            </w:r>
            <w:r>
              <w:rPr>
                <w:rFonts w:ascii="宋体" w:hAnsi="宋体" w:eastAsia="宋体" w:cs="宋体"/>
                <w:color w:val="auto"/>
                <w:spacing w:val="6"/>
                <w:highlight w:val="none"/>
              </w:rPr>
              <w:t>）</w:t>
            </w:r>
          </w:p>
          <w:p w14:paraId="77DA5D68">
            <w:pPr>
              <w:pStyle w:val="9"/>
              <w:spacing w:before="144" w:line="381" w:lineRule="auto"/>
              <w:ind w:left="112" w:right="108" w:firstLine="14"/>
              <w:rPr>
                <w:color w:val="auto"/>
                <w:highlight w:val="none"/>
              </w:rPr>
            </w:pPr>
            <w:r>
              <w:rPr>
                <w:rFonts w:ascii="宋体" w:hAnsi="宋体" w:eastAsia="宋体" w:cs="宋体"/>
                <w:color w:val="auto"/>
                <w:spacing w:val="6"/>
                <w:highlight w:val="none"/>
              </w:rPr>
              <w:t>2.供应商依法缴纳税收的相关材料：[2025年</w:t>
            </w:r>
            <w:r>
              <w:rPr>
                <w:rFonts w:hint="eastAsia" w:ascii="宋体" w:hAnsi="宋体" w:eastAsia="宋体" w:cs="宋体"/>
                <w:color w:val="auto"/>
                <w:spacing w:val="6"/>
                <w:highlight w:val="none"/>
                <w:lang w:val="en-US" w:eastAsia="zh-CN"/>
              </w:rPr>
              <w:t>6</w:t>
            </w:r>
            <w:r>
              <w:rPr>
                <w:rFonts w:ascii="宋体" w:hAnsi="宋体" w:eastAsia="宋体" w:cs="宋体"/>
                <w:color w:val="auto"/>
                <w:spacing w:val="6"/>
                <w:highlight w:val="none"/>
              </w:rPr>
              <w:t>月至2025年</w:t>
            </w:r>
            <w:r>
              <w:rPr>
                <w:rFonts w:hint="eastAsia" w:ascii="宋体" w:hAnsi="宋体" w:eastAsia="宋体" w:cs="宋体"/>
                <w:color w:val="auto"/>
                <w:spacing w:val="6"/>
                <w:highlight w:val="none"/>
                <w:lang w:val="en-US" w:eastAsia="zh-CN"/>
              </w:rPr>
              <w:t>11</w:t>
            </w:r>
            <w:r>
              <w:rPr>
                <w:rFonts w:ascii="宋体" w:hAnsi="宋体" w:eastAsia="宋体" w:cs="宋体"/>
                <w:color w:val="auto"/>
                <w:spacing w:val="6"/>
                <w:highlight w:val="none"/>
              </w:rPr>
              <w:t>月]任意</w:t>
            </w:r>
            <w:r>
              <w:rPr>
                <w:color w:val="auto"/>
                <w:spacing w:val="9"/>
                <w:highlight w:val="none"/>
              </w:rPr>
              <w:t>连续3个月的依法缴纳税收的凭据复印件；依法免税的供应商</w:t>
            </w:r>
            <w:r>
              <w:rPr>
                <w:rFonts w:hint="eastAsia"/>
                <w:color w:val="auto"/>
                <w:spacing w:val="9"/>
                <w:highlight w:val="none"/>
                <w:lang w:eastAsia="zh-CN"/>
              </w:rPr>
              <w:t>，</w:t>
            </w:r>
            <w:r>
              <w:rPr>
                <w:color w:val="auto"/>
                <w:spacing w:val="9"/>
                <w:highlight w:val="none"/>
              </w:rPr>
              <w:t>必须提供相 应文件证明其依法免税。从取得营业执照时间起到投标文件</w:t>
            </w:r>
            <w:r>
              <w:rPr>
                <w:color w:val="auto"/>
                <w:spacing w:val="7"/>
                <w:highlight w:val="none"/>
              </w:rPr>
              <w:t>提交截止时间为止不足要求月数的，只需提供从取得营业执照起的依法</w:t>
            </w:r>
            <w:r>
              <w:rPr>
                <w:color w:val="auto"/>
                <w:spacing w:val="9"/>
                <w:highlight w:val="none"/>
              </w:rPr>
              <w:t>缴纳税收相应证明文件</w:t>
            </w:r>
            <w:r>
              <w:rPr>
                <w:color w:val="auto"/>
                <w:spacing w:val="6"/>
                <w:highlight w:val="none"/>
              </w:rPr>
              <w:t>）；（</w:t>
            </w:r>
            <w:r>
              <w:rPr>
                <w:b/>
                <w:bCs/>
                <w:color w:val="auto"/>
                <w:spacing w:val="9"/>
                <w:highlight w:val="none"/>
              </w:rPr>
              <w:t>必须提供，否则按无效响应处理</w:t>
            </w:r>
            <w:r>
              <w:rPr>
                <w:color w:val="auto"/>
                <w:spacing w:val="9"/>
                <w:highlight w:val="none"/>
              </w:rPr>
              <w:t>）</w:t>
            </w:r>
          </w:p>
          <w:p w14:paraId="32D4FF3F">
            <w:pPr>
              <w:pStyle w:val="9"/>
              <w:spacing w:before="136" w:line="333" w:lineRule="auto"/>
              <w:ind w:left="111" w:right="108" w:firstLine="5"/>
              <w:rPr>
                <w:color w:val="auto"/>
                <w:highlight w:val="none"/>
              </w:rPr>
            </w:pPr>
            <w:r>
              <w:rPr>
                <w:color w:val="auto"/>
                <w:spacing w:val="5"/>
                <w:highlight w:val="none"/>
              </w:rPr>
              <w:t>3.供应商依法缴纳社会保障资金的相关材料：[</w:t>
            </w:r>
            <w:r>
              <w:rPr>
                <w:rFonts w:ascii="宋体" w:hAnsi="宋体" w:eastAsia="宋体" w:cs="宋体"/>
                <w:color w:val="auto"/>
                <w:spacing w:val="6"/>
                <w:highlight w:val="none"/>
              </w:rPr>
              <w:t>2025年</w:t>
            </w:r>
            <w:r>
              <w:rPr>
                <w:rFonts w:hint="eastAsia" w:ascii="宋体" w:hAnsi="宋体" w:eastAsia="宋体" w:cs="宋体"/>
                <w:color w:val="auto"/>
                <w:spacing w:val="6"/>
                <w:highlight w:val="none"/>
                <w:lang w:val="en-US" w:eastAsia="zh-CN"/>
              </w:rPr>
              <w:t>6</w:t>
            </w:r>
            <w:r>
              <w:rPr>
                <w:rFonts w:ascii="宋体" w:hAnsi="宋体" w:eastAsia="宋体" w:cs="宋体"/>
                <w:color w:val="auto"/>
                <w:spacing w:val="6"/>
                <w:highlight w:val="none"/>
              </w:rPr>
              <w:t>月至2025年</w:t>
            </w:r>
            <w:r>
              <w:rPr>
                <w:rFonts w:hint="eastAsia" w:ascii="宋体" w:hAnsi="宋体" w:eastAsia="宋体" w:cs="宋体"/>
                <w:color w:val="auto"/>
                <w:spacing w:val="6"/>
                <w:highlight w:val="none"/>
                <w:lang w:val="en-US" w:eastAsia="zh-CN"/>
              </w:rPr>
              <w:t>11</w:t>
            </w:r>
            <w:r>
              <w:rPr>
                <w:rFonts w:ascii="宋体" w:hAnsi="宋体" w:eastAsia="宋体" w:cs="宋体"/>
                <w:color w:val="auto"/>
                <w:spacing w:val="6"/>
                <w:highlight w:val="none"/>
              </w:rPr>
              <w:t>月</w:t>
            </w:r>
            <w:r>
              <w:rPr>
                <w:color w:val="auto"/>
                <w:spacing w:val="9"/>
                <w:highlight w:val="none"/>
              </w:rPr>
              <w:t>]任意连续3个月的依法缴纳社会保</w:t>
            </w:r>
            <w:r>
              <w:rPr>
                <w:color w:val="auto"/>
                <w:spacing w:val="8"/>
                <w:highlight w:val="none"/>
              </w:rPr>
              <w:t>障资金的缴费凭证（专用收</w:t>
            </w:r>
            <w:r>
              <w:rPr>
                <w:color w:val="auto"/>
                <w:highlight w:val="none"/>
              </w:rPr>
              <w:t xml:space="preserve"> </w:t>
            </w:r>
            <w:r>
              <w:rPr>
                <w:color w:val="auto"/>
                <w:spacing w:val="7"/>
                <w:highlight w:val="none"/>
              </w:rPr>
              <w:t>据或者社会保险缴纳清单）复印件；依法不需要缴纳社</w:t>
            </w:r>
            <w:r>
              <w:rPr>
                <w:color w:val="auto"/>
                <w:spacing w:val="6"/>
                <w:highlight w:val="none"/>
              </w:rPr>
              <w:t>会保障资金的</w:t>
            </w:r>
            <w:r>
              <w:rPr>
                <w:color w:val="auto"/>
                <w:spacing w:val="7"/>
                <w:highlight w:val="none"/>
              </w:rPr>
              <w:t>供应商，必须提供相应文件证明不需要缴纳社会保障资金</w:t>
            </w:r>
            <w:r>
              <w:rPr>
                <w:color w:val="auto"/>
                <w:spacing w:val="6"/>
                <w:highlight w:val="none"/>
              </w:rPr>
              <w:t>。从取得营</w:t>
            </w:r>
            <w:r>
              <w:rPr>
                <w:color w:val="auto"/>
                <w:spacing w:val="10"/>
                <w:highlight w:val="none"/>
              </w:rPr>
              <w:t>业执照时间起到响应文件提交截止时间为止</w:t>
            </w:r>
            <w:r>
              <w:rPr>
                <w:color w:val="auto"/>
                <w:spacing w:val="9"/>
                <w:highlight w:val="none"/>
              </w:rPr>
              <w:t>不足要求月数的只需提供</w:t>
            </w:r>
            <w:r>
              <w:rPr>
                <w:color w:val="auto"/>
                <w:spacing w:val="10"/>
                <w:highlight w:val="none"/>
              </w:rPr>
              <w:t>从取得营业执照起的依法缴纳社会保障资金的相应证明文件</w:t>
            </w:r>
            <w:r>
              <w:rPr>
                <w:color w:val="auto"/>
                <w:spacing w:val="-39"/>
                <w:highlight w:val="none"/>
              </w:rPr>
              <w:t>；（</w:t>
            </w:r>
            <w:r>
              <w:rPr>
                <w:b/>
                <w:bCs/>
                <w:color w:val="auto"/>
                <w:spacing w:val="10"/>
                <w:highlight w:val="none"/>
              </w:rPr>
              <w:t>必须提</w:t>
            </w:r>
            <w:r>
              <w:rPr>
                <w:b/>
                <w:bCs/>
                <w:color w:val="auto"/>
                <w:spacing w:val="7"/>
                <w:highlight w:val="none"/>
              </w:rPr>
              <w:t>供，否则按无效响应处理</w:t>
            </w:r>
            <w:r>
              <w:rPr>
                <w:color w:val="auto"/>
                <w:spacing w:val="7"/>
                <w:highlight w:val="none"/>
              </w:rPr>
              <w:t>）</w:t>
            </w:r>
          </w:p>
          <w:p w14:paraId="08AF0867">
            <w:pPr>
              <w:pStyle w:val="9"/>
              <w:spacing w:before="39" w:line="227" w:lineRule="auto"/>
              <w:ind w:left="111"/>
              <w:rPr>
                <w:color w:val="auto"/>
                <w:highlight w:val="none"/>
              </w:rPr>
            </w:pPr>
            <w:r>
              <w:rPr>
                <w:color w:val="auto"/>
                <w:spacing w:val="8"/>
                <w:highlight w:val="none"/>
              </w:rPr>
              <w:t>4.供应商经第三方审计的财务状况报告[2024</w:t>
            </w:r>
            <w:r>
              <w:rPr>
                <w:color w:val="auto"/>
                <w:spacing w:val="-31"/>
                <w:highlight w:val="none"/>
              </w:rPr>
              <w:t xml:space="preserve"> </w:t>
            </w:r>
            <w:r>
              <w:rPr>
                <w:color w:val="auto"/>
                <w:spacing w:val="8"/>
                <w:highlight w:val="none"/>
              </w:rPr>
              <w:t>年]财务状况报告复印</w:t>
            </w:r>
          </w:p>
          <w:p w14:paraId="4B32BBB6">
            <w:pPr>
              <w:pStyle w:val="9"/>
              <w:spacing w:before="166" w:line="339" w:lineRule="auto"/>
              <w:ind w:left="111" w:right="33"/>
              <w:rPr>
                <w:color w:val="auto"/>
                <w:highlight w:val="none"/>
              </w:rPr>
            </w:pPr>
            <w:r>
              <w:rPr>
                <w:color w:val="auto"/>
                <w:spacing w:val="8"/>
                <w:highlight w:val="none"/>
              </w:rPr>
              <w:t>件，供应商是法人的，应提供</w:t>
            </w:r>
            <w:r>
              <w:rPr>
                <w:color w:val="auto"/>
                <w:spacing w:val="-22"/>
                <w:highlight w:val="none"/>
              </w:rPr>
              <w:t xml:space="preserve"> </w:t>
            </w:r>
            <w:r>
              <w:rPr>
                <w:color w:val="auto"/>
                <w:spacing w:val="8"/>
                <w:highlight w:val="none"/>
              </w:rPr>
              <w:t>2024</w:t>
            </w:r>
            <w:r>
              <w:rPr>
                <w:color w:val="auto"/>
                <w:spacing w:val="-37"/>
                <w:highlight w:val="none"/>
              </w:rPr>
              <w:t xml:space="preserve"> </w:t>
            </w:r>
            <w:r>
              <w:rPr>
                <w:color w:val="auto"/>
                <w:spacing w:val="8"/>
                <w:highlight w:val="none"/>
              </w:rPr>
              <w:t>年度财务报表（账务报表至少包含</w:t>
            </w:r>
            <w:r>
              <w:rPr>
                <w:color w:val="auto"/>
                <w:highlight w:val="none"/>
              </w:rPr>
              <w:t xml:space="preserve">  </w:t>
            </w:r>
            <w:r>
              <w:rPr>
                <w:color w:val="auto"/>
                <w:spacing w:val="7"/>
                <w:highlight w:val="none"/>
              </w:rPr>
              <w:t>资产负债表、利润表、现金流量表）复印件（新成立的公司提供公司成</w:t>
            </w:r>
            <w:r>
              <w:rPr>
                <w:color w:val="auto"/>
                <w:spacing w:val="1"/>
                <w:highlight w:val="none"/>
              </w:rPr>
              <w:t xml:space="preserve"> </w:t>
            </w:r>
            <w:r>
              <w:rPr>
                <w:color w:val="auto"/>
                <w:spacing w:val="7"/>
                <w:highlight w:val="none"/>
              </w:rPr>
              <w:t>立日之后次月起到响应文件递交截止前一个月的财务报表复印件）或者</w:t>
            </w:r>
            <w:r>
              <w:rPr>
                <w:color w:val="auto"/>
                <w:spacing w:val="1"/>
                <w:highlight w:val="none"/>
              </w:rPr>
              <w:t xml:space="preserve"> </w:t>
            </w:r>
            <w:r>
              <w:rPr>
                <w:color w:val="auto"/>
                <w:spacing w:val="9"/>
                <w:highlight w:val="none"/>
              </w:rPr>
              <w:t>其基本开户银行出具的资信证明</w:t>
            </w:r>
            <w:r>
              <w:rPr>
                <w:color w:val="auto"/>
                <w:spacing w:val="-1"/>
                <w:highlight w:val="none"/>
              </w:rPr>
              <w:t>；</w:t>
            </w:r>
            <w:r>
              <w:rPr>
                <w:b/>
                <w:bCs/>
                <w:color w:val="auto"/>
                <w:spacing w:val="-1"/>
                <w:highlight w:val="none"/>
              </w:rPr>
              <w:t>（</w:t>
            </w:r>
            <w:r>
              <w:rPr>
                <w:b/>
                <w:bCs/>
                <w:color w:val="auto"/>
                <w:spacing w:val="9"/>
                <w:highlight w:val="none"/>
              </w:rPr>
              <w:t>必须提供，否则按无效响应处理）</w:t>
            </w:r>
          </w:p>
          <w:p w14:paraId="778FECF4">
            <w:pPr>
              <w:pStyle w:val="9"/>
              <w:spacing w:before="163" w:line="308" w:lineRule="auto"/>
              <w:ind w:left="114" w:right="108" w:firstLine="1"/>
              <w:rPr>
                <w:color w:val="auto"/>
                <w:highlight w:val="none"/>
              </w:rPr>
            </w:pPr>
            <w:r>
              <w:rPr>
                <w:color w:val="auto"/>
                <w:spacing w:val="9"/>
                <w:highlight w:val="none"/>
              </w:rPr>
              <w:t>5.供应商直接控股、管理关系信息表</w:t>
            </w:r>
            <w:r>
              <w:rPr>
                <w:color w:val="auto"/>
                <w:spacing w:val="-26"/>
                <w:highlight w:val="none"/>
              </w:rPr>
              <w:t>；（</w:t>
            </w:r>
            <w:r>
              <w:rPr>
                <w:color w:val="auto"/>
                <w:spacing w:val="9"/>
                <w:highlight w:val="none"/>
              </w:rPr>
              <w:t>必须提供，否则按</w:t>
            </w:r>
            <w:r>
              <w:rPr>
                <w:color w:val="auto"/>
                <w:spacing w:val="8"/>
                <w:highlight w:val="none"/>
              </w:rPr>
              <w:t>无效响应处</w:t>
            </w:r>
            <w:r>
              <w:rPr>
                <w:color w:val="auto"/>
                <w:spacing w:val="1"/>
                <w:highlight w:val="none"/>
              </w:rPr>
              <w:t xml:space="preserve"> </w:t>
            </w:r>
            <w:r>
              <w:rPr>
                <w:color w:val="auto"/>
                <w:spacing w:val="-1"/>
                <w:highlight w:val="none"/>
              </w:rPr>
              <w:t>理）</w:t>
            </w:r>
          </w:p>
          <w:p w14:paraId="234A1D89">
            <w:pPr>
              <w:pStyle w:val="9"/>
              <w:spacing w:before="149" w:line="228" w:lineRule="auto"/>
              <w:ind w:left="113"/>
              <w:rPr>
                <w:color w:val="auto"/>
                <w:highlight w:val="none"/>
              </w:rPr>
            </w:pPr>
            <w:r>
              <w:rPr>
                <w:color w:val="auto"/>
                <w:spacing w:val="9"/>
                <w:highlight w:val="none"/>
              </w:rPr>
              <w:t>6、资格声明函</w:t>
            </w:r>
            <w:r>
              <w:rPr>
                <w:color w:val="auto"/>
                <w:spacing w:val="-3"/>
                <w:highlight w:val="none"/>
              </w:rPr>
              <w:t>；</w:t>
            </w:r>
            <w:r>
              <w:rPr>
                <w:b/>
                <w:bCs/>
                <w:color w:val="auto"/>
                <w:spacing w:val="-3"/>
                <w:highlight w:val="none"/>
              </w:rPr>
              <w:t>（</w:t>
            </w:r>
            <w:r>
              <w:rPr>
                <w:b/>
                <w:bCs/>
                <w:color w:val="auto"/>
                <w:spacing w:val="9"/>
                <w:highlight w:val="none"/>
              </w:rPr>
              <w:t>必须提供，否则按无效响应处理）</w:t>
            </w:r>
          </w:p>
          <w:p w14:paraId="6ACF3F7E">
            <w:pPr>
              <w:pStyle w:val="9"/>
              <w:spacing w:before="162" w:line="340" w:lineRule="auto"/>
              <w:ind w:left="111" w:right="108" w:firstLine="5"/>
              <w:rPr>
                <w:color w:val="auto"/>
                <w:highlight w:val="none"/>
              </w:rPr>
            </w:pPr>
            <w:r>
              <w:rPr>
                <w:color w:val="auto"/>
                <w:spacing w:val="10"/>
                <w:highlight w:val="none"/>
              </w:rPr>
              <w:t>7.符合特定资格条件的有关证明材料</w:t>
            </w:r>
            <w:r>
              <w:rPr>
                <w:color w:val="auto"/>
                <w:spacing w:val="-6"/>
                <w:highlight w:val="none"/>
              </w:rPr>
              <w:t>：（</w:t>
            </w:r>
            <w:r>
              <w:rPr>
                <w:color w:val="auto"/>
                <w:spacing w:val="10"/>
                <w:highlight w:val="none"/>
              </w:rPr>
              <w:t>1）具备建筑工程施工总承包</w:t>
            </w:r>
            <w:r>
              <w:rPr>
                <w:color w:val="auto"/>
                <w:spacing w:val="1"/>
                <w:highlight w:val="none"/>
              </w:rPr>
              <w:t xml:space="preserve"> </w:t>
            </w:r>
            <w:r>
              <w:rPr>
                <w:color w:val="auto"/>
                <w:spacing w:val="7"/>
                <w:highlight w:val="none"/>
              </w:rPr>
              <w:t>叁级（含）以上资质，并在人员、设备、资金等方面具有相应的施工能</w:t>
            </w:r>
            <w:r>
              <w:rPr>
                <w:color w:val="auto"/>
                <w:spacing w:val="1"/>
                <w:highlight w:val="none"/>
              </w:rPr>
              <w:t xml:space="preserve"> </w:t>
            </w:r>
            <w:r>
              <w:rPr>
                <w:color w:val="auto"/>
                <w:spacing w:val="10"/>
                <w:highlight w:val="none"/>
              </w:rPr>
              <w:t>力的供应商</w:t>
            </w:r>
            <w:r>
              <w:rPr>
                <w:color w:val="auto"/>
                <w:spacing w:val="3"/>
                <w:highlight w:val="none"/>
              </w:rPr>
              <w:t>；（</w:t>
            </w:r>
            <w:r>
              <w:rPr>
                <w:color w:val="auto"/>
                <w:spacing w:val="10"/>
                <w:highlight w:val="none"/>
              </w:rPr>
              <w:t>2）项目经理要求为供应商本企业人员，须具备建筑工</w:t>
            </w:r>
            <w:r>
              <w:rPr>
                <w:color w:val="auto"/>
                <w:spacing w:val="1"/>
                <w:highlight w:val="none"/>
              </w:rPr>
              <w:t xml:space="preserve"> </w:t>
            </w:r>
            <w:r>
              <w:rPr>
                <w:color w:val="auto"/>
                <w:spacing w:val="7"/>
                <w:highlight w:val="none"/>
              </w:rPr>
              <w:t>程专业注册建造师二级以上（含二级）执业资格和持有有效的省级或省</w:t>
            </w:r>
          </w:p>
        </w:tc>
      </w:tr>
      <w:tr w14:paraId="46C18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63" w:type="dxa"/>
            <w:vAlign w:val="top"/>
          </w:tcPr>
          <w:p w14:paraId="5DC07CB5">
            <w:pPr>
              <w:pStyle w:val="9"/>
              <w:spacing w:before="65" w:line="269" w:lineRule="exact"/>
              <w:ind w:left="138"/>
              <w:rPr>
                <w:color w:val="auto"/>
                <w:spacing w:val="1"/>
                <w:position w:val="1"/>
                <w:highlight w:val="none"/>
              </w:rPr>
            </w:pPr>
          </w:p>
        </w:tc>
        <w:tc>
          <w:tcPr>
            <w:tcW w:w="2242" w:type="dxa"/>
            <w:vAlign w:val="top"/>
          </w:tcPr>
          <w:p w14:paraId="191177ED">
            <w:pPr>
              <w:pStyle w:val="9"/>
              <w:spacing w:before="65" w:line="228" w:lineRule="auto"/>
              <w:ind w:left="382"/>
              <w:rPr>
                <w:b/>
                <w:bCs/>
                <w:color w:val="auto"/>
                <w:spacing w:val="6"/>
                <w:highlight w:val="none"/>
              </w:rPr>
            </w:pPr>
          </w:p>
        </w:tc>
        <w:tc>
          <w:tcPr>
            <w:tcW w:w="6829" w:type="dxa"/>
            <w:vAlign w:val="top"/>
          </w:tcPr>
          <w:p w14:paraId="1E2FA52F">
            <w:pPr>
              <w:pStyle w:val="9"/>
              <w:spacing w:before="36" w:line="377" w:lineRule="auto"/>
              <w:ind w:left="111" w:right="15" w:firstLine="3"/>
              <w:rPr>
                <w:color w:val="auto"/>
                <w:highlight w:val="none"/>
              </w:rPr>
            </w:pPr>
            <w:r>
              <w:rPr>
                <w:color w:val="auto"/>
                <w:highlight w:val="none"/>
              </w:rPr>
              <w:t>级以上建设行政主管部门颁发的《安全生产考核合格证书（建安 B 证）》</w:t>
            </w:r>
            <w:r>
              <w:rPr>
                <w:color w:val="auto"/>
                <w:spacing w:val="7"/>
                <w:highlight w:val="none"/>
              </w:rPr>
              <w:t xml:space="preserve"> 且未在其他在施建设工程项目中任职。拟派本项目专职安全员持有有效</w:t>
            </w:r>
            <w:r>
              <w:rPr>
                <w:color w:val="auto"/>
                <w:highlight w:val="none"/>
              </w:rPr>
              <w:t xml:space="preserve">  </w:t>
            </w:r>
            <w:r>
              <w:rPr>
                <w:color w:val="auto"/>
                <w:spacing w:val="9"/>
                <w:highlight w:val="none"/>
              </w:rPr>
              <w:t>的省级或省级以上建设行政主管部门颁发的《安全生产考核合格证书</w:t>
            </w:r>
            <w:r>
              <w:rPr>
                <w:color w:val="auto"/>
                <w:spacing w:val="6"/>
                <w:highlight w:val="none"/>
              </w:rPr>
              <w:t xml:space="preserve">   （建安C证</w:t>
            </w:r>
            <w:r>
              <w:rPr>
                <w:rFonts w:hint="eastAsia"/>
                <w:color w:val="auto"/>
                <w:spacing w:val="6"/>
                <w:highlight w:val="none"/>
                <w:lang w:val="en-US" w:eastAsia="zh-CN"/>
              </w:rPr>
              <w:t>)</w:t>
            </w:r>
            <w:r>
              <w:rPr>
                <w:color w:val="auto"/>
                <w:spacing w:val="6"/>
                <w:highlight w:val="none"/>
              </w:rPr>
              <w:t>》，人数不少于1人</w:t>
            </w:r>
            <w:r>
              <w:rPr>
                <w:color w:val="auto"/>
                <w:spacing w:val="6"/>
                <w:sz w:val="19"/>
                <w:szCs w:val="19"/>
                <w:highlight w:val="none"/>
              </w:rPr>
              <w:t>。</w:t>
            </w:r>
            <w:r>
              <w:rPr>
                <w:color w:val="auto"/>
                <w:spacing w:val="6"/>
                <w:highlight w:val="none"/>
              </w:rPr>
              <w:t>（</w:t>
            </w:r>
            <w:r>
              <w:rPr>
                <w:b/>
                <w:bCs/>
                <w:color w:val="auto"/>
                <w:spacing w:val="6"/>
                <w:highlight w:val="none"/>
              </w:rPr>
              <w:t>必</w:t>
            </w:r>
            <w:r>
              <w:rPr>
                <w:b/>
                <w:bCs/>
                <w:color w:val="auto"/>
                <w:spacing w:val="5"/>
                <w:highlight w:val="none"/>
              </w:rPr>
              <w:t>须提供，否则按无效响应处</w:t>
            </w:r>
            <w:r>
              <w:rPr>
                <w:b/>
                <w:bCs/>
                <w:color w:val="auto"/>
                <w:spacing w:val="-1"/>
                <w:highlight w:val="none"/>
              </w:rPr>
              <w:t>理</w:t>
            </w:r>
            <w:r>
              <w:rPr>
                <w:color w:val="auto"/>
                <w:spacing w:val="-1"/>
                <w:highlight w:val="none"/>
              </w:rPr>
              <w:t>）</w:t>
            </w:r>
          </w:p>
          <w:p w14:paraId="2698F6CB">
            <w:pPr>
              <w:pStyle w:val="9"/>
              <w:spacing w:line="227" w:lineRule="auto"/>
              <w:ind w:left="112"/>
              <w:rPr>
                <w:color w:val="auto"/>
                <w:highlight w:val="none"/>
              </w:rPr>
            </w:pPr>
            <w:r>
              <w:rPr>
                <w:color w:val="auto"/>
                <w:spacing w:val="9"/>
                <w:highlight w:val="none"/>
              </w:rPr>
              <w:t>8.中小企业声明函</w:t>
            </w:r>
            <w:r>
              <w:rPr>
                <w:color w:val="auto"/>
                <w:spacing w:val="-3"/>
                <w:highlight w:val="none"/>
              </w:rPr>
              <w:t>；（</w:t>
            </w:r>
            <w:r>
              <w:rPr>
                <w:b/>
                <w:bCs/>
                <w:color w:val="auto"/>
                <w:spacing w:val="9"/>
                <w:highlight w:val="none"/>
              </w:rPr>
              <w:t>必须提供，否则按无效响应处理</w:t>
            </w:r>
            <w:r>
              <w:rPr>
                <w:color w:val="auto"/>
                <w:spacing w:val="9"/>
                <w:highlight w:val="none"/>
              </w:rPr>
              <w:t>）</w:t>
            </w:r>
          </w:p>
          <w:p w14:paraId="2A65931E">
            <w:pPr>
              <w:pStyle w:val="9"/>
              <w:spacing w:before="161" w:line="303" w:lineRule="auto"/>
              <w:ind w:left="111" w:right="236"/>
              <w:rPr>
                <w:color w:val="auto"/>
                <w:highlight w:val="none"/>
              </w:rPr>
            </w:pPr>
            <w:r>
              <w:rPr>
                <w:color w:val="auto"/>
                <w:spacing w:val="9"/>
                <w:highlight w:val="none"/>
              </w:rPr>
              <w:t>9.除谈判文件规定必须提供以外，供应商认为需要提供的其他证明材</w:t>
            </w:r>
            <w:r>
              <w:rPr>
                <w:color w:val="auto"/>
                <w:spacing w:val="10"/>
                <w:highlight w:val="none"/>
              </w:rPr>
              <w:t xml:space="preserve"> </w:t>
            </w:r>
            <w:r>
              <w:rPr>
                <w:color w:val="auto"/>
                <w:highlight w:val="none"/>
              </w:rPr>
              <w:t>料；</w:t>
            </w:r>
          </w:p>
          <w:p w14:paraId="2D65F174">
            <w:pPr>
              <w:pStyle w:val="9"/>
              <w:spacing w:before="161" w:line="303" w:lineRule="auto"/>
              <w:ind w:left="111" w:right="236"/>
              <w:rPr>
                <w:color w:val="auto"/>
                <w:spacing w:val="10"/>
                <w:highlight w:val="none"/>
              </w:rPr>
            </w:pPr>
            <w:r>
              <w:rPr>
                <w:b/>
                <w:bCs/>
                <w:color w:val="auto"/>
                <w:spacing w:val="-2"/>
                <w:highlight w:val="none"/>
              </w:rPr>
              <w:t>注：</w:t>
            </w:r>
            <w:r>
              <w:rPr>
                <w:b/>
                <w:bCs/>
                <w:color w:val="auto"/>
                <w:spacing w:val="6"/>
                <w:highlight w:val="none"/>
              </w:rPr>
              <w:t>1.以上标明“必须提供</w:t>
            </w:r>
            <w:r>
              <w:rPr>
                <w:color w:val="auto"/>
                <w:spacing w:val="-58"/>
                <w:highlight w:val="none"/>
              </w:rPr>
              <w:t xml:space="preserve"> </w:t>
            </w:r>
            <w:r>
              <w:rPr>
                <w:b/>
                <w:bCs/>
                <w:color w:val="auto"/>
                <w:spacing w:val="6"/>
                <w:highlight w:val="none"/>
              </w:rPr>
              <w:t>”的材料属于复印件的扫描件的，必须加</w:t>
            </w:r>
            <w:r>
              <w:rPr>
                <w:color w:val="auto"/>
                <w:highlight w:val="none"/>
              </w:rPr>
              <w:t xml:space="preserve"> </w:t>
            </w:r>
            <w:r>
              <w:rPr>
                <w:b/>
                <w:bCs/>
                <w:color w:val="auto"/>
                <w:spacing w:val="7"/>
                <w:highlight w:val="none"/>
              </w:rPr>
              <w:t>盖供应商电子公章，否则响应文件按无效响应处理。</w:t>
            </w:r>
          </w:p>
        </w:tc>
      </w:tr>
      <w:tr w14:paraId="3153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8" w:hRule="atLeast"/>
        </w:trPr>
        <w:tc>
          <w:tcPr>
            <w:tcW w:w="863" w:type="dxa"/>
            <w:shd w:val="clear" w:color="auto" w:fill="auto"/>
            <w:vAlign w:val="top"/>
          </w:tcPr>
          <w:p w14:paraId="7800693E">
            <w:pPr>
              <w:spacing w:line="242" w:lineRule="auto"/>
              <w:rPr>
                <w:rFonts w:ascii="Arial"/>
                <w:color w:val="auto"/>
                <w:sz w:val="21"/>
                <w:highlight w:val="none"/>
              </w:rPr>
            </w:pPr>
          </w:p>
          <w:p w14:paraId="6076B999">
            <w:pPr>
              <w:spacing w:line="242" w:lineRule="auto"/>
              <w:rPr>
                <w:rFonts w:ascii="Arial"/>
                <w:color w:val="auto"/>
                <w:sz w:val="21"/>
                <w:highlight w:val="none"/>
              </w:rPr>
            </w:pPr>
          </w:p>
          <w:p w14:paraId="7D064CBE">
            <w:pPr>
              <w:spacing w:line="242" w:lineRule="auto"/>
              <w:rPr>
                <w:rFonts w:ascii="Arial"/>
                <w:color w:val="auto"/>
                <w:sz w:val="21"/>
                <w:highlight w:val="none"/>
              </w:rPr>
            </w:pPr>
          </w:p>
          <w:p w14:paraId="34849B8D">
            <w:pPr>
              <w:spacing w:line="242" w:lineRule="auto"/>
              <w:rPr>
                <w:rFonts w:ascii="Arial"/>
                <w:color w:val="auto"/>
                <w:sz w:val="21"/>
                <w:highlight w:val="none"/>
              </w:rPr>
            </w:pPr>
          </w:p>
          <w:p w14:paraId="0297D7A8">
            <w:pPr>
              <w:spacing w:line="242" w:lineRule="auto"/>
              <w:rPr>
                <w:rFonts w:ascii="Arial"/>
                <w:color w:val="auto"/>
                <w:sz w:val="21"/>
                <w:highlight w:val="none"/>
              </w:rPr>
            </w:pPr>
          </w:p>
          <w:p w14:paraId="5AD528E8">
            <w:pPr>
              <w:spacing w:line="242" w:lineRule="auto"/>
              <w:rPr>
                <w:rFonts w:ascii="Arial"/>
                <w:color w:val="auto"/>
                <w:sz w:val="21"/>
                <w:highlight w:val="none"/>
              </w:rPr>
            </w:pPr>
          </w:p>
          <w:p w14:paraId="078AB45D">
            <w:pPr>
              <w:spacing w:line="242" w:lineRule="auto"/>
              <w:rPr>
                <w:rFonts w:ascii="Arial"/>
                <w:color w:val="auto"/>
                <w:sz w:val="21"/>
                <w:highlight w:val="none"/>
              </w:rPr>
            </w:pPr>
          </w:p>
          <w:p w14:paraId="1C049D08">
            <w:pPr>
              <w:spacing w:line="242" w:lineRule="auto"/>
              <w:rPr>
                <w:rFonts w:ascii="Arial"/>
                <w:color w:val="auto"/>
                <w:sz w:val="21"/>
                <w:highlight w:val="none"/>
              </w:rPr>
            </w:pPr>
          </w:p>
          <w:p w14:paraId="3C7C2461">
            <w:pPr>
              <w:spacing w:line="242" w:lineRule="auto"/>
              <w:rPr>
                <w:rFonts w:ascii="Arial"/>
                <w:color w:val="auto"/>
                <w:sz w:val="21"/>
                <w:highlight w:val="none"/>
              </w:rPr>
            </w:pPr>
          </w:p>
          <w:p w14:paraId="59AD957D">
            <w:pPr>
              <w:spacing w:line="242" w:lineRule="auto"/>
              <w:rPr>
                <w:rFonts w:ascii="Arial"/>
                <w:color w:val="auto"/>
                <w:sz w:val="21"/>
                <w:highlight w:val="none"/>
              </w:rPr>
            </w:pPr>
          </w:p>
          <w:p w14:paraId="12F89E26">
            <w:pPr>
              <w:spacing w:line="242" w:lineRule="auto"/>
              <w:rPr>
                <w:rFonts w:ascii="Arial"/>
                <w:color w:val="auto"/>
                <w:sz w:val="21"/>
                <w:highlight w:val="none"/>
              </w:rPr>
            </w:pPr>
          </w:p>
          <w:p w14:paraId="020594B7">
            <w:pPr>
              <w:spacing w:line="242" w:lineRule="auto"/>
              <w:rPr>
                <w:rFonts w:ascii="Arial"/>
                <w:color w:val="auto"/>
                <w:sz w:val="21"/>
                <w:highlight w:val="none"/>
              </w:rPr>
            </w:pPr>
          </w:p>
          <w:p w14:paraId="5886AF6B">
            <w:pPr>
              <w:spacing w:line="242" w:lineRule="auto"/>
              <w:rPr>
                <w:rFonts w:ascii="Arial"/>
                <w:color w:val="auto"/>
                <w:sz w:val="21"/>
                <w:highlight w:val="none"/>
              </w:rPr>
            </w:pPr>
          </w:p>
          <w:p w14:paraId="2DA89BEE">
            <w:pPr>
              <w:spacing w:line="243" w:lineRule="auto"/>
              <w:rPr>
                <w:rFonts w:ascii="Arial"/>
                <w:color w:val="auto"/>
                <w:sz w:val="21"/>
                <w:highlight w:val="none"/>
              </w:rPr>
            </w:pPr>
          </w:p>
          <w:p w14:paraId="58158F7F">
            <w:pPr>
              <w:spacing w:line="243" w:lineRule="auto"/>
              <w:rPr>
                <w:rFonts w:ascii="Arial"/>
                <w:color w:val="auto"/>
                <w:sz w:val="21"/>
                <w:highlight w:val="none"/>
              </w:rPr>
            </w:pPr>
          </w:p>
          <w:p w14:paraId="083A1BDD">
            <w:pPr>
              <w:spacing w:line="243" w:lineRule="auto"/>
              <w:rPr>
                <w:rFonts w:ascii="Arial"/>
                <w:color w:val="auto"/>
                <w:sz w:val="21"/>
                <w:highlight w:val="none"/>
              </w:rPr>
            </w:pPr>
          </w:p>
          <w:p w14:paraId="3EA61F92">
            <w:pPr>
              <w:spacing w:line="243" w:lineRule="auto"/>
              <w:rPr>
                <w:rFonts w:ascii="Arial"/>
                <w:color w:val="auto"/>
                <w:sz w:val="21"/>
                <w:highlight w:val="none"/>
              </w:rPr>
            </w:pPr>
          </w:p>
          <w:p w14:paraId="0796A8CC">
            <w:pPr>
              <w:spacing w:line="243" w:lineRule="auto"/>
              <w:rPr>
                <w:rFonts w:ascii="Arial"/>
                <w:color w:val="auto"/>
                <w:sz w:val="21"/>
                <w:highlight w:val="none"/>
              </w:rPr>
            </w:pPr>
          </w:p>
          <w:p w14:paraId="3BE4E663">
            <w:pPr>
              <w:spacing w:line="243" w:lineRule="auto"/>
              <w:rPr>
                <w:rFonts w:ascii="Arial"/>
                <w:color w:val="auto"/>
                <w:sz w:val="21"/>
                <w:highlight w:val="none"/>
              </w:rPr>
            </w:pPr>
          </w:p>
          <w:p w14:paraId="1B26E5F6">
            <w:pPr>
              <w:spacing w:line="243" w:lineRule="auto"/>
              <w:rPr>
                <w:rFonts w:ascii="Arial"/>
                <w:color w:val="auto"/>
                <w:sz w:val="21"/>
                <w:highlight w:val="none"/>
              </w:rPr>
            </w:pPr>
          </w:p>
          <w:p w14:paraId="76CC76C8">
            <w:pPr>
              <w:pStyle w:val="9"/>
              <w:spacing w:before="65" w:line="268" w:lineRule="exact"/>
              <w:ind w:left="138" w:leftChars="0"/>
              <w:rPr>
                <w:rFonts w:ascii="宋体" w:hAnsi="宋体" w:eastAsia="宋体" w:cs="宋体"/>
                <w:snapToGrid w:val="0"/>
                <w:color w:val="auto"/>
                <w:kern w:val="0"/>
                <w:sz w:val="20"/>
                <w:szCs w:val="20"/>
                <w:highlight w:val="none"/>
                <w:lang w:val="en-US" w:eastAsia="en-US" w:bidi="ar-SA"/>
              </w:rPr>
            </w:pPr>
            <w:r>
              <w:rPr>
                <w:color w:val="auto"/>
                <w:spacing w:val="1"/>
                <w:position w:val="1"/>
                <w:highlight w:val="none"/>
              </w:rPr>
              <w:t>12.1.2</w:t>
            </w:r>
          </w:p>
        </w:tc>
        <w:tc>
          <w:tcPr>
            <w:tcW w:w="2242" w:type="dxa"/>
            <w:shd w:val="clear" w:color="auto" w:fill="auto"/>
            <w:vAlign w:val="top"/>
          </w:tcPr>
          <w:p w14:paraId="6808A0BA">
            <w:pPr>
              <w:spacing w:line="242" w:lineRule="auto"/>
              <w:rPr>
                <w:rFonts w:ascii="Arial"/>
                <w:color w:val="auto"/>
                <w:sz w:val="21"/>
                <w:highlight w:val="none"/>
              </w:rPr>
            </w:pPr>
          </w:p>
          <w:p w14:paraId="6823CA84">
            <w:pPr>
              <w:spacing w:line="242" w:lineRule="auto"/>
              <w:rPr>
                <w:rFonts w:ascii="Arial"/>
                <w:color w:val="auto"/>
                <w:sz w:val="21"/>
                <w:highlight w:val="none"/>
              </w:rPr>
            </w:pPr>
          </w:p>
          <w:p w14:paraId="28D7A952">
            <w:pPr>
              <w:spacing w:line="242" w:lineRule="auto"/>
              <w:rPr>
                <w:rFonts w:ascii="Arial"/>
                <w:color w:val="auto"/>
                <w:sz w:val="21"/>
                <w:highlight w:val="none"/>
              </w:rPr>
            </w:pPr>
          </w:p>
          <w:p w14:paraId="4C3CDDC7">
            <w:pPr>
              <w:spacing w:line="242" w:lineRule="auto"/>
              <w:rPr>
                <w:rFonts w:ascii="Arial"/>
                <w:color w:val="auto"/>
                <w:sz w:val="21"/>
                <w:highlight w:val="none"/>
              </w:rPr>
            </w:pPr>
          </w:p>
          <w:p w14:paraId="1DAD8DB2">
            <w:pPr>
              <w:spacing w:line="242" w:lineRule="auto"/>
              <w:rPr>
                <w:rFonts w:ascii="Arial"/>
                <w:color w:val="auto"/>
                <w:sz w:val="21"/>
                <w:highlight w:val="none"/>
              </w:rPr>
            </w:pPr>
          </w:p>
          <w:p w14:paraId="7ED5B029">
            <w:pPr>
              <w:spacing w:line="242" w:lineRule="auto"/>
              <w:rPr>
                <w:rFonts w:ascii="Arial"/>
                <w:color w:val="auto"/>
                <w:sz w:val="21"/>
                <w:highlight w:val="none"/>
              </w:rPr>
            </w:pPr>
          </w:p>
          <w:p w14:paraId="2E51CA62">
            <w:pPr>
              <w:spacing w:line="242" w:lineRule="auto"/>
              <w:rPr>
                <w:rFonts w:ascii="Arial"/>
                <w:color w:val="auto"/>
                <w:sz w:val="21"/>
                <w:highlight w:val="none"/>
              </w:rPr>
            </w:pPr>
          </w:p>
          <w:p w14:paraId="238E4726">
            <w:pPr>
              <w:spacing w:line="242" w:lineRule="auto"/>
              <w:rPr>
                <w:rFonts w:ascii="Arial"/>
                <w:color w:val="auto"/>
                <w:sz w:val="21"/>
                <w:highlight w:val="none"/>
              </w:rPr>
            </w:pPr>
          </w:p>
          <w:p w14:paraId="57D7AD76">
            <w:pPr>
              <w:spacing w:line="242" w:lineRule="auto"/>
              <w:rPr>
                <w:rFonts w:ascii="Arial"/>
                <w:color w:val="auto"/>
                <w:sz w:val="21"/>
                <w:highlight w:val="none"/>
              </w:rPr>
            </w:pPr>
          </w:p>
          <w:p w14:paraId="4C827B45">
            <w:pPr>
              <w:spacing w:line="242" w:lineRule="auto"/>
              <w:rPr>
                <w:rFonts w:ascii="Arial"/>
                <w:color w:val="auto"/>
                <w:sz w:val="21"/>
                <w:highlight w:val="none"/>
              </w:rPr>
            </w:pPr>
          </w:p>
          <w:p w14:paraId="39719BDB">
            <w:pPr>
              <w:spacing w:line="242" w:lineRule="auto"/>
              <w:rPr>
                <w:rFonts w:ascii="Arial"/>
                <w:color w:val="auto"/>
                <w:sz w:val="21"/>
                <w:highlight w:val="none"/>
              </w:rPr>
            </w:pPr>
          </w:p>
          <w:p w14:paraId="10A473CA">
            <w:pPr>
              <w:spacing w:line="242" w:lineRule="auto"/>
              <w:rPr>
                <w:rFonts w:ascii="Arial"/>
                <w:color w:val="auto"/>
                <w:sz w:val="21"/>
                <w:highlight w:val="none"/>
              </w:rPr>
            </w:pPr>
          </w:p>
          <w:p w14:paraId="30E4A611">
            <w:pPr>
              <w:spacing w:line="242" w:lineRule="auto"/>
              <w:rPr>
                <w:rFonts w:ascii="Arial"/>
                <w:color w:val="auto"/>
                <w:sz w:val="21"/>
                <w:highlight w:val="none"/>
              </w:rPr>
            </w:pPr>
          </w:p>
          <w:p w14:paraId="37E8737E">
            <w:pPr>
              <w:spacing w:line="243" w:lineRule="auto"/>
              <w:rPr>
                <w:rFonts w:ascii="Arial"/>
                <w:color w:val="auto"/>
                <w:sz w:val="21"/>
                <w:highlight w:val="none"/>
              </w:rPr>
            </w:pPr>
          </w:p>
          <w:p w14:paraId="5285477B">
            <w:pPr>
              <w:spacing w:line="243" w:lineRule="auto"/>
              <w:rPr>
                <w:rFonts w:ascii="Arial"/>
                <w:color w:val="auto"/>
                <w:sz w:val="21"/>
                <w:highlight w:val="none"/>
              </w:rPr>
            </w:pPr>
          </w:p>
          <w:p w14:paraId="7B833B66">
            <w:pPr>
              <w:spacing w:line="243" w:lineRule="auto"/>
              <w:rPr>
                <w:rFonts w:ascii="Arial"/>
                <w:color w:val="auto"/>
                <w:sz w:val="21"/>
                <w:highlight w:val="none"/>
              </w:rPr>
            </w:pPr>
          </w:p>
          <w:p w14:paraId="05EEC2A2">
            <w:pPr>
              <w:spacing w:line="243" w:lineRule="auto"/>
              <w:rPr>
                <w:rFonts w:ascii="Arial"/>
                <w:color w:val="auto"/>
                <w:sz w:val="21"/>
                <w:highlight w:val="none"/>
              </w:rPr>
            </w:pPr>
          </w:p>
          <w:p w14:paraId="146614AE">
            <w:pPr>
              <w:spacing w:line="243" w:lineRule="auto"/>
              <w:rPr>
                <w:rFonts w:ascii="Arial"/>
                <w:color w:val="auto"/>
                <w:sz w:val="21"/>
                <w:highlight w:val="none"/>
              </w:rPr>
            </w:pPr>
          </w:p>
          <w:p w14:paraId="106F1A56">
            <w:pPr>
              <w:spacing w:line="243" w:lineRule="auto"/>
              <w:rPr>
                <w:rFonts w:ascii="Arial"/>
                <w:color w:val="auto"/>
                <w:sz w:val="21"/>
                <w:highlight w:val="none"/>
              </w:rPr>
            </w:pPr>
          </w:p>
          <w:p w14:paraId="01393459">
            <w:pPr>
              <w:spacing w:line="243" w:lineRule="auto"/>
              <w:rPr>
                <w:rFonts w:ascii="Arial"/>
                <w:color w:val="auto"/>
                <w:sz w:val="21"/>
                <w:highlight w:val="none"/>
              </w:rPr>
            </w:pPr>
          </w:p>
          <w:p w14:paraId="4AF16501">
            <w:pPr>
              <w:pStyle w:val="9"/>
              <w:spacing w:before="65" w:line="228" w:lineRule="auto"/>
              <w:ind w:left="588" w:leftChars="0"/>
              <w:rPr>
                <w:rFonts w:ascii="宋体" w:hAnsi="宋体" w:eastAsia="宋体" w:cs="宋体"/>
                <w:snapToGrid w:val="0"/>
                <w:color w:val="auto"/>
                <w:kern w:val="0"/>
                <w:sz w:val="20"/>
                <w:szCs w:val="20"/>
                <w:highlight w:val="none"/>
                <w:lang w:val="en-US" w:eastAsia="en-US" w:bidi="ar-SA"/>
              </w:rPr>
            </w:pPr>
            <w:r>
              <w:rPr>
                <w:b/>
                <w:bCs/>
                <w:color w:val="auto"/>
                <w:spacing w:val="6"/>
                <w:highlight w:val="none"/>
              </w:rPr>
              <w:t>商务技术文件</w:t>
            </w:r>
          </w:p>
        </w:tc>
        <w:tc>
          <w:tcPr>
            <w:tcW w:w="6829" w:type="dxa"/>
            <w:shd w:val="clear" w:color="auto" w:fill="auto"/>
            <w:vAlign w:val="top"/>
          </w:tcPr>
          <w:p w14:paraId="729581DF">
            <w:pPr>
              <w:pStyle w:val="9"/>
              <w:spacing w:before="142" w:line="303" w:lineRule="auto"/>
              <w:ind w:left="114" w:right="108" w:firstLine="12"/>
              <w:rPr>
                <w:color w:val="auto"/>
                <w:highlight w:val="none"/>
              </w:rPr>
            </w:pPr>
            <w:r>
              <w:rPr>
                <w:color w:val="auto"/>
                <w:spacing w:val="8"/>
                <w:highlight w:val="none"/>
              </w:rPr>
              <w:t>1.无串通竞标行为的承诺函</w:t>
            </w:r>
            <w:r>
              <w:rPr>
                <w:color w:val="auto"/>
                <w:spacing w:val="-37"/>
                <w:highlight w:val="none"/>
              </w:rPr>
              <w:t>；（</w:t>
            </w:r>
            <w:r>
              <w:rPr>
                <w:b/>
                <w:bCs/>
                <w:color w:val="auto"/>
                <w:spacing w:val="8"/>
                <w:highlight w:val="none"/>
              </w:rPr>
              <w:t>必须提供，否则响应文件按无效响应处</w:t>
            </w:r>
            <w:r>
              <w:rPr>
                <w:color w:val="auto"/>
                <w:highlight w:val="none"/>
              </w:rPr>
              <w:t xml:space="preserve"> </w:t>
            </w:r>
            <w:r>
              <w:rPr>
                <w:b/>
                <w:bCs/>
                <w:color w:val="auto"/>
                <w:spacing w:val="-2"/>
                <w:highlight w:val="none"/>
              </w:rPr>
              <w:t>理</w:t>
            </w:r>
            <w:r>
              <w:rPr>
                <w:color w:val="auto"/>
                <w:spacing w:val="-2"/>
                <w:highlight w:val="none"/>
              </w:rPr>
              <w:t>）</w:t>
            </w:r>
          </w:p>
          <w:p w14:paraId="5CF3E9C1">
            <w:pPr>
              <w:pStyle w:val="9"/>
              <w:spacing w:before="142" w:line="299" w:lineRule="auto"/>
              <w:ind w:left="145" w:right="108" w:hanging="31"/>
              <w:rPr>
                <w:color w:val="auto"/>
                <w:highlight w:val="none"/>
              </w:rPr>
            </w:pPr>
            <w:r>
              <w:rPr>
                <w:color w:val="auto"/>
                <w:spacing w:val="10"/>
                <w:highlight w:val="none"/>
              </w:rPr>
              <w:t>2.法定代表人身份证明书及法定代表人有效身份证正反面复印件</w:t>
            </w:r>
            <w:r>
              <w:rPr>
                <w:color w:val="auto"/>
                <w:spacing w:val="-44"/>
                <w:highlight w:val="none"/>
              </w:rPr>
              <w:t>；（</w:t>
            </w:r>
            <w:r>
              <w:rPr>
                <w:b/>
                <w:bCs/>
                <w:color w:val="auto"/>
                <w:spacing w:val="10"/>
                <w:highlight w:val="none"/>
              </w:rPr>
              <w:t>除</w:t>
            </w:r>
            <w:r>
              <w:rPr>
                <w:color w:val="auto"/>
                <w:spacing w:val="1"/>
                <w:highlight w:val="none"/>
              </w:rPr>
              <w:t xml:space="preserve"> </w:t>
            </w:r>
            <w:r>
              <w:rPr>
                <w:b/>
                <w:bCs/>
                <w:color w:val="auto"/>
                <w:spacing w:val="6"/>
                <w:highlight w:val="none"/>
              </w:rPr>
              <w:t>自然人竞标外必须提供，否则响应文件按无效响应处理</w:t>
            </w:r>
            <w:r>
              <w:rPr>
                <w:color w:val="auto"/>
                <w:spacing w:val="6"/>
                <w:highlight w:val="none"/>
              </w:rPr>
              <w:t>）</w:t>
            </w:r>
          </w:p>
          <w:p w14:paraId="08283504">
            <w:pPr>
              <w:pStyle w:val="9"/>
              <w:spacing w:before="151" w:line="299" w:lineRule="auto"/>
              <w:ind w:left="111" w:right="108" w:firstLine="4"/>
              <w:rPr>
                <w:color w:val="auto"/>
                <w:highlight w:val="none"/>
              </w:rPr>
            </w:pPr>
            <w:r>
              <w:rPr>
                <w:color w:val="auto"/>
                <w:spacing w:val="10"/>
                <w:highlight w:val="none"/>
              </w:rPr>
              <w:t>3.法定代表人授权委托书及委托代理人有效身份证正反面复印件</w:t>
            </w:r>
            <w:r>
              <w:rPr>
                <w:color w:val="auto"/>
                <w:spacing w:val="-45"/>
                <w:highlight w:val="none"/>
              </w:rPr>
              <w:t>；（</w:t>
            </w:r>
            <w:r>
              <w:rPr>
                <w:b/>
                <w:bCs/>
                <w:color w:val="auto"/>
                <w:spacing w:val="10"/>
                <w:highlight w:val="none"/>
              </w:rPr>
              <w:t>委</w:t>
            </w:r>
            <w:r>
              <w:rPr>
                <w:color w:val="auto"/>
                <w:spacing w:val="1"/>
                <w:highlight w:val="none"/>
              </w:rPr>
              <w:t xml:space="preserve"> </w:t>
            </w:r>
            <w:r>
              <w:rPr>
                <w:b/>
                <w:bCs/>
                <w:color w:val="auto"/>
                <w:spacing w:val="7"/>
                <w:highlight w:val="none"/>
              </w:rPr>
              <w:t>托时必须提供，否则响应文件按无效响应处理</w:t>
            </w:r>
            <w:r>
              <w:rPr>
                <w:color w:val="auto"/>
                <w:spacing w:val="7"/>
                <w:highlight w:val="none"/>
              </w:rPr>
              <w:t>）</w:t>
            </w:r>
          </w:p>
          <w:p w14:paraId="431F6019">
            <w:pPr>
              <w:pStyle w:val="9"/>
              <w:spacing w:before="153" w:line="228" w:lineRule="auto"/>
              <w:ind w:left="111"/>
              <w:rPr>
                <w:color w:val="auto"/>
                <w:highlight w:val="none"/>
              </w:rPr>
            </w:pPr>
            <w:r>
              <w:rPr>
                <w:color w:val="auto"/>
                <w:spacing w:val="9"/>
                <w:highlight w:val="none"/>
              </w:rPr>
              <w:t>4.商务条款偏离表</w:t>
            </w:r>
            <w:r>
              <w:rPr>
                <w:color w:val="auto"/>
                <w:spacing w:val="-4"/>
                <w:highlight w:val="none"/>
              </w:rPr>
              <w:t>；（</w:t>
            </w:r>
            <w:r>
              <w:rPr>
                <w:b/>
                <w:bCs/>
                <w:color w:val="auto"/>
                <w:spacing w:val="9"/>
                <w:highlight w:val="none"/>
              </w:rPr>
              <w:t>必须提供，否则响应文件按无效响应处理</w:t>
            </w:r>
            <w:r>
              <w:rPr>
                <w:color w:val="auto"/>
                <w:spacing w:val="9"/>
                <w:highlight w:val="none"/>
              </w:rPr>
              <w:t>）</w:t>
            </w:r>
          </w:p>
          <w:p w14:paraId="54439E8E">
            <w:pPr>
              <w:pStyle w:val="9"/>
              <w:spacing w:before="151" w:line="228" w:lineRule="auto"/>
              <w:ind w:left="116"/>
              <w:rPr>
                <w:color w:val="auto"/>
                <w:highlight w:val="none"/>
              </w:rPr>
            </w:pPr>
            <w:r>
              <w:rPr>
                <w:color w:val="auto"/>
                <w:spacing w:val="9"/>
                <w:highlight w:val="none"/>
              </w:rPr>
              <w:t>5.企业概况表</w:t>
            </w:r>
            <w:r>
              <w:rPr>
                <w:color w:val="auto"/>
                <w:spacing w:val="-7"/>
                <w:highlight w:val="none"/>
              </w:rPr>
              <w:t>；</w:t>
            </w:r>
            <w:r>
              <w:rPr>
                <w:b/>
                <w:bCs/>
                <w:color w:val="auto"/>
                <w:spacing w:val="-7"/>
                <w:highlight w:val="none"/>
              </w:rPr>
              <w:t>（</w:t>
            </w:r>
            <w:r>
              <w:rPr>
                <w:b/>
                <w:bCs/>
                <w:color w:val="auto"/>
                <w:spacing w:val="9"/>
                <w:highlight w:val="none"/>
              </w:rPr>
              <w:t>必须提供，否则响应文件按无效</w:t>
            </w:r>
            <w:r>
              <w:rPr>
                <w:b/>
                <w:bCs/>
                <w:color w:val="auto"/>
                <w:spacing w:val="8"/>
                <w:highlight w:val="none"/>
              </w:rPr>
              <w:t>响应处理）</w:t>
            </w:r>
          </w:p>
          <w:p w14:paraId="240BCB02">
            <w:pPr>
              <w:pStyle w:val="9"/>
              <w:spacing w:before="153" w:line="228" w:lineRule="auto"/>
              <w:ind w:left="113"/>
              <w:rPr>
                <w:color w:val="auto"/>
                <w:highlight w:val="none"/>
              </w:rPr>
            </w:pPr>
            <w:r>
              <w:rPr>
                <w:color w:val="auto"/>
                <w:spacing w:val="9"/>
                <w:highlight w:val="none"/>
              </w:rPr>
              <w:t>6.供应商类似的业绩证明文件</w:t>
            </w:r>
            <w:r>
              <w:rPr>
                <w:color w:val="auto"/>
                <w:spacing w:val="-2"/>
                <w:highlight w:val="none"/>
              </w:rPr>
              <w:t>；</w:t>
            </w:r>
            <w:r>
              <w:rPr>
                <w:b/>
                <w:bCs/>
                <w:color w:val="auto"/>
                <w:spacing w:val="-2"/>
                <w:highlight w:val="none"/>
              </w:rPr>
              <w:t>（</w:t>
            </w:r>
            <w:r>
              <w:rPr>
                <w:b/>
                <w:bCs/>
                <w:color w:val="auto"/>
                <w:spacing w:val="9"/>
                <w:highlight w:val="none"/>
              </w:rPr>
              <w:t>如有，请提供）</w:t>
            </w:r>
          </w:p>
          <w:p w14:paraId="7DC5ED22">
            <w:pPr>
              <w:pStyle w:val="9"/>
              <w:spacing w:before="154" w:line="228" w:lineRule="auto"/>
              <w:ind w:left="116"/>
              <w:rPr>
                <w:color w:val="auto"/>
                <w:highlight w:val="none"/>
              </w:rPr>
            </w:pPr>
            <w:r>
              <w:rPr>
                <w:color w:val="auto"/>
                <w:spacing w:val="9"/>
                <w:highlight w:val="none"/>
              </w:rPr>
              <w:t>7.技术需求偏离表</w:t>
            </w:r>
            <w:r>
              <w:rPr>
                <w:color w:val="auto"/>
                <w:spacing w:val="-6"/>
                <w:highlight w:val="none"/>
              </w:rPr>
              <w:t>；</w:t>
            </w:r>
            <w:r>
              <w:rPr>
                <w:b/>
                <w:bCs/>
                <w:color w:val="auto"/>
                <w:spacing w:val="-6"/>
                <w:highlight w:val="none"/>
              </w:rPr>
              <w:t>（</w:t>
            </w:r>
            <w:r>
              <w:rPr>
                <w:b/>
                <w:bCs/>
                <w:color w:val="auto"/>
                <w:spacing w:val="9"/>
                <w:highlight w:val="none"/>
              </w:rPr>
              <w:t>必须提供，否则响应文件按无效响应处</w:t>
            </w:r>
            <w:r>
              <w:rPr>
                <w:b/>
                <w:bCs/>
                <w:color w:val="auto"/>
                <w:spacing w:val="8"/>
                <w:highlight w:val="none"/>
              </w:rPr>
              <w:t>理）</w:t>
            </w:r>
          </w:p>
          <w:p w14:paraId="414D1C4B">
            <w:pPr>
              <w:pStyle w:val="9"/>
              <w:spacing w:before="151" w:line="228" w:lineRule="auto"/>
              <w:ind w:left="112"/>
              <w:rPr>
                <w:color w:val="auto"/>
                <w:highlight w:val="none"/>
              </w:rPr>
            </w:pPr>
            <w:r>
              <w:rPr>
                <w:color w:val="auto"/>
                <w:spacing w:val="9"/>
                <w:highlight w:val="none"/>
              </w:rPr>
              <w:t>8.施工组织设计</w:t>
            </w:r>
            <w:r>
              <w:rPr>
                <w:color w:val="auto"/>
                <w:spacing w:val="-6"/>
                <w:highlight w:val="none"/>
              </w:rPr>
              <w:t>；</w:t>
            </w:r>
            <w:r>
              <w:rPr>
                <w:b/>
                <w:bCs/>
                <w:color w:val="auto"/>
                <w:spacing w:val="-6"/>
                <w:highlight w:val="none"/>
              </w:rPr>
              <w:t>（</w:t>
            </w:r>
            <w:r>
              <w:rPr>
                <w:b/>
                <w:bCs/>
                <w:color w:val="auto"/>
                <w:spacing w:val="9"/>
                <w:highlight w:val="none"/>
              </w:rPr>
              <w:t>必须提供，否则响应文件按无效响应处理）</w:t>
            </w:r>
          </w:p>
          <w:p w14:paraId="18A3D829">
            <w:pPr>
              <w:pStyle w:val="9"/>
              <w:spacing w:before="154" w:line="299" w:lineRule="auto"/>
              <w:ind w:left="112" w:right="111"/>
              <w:rPr>
                <w:color w:val="auto"/>
                <w:highlight w:val="none"/>
              </w:rPr>
            </w:pPr>
            <w:r>
              <w:rPr>
                <w:color w:val="auto"/>
                <w:spacing w:val="20"/>
                <w:highlight w:val="none"/>
              </w:rPr>
              <w:t>9.项目管理机构及主要人员简历表（格式后附</w:t>
            </w:r>
            <w:r>
              <w:rPr>
                <w:color w:val="auto"/>
                <w:spacing w:val="-6"/>
                <w:highlight w:val="none"/>
              </w:rPr>
              <w:t>）</w:t>
            </w:r>
            <w:r>
              <w:rPr>
                <w:color w:val="auto"/>
                <w:spacing w:val="-22"/>
                <w:highlight w:val="none"/>
              </w:rPr>
              <w:t xml:space="preserve"> </w:t>
            </w:r>
            <w:r>
              <w:rPr>
                <w:color w:val="auto"/>
                <w:spacing w:val="-6"/>
                <w:highlight w:val="none"/>
              </w:rPr>
              <w:t>；</w:t>
            </w:r>
            <w:r>
              <w:rPr>
                <w:b/>
                <w:bCs/>
                <w:color w:val="auto"/>
                <w:spacing w:val="-6"/>
                <w:highlight w:val="none"/>
              </w:rPr>
              <w:t>（</w:t>
            </w:r>
            <w:r>
              <w:rPr>
                <w:b/>
                <w:bCs/>
                <w:color w:val="auto"/>
                <w:spacing w:val="20"/>
                <w:highlight w:val="none"/>
              </w:rPr>
              <w:t>包括以下材料</w:t>
            </w:r>
            <w:r>
              <w:rPr>
                <w:color w:val="auto"/>
                <w:highlight w:val="none"/>
              </w:rPr>
              <w:t xml:space="preserve"> </w:t>
            </w:r>
            <w:r>
              <w:rPr>
                <w:b/>
                <w:bCs/>
                <w:color w:val="auto"/>
                <w:spacing w:val="7"/>
                <w:highlight w:val="none"/>
              </w:rPr>
              <w:t>均按要求必须提供，否则响应文件按无效响应处理）</w:t>
            </w:r>
          </w:p>
          <w:p w14:paraId="2024D7D2">
            <w:pPr>
              <w:pStyle w:val="9"/>
              <w:spacing w:before="152" w:line="228" w:lineRule="auto"/>
              <w:ind w:left="112"/>
              <w:rPr>
                <w:color w:val="auto"/>
                <w:highlight w:val="none"/>
              </w:rPr>
            </w:pPr>
            <w:r>
              <w:rPr>
                <w:color w:val="auto"/>
                <w:spacing w:val="9"/>
                <w:highlight w:val="none"/>
              </w:rPr>
              <w:t>9.1</w:t>
            </w:r>
            <w:r>
              <w:rPr>
                <w:color w:val="auto"/>
                <w:spacing w:val="-36"/>
                <w:highlight w:val="none"/>
              </w:rPr>
              <w:t xml:space="preserve"> </w:t>
            </w:r>
            <w:r>
              <w:rPr>
                <w:color w:val="auto"/>
                <w:spacing w:val="9"/>
                <w:highlight w:val="none"/>
              </w:rPr>
              <w:t>项目经理简历表</w:t>
            </w:r>
            <w:r>
              <w:rPr>
                <w:color w:val="auto"/>
                <w:spacing w:val="-2"/>
                <w:highlight w:val="none"/>
              </w:rPr>
              <w:t>；（</w:t>
            </w:r>
            <w:r>
              <w:rPr>
                <w:color w:val="auto"/>
                <w:spacing w:val="9"/>
                <w:highlight w:val="none"/>
              </w:rPr>
              <w:t>按资格要求提供有效的证书复印件）</w:t>
            </w:r>
          </w:p>
          <w:p w14:paraId="4BD3CB93">
            <w:pPr>
              <w:pStyle w:val="9"/>
              <w:spacing w:before="153" w:line="228" w:lineRule="auto"/>
              <w:ind w:left="112"/>
              <w:rPr>
                <w:color w:val="auto"/>
                <w:highlight w:val="none"/>
              </w:rPr>
            </w:pPr>
            <w:r>
              <w:rPr>
                <w:color w:val="auto"/>
                <w:spacing w:val="9"/>
                <w:highlight w:val="none"/>
              </w:rPr>
              <w:t>9.2</w:t>
            </w:r>
            <w:r>
              <w:rPr>
                <w:color w:val="auto"/>
                <w:spacing w:val="-37"/>
                <w:highlight w:val="none"/>
              </w:rPr>
              <w:t xml:space="preserve"> </w:t>
            </w:r>
            <w:r>
              <w:rPr>
                <w:color w:val="auto"/>
                <w:spacing w:val="9"/>
                <w:highlight w:val="none"/>
              </w:rPr>
              <w:t>项目技术负责人简历表</w:t>
            </w:r>
            <w:r>
              <w:rPr>
                <w:color w:val="auto"/>
                <w:spacing w:val="1"/>
                <w:highlight w:val="none"/>
              </w:rPr>
              <w:t>；（</w:t>
            </w:r>
            <w:r>
              <w:rPr>
                <w:color w:val="auto"/>
                <w:spacing w:val="9"/>
                <w:highlight w:val="none"/>
              </w:rPr>
              <w:t>附中级及以上技术职称证书复印件）</w:t>
            </w:r>
          </w:p>
          <w:p w14:paraId="1590D9D4">
            <w:pPr>
              <w:pStyle w:val="9"/>
              <w:spacing w:before="155" w:line="334" w:lineRule="auto"/>
              <w:ind w:left="111" w:right="108"/>
              <w:rPr>
                <w:color w:val="auto"/>
                <w:highlight w:val="none"/>
              </w:rPr>
            </w:pPr>
            <w:r>
              <w:rPr>
                <w:color w:val="auto"/>
                <w:spacing w:val="9"/>
                <w:highlight w:val="none"/>
              </w:rPr>
              <w:t>9.3</w:t>
            </w:r>
            <w:r>
              <w:rPr>
                <w:color w:val="auto"/>
                <w:spacing w:val="-25"/>
                <w:highlight w:val="none"/>
              </w:rPr>
              <w:t xml:space="preserve"> </w:t>
            </w:r>
            <w:r>
              <w:rPr>
                <w:color w:val="auto"/>
                <w:spacing w:val="9"/>
                <w:highlight w:val="none"/>
              </w:rPr>
              <w:t>项目管理机构配备情况表；</w:t>
            </w:r>
            <w:r>
              <w:rPr>
                <w:color w:val="auto"/>
                <w:spacing w:val="-46"/>
                <w:highlight w:val="none"/>
              </w:rPr>
              <w:t xml:space="preserve"> </w:t>
            </w:r>
            <w:r>
              <w:rPr>
                <w:color w:val="auto"/>
                <w:spacing w:val="9"/>
                <w:highlight w:val="none"/>
              </w:rPr>
              <w:t>[附安全员（具备有效专职安全生产管</w:t>
            </w:r>
            <w:r>
              <w:rPr>
                <w:color w:val="auto"/>
                <w:highlight w:val="none"/>
              </w:rPr>
              <w:t xml:space="preserve"> </w:t>
            </w:r>
            <w:r>
              <w:rPr>
                <w:color w:val="auto"/>
                <w:spacing w:val="6"/>
                <w:highlight w:val="none"/>
              </w:rPr>
              <w:t>理人员安全生产考核合格</w:t>
            </w:r>
            <w:r>
              <w:rPr>
                <w:color w:val="auto"/>
                <w:spacing w:val="-28"/>
                <w:highlight w:val="none"/>
              </w:rPr>
              <w:t xml:space="preserve"> </w:t>
            </w:r>
            <w:r>
              <w:rPr>
                <w:color w:val="auto"/>
                <w:spacing w:val="6"/>
                <w:highlight w:val="none"/>
              </w:rPr>
              <w:t>C</w:t>
            </w:r>
            <w:r>
              <w:rPr>
                <w:color w:val="auto"/>
                <w:spacing w:val="-40"/>
                <w:highlight w:val="none"/>
              </w:rPr>
              <w:t xml:space="preserve"> </w:t>
            </w:r>
            <w:r>
              <w:rPr>
                <w:color w:val="auto"/>
                <w:spacing w:val="6"/>
                <w:highlight w:val="none"/>
              </w:rPr>
              <w:t>类证书）、施工员、质量员、材料员应具有</w:t>
            </w:r>
            <w:r>
              <w:rPr>
                <w:color w:val="auto"/>
                <w:highlight w:val="none"/>
              </w:rPr>
              <w:t xml:space="preserve"> </w:t>
            </w:r>
            <w:r>
              <w:rPr>
                <w:color w:val="auto"/>
                <w:spacing w:val="7"/>
                <w:highlight w:val="none"/>
              </w:rPr>
              <w:t>相应施工现场专业人员职业培训合格证书，且拟投入的项目管理人员符</w:t>
            </w:r>
            <w:r>
              <w:rPr>
                <w:color w:val="auto"/>
                <w:spacing w:val="1"/>
                <w:highlight w:val="none"/>
              </w:rPr>
              <w:t xml:space="preserve"> </w:t>
            </w:r>
            <w:r>
              <w:rPr>
                <w:color w:val="auto"/>
                <w:spacing w:val="9"/>
                <w:highlight w:val="none"/>
              </w:rPr>
              <w:t>合国家及广西壮族自治区的规定]</w:t>
            </w:r>
          </w:p>
          <w:p w14:paraId="20873FF3">
            <w:pPr>
              <w:pStyle w:val="9"/>
              <w:spacing w:before="151" w:line="299" w:lineRule="auto"/>
              <w:ind w:left="113" w:right="111" w:firstLine="13"/>
              <w:rPr>
                <w:color w:val="auto"/>
                <w:highlight w:val="none"/>
              </w:rPr>
            </w:pPr>
            <w:r>
              <w:rPr>
                <w:color w:val="auto"/>
                <w:spacing w:val="9"/>
                <w:highlight w:val="none"/>
              </w:rPr>
              <w:t>10.建设工程项目管理承诺书（格式后附</w:t>
            </w:r>
            <w:r>
              <w:rPr>
                <w:color w:val="auto"/>
                <w:spacing w:val="2"/>
                <w:highlight w:val="none"/>
              </w:rPr>
              <w:t>）</w:t>
            </w:r>
            <w:r>
              <w:rPr>
                <w:b/>
                <w:bCs/>
                <w:color w:val="auto"/>
                <w:spacing w:val="2"/>
                <w:highlight w:val="none"/>
              </w:rPr>
              <w:t>（</w:t>
            </w:r>
            <w:r>
              <w:rPr>
                <w:b/>
                <w:bCs/>
                <w:color w:val="auto"/>
                <w:spacing w:val="9"/>
                <w:highlight w:val="none"/>
              </w:rPr>
              <w:t>必须提供，否则响应文件</w:t>
            </w:r>
            <w:r>
              <w:rPr>
                <w:color w:val="auto"/>
                <w:spacing w:val="1"/>
                <w:highlight w:val="none"/>
              </w:rPr>
              <w:t xml:space="preserve"> </w:t>
            </w:r>
            <w:r>
              <w:rPr>
                <w:b/>
                <w:bCs/>
                <w:color w:val="auto"/>
                <w:spacing w:val="5"/>
                <w:highlight w:val="none"/>
              </w:rPr>
              <w:t>按无效响应处理）</w:t>
            </w:r>
          </w:p>
          <w:p w14:paraId="0C8676A3">
            <w:pPr>
              <w:pStyle w:val="9"/>
              <w:keepNext w:val="0"/>
              <w:keepLines w:val="0"/>
              <w:pageBreakBefore w:val="0"/>
              <w:widowControl/>
              <w:kinsoku w:val="0"/>
              <w:wordWrap/>
              <w:overflowPunct/>
              <w:topLinePunct w:val="0"/>
              <w:autoSpaceDE w:val="0"/>
              <w:autoSpaceDN w:val="0"/>
              <w:bidi w:val="0"/>
              <w:adjustRightInd w:val="0"/>
              <w:snapToGrid w:val="0"/>
              <w:spacing w:before="154" w:line="300" w:lineRule="auto"/>
              <w:ind w:left="113" w:right="113" w:firstLine="17"/>
              <w:textAlignment w:val="baseline"/>
              <w:rPr>
                <w:rFonts w:ascii="宋体" w:hAnsi="宋体" w:eastAsia="宋体" w:cs="宋体"/>
                <w:snapToGrid w:val="0"/>
                <w:color w:val="auto"/>
                <w:kern w:val="0"/>
                <w:sz w:val="20"/>
                <w:szCs w:val="20"/>
                <w:highlight w:val="none"/>
                <w:lang w:val="en-US" w:eastAsia="en-US" w:bidi="ar-SA"/>
              </w:rPr>
            </w:pPr>
            <w:r>
              <w:rPr>
                <w:color w:val="auto"/>
                <w:spacing w:val="7"/>
                <w:highlight w:val="none"/>
              </w:rPr>
              <w:t>11.供应商认为需要提供的其他有关资料。</w:t>
            </w:r>
            <w:r>
              <w:rPr>
                <w:b/>
                <w:bCs/>
                <w:color w:val="auto"/>
                <w:spacing w:val="7"/>
                <w:highlight w:val="none"/>
              </w:rPr>
              <w:t>（如有请提供）</w:t>
            </w:r>
            <w:r>
              <w:rPr>
                <w:color w:val="auto"/>
                <w:spacing w:val="12"/>
                <w:highlight w:val="none"/>
              </w:rPr>
              <w:t xml:space="preserve"> </w:t>
            </w:r>
            <w:r>
              <w:rPr>
                <w:b/>
                <w:bCs/>
                <w:color w:val="auto"/>
                <w:spacing w:val="-2"/>
                <w:highlight w:val="none"/>
              </w:rPr>
              <w:t>注：</w:t>
            </w:r>
            <w:r>
              <w:rPr>
                <w:b/>
                <w:bCs/>
                <w:color w:val="auto"/>
                <w:spacing w:val="4"/>
                <w:highlight w:val="none"/>
              </w:rPr>
              <w:t>1.法定代表人授权委托书必须由法定代表人及委托代理人签字，并</w:t>
            </w:r>
            <w:r>
              <w:rPr>
                <w:color w:val="auto"/>
                <w:spacing w:val="6"/>
                <w:highlight w:val="none"/>
              </w:rPr>
              <w:t xml:space="preserve"> </w:t>
            </w:r>
            <w:r>
              <w:rPr>
                <w:b/>
                <w:bCs/>
                <w:color w:val="auto"/>
                <w:spacing w:val="7"/>
                <w:highlight w:val="none"/>
              </w:rPr>
              <w:t>加盖供应商公章，否则响应文件按无效响应处理。</w:t>
            </w:r>
            <w:r>
              <w:rPr>
                <w:b/>
                <w:bCs/>
                <w:color w:val="auto"/>
                <w:spacing w:val="4"/>
                <w:highlight w:val="none"/>
              </w:rPr>
              <w:t>2.以上标明“必须提供</w:t>
            </w:r>
            <w:r>
              <w:rPr>
                <w:color w:val="auto"/>
                <w:spacing w:val="-70"/>
                <w:highlight w:val="none"/>
              </w:rPr>
              <w:t xml:space="preserve"> </w:t>
            </w:r>
            <w:r>
              <w:rPr>
                <w:b/>
                <w:bCs/>
                <w:color w:val="auto"/>
                <w:spacing w:val="4"/>
                <w:highlight w:val="none"/>
              </w:rPr>
              <w:t>”的材料属于复印</w:t>
            </w:r>
            <w:r>
              <w:rPr>
                <w:b/>
                <w:bCs/>
                <w:color w:val="auto"/>
                <w:spacing w:val="3"/>
                <w:highlight w:val="none"/>
              </w:rPr>
              <w:t>件的，必须加盖供应商电</w:t>
            </w:r>
            <w:r>
              <w:rPr>
                <w:color w:val="auto"/>
                <w:highlight w:val="none"/>
              </w:rPr>
              <w:t xml:space="preserve"> </w:t>
            </w:r>
            <w:r>
              <w:rPr>
                <w:b/>
                <w:bCs/>
                <w:color w:val="auto"/>
                <w:spacing w:val="7"/>
                <w:highlight w:val="none"/>
              </w:rPr>
              <w:t>子公章，否则响应文件按无效响应处理。</w:t>
            </w:r>
          </w:p>
        </w:tc>
      </w:tr>
      <w:tr w14:paraId="05511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7" w:hRule="atLeast"/>
        </w:trPr>
        <w:tc>
          <w:tcPr>
            <w:tcW w:w="863" w:type="dxa"/>
            <w:shd w:val="clear" w:color="auto" w:fill="auto"/>
            <w:vAlign w:val="top"/>
          </w:tcPr>
          <w:p w14:paraId="5A8E27BA">
            <w:pPr>
              <w:spacing w:line="267" w:lineRule="auto"/>
              <w:rPr>
                <w:rFonts w:ascii="Arial"/>
                <w:color w:val="auto"/>
                <w:sz w:val="21"/>
                <w:highlight w:val="none"/>
              </w:rPr>
            </w:pPr>
          </w:p>
          <w:p w14:paraId="7B7FED4D">
            <w:pPr>
              <w:spacing w:line="267" w:lineRule="auto"/>
              <w:rPr>
                <w:rFonts w:ascii="Arial"/>
                <w:color w:val="auto"/>
                <w:sz w:val="21"/>
                <w:highlight w:val="none"/>
              </w:rPr>
            </w:pPr>
          </w:p>
          <w:p w14:paraId="303930CE">
            <w:pPr>
              <w:spacing w:line="268" w:lineRule="auto"/>
              <w:rPr>
                <w:rFonts w:ascii="Arial"/>
                <w:color w:val="auto"/>
                <w:sz w:val="21"/>
                <w:highlight w:val="none"/>
              </w:rPr>
            </w:pPr>
          </w:p>
          <w:p w14:paraId="17E4BBCE">
            <w:pPr>
              <w:spacing w:line="268" w:lineRule="auto"/>
              <w:rPr>
                <w:rFonts w:ascii="Arial"/>
                <w:color w:val="auto"/>
                <w:sz w:val="21"/>
                <w:highlight w:val="none"/>
              </w:rPr>
            </w:pPr>
          </w:p>
          <w:p w14:paraId="651D1F0D">
            <w:pPr>
              <w:pStyle w:val="9"/>
              <w:spacing w:before="65" w:line="269" w:lineRule="exact"/>
              <w:ind w:left="138" w:leftChars="0"/>
              <w:rPr>
                <w:color w:val="auto"/>
                <w:spacing w:val="1"/>
                <w:position w:val="1"/>
                <w:highlight w:val="none"/>
              </w:rPr>
            </w:pPr>
            <w:r>
              <w:rPr>
                <w:color w:val="auto"/>
                <w:spacing w:val="1"/>
                <w:position w:val="1"/>
                <w:highlight w:val="none"/>
              </w:rPr>
              <w:t>12.1.3</w:t>
            </w:r>
          </w:p>
        </w:tc>
        <w:tc>
          <w:tcPr>
            <w:tcW w:w="2242" w:type="dxa"/>
            <w:shd w:val="clear" w:color="auto" w:fill="auto"/>
            <w:vAlign w:val="top"/>
          </w:tcPr>
          <w:p w14:paraId="0282562B">
            <w:pPr>
              <w:spacing w:line="267" w:lineRule="auto"/>
              <w:rPr>
                <w:rFonts w:ascii="Arial"/>
                <w:color w:val="auto"/>
                <w:sz w:val="21"/>
                <w:highlight w:val="none"/>
              </w:rPr>
            </w:pPr>
          </w:p>
          <w:p w14:paraId="57968AD7">
            <w:pPr>
              <w:spacing w:line="267" w:lineRule="auto"/>
              <w:rPr>
                <w:rFonts w:ascii="Arial"/>
                <w:color w:val="auto"/>
                <w:sz w:val="21"/>
                <w:highlight w:val="none"/>
              </w:rPr>
            </w:pPr>
          </w:p>
          <w:p w14:paraId="487542EE">
            <w:pPr>
              <w:spacing w:line="268" w:lineRule="auto"/>
              <w:rPr>
                <w:rFonts w:ascii="Arial"/>
                <w:color w:val="auto"/>
                <w:sz w:val="21"/>
                <w:highlight w:val="none"/>
              </w:rPr>
            </w:pPr>
          </w:p>
          <w:p w14:paraId="22C30337">
            <w:pPr>
              <w:spacing w:line="268" w:lineRule="auto"/>
              <w:rPr>
                <w:rFonts w:ascii="Arial"/>
                <w:color w:val="auto"/>
                <w:sz w:val="21"/>
                <w:highlight w:val="none"/>
              </w:rPr>
            </w:pPr>
          </w:p>
          <w:p w14:paraId="1CB98E86">
            <w:pPr>
              <w:pStyle w:val="9"/>
              <w:spacing w:before="65" w:line="227" w:lineRule="auto"/>
              <w:ind w:left="793" w:leftChars="0"/>
              <w:rPr>
                <w:b/>
                <w:bCs/>
                <w:color w:val="auto"/>
                <w:spacing w:val="6"/>
                <w:highlight w:val="none"/>
              </w:rPr>
            </w:pPr>
            <w:r>
              <w:rPr>
                <w:b/>
                <w:bCs/>
                <w:color w:val="auto"/>
                <w:spacing w:val="6"/>
                <w:highlight w:val="none"/>
              </w:rPr>
              <w:t>报价文件</w:t>
            </w:r>
          </w:p>
        </w:tc>
        <w:tc>
          <w:tcPr>
            <w:tcW w:w="6829" w:type="dxa"/>
            <w:shd w:val="clear" w:color="auto" w:fill="auto"/>
            <w:vAlign w:val="top"/>
          </w:tcPr>
          <w:p w14:paraId="538C285D">
            <w:pPr>
              <w:pStyle w:val="9"/>
              <w:spacing w:before="140" w:line="228" w:lineRule="auto"/>
              <w:ind w:left="127"/>
              <w:rPr>
                <w:color w:val="auto"/>
                <w:highlight w:val="none"/>
              </w:rPr>
            </w:pPr>
            <w:r>
              <w:rPr>
                <w:color w:val="auto"/>
                <w:spacing w:val="8"/>
                <w:highlight w:val="none"/>
              </w:rPr>
              <w:t>1.响应函</w:t>
            </w:r>
            <w:r>
              <w:rPr>
                <w:color w:val="auto"/>
                <w:spacing w:val="-4"/>
                <w:highlight w:val="none"/>
              </w:rPr>
              <w:t>；</w:t>
            </w:r>
            <w:r>
              <w:rPr>
                <w:b/>
                <w:bCs/>
                <w:color w:val="auto"/>
                <w:spacing w:val="-4"/>
                <w:highlight w:val="none"/>
              </w:rPr>
              <w:t>（</w:t>
            </w:r>
            <w:r>
              <w:rPr>
                <w:b/>
                <w:bCs/>
                <w:color w:val="auto"/>
                <w:spacing w:val="8"/>
                <w:highlight w:val="none"/>
              </w:rPr>
              <w:t>必须提供，否则作无效响应处理）</w:t>
            </w:r>
          </w:p>
          <w:p w14:paraId="10BF5C9B">
            <w:pPr>
              <w:pStyle w:val="9"/>
              <w:spacing w:before="154" w:line="227" w:lineRule="auto"/>
              <w:ind w:left="114"/>
              <w:rPr>
                <w:color w:val="auto"/>
                <w:highlight w:val="none"/>
              </w:rPr>
            </w:pPr>
            <w:r>
              <w:rPr>
                <w:color w:val="auto"/>
                <w:spacing w:val="9"/>
                <w:highlight w:val="none"/>
              </w:rPr>
              <w:t>2.响应报价表</w:t>
            </w:r>
            <w:r>
              <w:rPr>
                <w:color w:val="auto"/>
                <w:spacing w:val="-6"/>
                <w:highlight w:val="none"/>
              </w:rPr>
              <w:t>；</w:t>
            </w:r>
            <w:r>
              <w:rPr>
                <w:b/>
                <w:bCs/>
                <w:color w:val="auto"/>
                <w:spacing w:val="-6"/>
                <w:highlight w:val="none"/>
              </w:rPr>
              <w:t>（</w:t>
            </w:r>
            <w:r>
              <w:rPr>
                <w:b/>
                <w:bCs/>
                <w:color w:val="auto"/>
                <w:spacing w:val="9"/>
                <w:highlight w:val="none"/>
              </w:rPr>
              <w:t>必须提供，否则作无效响应处理）</w:t>
            </w:r>
          </w:p>
          <w:p w14:paraId="70DD07D6">
            <w:pPr>
              <w:pStyle w:val="9"/>
              <w:spacing w:before="152" w:line="227" w:lineRule="auto"/>
              <w:ind w:left="116"/>
              <w:rPr>
                <w:color w:val="auto"/>
                <w:highlight w:val="none"/>
              </w:rPr>
            </w:pPr>
            <w:r>
              <w:rPr>
                <w:color w:val="auto"/>
                <w:spacing w:val="9"/>
                <w:highlight w:val="none"/>
              </w:rPr>
              <w:t>3.已标价工程量清单</w:t>
            </w:r>
            <w:r>
              <w:rPr>
                <w:color w:val="auto"/>
                <w:spacing w:val="-7"/>
                <w:highlight w:val="none"/>
              </w:rPr>
              <w:t>；</w:t>
            </w:r>
            <w:r>
              <w:rPr>
                <w:b/>
                <w:bCs/>
                <w:color w:val="auto"/>
                <w:spacing w:val="-7"/>
                <w:highlight w:val="none"/>
              </w:rPr>
              <w:t>（</w:t>
            </w:r>
            <w:r>
              <w:rPr>
                <w:b/>
                <w:bCs/>
                <w:color w:val="auto"/>
                <w:spacing w:val="9"/>
                <w:highlight w:val="none"/>
              </w:rPr>
              <w:t>必须提供，否则响应文件按无效响应处理）</w:t>
            </w:r>
          </w:p>
          <w:p w14:paraId="677FE784">
            <w:pPr>
              <w:pStyle w:val="9"/>
              <w:spacing w:before="154" w:line="228" w:lineRule="auto"/>
              <w:ind w:left="111"/>
              <w:rPr>
                <w:color w:val="auto"/>
                <w:highlight w:val="none"/>
              </w:rPr>
            </w:pPr>
            <w:r>
              <w:rPr>
                <w:color w:val="auto"/>
                <w:spacing w:val="8"/>
                <w:highlight w:val="none"/>
              </w:rPr>
              <w:t>4.供应商认为需要提供的其他有关资料。</w:t>
            </w:r>
          </w:p>
          <w:p w14:paraId="40FBF975">
            <w:pPr>
              <w:pStyle w:val="9"/>
              <w:spacing w:before="154" w:line="301" w:lineRule="auto"/>
              <w:ind w:left="121" w:leftChars="0" w:right="111" w:rightChars="0" w:hanging="10" w:firstLineChars="0"/>
              <w:rPr>
                <w:color w:val="auto"/>
                <w:spacing w:val="7"/>
                <w:highlight w:val="none"/>
              </w:rPr>
            </w:pPr>
            <w:r>
              <w:rPr>
                <w:b/>
                <w:bCs/>
                <w:color w:val="auto"/>
                <w:spacing w:val="11"/>
                <w:highlight w:val="none"/>
              </w:rPr>
              <w:t>注：1.上述材料必须在规定盖章处加盖供应商电子公章，否则作无效</w:t>
            </w:r>
            <w:r>
              <w:rPr>
                <w:color w:val="auto"/>
                <w:spacing w:val="9"/>
                <w:highlight w:val="none"/>
              </w:rPr>
              <w:t xml:space="preserve"> </w:t>
            </w:r>
            <w:r>
              <w:rPr>
                <w:b/>
                <w:bCs/>
                <w:color w:val="auto"/>
                <w:spacing w:val="2"/>
                <w:highlight w:val="none"/>
              </w:rPr>
              <w:t>响应处理。</w:t>
            </w:r>
          </w:p>
        </w:tc>
      </w:tr>
    </w:tbl>
    <w:p w14:paraId="4586A68E">
      <w:pPr>
        <w:pStyle w:val="2"/>
        <w:spacing w:line="201" w:lineRule="exact"/>
        <w:rPr>
          <w:color w:val="auto"/>
          <w:sz w:val="17"/>
          <w:highlight w:val="none"/>
        </w:rPr>
      </w:pPr>
    </w:p>
    <w:p w14:paraId="147AF13A">
      <w:pPr>
        <w:spacing w:before="3"/>
        <w:rPr>
          <w:color w:val="auto"/>
          <w:highlight w:val="none"/>
        </w:rPr>
      </w:pPr>
    </w:p>
    <w:p w14:paraId="41BD7C72">
      <w:pPr>
        <w:spacing w:before="3"/>
        <w:rPr>
          <w:color w:val="auto"/>
          <w:highlight w:val="none"/>
        </w:rPr>
      </w:pPr>
    </w:p>
    <w:p w14:paraId="6B8E7247">
      <w:pPr>
        <w:spacing w:before="3"/>
        <w:rPr>
          <w:color w:val="auto"/>
          <w:highlight w:val="none"/>
        </w:rPr>
      </w:pPr>
    </w:p>
    <w:tbl>
      <w:tblPr>
        <w:tblStyle w:val="8"/>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2426"/>
        <w:gridCol w:w="6645"/>
      </w:tblGrid>
      <w:tr w14:paraId="31DE2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61" w:hRule="atLeast"/>
        </w:trPr>
        <w:tc>
          <w:tcPr>
            <w:tcW w:w="863" w:type="dxa"/>
            <w:vAlign w:val="top"/>
          </w:tcPr>
          <w:p w14:paraId="24D58DC0">
            <w:pPr>
              <w:spacing w:line="283" w:lineRule="auto"/>
              <w:rPr>
                <w:rFonts w:ascii="Arial"/>
                <w:color w:val="auto"/>
                <w:sz w:val="21"/>
                <w:highlight w:val="none"/>
              </w:rPr>
            </w:pPr>
          </w:p>
          <w:p w14:paraId="334514E9">
            <w:pPr>
              <w:spacing w:line="283" w:lineRule="auto"/>
              <w:rPr>
                <w:rFonts w:ascii="Arial"/>
                <w:color w:val="auto"/>
                <w:sz w:val="21"/>
                <w:highlight w:val="none"/>
              </w:rPr>
            </w:pPr>
          </w:p>
          <w:p w14:paraId="088346F1">
            <w:pPr>
              <w:spacing w:line="283" w:lineRule="auto"/>
              <w:rPr>
                <w:rFonts w:ascii="Arial"/>
                <w:color w:val="auto"/>
                <w:sz w:val="21"/>
                <w:highlight w:val="none"/>
              </w:rPr>
            </w:pPr>
          </w:p>
          <w:p w14:paraId="07CC6398">
            <w:pPr>
              <w:spacing w:line="284" w:lineRule="auto"/>
              <w:rPr>
                <w:rFonts w:ascii="Arial"/>
                <w:color w:val="auto"/>
                <w:sz w:val="21"/>
                <w:highlight w:val="none"/>
              </w:rPr>
            </w:pPr>
          </w:p>
          <w:p w14:paraId="5CFC0AAC">
            <w:pPr>
              <w:pStyle w:val="9"/>
              <w:spacing w:before="65" w:line="268" w:lineRule="exact"/>
              <w:ind w:left="241"/>
              <w:rPr>
                <w:color w:val="auto"/>
                <w:highlight w:val="none"/>
              </w:rPr>
            </w:pPr>
            <w:r>
              <w:rPr>
                <w:color w:val="auto"/>
                <w:spacing w:val="-1"/>
                <w:position w:val="1"/>
                <w:highlight w:val="none"/>
              </w:rPr>
              <w:t>12.2</w:t>
            </w:r>
          </w:p>
        </w:tc>
        <w:tc>
          <w:tcPr>
            <w:tcW w:w="2426" w:type="dxa"/>
            <w:vAlign w:val="top"/>
          </w:tcPr>
          <w:p w14:paraId="0C15571D">
            <w:pPr>
              <w:spacing w:line="283" w:lineRule="auto"/>
              <w:rPr>
                <w:rFonts w:ascii="Arial"/>
                <w:color w:val="auto"/>
                <w:sz w:val="21"/>
                <w:highlight w:val="none"/>
              </w:rPr>
            </w:pPr>
          </w:p>
          <w:p w14:paraId="33F94FBF">
            <w:pPr>
              <w:spacing w:line="283" w:lineRule="auto"/>
              <w:rPr>
                <w:rFonts w:ascii="Arial"/>
                <w:color w:val="auto"/>
                <w:sz w:val="21"/>
                <w:highlight w:val="none"/>
              </w:rPr>
            </w:pPr>
          </w:p>
          <w:p w14:paraId="13C3D020">
            <w:pPr>
              <w:spacing w:line="283" w:lineRule="auto"/>
              <w:rPr>
                <w:rFonts w:ascii="Arial"/>
                <w:color w:val="auto"/>
                <w:sz w:val="21"/>
                <w:highlight w:val="none"/>
              </w:rPr>
            </w:pPr>
          </w:p>
          <w:p w14:paraId="1DCB71D9">
            <w:pPr>
              <w:spacing w:line="284" w:lineRule="auto"/>
              <w:rPr>
                <w:rFonts w:ascii="Arial"/>
                <w:color w:val="auto"/>
                <w:sz w:val="21"/>
                <w:highlight w:val="none"/>
              </w:rPr>
            </w:pPr>
          </w:p>
          <w:p w14:paraId="48498DD2">
            <w:pPr>
              <w:pStyle w:val="9"/>
              <w:spacing w:before="65" w:line="228" w:lineRule="auto"/>
              <w:ind w:left="283"/>
              <w:rPr>
                <w:color w:val="auto"/>
                <w:highlight w:val="none"/>
              </w:rPr>
            </w:pPr>
            <w:r>
              <w:rPr>
                <w:color w:val="auto"/>
                <w:spacing w:val="7"/>
                <w:highlight w:val="none"/>
              </w:rPr>
              <w:t>响应文件电子版要求</w:t>
            </w:r>
          </w:p>
        </w:tc>
        <w:tc>
          <w:tcPr>
            <w:tcW w:w="6645" w:type="dxa"/>
            <w:vAlign w:val="top"/>
          </w:tcPr>
          <w:p w14:paraId="1CCA259C">
            <w:pPr>
              <w:pStyle w:val="9"/>
              <w:spacing w:before="202" w:line="323" w:lineRule="auto"/>
              <w:ind w:left="117" w:right="108" w:firstLine="9"/>
              <w:rPr>
                <w:color w:val="auto"/>
                <w:highlight w:val="none"/>
              </w:rPr>
            </w:pPr>
            <w:r>
              <w:rPr>
                <w:color w:val="auto"/>
                <w:spacing w:val="8"/>
                <w:highlight w:val="none"/>
              </w:rPr>
              <w:t>1.响应文件电子版要求：按照本采购文件“第五章 响应文</w:t>
            </w:r>
            <w:r>
              <w:rPr>
                <w:color w:val="auto"/>
                <w:spacing w:val="7"/>
                <w:highlight w:val="none"/>
              </w:rPr>
              <w:t>件格式</w:t>
            </w:r>
            <w:r>
              <w:rPr>
                <w:color w:val="auto"/>
                <w:spacing w:val="-70"/>
                <w:highlight w:val="none"/>
              </w:rPr>
              <w:t xml:space="preserve"> </w:t>
            </w:r>
            <w:r>
              <w:rPr>
                <w:color w:val="auto"/>
                <w:spacing w:val="7"/>
                <w:highlight w:val="none"/>
              </w:rPr>
              <w:t>”编</w:t>
            </w:r>
            <w:r>
              <w:rPr>
                <w:color w:val="auto"/>
                <w:highlight w:val="none"/>
              </w:rPr>
              <w:t xml:space="preserve"> </w:t>
            </w:r>
            <w:r>
              <w:rPr>
                <w:color w:val="auto"/>
                <w:spacing w:val="7"/>
                <w:highlight w:val="none"/>
              </w:rPr>
              <w:t>写（第五章未附格式的，由供应商自行拟定</w:t>
            </w:r>
            <w:r>
              <w:rPr>
                <w:color w:val="auto"/>
                <w:spacing w:val="4"/>
                <w:highlight w:val="none"/>
              </w:rPr>
              <w:t>），</w:t>
            </w:r>
            <w:r>
              <w:rPr>
                <w:color w:val="auto"/>
                <w:spacing w:val="7"/>
                <w:highlight w:val="none"/>
              </w:rPr>
              <w:t>不可涂改并在规定加盖</w:t>
            </w:r>
            <w:r>
              <w:rPr>
                <w:color w:val="auto"/>
                <w:spacing w:val="1"/>
                <w:highlight w:val="none"/>
              </w:rPr>
              <w:t xml:space="preserve"> </w:t>
            </w:r>
            <w:r>
              <w:rPr>
                <w:color w:val="auto"/>
                <w:spacing w:val="8"/>
                <w:highlight w:val="none"/>
              </w:rPr>
              <w:t>公章处加盖电子公章，</w:t>
            </w:r>
            <w:r>
              <w:rPr>
                <w:b/>
                <w:bCs/>
                <w:color w:val="auto"/>
                <w:spacing w:val="8"/>
                <w:highlight w:val="none"/>
              </w:rPr>
              <w:t>否则响应文件按无效响应处理</w:t>
            </w:r>
            <w:r>
              <w:rPr>
                <w:color w:val="auto"/>
                <w:spacing w:val="8"/>
                <w:highlight w:val="none"/>
              </w:rPr>
              <w:t>。</w:t>
            </w:r>
          </w:p>
          <w:p w14:paraId="3DE8C43E">
            <w:pPr>
              <w:pStyle w:val="9"/>
              <w:spacing w:before="151" w:line="323" w:lineRule="auto"/>
              <w:ind w:left="111" w:right="108" w:firstLine="2"/>
              <w:rPr>
                <w:color w:val="auto"/>
                <w:highlight w:val="none"/>
              </w:rPr>
            </w:pPr>
            <w:r>
              <w:rPr>
                <w:color w:val="auto"/>
                <w:spacing w:val="8"/>
                <w:highlight w:val="none"/>
              </w:rPr>
              <w:t>2.响应文件电子版密封方式：</w:t>
            </w:r>
            <w:r>
              <w:rPr>
                <w:color w:val="auto"/>
                <w:spacing w:val="-49"/>
                <w:highlight w:val="none"/>
              </w:rPr>
              <w:t xml:space="preserve"> </w:t>
            </w:r>
            <w:r>
              <w:rPr>
                <w:color w:val="auto"/>
                <w:spacing w:val="8"/>
                <w:highlight w:val="none"/>
              </w:rPr>
              <w:t>电子响应文件通过平台有效</w:t>
            </w:r>
            <w:r>
              <w:rPr>
                <w:color w:val="auto"/>
                <w:spacing w:val="-38"/>
                <w:highlight w:val="none"/>
              </w:rPr>
              <w:t xml:space="preserve"> </w:t>
            </w:r>
            <w:r>
              <w:rPr>
                <w:color w:val="auto"/>
                <w:highlight w:val="none"/>
              </w:rPr>
              <w:t>CA</w:t>
            </w:r>
            <w:r>
              <w:rPr>
                <w:color w:val="auto"/>
                <w:spacing w:val="-40"/>
                <w:highlight w:val="none"/>
              </w:rPr>
              <w:t xml:space="preserve"> </w:t>
            </w:r>
            <w:r>
              <w:rPr>
                <w:color w:val="auto"/>
                <w:spacing w:val="8"/>
                <w:highlight w:val="none"/>
              </w:rPr>
              <w:t>加密后在</w:t>
            </w:r>
            <w:r>
              <w:rPr>
                <w:color w:val="auto"/>
                <w:highlight w:val="none"/>
              </w:rPr>
              <w:t xml:space="preserve"> </w:t>
            </w:r>
            <w:r>
              <w:rPr>
                <w:color w:val="auto"/>
                <w:spacing w:val="6"/>
                <w:highlight w:val="none"/>
              </w:rPr>
              <w:t>广西政府采购云平台投送。（操作方式见公告附件“</w:t>
            </w:r>
            <w:r>
              <w:rPr>
                <w:color w:val="auto"/>
                <w:spacing w:val="-65"/>
                <w:highlight w:val="none"/>
              </w:rPr>
              <w:t xml:space="preserve"> </w:t>
            </w:r>
            <w:r>
              <w:rPr>
                <w:color w:val="auto"/>
                <w:spacing w:val="6"/>
                <w:highlight w:val="none"/>
              </w:rPr>
              <w:t>电子响应文</w:t>
            </w:r>
            <w:r>
              <w:rPr>
                <w:color w:val="auto"/>
                <w:spacing w:val="5"/>
                <w:highlight w:val="none"/>
              </w:rPr>
              <w:t>件制作</w:t>
            </w:r>
            <w:r>
              <w:rPr>
                <w:color w:val="auto"/>
                <w:highlight w:val="none"/>
              </w:rPr>
              <w:t xml:space="preserve"> </w:t>
            </w:r>
            <w:r>
              <w:rPr>
                <w:color w:val="auto"/>
                <w:spacing w:val="5"/>
                <w:highlight w:val="none"/>
              </w:rPr>
              <w:t>与投送教程</w:t>
            </w:r>
            <w:r>
              <w:rPr>
                <w:color w:val="auto"/>
                <w:spacing w:val="-66"/>
                <w:highlight w:val="none"/>
              </w:rPr>
              <w:t xml:space="preserve"> </w:t>
            </w:r>
            <w:r>
              <w:rPr>
                <w:color w:val="auto"/>
                <w:spacing w:val="5"/>
                <w:highlight w:val="none"/>
              </w:rPr>
              <w:t>”</w:t>
            </w:r>
            <w:r>
              <w:rPr>
                <w:color w:val="auto"/>
                <w:spacing w:val="-12"/>
                <w:highlight w:val="none"/>
              </w:rPr>
              <w:t xml:space="preserve"> </w:t>
            </w:r>
            <w:r>
              <w:rPr>
                <w:color w:val="auto"/>
                <w:spacing w:val="5"/>
                <w:highlight w:val="none"/>
              </w:rPr>
              <w:t>）</w:t>
            </w:r>
          </w:p>
        </w:tc>
      </w:tr>
      <w:tr w14:paraId="52F6C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63" w:type="dxa"/>
            <w:vAlign w:val="top"/>
          </w:tcPr>
          <w:p w14:paraId="2D0BEBFE">
            <w:pPr>
              <w:spacing w:line="337" w:lineRule="auto"/>
              <w:rPr>
                <w:rFonts w:ascii="Arial"/>
                <w:color w:val="auto"/>
                <w:sz w:val="21"/>
                <w:highlight w:val="none"/>
              </w:rPr>
            </w:pPr>
          </w:p>
          <w:p w14:paraId="089A3419">
            <w:pPr>
              <w:spacing w:line="337" w:lineRule="auto"/>
              <w:rPr>
                <w:rFonts w:ascii="Arial"/>
                <w:color w:val="auto"/>
                <w:sz w:val="21"/>
                <w:highlight w:val="none"/>
              </w:rPr>
            </w:pPr>
          </w:p>
          <w:p w14:paraId="22A4F391">
            <w:pPr>
              <w:pStyle w:val="9"/>
              <w:spacing w:before="65" w:line="269" w:lineRule="exact"/>
              <w:ind w:left="241"/>
              <w:rPr>
                <w:color w:val="auto"/>
                <w:highlight w:val="none"/>
              </w:rPr>
            </w:pPr>
            <w:r>
              <w:rPr>
                <w:color w:val="auto"/>
                <w:spacing w:val="-1"/>
                <w:position w:val="1"/>
                <w:highlight w:val="none"/>
              </w:rPr>
              <w:t>15.2</w:t>
            </w:r>
          </w:p>
        </w:tc>
        <w:tc>
          <w:tcPr>
            <w:tcW w:w="2426" w:type="dxa"/>
            <w:vAlign w:val="top"/>
          </w:tcPr>
          <w:p w14:paraId="529EFC3B">
            <w:pPr>
              <w:spacing w:line="337" w:lineRule="auto"/>
              <w:rPr>
                <w:rFonts w:ascii="Arial"/>
                <w:color w:val="auto"/>
                <w:sz w:val="21"/>
                <w:highlight w:val="none"/>
              </w:rPr>
            </w:pPr>
          </w:p>
          <w:p w14:paraId="02E574E1">
            <w:pPr>
              <w:spacing w:line="337" w:lineRule="auto"/>
              <w:rPr>
                <w:rFonts w:ascii="Arial"/>
                <w:color w:val="auto"/>
                <w:sz w:val="21"/>
                <w:highlight w:val="none"/>
              </w:rPr>
            </w:pPr>
          </w:p>
          <w:p w14:paraId="58D8CE5A">
            <w:pPr>
              <w:pStyle w:val="9"/>
              <w:spacing w:before="65" w:line="227" w:lineRule="auto"/>
              <w:ind w:left="597"/>
              <w:rPr>
                <w:color w:val="auto"/>
                <w:highlight w:val="none"/>
              </w:rPr>
            </w:pPr>
            <w:r>
              <w:rPr>
                <w:color w:val="auto"/>
                <w:spacing w:val="6"/>
                <w:highlight w:val="none"/>
              </w:rPr>
              <w:t>响应报价要求</w:t>
            </w:r>
          </w:p>
        </w:tc>
        <w:tc>
          <w:tcPr>
            <w:tcW w:w="6645" w:type="dxa"/>
            <w:vAlign w:val="top"/>
          </w:tcPr>
          <w:p w14:paraId="25AB9D76">
            <w:pPr>
              <w:pStyle w:val="9"/>
              <w:spacing w:before="142" w:line="335" w:lineRule="auto"/>
              <w:ind w:left="110" w:right="108" w:firstLine="4"/>
              <w:jc w:val="both"/>
              <w:rPr>
                <w:color w:val="auto"/>
                <w:highlight w:val="none"/>
              </w:rPr>
            </w:pPr>
            <w:r>
              <w:rPr>
                <w:color w:val="auto"/>
                <w:spacing w:val="7"/>
                <w:highlight w:val="none"/>
              </w:rPr>
              <w:t>竞标报价必须包含满足本次竞标全部采购需求所应提供的内容，以</w:t>
            </w:r>
            <w:r>
              <w:rPr>
                <w:color w:val="auto"/>
                <w:spacing w:val="6"/>
                <w:highlight w:val="none"/>
              </w:rPr>
              <w:t>及伴</w:t>
            </w:r>
            <w:r>
              <w:rPr>
                <w:color w:val="auto"/>
                <w:highlight w:val="none"/>
              </w:rPr>
              <w:t xml:space="preserve"> </w:t>
            </w:r>
            <w:r>
              <w:rPr>
                <w:color w:val="auto"/>
                <w:spacing w:val="7"/>
                <w:highlight w:val="none"/>
              </w:rPr>
              <w:t>随的货物和工程的价格；包含竞标服务、货物、工程的成本、运输（含</w:t>
            </w:r>
            <w:r>
              <w:rPr>
                <w:color w:val="auto"/>
                <w:spacing w:val="2"/>
                <w:highlight w:val="none"/>
              </w:rPr>
              <w:t xml:space="preserve"> </w:t>
            </w:r>
            <w:r>
              <w:rPr>
                <w:color w:val="auto"/>
                <w:spacing w:val="7"/>
                <w:highlight w:val="none"/>
              </w:rPr>
              <w:t>保险）、安装、调试、检验、技术服务、培训、税费等所有费用。</w:t>
            </w:r>
            <w:r>
              <w:rPr>
                <w:b/>
                <w:bCs/>
                <w:color w:val="auto"/>
                <w:spacing w:val="6"/>
                <w:highlight w:val="none"/>
              </w:rPr>
              <w:t>（采</w:t>
            </w:r>
            <w:r>
              <w:rPr>
                <w:color w:val="auto"/>
                <w:highlight w:val="none"/>
              </w:rPr>
              <w:t xml:space="preserve"> </w:t>
            </w:r>
            <w:r>
              <w:rPr>
                <w:b/>
                <w:bCs/>
                <w:color w:val="auto"/>
                <w:spacing w:val="7"/>
                <w:highlight w:val="none"/>
              </w:rPr>
              <w:t>购需求另有约定的，从其约定。）</w:t>
            </w:r>
          </w:p>
        </w:tc>
      </w:tr>
      <w:tr w14:paraId="58B3E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3" w:type="dxa"/>
            <w:vAlign w:val="top"/>
          </w:tcPr>
          <w:p w14:paraId="0ECC38AF">
            <w:pPr>
              <w:pStyle w:val="9"/>
              <w:spacing w:before="144" w:line="231" w:lineRule="auto"/>
              <w:ind w:left="241"/>
              <w:rPr>
                <w:color w:val="auto"/>
                <w:highlight w:val="none"/>
              </w:rPr>
            </w:pPr>
            <w:r>
              <w:rPr>
                <w:color w:val="auto"/>
                <w:spacing w:val="-1"/>
                <w:highlight w:val="none"/>
              </w:rPr>
              <w:t>16.2</w:t>
            </w:r>
          </w:p>
        </w:tc>
        <w:tc>
          <w:tcPr>
            <w:tcW w:w="2426" w:type="dxa"/>
            <w:vAlign w:val="top"/>
          </w:tcPr>
          <w:p w14:paraId="2AC68347">
            <w:pPr>
              <w:pStyle w:val="9"/>
              <w:spacing w:before="145" w:line="229" w:lineRule="auto"/>
              <w:ind w:left="694"/>
              <w:rPr>
                <w:color w:val="auto"/>
                <w:highlight w:val="none"/>
              </w:rPr>
            </w:pPr>
            <w:r>
              <w:rPr>
                <w:color w:val="auto"/>
                <w:spacing w:val="7"/>
                <w:highlight w:val="none"/>
              </w:rPr>
              <w:t>竞标有效期</w:t>
            </w:r>
          </w:p>
        </w:tc>
        <w:tc>
          <w:tcPr>
            <w:tcW w:w="6645" w:type="dxa"/>
            <w:vAlign w:val="top"/>
          </w:tcPr>
          <w:p w14:paraId="622EE5C5">
            <w:pPr>
              <w:pStyle w:val="9"/>
              <w:spacing w:before="145" w:line="228" w:lineRule="auto"/>
              <w:ind w:left="146"/>
              <w:rPr>
                <w:color w:val="auto"/>
                <w:highlight w:val="none"/>
              </w:rPr>
            </w:pPr>
            <w:r>
              <w:rPr>
                <w:color w:val="auto"/>
                <w:spacing w:val="3"/>
                <w:highlight w:val="none"/>
              </w:rPr>
              <w:t>自首次响应文件提交截止之日起</w:t>
            </w:r>
            <w:r>
              <w:rPr>
                <w:color w:val="auto"/>
                <w:spacing w:val="-21"/>
                <w:highlight w:val="none"/>
              </w:rPr>
              <w:t xml:space="preserve"> </w:t>
            </w:r>
            <w:r>
              <w:rPr>
                <w:color w:val="auto"/>
                <w:spacing w:val="3"/>
                <w:highlight w:val="none"/>
                <w:u w:val="single" w:color="auto"/>
              </w:rPr>
              <w:t>60 日历天</w:t>
            </w:r>
            <w:r>
              <w:rPr>
                <w:color w:val="auto"/>
                <w:spacing w:val="3"/>
                <w:highlight w:val="none"/>
              </w:rPr>
              <w:t>。</w:t>
            </w:r>
          </w:p>
        </w:tc>
      </w:tr>
      <w:tr w14:paraId="72592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3" w:type="dxa"/>
            <w:vAlign w:val="top"/>
          </w:tcPr>
          <w:p w14:paraId="6CE8F575">
            <w:pPr>
              <w:pStyle w:val="9"/>
              <w:spacing w:before="145" w:line="230" w:lineRule="auto"/>
              <w:ind w:left="241"/>
              <w:rPr>
                <w:color w:val="auto"/>
                <w:highlight w:val="none"/>
              </w:rPr>
            </w:pPr>
            <w:r>
              <w:rPr>
                <w:color w:val="auto"/>
                <w:spacing w:val="-1"/>
                <w:highlight w:val="none"/>
              </w:rPr>
              <w:t>17.1</w:t>
            </w:r>
          </w:p>
        </w:tc>
        <w:tc>
          <w:tcPr>
            <w:tcW w:w="2426" w:type="dxa"/>
            <w:vAlign w:val="top"/>
          </w:tcPr>
          <w:p w14:paraId="5414B092">
            <w:pPr>
              <w:pStyle w:val="9"/>
              <w:spacing w:before="145" w:line="229" w:lineRule="auto"/>
              <w:ind w:left="691"/>
              <w:rPr>
                <w:color w:val="auto"/>
                <w:highlight w:val="none"/>
              </w:rPr>
            </w:pPr>
            <w:r>
              <w:rPr>
                <w:color w:val="auto"/>
                <w:spacing w:val="8"/>
                <w:highlight w:val="none"/>
              </w:rPr>
              <w:t>磋商保证金</w:t>
            </w:r>
          </w:p>
        </w:tc>
        <w:tc>
          <w:tcPr>
            <w:tcW w:w="6645" w:type="dxa"/>
            <w:vAlign w:val="top"/>
          </w:tcPr>
          <w:p w14:paraId="443F58D9">
            <w:pPr>
              <w:pStyle w:val="9"/>
              <w:spacing w:before="145" w:line="228" w:lineRule="auto"/>
              <w:ind w:left="112"/>
              <w:rPr>
                <w:color w:val="auto"/>
                <w:highlight w:val="none"/>
              </w:rPr>
            </w:pPr>
            <w:r>
              <w:rPr>
                <w:color w:val="auto"/>
                <w:spacing w:val="8"/>
                <w:highlight w:val="none"/>
              </w:rPr>
              <w:t>本项目不收取磋商保证金。</w:t>
            </w:r>
          </w:p>
        </w:tc>
      </w:tr>
      <w:tr w14:paraId="1A703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63" w:type="dxa"/>
            <w:vMerge w:val="restart"/>
            <w:tcBorders>
              <w:bottom w:val="nil"/>
            </w:tcBorders>
            <w:vAlign w:val="top"/>
          </w:tcPr>
          <w:p w14:paraId="3C7ADF26">
            <w:pPr>
              <w:spacing w:line="246" w:lineRule="auto"/>
              <w:rPr>
                <w:rFonts w:ascii="Arial"/>
                <w:color w:val="auto"/>
                <w:sz w:val="21"/>
                <w:highlight w:val="none"/>
              </w:rPr>
            </w:pPr>
          </w:p>
          <w:p w14:paraId="157BA5B6">
            <w:pPr>
              <w:spacing w:line="247" w:lineRule="auto"/>
              <w:rPr>
                <w:rFonts w:ascii="Arial"/>
                <w:color w:val="auto"/>
                <w:sz w:val="21"/>
                <w:highlight w:val="none"/>
              </w:rPr>
            </w:pPr>
          </w:p>
          <w:p w14:paraId="5238BF69">
            <w:pPr>
              <w:pStyle w:val="9"/>
              <w:spacing w:before="65" w:line="268" w:lineRule="exact"/>
              <w:ind w:left="228"/>
              <w:rPr>
                <w:color w:val="auto"/>
                <w:highlight w:val="none"/>
              </w:rPr>
            </w:pPr>
            <w:r>
              <w:rPr>
                <w:color w:val="auto"/>
                <w:spacing w:val="2"/>
                <w:position w:val="1"/>
                <w:highlight w:val="none"/>
              </w:rPr>
              <w:t>20.1</w:t>
            </w:r>
          </w:p>
        </w:tc>
        <w:tc>
          <w:tcPr>
            <w:tcW w:w="2426" w:type="dxa"/>
            <w:vAlign w:val="top"/>
          </w:tcPr>
          <w:p w14:paraId="276315B1">
            <w:pPr>
              <w:pStyle w:val="9"/>
              <w:spacing w:before="143" w:line="228" w:lineRule="auto"/>
              <w:ind w:left="170"/>
              <w:rPr>
                <w:color w:val="auto"/>
                <w:highlight w:val="none"/>
              </w:rPr>
            </w:pPr>
            <w:r>
              <w:rPr>
                <w:color w:val="auto"/>
                <w:spacing w:val="8"/>
                <w:highlight w:val="none"/>
              </w:rPr>
              <w:t>首次响应文件提交起止</w:t>
            </w:r>
          </w:p>
          <w:p w14:paraId="0B44482C">
            <w:pPr>
              <w:pStyle w:val="9"/>
              <w:spacing w:before="152" w:line="231" w:lineRule="auto"/>
              <w:ind w:left="1016"/>
              <w:rPr>
                <w:color w:val="auto"/>
                <w:highlight w:val="none"/>
              </w:rPr>
            </w:pPr>
            <w:r>
              <w:rPr>
                <w:color w:val="auto"/>
                <w:spacing w:val="-1"/>
                <w:highlight w:val="none"/>
              </w:rPr>
              <w:t>时间</w:t>
            </w:r>
          </w:p>
        </w:tc>
        <w:tc>
          <w:tcPr>
            <w:tcW w:w="6645" w:type="dxa"/>
            <w:vAlign w:val="top"/>
          </w:tcPr>
          <w:p w14:paraId="7D5561F5">
            <w:pPr>
              <w:spacing w:line="278" w:lineRule="auto"/>
              <w:rPr>
                <w:rFonts w:ascii="Arial"/>
                <w:color w:val="auto"/>
                <w:sz w:val="21"/>
                <w:highlight w:val="none"/>
              </w:rPr>
            </w:pPr>
          </w:p>
          <w:p w14:paraId="0DCD1B51">
            <w:pPr>
              <w:pStyle w:val="9"/>
              <w:spacing w:before="65" w:line="227" w:lineRule="auto"/>
              <w:ind w:left="114"/>
              <w:rPr>
                <w:color w:val="auto"/>
                <w:highlight w:val="none"/>
              </w:rPr>
            </w:pPr>
            <w:r>
              <w:rPr>
                <w:color w:val="auto"/>
                <w:spacing w:val="7"/>
                <w:highlight w:val="none"/>
              </w:rPr>
              <w:t>详见竞争性磋商公告。</w:t>
            </w:r>
          </w:p>
        </w:tc>
      </w:tr>
      <w:tr w14:paraId="6E748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63" w:type="dxa"/>
            <w:vMerge w:val="continue"/>
            <w:tcBorders>
              <w:top w:val="nil"/>
            </w:tcBorders>
            <w:vAlign w:val="top"/>
          </w:tcPr>
          <w:p w14:paraId="0228328C">
            <w:pPr>
              <w:rPr>
                <w:rFonts w:ascii="Arial"/>
                <w:color w:val="auto"/>
                <w:sz w:val="21"/>
                <w:highlight w:val="none"/>
              </w:rPr>
            </w:pPr>
          </w:p>
        </w:tc>
        <w:tc>
          <w:tcPr>
            <w:tcW w:w="2426" w:type="dxa"/>
            <w:vAlign w:val="top"/>
          </w:tcPr>
          <w:p w14:paraId="6B12A9CE">
            <w:pPr>
              <w:pStyle w:val="9"/>
              <w:spacing w:before="154" w:line="228" w:lineRule="auto"/>
              <w:ind w:left="170"/>
              <w:rPr>
                <w:color w:val="auto"/>
                <w:highlight w:val="none"/>
              </w:rPr>
            </w:pPr>
            <w:r>
              <w:rPr>
                <w:color w:val="auto"/>
                <w:spacing w:val="8"/>
                <w:highlight w:val="none"/>
              </w:rPr>
              <w:t>首次响应文件提交地点</w:t>
            </w:r>
          </w:p>
        </w:tc>
        <w:tc>
          <w:tcPr>
            <w:tcW w:w="6645" w:type="dxa"/>
            <w:vAlign w:val="top"/>
          </w:tcPr>
          <w:p w14:paraId="08D722E8">
            <w:pPr>
              <w:pStyle w:val="9"/>
              <w:spacing w:before="154" w:line="227" w:lineRule="auto"/>
              <w:ind w:left="114"/>
              <w:rPr>
                <w:color w:val="auto"/>
                <w:highlight w:val="none"/>
              </w:rPr>
            </w:pPr>
            <w:r>
              <w:rPr>
                <w:color w:val="auto"/>
                <w:spacing w:val="7"/>
                <w:highlight w:val="none"/>
              </w:rPr>
              <w:t>详见竞争性磋商公告。</w:t>
            </w:r>
          </w:p>
        </w:tc>
      </w:tr>
      <w:tr w14:paraId="5770D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63" w:type="dxa"/>
            <w:vAlign w:val="top"/>
          </w:tcPr>
          <w:p w14:paraId="18782D2E">
            <w:pPr>
              <w:pStyle w:val="9"/>
              <w:spacing w:before="154" w:line="263" w:lineRule="exact"/>
              <w:ind w:left="228"/>
              <w:rPr>
                <w:color w:val="auto"/>
                <w:highlight w:val="none"/>
              </w:rPr>
            </w:pPr>
            <w:r>
              <w:rPr>
                <w:color w:val="auto"/>
                <w:spacing w:val="2"/>
                <w:position w:val="1"/>
                <w:highlight w:val="none"/>
              </w:rPr>
              <w:t>20.6</w:t>
            </w:r>
          </w:p>
        </w:tc>
        <w:tc>
          <w:tcPr>
            <w:tcW w:w="2426" w:type="dxa"/>
            <w:vAlign w:val="top"/>
          </w:tcPr>
          <w:p w14:paraId="557F9DD1">
            <w:pPr>
              <w:pStyle w:val="9"/>
              <w:spacing w:before="154" w:line="228" w:lineRule="auto"/>
              <w:ind w:left="589"/>
              <w:rPr>
                <w:color w:val="auto"/>
                <w:highlight w:val="none"/>
              </w:rPr>
            </w:pPr>
            <w:r>
              <w:rPr>
                <w:color w:val="auto"/>
                <w:spacing w:val="7"/>
                <w:highlight w:val="none"/>
              </w:rPr>
              <w:t>备份响应文件</w:t>
            </w:r>
          </w:p>
        </w:tc>
        <w:tc>
          <w:tcPr>
            <w:tcW w:w="6645" w:type="dxa"/>
            <w:vAlign w:val="top"/>
          </w:tcPr>
          <w:p w14:paraId="613C498B">
            <w:pPr>
              <w:pStyle w:val="9"/>
              <w:spacing w:before="153" w:line="228" w:lineRule="auto"/>
              <w:ind w:left="112"/>
              <w:rPr>
                <w:color w:val="auto"/>
                <w:highlight w:val="none"/>
              </w:rPr>
            </w:pPr>
            <w:r>
              <w:rPr>
                <w:color w:val="auto"/>
                <w:spacing w:val="8"/>
                <w:highlight w:val="none"/>
              </w:rPr>
              <w:t>本项目不接受备份响应文件。</w:t>
            </w:r>
          </w:p>
        </w:tc>
      </w:tr>
      <w:tr w14:paraId="46A1B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63" w:type="dxa"/>
            <w:vAlign w:val="top"/>
          </w:tcPr>
          <w:p w14:paraId="31025061">
            <w:pPr>
              <w:pStyle w:val="9"/>
              <w:spacing w:before="154" w:line="263" w:lineRule="exact"/>
              <w:ind w:left="333"/>
              <w:rPr>
                <w:color w:val="auto"/>
                <w:highlight w:val="none"/>
              </w:rPr>
            </w:pPr>
            <w:r>
              <w:rPr>
                <w:color w:val="auto"/>
                <w:spacing w:val="-1"/>
                <w:position w:val="1"/>
                <w:highlight w:val="none"/>
              </w:rPr>
              <w:t>21</w:t>
            </w:r>
          </w:p>
        </w:tc>
        <w:tc>
          <w:tcPr>
            <w:tcW w:w="2426" w:type="dxa"/>
            <w:vAlign w:val="top"/>
          </w:tcPr>
          <w:p w14:paraId="211E3AC2">
            <w:pPr>
              <w:pStyle w:val="9"/>
              <w:spacing w:before="154" w:line="228" w:lineRule="auto"/>
              <w:ind w:left="275"/>
              <w:rPr>
                <w:color w:val="auto"/>
                <w:highlight w:val="none"/>
              </w:rPr>
            </w:pPr>
            <w:r>
              <w:rPr>
                <w:color w:val="auto"/>
                <w:spacing w:val="8"/>
                <w:highlight w:val="none"/>
              </w:rPr>
              <w:t>首次响应文件的退回</w:t>
            </w:r>
          </w:p>
        </w:tc>
        <w:tc>
          <w:tcPr>
            <w:tcW w:w="6645" w:type="dxa"/>
            <w:vAlign w:val="top"/>
          </w:tcPr>
          <w:p w14:paraId="1C68B581">
            <w:pPr>
              <w:pStyle w:val="9"/>
              <w:spacing w:before="154" w:line="227" w:lineRule="auto"/>
              <w:ind w:left="114"/>
              <w:rPr>
                <w:color w:val="auto"/>
                <w:highlight w:val="none"/>
              </w:rPr>
            </w:pPr>
            <w:r>
              <w:rPr>
                <w:color w:val="auto"/>
                <w:spacing w:val="7"/>
                <w:highlight w:val="none"/>
              </w:rPr>
              <w:t>详见竞争性磋商公告。</w:t>
            </w:r>
          </w:p>
        </w:tc>
      </w:tr>
      <w:tr w14:paraId="17840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863" w:type="dxa"/>
            <w:vMerge w:val="restart"/>
            <w:tcBorders>
              <w:bottom w:val="nil"/>
            </w:tcBorders>
            <w:vAlign w:val="top"/>
          </w:tcPr>
          <w:p w14:paraId="267568D8">
            <w:pPr>
              <w:spacing w:line="269" w:lineRule="auto"/>
              <w:rPr>
                <w:rFonts w:ascii="Arial"/>
                <w:color w:val="auto"/>
                <w:sz w:val="21"/>
                <w:highlight w:val="none"/>
              </w:rPr>
            </w:pPr>
          </w:p>
          <w:p w14:paraId="7A914235">
            <w:pPr>
              <w:spacing w:line="269" w:lineRule="auto"/>
              <w:rPr>
                <w:rFonts w:ascii="Arial"/>
                <w:color w:val="auto"/>
                <w:sz w:val="21"/>
                <w:highlight w:val="none"/>
              </w:rPr>
            </w:pPr>
          </w:p>
          <w:p w14:paraId="5CD43569">
            <w:pPr>
              <w:spacing w:line="270" w:lineRule="auto"/>
              <w:rPr>
                <w:rFonts w:ascii="Arial"/>
                <w:color w:val="auto"/>
                <w:sz w:val="21"/>
                <w:highlight w:val="none"/>
              </w:rPr>
            </w:pPr>
          </w:p>
          <w:p w14:paraId="1A3973B4">
            <w:pPr>
              <w:spacing w:line="270" w:lineRule="auto"/>
              <w:rPr>
                <w:rFonts w:ascii="Arial"/>
                <w:color w:val="auto"/>
                <w:sz w:val="21"/>
                <w:highlight w:val="none"/>
              </w:rPr>
            </w:pPr>
          </w:p>
          <w:p w14:paraId="5B308DF6">
            <w:pPr>
              <w:pStyle w:val="9"/>
              <w:spacing w:before="65" w:line="269" w:lineRule="exact"/>
              <w:ind w:left="228"/>
              <w:rPr>
                <w:color w:val="auto"/>
                <w:highlight w:val="none"/>
              </w:rPr>
            </w:pPr>
            <w:r>
              <w:rPr>
                <w:color w:val="auto"/>
                <w:spacing w:val="2"/>
                <w:position w:val="1"/>
                <w:highlight w:val="none"/>
              </w:rPr>
              <w:t>26.2</w:t>
            </w:r>
          </w:p>
        </w:tc>
        <w:tc>
          <w:tcPr>
            <w:tcW w:w="2426" w:type="dxa"/>
            <w:vAlign w:val="top"/>
          </w:tcPr>
          <w:p w14:paraId="014D0B66">
            <w:pPr>
              <w:spacing w:line="277" w:lineRule="auto"/>
              <w:rPr>
                <w:rFonts w:ascii="Arial"/>
                <w:color w:val="auto"/>
                <w:sz w:val="21"/>
                <w:highlight w:val="none"/>
              </w:rPr>
            </w:pPr>
          </w:p>
          <w:p w14:paraId="0DC90505">
            <w:pPr>
              <w:pStyle w:val="9"/>
              <w:spacing w:before="65" w:line="228" w:lineRule="auto"/>
              <w:ind w:left="700"/>
              <w:rPr>
                <w:color w:val="auto"/>
                <w:highlight w:val="none"/>
              </w:rPr>
            </w:pPr>
            <w:r>
              <w:rPr>
                <w:color w:val="auto"/>
                <w:spacing w:val="6"/>
                <w:highlight w:val="none"/>
              </w:rPr>
              <w:t>负偏离要求</w:t>
            </w:r>
          </w:p>
        </w:tc>
        <w:tc>
          <w:tcPr>
            <w:tcW w:w="6645" w:type="dxa"/>
            <w:vAlign w:val="top"/>
          </w:tcPr>
          <w:p w14:paraId="75FD1ECB">
            <w:pPr>
              <w:pStyle w:val="9"/>
              <w:spacing w:before="145" w:line="300" w:lineRule="auto"/>
              <w:ind w:left="112" w:right="2266" w:firstLine="3"/>
              <w:rPr>
                <w:color w:val="auto"/>
                <w:highlight w:val="none"/>
              </w:rPr>
            </w:pPr>
            <w:r>
              <w:rPr>
                <w:color w:val="auto"/>
                <w:spacing w:val="7"/>
                <w:highlight w:val="none"/>
              </w:rPr>
              <w:t>商务条款评审中允许负偏离的条款数为</w:t>
            </w:r>
            <w:r>
              <w:rPr>
                <w:color w:val="auto"/>
                <w:spacing w:val="7"/>
                <w:highlight w:val="none"/>
                <w:u w:val="single" w:color="auto"/>
              </w:rPr>
              <w:t xml:space="preserve"> 0 </w:t>
            </w:r>
            <w:r>
              <w:rPr>
                <w:color w:val="auto"/>
                <w:spacing w:val="7"/>
                <w:highlight w:val="none"/>
              </w:rPr>
              <w:t>项。</w:t>
            </w:r>
            <w:r>
              <w:rPr>
                <w:color w:val="auto"/>
                <w:spacing w:val="2"/>
                <w:highlight w:val="none"/>
              </w:rPr>
              <w:t xml:space="preserve"> </w:t>
            </w:r>
            <w:r>
              <w:rPr>
                <w:color w:val="auto"/>
                <w:spacing w:val="7"/>
                <w:highlight w:val="none"/>
              </w:rPr>
              <w:t>技术需求评审中允许负偏离的条款数为</w:t>
            </w:r>
            <w:r>
              <w:rPr>
                <w:color w:val="auto"/>
                <w:spacing w:val="7"/>
                <w:highlight w:val="none"/>
                <w:u w:val="single" w:color="auto"/>
              </w:rPr>
              <w:t xml:space="preserve"> 0 </w:t>
            </w:r>
            <w:r>
              <w:rPr>
                <w:color w:val="auto"/>
                <w:spacing w:val="7"/>
                <w:highlight w:val="none"/>
              </w:rPr>
              <w:t>项。</w:t>
            </w:r>
          </w:p>
        </w:tc>
      </w:tr>
      <w:tr w14:paraId="47EF1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863" w:type="dxa"/>
            <w:vMerge w:val="continue"/>
            <w:tcBorders>
              <w:top w:val="nil"/>
            </w:tcBorders>
            <w:vAlign w:val="top"/>
          </w:tcPr>
          <w:p w14:paraId="4748E260">
            <w:pPr>
              <w:rPr>
                <w:rFonts w:ascii="Arial"/>
                <w:color w:val="auto"/>
                <w:sz w:val="21"/>
                <w:highlight w:val="none"/>
              </w:rPr>
            </w:pPr>
          </w:p>
        </w:tc>
        <w:tc>
          <w:tcPr>
            <w:tcW w:w="2426" w:type="dxa"/>
            <w:vAlign w:val="top"/>
          </w:tcPr>
          <w:p w14:paraId="1DD73C78">
            <w:pPr>
              <w:spacing w:line="337" w:lineRule="auto"/>
              <w:rPr>
                <w:rFonts w:ascii="Arial"/>
                <w:color w:val="auto"/>
                <w:sz w:val="21"/>
                <w:highlight w:val="none"/>
              </w:rPr>
            </w:pPr>
          </w:p>
          <w:p w14:paraId="20175797">
            <w:pPr>
              <w:spacing w:line="337" w:lineRule="auto"/>
              <w:rPr>
                <w:rFonts w:ascii="Arial"/>
                <w:color w:val="auto"/>
                <w:sz w:val="21"/>
                <w:highlight w:val="none"/>
              </w:rPr>
            </w:pPr>
          </w:p>
          <w:p w14:paraId="4A27C9EC">
            <w:pPr>
              <w:pStyle w:val="9"/>
              <w:spacing w:before="65" w:line="229" w:lineRule="auto"/>
              <w:ind w:left="691"/>
              <w:rPr>
                <w:color w:val="auto"/>
                <w:highlight w:val="none"/>
              </w:rPr>
            </w:pPr>
            <w:r>
              <w:rPr>
                <w:color w:val="auto"/>
                <w:spacing w:val="8"/>
                <w:highlight w:val="none"/>
              </w:rPr>
              <w:t>磋商的顺序</w:t>
            </w:r>
          </w:p>
        </w:tc>
        <w:tc>
          <w:tcPr>
            <w:tcW w:w="6645" w:type="dxa"/>
            <w:vAlign w:val="top"/>
          </w:tcPr>
          <w:p w14:paraId="47671848">
            <w:pPr>
              <w:pStyle w:val="9"/>
              <w:spacing w:before="144" w:line="369" w:lineRule="auto"/>
              <w:ind w:left="111" w:right="108" w:firstLine="22"/>
              <w:jc w:val="both"/>
              <w:rPr>
                <w:color w:val="auto"/>
                <w:highlight w:val="none"/>
              </w:rPr>
            </w:pPr>
            <w:r>
              <w:rPr>
                <w:color w:val="auto"/>
                <w:spacing w:val="6"/>
                <w:highlight w:val="none"/>
              </w:rPr>
              <w:t>□按照提交首次响应文件的顺序，通知磋商时，若某供应商不在通知现</w:t>
            </w:r>
            <w:r>
              <w:rPr>
                <w:color w:val="auto"/>
                <w:spacing w:val="10"/>
                <w:highlight w:val="none"/>
              </w:rPr>
              <w:t xml:space="preserve"> </w:t>
            </w:r>
            <w:r>
              <w:rPr>
                <w:color w:val="auto"/>
                <w:spacing w:val="7"/>
                <w:highlight w:val="none"/>
              </w:rPr>
              <w:t>场时，该供应商排序到最后磋商，按照签到的顺序由其下一位供应商先</w:t>
            </w:r>
            <w:r>
              <w:rPr>
                <w:color w:val="auto"/>
                <w:spacing w:val="1"/>
                <w:highlight w:val="none"/>
              </w:rPr>
              <w:t xml:space="preserve"> </w:t>
            </w:r>
            <w:r>
              <w:rPr>
                <w:color w:val="auto"/>
                <w:spacing w:val="6"/>
                <w:highlight w:val="none"/>
              </w:rPr>
              <w:t>参与磋商。</w:t>
            </w:r>
          </w:p>
          <w:p w14:paraId="7CE2EC5C">
            <w:pPr>
              <w:pStyle w:val="9"/>
              <w:spacing w:line="227" w:lineRule="auto"/>
              <w:ind w:left="120"/>
              <w:rPr>
                <w:color w:val="auto"/>
                <w:highlight w:val="none"/>
              </w:rPr>
            </w:pPr>
            <w:r>
              <w:rPr>
                <w:rFonts w:ascii="MS PMincho" w:hAnsi="MS PMincho" w:eastAsia="MS PMincho" w:cs="MS PMincho"/>
                <w:color w:val="auto"/>
                <w:spacing w:val="5"/>
                <w:highlight w:val="none"/>
              </w:rPr>
              <w:t>☑</w:t>
            </w:r>
            <w:r>
              <w:rPr>
                <w:color w:val="auto"/>
                <w:spacing w:val="5"/>
                <w:highlight w:val="none"/>
              </w:rPr>
              <w:t>随机排序。</w:t>
            </w:r>
          </w:p>
        </w:tc>
      </w:tr>
      <w:tr w14:paraId="531B8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3" w:type="dxa"/>
            <w:vAlign w:val="top"/>
          </w:tcPr>
          <w:p w14:paraId="6EAB8368">
            <w:pPr>
              <w:pStyle w:val="9"/>
              <w:spacing w:before="144" w:line="231" w:lineRule="auto"/>
              <w:ind w:left="333"/>
              <w:rPr>
                <w:color w:val="auto"/>
                <w:highlight w:val="none"/>
              </w:rPr>
            </w:pPr>
            <w:r>
              <w:rPr>
                <w:color w:val="auto"/>
                <w:spacing w:val="-1"/>
                <w:highlight w:val="none"/>
              </w:rPr>
              <w:t>28</w:t>
            </w:r>
          </w:p>
        </w:tc>
        <w:tc>
          <w:tcPr>
            <w:tcW w:w="2426" w:type="dxa"/>
            <w:vAlign w:val="top"/>
          </w:tcPr>
          <w:p w14:paraId="42CF49EB">
            <w:pPr>
              <w:pStyle w:val="9"/>
              <w:spacing w:before="144" w:line="229" w:lineRule="auto"/>
              <w:ind w:left="695"/>
              <w:rPr>
                <w:color w:val="auto"/>
                <w:highlight w:val="none"/>
              </w:rPr>
            </w:pPr>
            <w:r>
              <w:rPr>
                <w:color w:val="auto"/>
                <w:spacing w:val="7"/>
                <w:highlight w:val="none"/>
              </w:rPr>
              <w:t>履约保证金</w:t>
            </w:r>
          </w:p>
        </w:tc>
        <w:tc>
          <w:tcPr>
            <w:tcW w:w="6645" w:type="dxa"/>
            <w:vAlign w:val="top"/>
          </w:tcPr>
          <w:p w14:paraId="59C45AC9">
            <w:pPr>
              <w:pStyle w:val="9"/>
              <w:spacing w:before="144" w:line="228" w:lineRule="auto"/>
              <w:ind w:left="112"/>
              <w:rPr>
                <w:color w:val="auto"/>
                <w:highlight w:val="none"/>
              </w:rPr>
            </w:pPr>
            <w:r>
              <w:rPr>
                <w:color w:val="auto"/>
                <w:spacing w:val="9"/>
                <w:highlight w:val="none"/>
              </w:rPr>
              <w:t>本项目不收取履约保证金</w:t>
            </w:r>
          </w:p>
        </w:tc>
      </w:tr>
      <w:tr w14:paraId="07B80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3" w:type="dxa"/>
            <w:vAlign w:val="top"/>
          </w:tcPr>
          <w:p w14:paraId="2CB858EA">
            <w:pPr>
              <w:pStyle w:val="9"/>
              <w:spacing w:before="144" w:line="231" w:lineRule="auto"/>
              <w:ind w:left="228"/>
              <w:rPr>
                <w:color w:val="auto"/>
                <w:highlight w:val="none"/>
              </w:rPr>
            </w:pPr>
            <w:r>
              <w:rPr>
                <w:color w:val="auto"/>
                <w:spacing w:val="2"/>
                <w:highlight w:val="none"/>
              </w:rPr>
              <w:t>29.5</w:t>
            </w:r>
          </w:p>
        </w:tc>
        <w:tc>
          <w:tcPr>
            <w:tcW w:w="2426" w:type="dxa"/>
            <w:vAlign w:val="top"/>
          </w:tcPr>
          <w:p w14:paraId="5BEF0AFA">
            <w:pPr>
              <w:pStyle w:val="9"/>
              <w:spacing w:before="144" w:line="228" w:lineRule="auto"/>
              <w:ind w:left="272"/>
              <w:rPr>
                <w:color w:val="auto"/>
                <w:highlight w:val="none"/>
              </w:rPr>
            </w:pPr>
            <w:r>
              <w:rPr>
                <w:color w:val="auto"/>
                <w:spacing w:val="8"/>
                <w:highlight w:val="none"/>
              </w:rPr>
              <w:t>签订合同携带的材料</w:t>
            </w:r>
          </w:p>
        </w:tc>
        <w:tc>
          <w:tcPr>
            <w:tcW w:w="6645" w:type="dxa"/>
            <w:vAlign w:val="top"/>
          </w:tcPr>
          <w:p w14:paraId="499774FC">
            <w:pPr>
              <w:pStyle w:val="9"/>
              <w:spacing w:before="144" w:line="228" w:lineRule="auto"/>
              <w:ind w:left="112"/>
              <w:rPr>
                <w:color w:val="auto"/>
                <w:highlight w:val="none"/>
              </w:rPr>
            </w:pPr>
            <w:r>
              <w:rPr>
                <w:color w:val="auto"/>
                <w:spacing w:val="8"/>
                <w:highlight w:val="none"/>
              </w:rPr>
              <w:t>使用的有效</w:t>
            </w:r>
            <w:r>
              <w:rPr>
                <w:color w:val="auto"/>
                <w:spacing w:val="-27"/>
                <w:highlight w:val="none"/>
              </w:rPr>
              <w:t xml:space="preserve"> </w:t>
            </w:r>
            <w:r>
              <w:rPr>
                <w:color w:val="auto"/>
                <w:highlight w:val="none"/>
              </w:rPr>
              <w:t>CA</w:t>
            </w:r>
            <w:r>
              <w:rPr>
                <w:color w:val="auto"/>
                <w:spacing w:val="-40"/>
                <w:highlight w:val="none"/>
              </w:rPr>
              <w:t xml:space="preserve"> </w:t>
            </w:r>
            <w:r>
              <w:rPr>
                <w:color w:val="auto"/>
                <w:spacing w:val="8"/>
                <w:highlight w:val="none"/>
              </w:rPr>
              <w:t>证书加盖单位电子公章</w:t>
            </w:r>
          </w:p>
        </w:tc>
      </w:tr>
      <w:tr w14:paraId="66A02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3" w:type="dxa"/>
            <w:vMerge w:val="restart"/>
            <w:tcBorders>
              <w:bottom w:val="nil"/>
            </w:tcBorders>
            <w:vAlign w:val="top"/>
          </w:tcPr>
          <w:p w14:paraId="7EB093A0">
            <w:pPr>
              <w:spacing w:line="282" w:lineRule="auto"/>
              <w:rPr>
                <w:rFonts w:ascii="Arial"/>
                <w:color w:val="auto"/>
                <w:sz w:val="21"/>
                <w:highlight w:val="none"/>
              </w:rPr>
            </w:pPr>
          </w:p>
          <w:p w14:paraId="4EDDCF2C">
            <w:pPr>
              <w:pStyle w:val="9"/>
              <w:spacing w:before="65" w:line="269" w:lineRule="exact"/>
              <w:ind w:left="229"/>
              <w:rPr>
                <w:color w:val="auto"/>
                <w:highlight w:val="none"/>
              </w:rPr>
            </w:pPr>
            <w:r>
              <w:rPr>
                <w:color w:val="auto"/>
                <w:spacing w:val="2"/>
                <w:position w:val="1"/>
                <w:highlight w:val="none"/>
              </w:rPr>
              <w:t>31.2</w:t>
            </w:r>
          </w:p>
        </w:tc>
        <w:tc>
          <w:tcPr>
            <w:tcW w:w="2426" w:type="dxa"/>
            <w:vAlign w:val="top"/>
          </w:tcPr>
          <w:p w14:paraId="497C106C">
            <w:pPr>
              <w:pStyle w:val="9"/>
              <w:spacing w:before="146" w:line="228" w:lineRule="auto"/>
              <w:ind w:left="480"/>
              <w:rPr>
                <w:color w:val="auto"/>
                <w:highlight w:val="none"/>
              </w:rPr>
            </w:pPr>
            <w:r>
              <w:rPr>
                <w:color w:val="auto"/>
                <w:spacing w:val="8"/>
                <w:highlight w:val="none"/>
              </w:rPr>
              <w:t>接收质疑函方式</w:t>
            </w:r>
          </w:p>
        </w:tc>
        <w:tc>
          <w:tcPr>
            <w:tcW w:w="6645" w:type="dxa"/>
            <w:vAlign w:val="top"/>
          </w:tcPr>
          <w:p w14:paraId="04183EFA">
            <w:pPr>
              <w:pStyle w:val="9"/>
              <w:spacing w:before="145" w:line="228" w:lineRule="auto"/>
              <w:ind w:left="135"/>
              <w:rPr>
                <w:color w:val="auto"/>
                <w:highlight w:val="none"/>
              </w:rPr>
            </w:pPr>
            <w:r>
              <w:rPr>
                <w:color w:val="auto"/>
                <w:spacing w:val="3"/>
                <w:highlight w:val="none"/>
              </w:rPr>
              <w:t>以书面形式</w:t>
            </w:r>
          </w:p>
        </w:tc>
      </w:tr>
      <w:tr w14:paraId="5945B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63" w:type="dxa"/>
            <w:vMerge w:val="continue"/>
            <w:tcBorders>
              <w:top w:val="nil"/>
              <w:bottom w:val="nil"/>
            </w:tcBorders>
            <w:vAlign w:val="top"/>
          </w:tcPr>
          <w:p w14:paraId="0FF8B9D2">
            <w:pPr>
              <w:rPr>
                <w:rFonts w:ascii="Arial"/>
                <w:color w:val="auto"/>
                <w:sz w:val="21"/>
                <w:highlight w:val="none"/>
              </w:rPr>
            </w:pPr>
          </w:p>
        </w:tc>
        <w:tc>
          <w:tcPr>
            <w:tcW w:w="2426" w:type="dxa"/>
            <w:vAlign w:val="top"/>
          </w:tcPr>
          <w:p w14:paraId="41C8E28B">
            <w:pPr>
              <w:pStyle w:val="9"/>
              <w:spacing w:before="146" w:line="228" w:lineRule="auto"/>
              <w:rPr>
                <w:rFonts w:hint="eastAsia" w:eastAsia="宋体"/>
                <w:color w:val="auto"/>
                <w:highlight w:val="none"/>
                <w:lang w:val="en-US" w:eastAsia="zh-CN"/>
              </w:rPr>
            </w:pPr>
            <w:r>
              <w:rPr>
                <w:color w:val="auto"/>
                <w:spacing w:val="20"/>
                <w:highlight w:val="none"/>
              </w:rPr>
              <w:t>质疑联系部门及联系</w:t>
            </w:r>
            <w:r>
              <w:rPr>
                <w:rFonts w:hint="eastAsia"/>
                <w:color w:val="auto"/>
                <w:spacing w:val="20"/>
                <w:highlight w:val="none"/>
                <w:lang w:eastAsia="zh-CN"/>
              </w:rPr>
              <w:t>方式</w:t>
            </w:r>
          </w:p>
        </w:tc>
        <w:tc>
          <w:tcPr>
            <w:tcW w:w="6645" w:type="dxa"/>
            <w:vAlign w:val="top"/>
          </w:tcPr>
          <w:p w14:paraId="42930B56">
            <w:pPr>
              <w:pStyle w:val="9"/>
              <w:numPr>
                <w:ilvl w:val="0"/>
                <w:numId w:val="1"/>
              </w:numPr>
              <w:spacing w:before="129" w:line="231" w:lineRule="auto"/>
              <w:ind w:left="112"/>
              <w:rPr>
                <w:rFonts w:hint="eastAsia"/>
                <w:color w:val="auto"/>
                <w:spacing w:val="8"/>
                <w:highlight w:val="none"/>
                <w:u w:val="single" w:color="auto"/>
                <w:lang w:val="en-US" w:eastAsia="zh-CN"/>
              </w:rPr>
            </w:pPr>
            <w:r>
              <w:rPr>
                <w:color w:val="auto"/>
                <w:spacing w:val="8"/>
                <w:highlight w:val="none"/>
                <w:u w:val="single" w:color="auto"/>
              </w:rPr>
              <w:t>广西拓正工程造价咨询有限公司</w:t>
            </w:r>
            <w:r>
              <w:rPr>
                <w:rFonts w:hint="eastAsia"/>
                <w:color w:val="auto"/>
                <w:spacing w:val="8"/>
                <w:highlight w:val="none"/>
                <w:u w:val="single" w:color="auto"/>
                <w:lang w:val="en-US" w:eastAsia="zh-CN"/>
              </w:rPr>
              <w:t xml:space="preserve">  </w:t>
            </w:r>
          </w:p>
          <w:p w14:paraId="4A4A4610">
            <w:pPr>
              <w:pStyle w:val="9"/>
              <w:numPr>
                <w:ilvl w:val="0"/>
                <w:numId w:val="0"/>
              </w:numPr>
              <w:spacing w:before="129" w:line="231" w:lineRule="auto"/>
              <w:ind w:firstLine="212" w:firstLineChars="100"/>
              <w:rPr>
                <w:color w:val="auto"/>
                <w:highlight w:val="none"/>
              </w:rPr>
            </w:pPr>
            <w:r>
              <w:rPr>
                <w:color w:val="auto"/>
                <w:spacing w:val="6"/>
                <w:highlight w:val="none"/>
              </w:rPr>
              <w:t>联系电话：0771-5355015</w:t>
            </w:r>
          </w:p>
          <w:p w14:paraId="1831FF73">
            <w:pPr>
              <w:pStyle w:val="9"/>
              <w:spacing w:before="129" w:line="228" w:lineRule="auto"/>
              <w:ind w:left="111"/>
              <w:rPr>
                <w:color w:val="auto"/>
                <w:highlight w:val="none"/>
              </w:rPr>
            </w:pPr>
            <w:r>
              <w:rPr>
                <w:color w:val="auto"/>
                <w:spacing w:val="8"/>
                <w:highlight w:val="none"/>
              </w:rPr>
              <w:t>通讯地址：中国（广西）自由贸易试验区南宁片区五象大道401</w:t>
            </w:r>
            <w:r>
              <w:rPr>
                <w:color w:val="auto"/>
                <w:spacing w:val="7"/>
                <w:highlight w:val="none"/>
              </w:rPr>
              <w:t>号南宁</w:t>
            </w:r>
          </w:p>
          <w:p w14:paraId="79FF23BB">
            <w:pPr>
              <w:pStyle w:val="9"/>
              <w:spacing w:before="134" w:line="228" w:lineRule="auto"/>
              <w:ind w:left="111"/>
              <w:rPr>
                <w:color w:val="auto"/>
                <w:highlight w:val="none"/>
              </w:rPr>
            </w:pPr>
            <w:r>
              <w:rPr>
                <w:color w:val="auto"/>
                <w:spacing w:val="4"/>
                <w:highlight w:val="none"/>
              </w:rPr>
              <w:t>航洋信和广场1号楼二十四层2417号</w:t>
            </w:r>
          </w:p>
          <w:p w14:paraId="39915CD7">
            <w:pPr>
              <w:pStyle w:val="9"/>
              <w:spacing w:before="148" w:line="228" w:lineRule="auto"/>
              <w:ind w:left="122"/>
              <w:rPr>
                <w:color w:val="auto"/>
                <w:highlight w:val="none"/>
              </w:rPr>
            </w:pPr>
            <w:r>
              <w:rPr>
                <w:color w:val="auto"/>
                <w:spacing w:val="6"/>
                <w:highlight w:val="none"/>
              </w:rPr>
              <w:t>（2）</w:t>
            </w:r>
            <w:r>
              <w:rPr>
                <w:rFonts w:hint="eastAsia"/>
                <w:color w:val="auto"/>
                <w:spacing w:val="6"/>
                <w:highlight w:val="none"/>
                <w:lang w:eastAsia="zh-CN"/>
              </w:rPr>
              <w:t>横州市莲塘镇初级中学</w:t>
            </w:r>
            <w:r>
              <w:rPr>
                <w:color w:val="auto"/>
                <w:spacing w:val="6"/>
                <w:highlight w:val="none"/>
              </w:rPr>
              <w:t>；</w:t>
            </w:r>
          </w:p>
          <w:p w14:paraId="54D4CBA5">
            <w:pPr>
              <w:pStyle w:val="9"/>
              <w:spacing w:before="151" w:line="231" w:lineRule="auto"/>
              <w:ind w:left="112"/>
              <w:rPr>
                <w:rFonts w:hint="default" w:eastAsia="宋体"/>
                <w:color w:val="auto"/>
                <w:highlight w:val="none"/>
                <w:lang w:val="en-US" w:eastAsia="zh-CN"/>
              </w:rPr>
            </w:pPr>
            <w:r>
              <w:rPr>
                <w:color w:val="auto"/>
                <w:spacing w:val="6"/>
                <w:highlight w:val="none"/>
              </w:rPr>
              <w:t>联系电话：</w:t>
            </w:r>
            <w:r>
              <w:rPr>
                <w:rFonts w:hint="eastAsia"/>
                <w:color w:val="auto"/>
                <w:spacing w:val="6"/>
                <w:highlight w:val="none"/>
                <w:lang w:val="en-US" w:eastAsia="zh-CN"/>
              </w:rPr>
              <w:t>0771-7242033</w:t>
            </w:r>
          </w:p>
          <w:p w14:paraId="1BBAC5C1">
            <w:pPr>
              <w:pStyle w:val="9"/>
              <w:spacing w:before="146" w:line="227" w:lineRule="auto"/>
              <w:rPr>
                <w:color w:val="auto"/>
                <w:highlight w:val="none"/>
              </w:rPr>
            </w:pPr>
            <w:r>
              <w:rPr>
                <w:color w:val="auto"/>
                <w:spacing w:val="6"/>
                <w:highlight w:val="none"/>
              </w:rPr>
              <w:t>通讯地址：</w:t>
            </w:r>
            <w:r>
              <w:rPr>
                <w:rFonts w:hint="eastAsia"/>
                <w:color w:val="auto"/>
                <w:spacing w:val="6"/>
                <w:highlight w:val="none"/>
              </w:rPr>
              <w:t>横州市莲塘镇莲塘街委会镇北街333号</w:t>
            </w:r>
          </w:p>
        </w:tc>
      </w:tr>
      <w:tr w14:paraId="348A6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863" w:type="dxa"/>
            <w:tcBorders>
              <w:top w:val="nil"/>
            </w:tcBorders>
            <w:vAlign w:val="top"/>
          </w:tcPr>
          <w:p w14:paraId="45C9EEAB">
            <w:pPr>
              <w:rPr>
                <w:rFonts w:ascii="Arial"/>
                <w:color w:val="auto"/>
                <w:sz w:val="21"/>
                <w:highlight w:val="none"/>
              </w:rPr>
            </w:pPr>
          </w:p>
        </w:tc>
        <w:tc>
          <w:tcPr>
            <w:tcW w:w="2426" w:type="dxa"/>
            <w:shd w:val="clear" w:color="auto" w:fill="auto"/>
            <w:vAlign w:val="top"/>
          </w:tcPr>
          <w:p w14:paraId="5769D09E">
            <w:pPr>
              <w:pStyle w:val="9"/>
              <w:spacing w:before="142" w:line="228" w:lineRule="auto"/>
              <w:ind w:left="168"/>
              <w:rPr>
                <w:color w:val="auto"/>
                <w:highlight w:val="none"/>
              </w:rPr>
            </w:pPr>
            <w:r>
              <w:rPr>
                <w:color w:val="auto"/>
                <w:spacing w:val="8"/>
                <w:highlight w:val="none"/>
              </w:rPr>
              <w:t>现场提交质疑办理业务</w:t>
            </w:r>
          </w:p>
          <w:p w14:paraId="11292312">
            <w:pPr>
              <w:pStyle w:val="9"/>
              <w:spacing w:before="150" w:line="231" w:lineRule="auto"/>
              <w:ind w:left="1016" w:leftChars="0"/>
              <w:rPr>
                <w:rFonts w:ascii="宋体" w:hAnsi="宋体" w:eastAsia="宋体" w:cs="宋体"/>
                <w:snapToGrid w:val="0"/>
                <w:color w:val="auto"/>
                <w:kern w:val="0"/>
                <w:sz w:val="20"/>
                <w:szCs w:val="20"/>
                <w:highlight w:val="none"/>
                <w:lang w:val="en-US" w:eastAsia="en-US" w:bidi="ar-SA"/>
              </w:rPr>
            </w:pPr>
            <w:r>
              <w:rPr>
                <w:color w:val="auto"/>
                <w:spacing w:val="-1"/>
                <w:highlight w:val="none"/>
              </w:rPr>
              <w:t>时间</w:t>
            </w:r>
          </w:p>
        </w:tc>
        <w:tc>
          <w:tcPr>
            <w:tcW w:w="6645" w:type="dxa"/>
            <w:shd w:val="clear" w:color="auto" w:fill="auto"/>
            <w:vAlign w:val="top"/>
          </w:tcPr>
          <w:p w14:paraId="1A373AE4">
            <w:pPr>
              <w:pStyle w:val="9"/>
              <w:spacing w:before="141" w:line="301" w:lineRule="auto"/>
              <w:ind w:left="113" w:leftChars="0" w:right="107" w:rightChars="0" w:hanging="1" w:firstLineChars="0"/>
              <w:rPr>
                <w:rFonts w:ascii="宋体" w:hAnsi="宋体" w:eastAsia="宋体" w:cs="宋体"/>
                <w:snapToGrid w:val="0"/>
                <w:color w:val="auto"/>
                <w:kern w:val="0"/>
                <w:sz w:val="20"/>
                <w:szCs w:val="20"/>
                <w:highlight w:val="none"/>
                <w:lang w:val="en-US" w:eastAsia="en-US" w:bidi="ar-SA"/>
              </w:rPr>
            </w:pPr>
            <w:r>
              <w:rPr>
                <w:color w:val="auto"/>
                <w:spacing w:val="3"/>
                <w:highlight w:val="none"/>
              </w:rPr>
              <w:t>质疑期内每个工作日</w:t>
            </w:r>
            <w:r>
              <w:rPr>
                <w:color w:val="auto"/>
                <w:spacing w:val="-27"/>
                <w:highlight w:val="none"/>
              </w:rPr>
              <w:t xml:space="preserve"> </w:t>
            </w:r>
            <w:r>
              <w:rPr>
                <w:color w:val="auto"/>
                <w:spacing w:val="3"/>
                <w:highlight w:val="none"/>
                <w:u w:val="single" w:color="auto"/>
              </w:rPr>
              <w:t>9</w:t>
            </w:r>
            <w:r>
              <w:rPr>
                <w:color w:val="auto"/>
                <w:spacing w:val="-24"/>
                <w:highlight w:val="none"/>
                <w:u w:val="single" w:color="auto"/>
              </w:rPr>
              <w:t xml:space="preserve"> </w:t>
            </w:r>
            <w:r>
              <w:rPr>
                <w:color w:val="auto"/>
                <w:spacing w:val="3"/>
                <w:highlight w:val="none"/>
              </w:rPr>
              <w:t>时</w:t>
            </w:r>
            <w:r>
              <w:rPr>
                <w:color w:val="auto"/>
                <w:spacing w:val="-33"/>
                <w:highlight w:val="none"/>
              </w:rPr>
              <w:t xml:space="preserve"> </w:t>
            </w:r>
            <w:r>
              <w:rPr>
                <w:color w:val="auto"/>
                <w:spacing w:val="3"/>
                <w:highlight w:val="none"/>
                <w:u w:val="single" w:color="auto"/>
              </w:rPr>
              <w:t>00</w:t>
            </w:r>
            <w:r>
              <w:rPr>
                <w:color w:val="auto"/>
                <w:spacing w:val="-30"/>
                <w:highlight w:val="none"/>
                <w:u w:val="single" w:color="auto"/>
              </w:rPr>
              <w:t xml:space="preserve"> </w:t>
            </w:r>
            <w:r>
              <w:rPr>
                <w:color w:val="auto"/>
                <w:spacing w:val="3"/>
                <w:highlight w:val="none"/>
              </w:rPr>
              <w:t>分到</w:t>
            </w:r>
            <w:r>
              <w:rPr>
                <w:color w:val="auto"/>
                <w:spacing w:val="-19"/>
                <w:highlight w:val="none"/>
              </w:rPr>
              <w:t xml:space="preserve"> </w:t>
            </w:r>
            <w:r>
              <w:rPr>
                <w:color w:val="auto"/>
                <w:spacing w:val="3"/>
                <w:highlight w:val="none"/>
                <w:u w:val="single" w:color="auto"/>
              </w:rPr>
              <w:t>12</w:t>
            </w:r>
            <w:r>
              <w:rPr>
                <w:color w:val="auto"/>
                <w:spacing w:val="-26"/>
                <w:highlight w:val="none"/>
                <w:u w:val="single" w:color="auto"/>
              </w:rPr>
              <w:t xml:space="preserve"> </w:t>
            </w:r>
            <w:r>
              <w:rPr>
                <w:color w:val="auto"/>
                <w:spacing w:val="3"/>
                <w:highlight w:val="none"/>
              </w:rPr>
              <w:t>时</w:t>
            </w:r>
            <w:r>
              <w:rPr>
                <w:color w:val="auto"/>
                <w:spacing w:val="-33"/>
                <w:highlight w:val="none"/>
              </w:rPr>
              <w:t xml:space="preserve"> </w:t>
            </w:r>
            <w:r>
              <w:rPr>
                <w:color w:val="auto"/>
                <w:spacing w:val="3"/>
                <w:highlight w:val="none"/>
                <w:u w:val="single" w:color="auto"/>
              </w:rPr>
              <w:t>00</w:t>
            </w:r>
            <w:r>
              <w:rPr>
                <w:color w:val="auto"/>
                <w:spacing w:val="-30"/>
                <w:highlight w:val="none"/>
                <w:u w:val="single" w:color="auto"/>
              </w:rPr>
              <w:t xml:space="preserve"> </w:t>
            </w:r>
            <w:r>
              <w:rPr>
                <w:color w:val="auto"/>
                <w:spacing w:val="3"/>
                <w:highlight w:val="none"/>
              </w:rPr>
              <w:t>分，</w:t>
            </w:r>
            <w:r>
              <w:rPr>
                <w:color w:val="auto"/>
                <w:spacing w:val="3"/>
                <w:highlight w:val="none"/>
                <w:u w:val="single" w:color="auto"/>
              </w:rPr>
              <w:t>15</w:t>
            </w:r>
            <w:r>
              <w:rPr>
                <w:color w:val="auto"/>
                <w:spacing w:val="-26"/>
                <w:highlight w:val="none"/>
                <w:u w:val="single" w:color="auto"/>
              </w:rPr>
              <w:t xml:space="preserve"> </w:t>
            </w:r>
            <w:r>
              <w:rPr>
                <w:color w:val="auto"/>
                <w:spacing w:val="3"/>
                <w:highlight w:val="none"/>
              </w:rPr>
              <w:t>时</w:t>
            </w:r>
            <w:r>
              <w:rPr>
                <w:color w:val="auto"/>
                <w:spacing w:val="-30"/>
                <w:highlight w:val="none"/>
              </w:rPr>
              <w:t xml:space="preserve"> </w:t>
            </w:r>
            <w:r>
              <w:rPr>
                <w:color w:val="auto"/>
                <w:spacing w:val="3"/>
                <w:highlight w:val="none"/>
                <w:u w:val="single" w:color="auto"/>
              </w:rPr>
              <w:t>00</w:t>
            </w:r>
            <w:r>
              <w:rPr>
                <w:color w:val="auto"/>
                <w:spacing w:val="-33"/>
                <w:highlight w:val="none"/>
                <w:u w:val="single" w:color="auto"/>
              </w:rPr>
              <w:t xml:space="preserve"> </w:t>
            </w:r>
            <w:r>
              <w:rPr>
                <w:color w:val="auto"/>
                <w:spacing w:val="3"/>
                <w:highlight w:val="none"/>
              </w:rPr>
              <w:t>分到</w:t>
            </w:r>
            <w:r>
              <w:rPr>
                <w:color w:val="auto"/>
                <w:spacing w:val="-19"/>
                <w:highlight w:val="none"/>
              </w:rPr>
              <w:t xml:space="preserve"> </w:t>
            </w:r>
            <w:r>
              <w:rPr>
                <w:color w:val="auto"/>
                <w:spacing w:val="3"/>
                <w:highlight w:val="none"/>
                <w:u w:val="single" w:color="auto"/>
              </w:rPr>
              <w:t>17</w:t>
            </w:r>
            <w:r>
              <w:rPr>
                <w:color w:val="auto"/>
                <w:spacing w:val="-24"/>
                <w:highlight w:val="none"/>
                <w:u w:val="single" w:color="auto"/>
              </w:rPr>
              <w:t xml:space="preserve"> </w:t>
            </w:r>
            <w:r>
              <w:rPr>
                <w:color w:val="auto"/>
                <w:spacing w:val="3"/>
                <w:highlight w:val="none"/>
              </w:rPr>
              <w:t>时</w:t>
            </w:r>
            <w:r>
              <w:rPr>
                <w:color w:val="auto"/>
                <w:spacing w:val="-30"/>
                <w:highlight w:val="none"/>
              </w:rPr>
              <w:t xml:space="preserve"> </w:t>
            </w:r>
            <w:r>
              <w:rPr>
                <w:color w:val="auto"/>
                <w:spacing w:val="3"/>
                <w:highlight w:val="none"/>
                <w:u w:val="single" w:color="auto"/>
              </w:rPr>
              <w:t>30</w:t>
            </w:r>
            <w:r>
              <w:rPr>
                <w:color w:val="auto"/>
                <w:highlight w:val="none"/>
              </w:rPr>
              <w:t xml:space="preserve"> 分</w:t>
            </w:r>
          </w:p>
        </w:tc>
      </w:tr>
    </w:tbl>
    <w:p w14:paraId="72C2EC8B">
      <w:pPr>
        <w:pStyle w:val="2"/>
        <w:spacing w:line="185" w:lineRule="exact"/>
        <w:rPr>
          <w:color w:val="auto"/>
          <w:sz w:val="16"/>
          <w:highlight w:val="none"/>
        </w:rPr>
      </w:pPr>
    </w:p>
    <w:p w14:paraId="1B81DFFB">
      <w:pPr>
        <w:spacing w:line="185" w:lineRule="exact"/>
        <w:rPr>
          <w:color w:val="auto"/>
          <w:sz w:val="16"/>
          <w:szCs w:val="16"/>
          <w:highlight w:val="none"/>
        </w:rPr>
        <w:sectPr>
          <w:headerReference r:id="rId19" w:type="default"/>
          <w:footerReference r:id="rId20" w:type="default"/>
          <w:pgSz w:w="11905" w:h="16839"/>
          <w:pgMar w:top="400" w:right="983" w:bottom="1149" w:left="982" w:header="0" w:footer="913" w:gutter="0"/>
          <w:cols w:space="720" w:num="1"/>
        </w:sectPr>
      </w:pPr>
    </w:p>
    <w:p w14:paraId="7E5FE7F0">
      <w:pPr>
        <w:spacing w:before="3"/>
        <w:rPr>
          <w:color w:val="auto"/>
          <w:highlight w:val="none"/>
        </w:rPr>
      </w:pPr>
    </w:p>
    <w:p w14:paraId="379A0E62">
      <w:pPr>
        <w:spacing w:before="3"/>
        <w:rPr>
          <w:color w:val="auto"/>
          <w:highlight w:val="none"/>
        </w:rPr>
      </w:pPr>
    </w:p>
    <w:p w14:paraId="3F7269D6">
      <w:pPr>
        <w:spacing w:before="3"/>
        <w:rPr>
          <w:color w:val="auto"/>
          <w:highlight w:val="none"/>
        </w:rPr>
      </w:pPr>
    </w:p>
    <w:tbl>
      <w:tblPr>
        <w:tblStyle w:val="8"/>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2426"/>
        <w:gridCol w:w="6645"/>
      </w:tblGrid>
      <w:tr w14:paraId="25FE6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863" w:type="dxa"/>
            <w:vAlign w:val="top"/>
          </w:tcPr>
          <w:p w14:paraId="30CB2906">
            <w:pPr>
              <w:spacing w:line="267" w:lineRule="auto"/>
              <w:rPr>
                <w:rFonts w:ascii="Arial"/>
                <w:color w:val="auto"/>
                <w:sz w:val="21"/>
                <w:highlight w:val="none"/>
              </w:rPr>
            </w:pPr>
          </w:p>
          <w:p w14:paraId="4298526F">
            <w:pPr>
              <w:spacing w:line="268" w:lineRule="auto"/>
              <w:rPr>
                <w:rFonts w:ascii="Arial"/>
                <w:color w:val="auto"/>
                <w:sz w:val="21"/>
                <w:highlight w:val="none"/>
              </w:rPr>
            </w:pPr>
          </w:p>
          <w:p w14:paraId="07E2D739">
            <w:pPr>
              <w:spacing w:line="268" w:lineRule="auto"/>
              <w:rPr>
                <w:rFonts w:ascii="Arial"/>
                <w:color w:val="auto"/>
                <w:sz w:val="21"/>
                <w:highlight w:val="none"/>
              </w:rPr>
            </w:pPr>
          </w:p>
          <w:p w14:paraId="696EC6CC">
            <w:pPr>
              <w:spacing w:line="268" w:lineRule="auto"/>
              <w:rPr>
                <w:rFonts w:ascii="Arial"/>
                <w:color w:val="auto"/>
                <w:sz w:val="21"/>
                <w:highlight w:val="none"/>
              </w:rPr>
            </w:pPr>
          </w:p>
          <w:p w14:paraId="110FFAE3">
            <w:pPr>
              <w:pStyle w:val="9"/>
              <w:spacing w:before="65" w:line="268" w:lineRule="exact"/>
              <w:ind w:left="229"/>
              <w:rPr>
                <w:color w:val="auto"/>
                <w:highlight w:val="none"/>
              </w:rPr>
            </w:pPr>
            <w:r>
              <w:rPr>
                <w:color w:val="auto"/>
                <w:spacing w:val="2"/>
                <w:position w:val="1"/>
                <w:highlight w:val="none"/>
              </w:rPr>
              <w:t>31.6</w:t>
            </w:r>
          </w:p>
        </w:tc>
        <w:tc>
          <w:tcPr>
            <w:tcW w:w="2426" w:type="dxa"/>
            <w:vAlign w:val="top"/>
          </w:tcPr>
          <w:p w14:paraId="02A01A63">
            <w:pPr>
              <w:spacing w:line="267" w:lineRule="auto"/>
              <w:rPr>
                <w:rFonts w:ascii="Arial"/>
                <w:color w:val="auto"/>
                <w:sz w:val="21"/>
                <w:highlight w:val="none"/>
              </w:rPr>
            </w:pPr>
          </w:p>
          <w:p w14:paraId="56DC5395">
            <w:pPr>
              <w:spacing w:line="268" w:lineRule="auto"/>
              <w:rPr>
                <w:rFonts w:ascii="Arial"/>
                <w:color w:val="auto"/>
                <w:sz w:val="21"/>
                <w:highlight w:val="none"/>
              </w:rPr>
            </w:pPr>
          </w:p>
          <w:p w14:paraId="176882A7">
            <w:pPr>
              <w:spacing w:line="268" w:lineRule="auto"/>
              <w:rPr>
                <w:rFonts w:ascii="Arial"/>
                <w:color w:val="auto"/>
                <w:sz w:val="21"/>
                <w:highlight w:val="none"/>
              </w:rPr>
            </w:pPr>
          </w:p>
          <w:p w14:paraId="003B0DE8">
            <w:pPr>
              <w:spacing w:line="268" w:lineRule="auto"/>
              <w:rPr>
                <w:rFonts w:ascii="Arial"/>
                <w:color w:val="auto"/>
                <w:sz w:val="21"/>
                <w:highlight w:val="none"/>
              </w:rPr>
            </w:pPr>
          </w:p>
          <w:p w14:paraId="600673F3">
            <w:pPr>
              <w:pStyle w:val="9"/>
              <w:spacing w:before="65" w:line="229" w:lineRule="auto"/>
              <w:ind w:left="114"/>
              <w:rPr>
                <w:color w:val="auto"/>
                <w:highlight w:val="none"/>
              </w:rPr>
            </w:pPr>
            <w:r>
              <w:rPr>
                <w:color w:val="auto"/>
                <w:spacing w:val="7"/>
                <w:highlight w:val="none"/>
              </w:rPr>
              <w:t>投诉受理方式</w:t>
            </w:r>
          </w:p>
        </w:tc>
        <w:tc>
          <w:tcPr>
            <w:tcW w:w="6645" w:type="dxa"/>
            <w:vAlign w:val="top"/>
          </w:tcPr>
          <w:p w14:paraId="42DF5411">
            <w:pPr>
              <w:pStyle w:val="9"/>
              <w:spacing w:before="140" w:line="300" w:lineRule="auto"/>
              <w:ind w:left="114" w:right="109" w:firstLine="12"/>
              <w:rPr>
                <w:color w:val="auto"/>
                <w:highlight w:val="none"/>
              </w:rPr>
            </w:pPr>
            <w:r>
              <w:rPr>
                <w:color w:val="auto"/>
                <w:spacing w:val="10"/>
                <w:highlight w:val="none"/>
              </w:rPr>
              <w:t>1、受理方式：纸质方式受理，投诉书正、副本（经</w:t>
            </w:r>
            <w:r>
              <w:rPr>
                <w:color w:val="auto"/>
                <w:spacing w:val="9"/>
                <w:highlight w:val="none"/>
              </w:rPr>
              <w:t>过质疑的事项才可</w:t>
            </w:r>
            <w:r>
              <w:rPr>
                <w:color w:val="auto"/>
                <w:highlight w:val="none"/>
              </w:rPr>
              <w:t xml:space="preserve"> </w:t>
            </w:r>
            <w:r>
              <w:rPr>
                <w:color w:val="auto"/>
                <w:spacing w:val="1"/>
                <w:highlight w:val="none"/>
              </w:rPr>
              <w:t>投诉）。</w:t>
            </w:r>
          </w:p>
          <w:p w14:paraId="2C2BCB4C">
            <w:pPr>
              <w:pStyle w:val="9"/>
              <w:spacing w:before="152" w:line="230" w:lineRule="auto"/>
              <w:ind w:left="114"/>
              <w:rPr>
                <w:color w:val="auto"/>
                <w:highlight w:val="none"/>
              </w:rPr>
            </w:pPr>
            <w:r>
              <w:rPr>
                <w:color w:val="auto"/>
                <w:spacing w:val="6"/>
                <w:highlight w:val="none"/>
              </w:rPr>
              <w:t>2、邮寄地址：</w:t>
            </w:r>
          </w:p>
          <w:p w14:paraId="75F1863C">
            <w:pPr>
              <w:pStyle w:val="9"/>
              <w:spacing w:before="149" w:line="228" w:lineRule="auto"/>
              <w:ind w:left="114"/>
              <w:rPr>
                <w:color w:val="auto"/>
                <w:highlight w:val="none"/>
              </w:rPr>
            </w:pPr>
            <w:r>
              <w:rPr>
                <w:color w:val="auto"/>
                <w:spacing w:val="9"/>
                <w:highlight w:val="none"/>
              </w:rPr>
              <w:t>名名称：横州市财政局政府采购监督管理办公室</w:t>
            </w:r>
          </w:p>
          <w:p w14:paraId="67D248FB">
            <w:pPr>
              <w:pStyle w:val="9"/>
              <w:spacing w:before="153" w:line="228" w:lineRule="auto"/>
              <w:ind w:left="111"/>
              <w:rPr>
                <w:color w:val="auto"/>
                <w:highlight w:val="none"/>
              </w:rPr>
            </w:pPr>
            <w:r>
              <w:rPr>
                <w:color w:val="auto"/>
                <w:spacing w:val="7"/>
                <w:highlight w:val="none"/>
              </w:rPr>
              <w:t>地址：横县横州镇柳明路</w:t>
            </w:r>
            <w:r>
              <w:rPr>
                <w:color w:val="auto"/>
                <w:spacing w:val="-34"/>
                <w:highlight w:val="none"/>
              </w:rPr>
              <w:t xml:space="preserve"> </w:t>
            </w:r>
            <w:r>
              <w:rPr>
                <w:color w:val="auto"/>
                <w:spacing w:val="7"/>
                <w:highlight w:val="none"/>
              </w:rPr>
              <w:t>22</w:t>
            </w:r>
            <w:r>
              <w:rPr>
                <w:color w:val="auto"/>
                <w:spacing w:val="-35"/>
                <w:highlight w:val="none"/>
              </w:rPr>
              <w:t xml:space="preserve"> </w:t>
            </w:r>
            <w:r>
              <w:rPr>
                <w:color w:val="auto"/>
                <w:spacing w:val="7"/>
                <w:highlight w:val="none"/>
              </w:rPr>
              <w:t>号</w:t>
            </w:r>
          </w:p>
          <w:p w14:paraId="1F8B3322">
            <w:pPr>
              <w:pStyle w:val="9"/>
              <w:spacing w:before="153" w:line="231" w:lineRule="auto"/>
              <w:ind w:left="112"/>
              <w:rPr>
                <w:color w:val="auto"/>
                <w:highlight w:val="none"/>
              </w:rPr>
            </w:pPr>
            <w:r>
              <w:rPr>
                <w:color w:val="auto"/>
                <w:spacing w:val="6"/>
                <w:highlight w:val="none"/>
              </w:rPr>
              <w:t>联系电话：0771-7233567</w:t>
            </w:r>
          </w:p>
        </w:tc>
      </w:tr>
      <w:tr w14:paraId="2BCCF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5" w:hRule="atLeast"/>
        </w:trPr>
        <w:tc>
          <w:tcPr>
            <w:tcW w:w="863" w:type="dxa"/>
            <w:vAlign w:val="top"/>
          </w:tcPr>
          <w:p w14:paraId="38E85561">
            <w:pPr>
              <w:spacing w:line="253" w:lineRule="auto"/>
              <w:rPr>
                <w:rFonts w:ascii="Arial"/>
                <w:color w:val="auto"/>
                <w:sz w:val="21"/>
                <w:highlight w:val="none"/>
              </w:rPr>
            </w:pPr>
          </w:p>
          <w:p w14:paraId="28CA1BF1">
            <w:pPr>
              <w:spacing w:line="253" w:lineRule="auto"/>
              <w:rPr>
                <w:rFonts w:ascii="Arial"/>
                <w:color w:val="auto"/>
                <w:sz w:val="21"/>
                <w:highlight w:val="none"/>
              </w:rPr>
            </w:pPr>
          </w:p>
          <w:p w14:paraId="66804CB4">
            <w:pPr>
              <w:spacing w:line="253" w:lineRule="auto"/>
              <w:rPr>
                <w:rFonts w:ascii="Arial"/>
                <w:color w:val="auto"/>
                <w:sz w:val="21"/>
                <w:highlight w:val="none"/>
              </w:rPr>
            </w:pPr>
          </w:p>
          <w:p w14:paraId="251972DC">
            <w:pPr>
              <w:spacing w:line="254" w:lineRule="auto"/>
              <w:rPr>
                <w:rFonts w:ascii="Arial"/>
                <w:color w:val="auto"/>
                <w:sz w:val="21"/>
                <w:highlight w:val="none"/>
              </w:rPr>
            </w:pPr>
          </w:p>
          <w:p w14:paraId="72E2CDA8">
            <w:pPr>
              <w:spacing w:line="254" w:lineRule="auto"/>
              <w:rPr>
                <w:rFonts w:ascii="Arial"/>
                <w:color w:val="auto"/>
                <w:sz w:val="21"/>
                <w:highlight w:val="none"/>
              </w:rPr>
            </w:pPr>
          </w:p>
          <w:p w14:paraId="74DC2B64">
            <w:pPr>
              <w:spacing w:line="254" w:lineRule="auto"/>
              <w:rPr>
                <w:rFonts w:ascii="Arial"/>
                <w:color w:val="auto"/>
                <w:sz w:val="21"/>
                <w:highlight w:val="none"/>
              </w:rPr>
            </w:pPr>
          </w:p>
          <w:p w14:paraId="5CDD432B">
            <w:pPr>
              <w:spacing w:line="254" w:lineRule="auto"/>
              <w:rPr>
                <w:rFonts w:ascii="Arial"/>
                <w:color w:val="auto"/>
                <w:sz w:val="21"/>
                <w:highlight w:val="none"/>
              </w:rPr>
            </w:pPr>
          </w:p>
          <w:p w14:paraId="64DCA6FB">
            <w:pPr>
              <w:spacing w:line="254" w:lineRule="auto"/>
              <w:rPr>
                <w:rFonts w:ascii="Arial"/>
                <w:color w:val="auto"/>
                <w:sz w:val="21"/>
                <w:highlight w:val="none"/>
              </w:rPr>
            </w:pPr>
          </w:p>
          <w:p w14:paraId="76D99D6F">
            <w:pPr>
              <w:spacing w:line="254" w:lineRule="auto"/>
              <w:rPr>
                <w:rFonts w:ascii="Arial"/>
                <w:color w:val="auto"/>
                <w:sz w:val="21"/>
                <w:highlight w:val="none"/>
              </w:rPr>
            </w:pPr>
          </w:p>
          <w:p w14:paraId="31A3C593">
            <w:pPr>
              <w:spacing w:line="254" w:lineRule="auto"/>
              <w:rPr>
                <w:rFonts w:ascii="Arial"/>
                <w:color w:val="auto"/>
                <w:sz w:val="21"/>
                <w:highlight w:val="none"/>
              </w:rPr>
            </w:pPr>
          </w:p>
          <w:p w14:paraId="64BC4167">
            <w:pPr>
              <w:spacing w:line="254" w:lineRule="auto"/>
              <w:rPr>
                <w:rFonts w:ascii="Arial"/>
                <w:color w:val="auto"/>
                <w:sz w:val="21"/>
                <w:highlight w:val="none"/>
              </w:rPr>
            </w:pPr>
          </w:p>
          <w:p w14:paraId="5647410F">
            <w:pPr>
              <w:pStyle w:val="9"/>
              <w:spacing w:before="65" w:line="269" w:lineRule="exact"/>
              <w:ind w:left="335"/>
              <w:rPr>
                <w:color w:val="auto"/>
                <w:highlight w:val="none"/>
              </w:rPr>
            </w:pPr>
            <w:r>
              <w:rPr>
                <w:color w:val="auto"/>
                <w:spacing w:val="-2"/>
                <w:position w:val="1"/>
                <w:highlight w:val="none"/>
              </w:rPr>
              <w:t>33</w:t>
            </w:r>
          </w:p>
        </w:tc>
        <w:tc>
          <w:tcPr>
            <w:tcW w:w="2426" w:type="dxa"/>
            <w:vAlign w:val="top"/>
          </w:tcPr>
          <w:p w14:paraId="2FD1921E">
            <w:pPr>
              <w:spacing w:line="253" w:lineRule="auto"/>
              <w:rPr>
                <w:rFonts w:ascii="Arial"/>
                <w:color w:val="auto"/>
                <w:sz w:val="21"/>
                <w:highlight w:val="none"/>
              </w:rPr>
            </w:pPr>
          </w:p>
          <w:p w14:paraId="2B85246C">
            <w:pPr>
              <w:spacing w:line="253" w:lineRule="auto"/>
              <w:rPr>
                <w:rFonts w:ascii="Arial"/>
                <w:color w:val="auto"/>
                <w:sz w:val="21"/>
                <w:highlight w:val="none"/>
              </w:rPr>
            </w:pPr>
          </w:p>
          <w:p w14:paraId="5A761292">
            <w:pPr>
              <w:spacing w:line="253" w:lineRule="auto"/>
              <w:rPr>
                <w:rFonts w:ascii="Arial"/>
                <w:color w:val="auto"/>
                <w:sz w:val="21"/>
                <w:highlight w:val="none"/>
              </w:rPr>
            </w:pPr>
          </w:p>
          <w:p w14:paraId="4003B5AE">
            <w:pPr>
              <w:spacing w:line="254" w:lineRule="auto"/>
              <w:rPr>
                <w:rFonts w:ascii="Arial"/>
                <w:color w:val="auto"/>
                <w:sz w:val="21"/>
                <w:highlight w:val="none"/>
              </w:rPr>
            </w:pPr>
          </w:p>
          <w:p w14:paraId="305016CD">
            <w:pPr>
              <w:spacing w:line="254" w:lineRule="auto"/>
              <w:rPr>
                <w:rFonts w:ascii="Arial"/>
                <w:color w:val="auto"/>
                <w:sz w:val="21"/>
                <w:highlight w:val="none"/>
              </w:rPr>
            </w:pPr>
          </w:p>
          <w:p w14:paraId="35855A4D">
            <w:pPr>
              <w:spacing w:line="254" w:lineRule="auto"/>
              <w:rPr>
                <w:rFonts w:ascii="Arial"/>
                <w:color w:val="auto"/>
                <w:sz w:val="21"/>
                <w:highlight w:val="none"/>
              </w:rPr>
            </w:pPr>
          </w:p>
          <w:p w14:paraId="67D1672F">
            <w:pPr>
              <w:spacing w:line="254" w:lineRule="auto"/>
              <w:rPr>
                <w:rFonts w:ascii="Arial"/>
                <w:color w:val="auto"/>
                <w:sz w:val="21"/>
                <w:highlight w:val="none"/>
              </w:rPr>
            </w:pPr>
          </w:p>
          <w:p w14:paraId="52B1270C">
            <w:pPr>
              <w:spacing w:line="254" w:lineRule="auto"/>
              <w:rPr>
                <w:rFonts w:ascii="Arial"/>
                <w:color w:val="auto"/>
                <w:sz w:val="21"/>
                <w:highlight w:val="none"/>
              </w:rPr>
            </w:pPr>
          </w:p>
          <w:p w14:paraId="2519955F">
            <w:pPr>
              <w:spacing w:line="254" w:lineRule="auto"/>
              <w:rPr>
                <w:rFonts w:ascii="Arial"/>
                <w:color w:val="auto"/>
                <w:sz w:val="21"/>
                <w:highlight w:val="none"/>
              </w:rPr>
            </w:pPr>
          </w:p>
          <w:p w14:paraId="387EA32A">
            <w:pPr>
              <w:spacing w:line="254" w:lineRule="auto"/>
              <w:rPr>
                <w:rFonts w:ascii="Arial"/>
                <w:color w:val="auto"/>
                <w:sz w:val="21"/>
                <w:highlight w:val="none"/>
              </w:rPr>
            </w:pPr>
          </w:p>
          <w:p w14:paraId="76897BC5">
            <w:pPr>
              <w:spacing w:line="254" w:lineRule="auto"/>
              <w:rPr>
                <w:rFonts w:ascii="Arial"/>
                <w:color w:val="auto"/>
                <w:sz w:val="21"/>
                <w:highlight w:val="none"/>
              </w:rPr>
            </w:pPr>
          </w:p>
          <w:p w14:paraId="7B0C90BF">
            <w:pPr>
              <w:pStyle w:val="9"/>
              <w:spacing w:before="65" w:line="228" w:lineRule="auto"/>
              <w:ind w:left="691"/>
              <w:rPr>
                <w:color w:val="auto"/>
                <w:highlight w:val="none"/>
              </w:rPr>
            </w:pPr>
            <w:r>
              <w:rPr>
                <w:color w:val="auto"/>
                <w:spacing w:val="8"/>
                <w:highlight w:val="none"/>
              </w:rPr>
              <w:t>采购代理费</w:t>
            </w:r>
          </w:p>
        </w:tc>
        <w:tc>
          <w:tcPr>
            <w:tcW w:w="6645" w:type="dxa"/>
            <w:vAlign w:val="top"/>
          </w:tcPr>
          <w:p w14:paraId="3C107639">
            <w:pPr>
              <w:pStyle w:val="9"/>
              <w:spacing w:before="142" w:line="228" w:lineRule="auto"/>
              <w:ind w:left="127"/>
              <w:rPr>
                <w:color w:val="auto"/>
                <w:highlight w:val="none"/>
              </w:rPr>
            </w:pPr>
            <w:r>
              <w:rPr>
                <w:color w:val="auto"/>
                <w:spacing w:val="6"/>
                <w:highlight w:val="none"/>
              </w:rPr>
              <w:t>1. 是否收取采购代理费：</w:t>
            </w:r>
          </w:p>
          <w:p w14:paraId="7D6E4679">
            <w:pPr>
              <w:pStyle w:val="9"/>
              <w:spacing w:before="154" w:line="229" w:lineRule="auto"/>
              <w:ind w:left="120"/>
              <w:rPr>
                <w:color w:val="auto"/>
                <w:highlight w:val="none"/>
              </w:rPr>
            </w:pPr>
            <w:r>
              <w:rPr>
                <w:rFonts w:ascii="MS PMincho" w:hAnsi="MS PMincho" w:eastAsia="MS PMincho" w:cs="MS PMincho"/>
                <w:color w:val="auto"/>
                <w:spacing w:val="-5"/>
                <w:highlight w:val="none"/>
              </w:rPr>
              <w:t>☑</w:t>
            </w:r>
            <w:r>
              <w:rPr>
                <w:color w:val="auto"/>
                <w:spacing w:val="-5"/>
                <w:highlight w:val="none"/>
              </w:rPr>
              <w:t>是</w:t>
            </w:r>
            <w:r>
              <w:rPr>
                <w:color w:val="auto"/>
                <w:spacing w:val="12"/>
                <w:highlight w:val="none"/>
              </w:rPr>
              <w:t xml:space="preserve">    </w:t>
            </w:r>
            <w:r>
              <w:rPr>
                <w:color w:val="auto"/>
                <w:spacing w:val="-5"/>
                <w:highlight w:val="none"/>
              </w:rPr>
              <w:t>□</w:t>
            </w:r>
            <w:r>
              <w:rPr>
                <w:color w:val="auto"/>
                <w:spacing w:val="26"/>
                <w:highlight w:val="none"/>
              </w:rPr>
              <w:t xml:space="preserve"> </w:t>
            </w:r>
            <w:r>
              <w:rPr>
                <w:color w:val="auto"/>
                <w:spacing w:val="-5"/>
                <w:highlight w:val="none"/>
              </w:rPr>
              <w:t>否</w:t>
            </w:r>
          </w:p>
          <w:p w14:paraId="1CD23039">
            <w:pPr>
              <w:pStyle w:val="9"/>
              <w:spacing w:before="152" w:line="228" w:lineRule="auto"/>
              <w:ind w:left="114"/>
              <w:rPr>
                <w:color w:val="auto"/>
                <w:highlight w:val="none"/>
              </w:rPr>
            </w:pPr>
            <w:r>
              <w:rPr>
                <w:color w:val="auto"/>
                <w:spacing w:val="7"/>
                <w:highlight w:val="none"/>
              </w:rPr>
              <w:t>2.采购代理费支付方式：</w:t>
            </w:r>
          </w:p>
          <w:p w14:paraId="245E21E9">
            <w:pPr>
              <w:pStyle w:val="9"/>
              <w:spacing w:before="151" w:line="370" w:lineRule="auto"/>
              <w:ind w:left="114" w:right="108" w:firstLine="5"/>
              <w:rPr>
                <w:color w:val="auto"/>
                <w:highlight w:val="none"/>
              </w:rPr>
            </w:pPr>
            <w:r>
              <w:rPr>
                <w:rFonts w:ascii="MS PMincho" w:hAnsi="MS PMincho" w:eastAsia="MS PMincho" w:cs="MS PMincho"/>
                <w:color w:val="auto"/>
                <w:spacing w:val="7"/>
                <w:highlight w:val="none"/>
              </w:rPr>
              <w:t>☑</w:t>
            </w:r>
            <w:r>
              <w:rPr>
                <w:color w:val="auto"/>
                <w:spacing w:val="7"/>
                <w:highlight w:val="none"/>
              </w:rPr>
              <w:t>本项目代理服务费由成交供应商领取成交通知书前，</w:t>
            </w:r>
            <w:r>
              <w:rPr>
                <w:color w:val="auto"/>
                <w:spacing w:val="6"/>
                <w:highlight w:val="none"/>
              </w:rPr>
              <w:t>一次性向采购代</w:t>
            </w:r>
            <w:r>
              <w:rPr>
                <w:color w:val="auto"/>
                <w:highlight w:val="none"/>
              </w:rPr>
              <w:t xml:space="preserve"> </w:t>
            </w:r>
            <w:r>
              <w:rPr>
                <w:color w:val="auto"/>
                <w:spacing w:val="6"/>
                <w:highlight w:val="none"/>
              </w:rPr>
              <w:t>理机构支付。</w:t>
            </w:r>
          </w:p>
          <w:p w14:paraId="76F4554E">
            <w:pPr>
              <w:pStyle w:val="9"/>
              <w:spacing w:line="227" w:lineRule="auto"/>
              <w:ind w:left="133"/>
              <w:rPr>
                <w:color w:val="auto"/>
                <w:highlight w:val="none"/>
              </w:rPr>
            </w:pPr>
            <w:r>
              <w:rPr>
                <w:color w:val="auto"/>
                <w:spacing w:val="4"/>
                <w:highlight w:val="none"/>
              </w:rPr>
              <w:t>□采购人支付。</w:t>
            </w:r>
          </w:p>
          <w:p w14:paraId="4AF7C959">
            <w:pPr>
              <w:pStyle w:val="9"/>
              <w:spacing w:before="150" w:line="343" w:lineRule="auto"/>
              <w:ind w:left="111" w:right="109" w:firstLine="4"/>
              <w:rPr>
                <w:color w:val="auto"/>
                <w:highlight w:val="none"/>
              </w:rPr>
            </w:pPr>
            <w:r>
              <w:rPr>
                <w:color w:val="auto"/>
                <w:spacing w:val="7"/>
                <w:highlight w:val="none"/>
              </w:rPr>
              <w:t>3.采购代理费收取标准：</w:t>
            </w:r>
            <w:r>
              <w:rPr>
                <w:color w:val="auto"/>
                <w:spacing w:val="7"/>
                <w:sz w:val="19"/>
                <w:szCs w:val="19"/>
                <w:highlight w:val="none"/>
              </w:rPr>
              <w:t>以分标</w:t>
            </w:r>
            <w:r>
              <w:rPr>
                <w:color w:val="auto"/>
                <w:spacing w:val="-15"/>
                <w:sz w:val="19"/>
                <w:szCs w:val="19"/>
                <w:highlight w:val="none"/>
              </w:rPr>
              <w:t xml:space="preserve"> </w:t>
            </w:r>
            <w:r>
              <w:rPr>
                <w:color w:val="auto"/>
                <w:spacing w:val="7"/>
                <w:sz w:val="19"/>
                <w:szCs w:val="19"/>
                <w:highlight w:val="none"/>
              </w:rPr>
              <w:t>(</w:t>
            </w:r>
            <w:r>
              <w:rPr>
                <w:rFonts w:ascii="MS PMincho" w:hAnsi="MS PMincho" w:eastAsia="MS PMincho" w:cs="MS PMincho"/>
                <w:color w:val="auto"/>
                <w:spacing w:val="7"/>
                <w:sz w:val="19"/>
                <w:szCs w:val="19"/>
                <w:highlight w:val="none"/>
              </w:rPr>
              <w:t>☑</w:t>
            </w:r>
            <w:r>
              <w:rPr>
                <w:color w:val="auto"/>
                <w:spacing w:val="7"/>
                <w:sz w:val="19"/>
                <w:szCs w:val="19"/>
                <w:highlight w:val="none"/>
              </w:rPr>
              <w:t>成交金额/□采购预算/□暂定中标金</w:t>
            </w:r>
            <w:r>
              <w:rPr>
                <w:color w:val="auto"/>
                <w:sz w:val="19"/>
                <w:szCs w:val="19"/>
                <w:highlight w:val="none"/>
              </w:rPr>
              <w:t xml:space="preserve"> </w:t>
            </w:r>
            <w:r>
              <w:rPr>
                <w:color w:val="auto"/>
                <w:spacing w:val="9"/>
                <w:sz w:val="19"/>
                <w:szCs w:val="19"/>
                <w:highlight w:val="none"/>
              </w:rPr>
              <w:t>额/□其他</w:t>
            </w:r>
            <w:r>
              <w:rPr>
                <w:color w:val="auto"/>
                <w:spacing w:val="9"/>
                <w:sz w:val="19"/>
                <w:szCs w:val="19"/>
                <w:highlight w:val="none"/>
                <w:u w:val="single" w:color="auto"/>
              </w:rPr>
              <w:t xml:space="preserve">   </w:t>
            </w:r>
            <w:r>
              <w:rPr>
                <w:color w:val="auto"/>
                <w:spacing w:val="-66"/>
                <w:sz w:val="19"/>
                <w:szCs w:val="19"/>
                <w:highlight w:val="none"/>
              </w:rPr>
              <w:t xml:space="preserve"> </w:t>
            </w:r>
            <w:r>
              <w:rPr>
                <w:color w:val="auto"/>
                <w:spacing w:val="9"/>
                <w:sz w:val="19"/>
                <w:szCs w:val="19"/>
                <w:highlight w:val="none"/>
              </w:rPr>
              <w:t>）为计费额，按</w:t>
            </w:r>
            <w:r>
              <w:rPr>
                <w:b/>
                <w:bCs/>
                <w:color w:val="auto"/>
                <w:spacing w:val="9"/>
                <w:sz w:val="19"/>
                <w:szCs w:val="19"/>
                <w:highlight w:val="none"/>
              </w:rPr>
              <w:t>工程类</w:t>
            </w:r>
            <w:r>
              <w:rPr>
                <w:color w:val="auto"/>
                <w:spacing w:val="9"/>
                <w:sz w:val="19"/>
                <w:szCs w:val="19"/>
                <w:highlight w:val="none"/>
              </w:rPr>
              <w:t>采用差额定率累进法计算出收</w:t>
            </w:r>
            <w:r>
              <w:rPr>
                <w:color w:val="auto"/>
                <w:spacing w:val="8"/>
                <w:sz w:val="19"/>
                <w:szCs w:val="19"/>
                <w:highlight w:val="none"/>
              </w:rPr>
              <w:t>费基准</w:t>
            </w:r>
            <w:r>
              <w:rPr>
                <w:color w:val="auto"/>
                <w:sz w:val="19"/>
                <w:szCs w:val="19"/>
                <w:highlight w:val="none"/>
              </w:rPr>
              <w:t xml:space="preserve"> </w:t>
            </w:r>
            <w:r>
              <w:rPr>
                <w:color w:val="auto"/>
                <w:spacing w:val="8"/>
                <w:sz w:val="19"/>
                <w:szCs w:val="19"/>
                <w:highlight w:val="none"/>
              </w:rPr>
              <w:t>价格，采购代理收费以 (□收费基准价格/</w:t>
            </w:r>
            <w:r>
              <w:rPr>
                <w:rFonts w:ascii="MS PMincho" w:hAnsi="MS PMincho" w:eastAsia="MS PMincho" w:cs="MS PMincho"/>
                <w:color w:val="auto"/>
                <w:spacing w:val="8"/>
                <w:sz w:val="19"/>
                <w:szCs w:val="19"/>
                <w:highlight w:val="none"/>
              </w:rPr>
              <w:t>☑</w:t>
            </w:r>
            <w:r>
              <w:rPr>
                <w:color w:val="auto"/>
                <w:spacing w:val="8"/>
                <w:sz w:val="19"/>
                <w:szCs w:val="19"/>
                <w:highlight w:val="none"/>
              </w:rPr>
              <w:t>收费基准价格下浮</w:t>
            </w:r>
            <w:r>
              <w:rPr>
                <w:color w:val="auto"/>
                <w:spacing w:val="8"/>
                <w:sz w:val="19"/>
                <w:szCs w:val="19"/>
                <w:highlight w:val="none"/>
                <w:u w:val="single" w:color="auto"/>
              </w:rPr>
              <w:t xml:space="preserve"> 20</w:t>
            </w:r>
            <w:r>
              <w:rPr>
                <w:color w:val="auto"/>
                <w:spacing w:val="-43"/>
                <w:sz w:val="19"/>
                <w:szCs w:val="19"/>
                <w:highlight w:val="none"/>
                <w:u w:val="single" w:color="auto"/>
              </w:rPr>
              <w:t xml:space="preserve"> </w:t>
            </w:r>
            <w:r>
              <w:rPr>
                <w:color w:val="auto"/>
                <w:spacing w:val="8"/>
                <w:sz w:val="19"/>
                <w:szCs w:val="19"/>
                <w:highlight w:val="none"/>
                <w:u w:val="single" w:color="auto"/>
              </w:rPr>
              <w:t>%</w:t>
            </w:r>
            <w:r>
              <w:rPr>
                <w:color w:val="auto"/>
                <w:spacing w:val="8"/>
                <w:sz w:val="19"/>
                <w:szCs w:val="19"/>
                <w:highlight w:val="none"/>
              </w:rPr>
              <w:t>/</w:t>
            </w:r>
            <w:r>
              <w:rPr>
                <w:color w:val="auto"/>
                <w:spacing w:val="7"/>
                <w:sz w:val="19"/>
                <w:szCs w:val="19"/>
                <w:highlight w:val="none"/>
              </w:rPr>
              <w:t>□收</w:t>
            </w:r>
            <w:r>
              <w:rPr>
                <w:color w:val="auto"/>
                <w:sz w:val="19"/>
                <w:szCs w:val="19"/>
                <w:highlight w:val="none"/>
              </w:rPr>
              <w:t xml:space="preserve"> </w:t>
            </w:r>
            <w:r>
              <w:rPr>
                <w:color w:val="auto"/>
                <w:spacing w:val="8"/>
                <w:sz w:val="19"/>
                <w:szCs w:val="19"/>
                <w:highlight w:val="none"/>
              </w:rPr>
              <w:t>费基准价格上浮</w:t>
            </w:r>
            <w:r>
              <w:rPr>
                <w:color w:val="auto"/>
                <w:spacing w:val="8"/>
                <w:sz w:val="19"/>
                <w:szCs w:val="19"/>
                <w:highlight w:val="none"/>
                <w:u w:val="single" w:color="auto"/>
              </w:rPr>
              <w:t xml:space="preserve">   %</w:t>
            </w:r>
            <w:r>
              <w:rPr>
                <w:color w:val="auto"/>
                <w:spacing w:val="8"/>
                <w:sz w:val="19"/>
                <w:szCs w:val="19"/>
                <w:highlight w:val="none"/>
              </w:rPr>
              <w:t>）收取</w:t>
            </w:r>
            <w:r>
              <w:rPr>
                <w:color w:val="auto"/>
                <w:spacing w:val="8"/>
                <w:highlight w:val="none"/>
              </w:rPr>
              <w:t>□固定采购代理收费</w:t>
            </w:r>
            <w:r>
              <w:rPr>
                <w:color w:val="auto"/>
                <w:spacing w:val="8"/>
                <w:highlight w:val="none"/>
                <w:u w:val="single" w:color="auto"/>
              </w:rPr>
              <w:t xml:space="preserve">  \</w:t>
            </w:r>
            <w:r>
              <w:rPr>
                <w:color w:val="auto"/>
                <w:spacing w:val="20"/>
                <w:highlight w:val="none"/>
                <w:u w:val="single" w:color="auto"/>
              </w:rPr>
              <w:t xml:space="preserve">  </w:t>
            </w:r>
            <w:r>
              <w:rPr>
                <w:color w:val="auto"/>
                <w:spacing w:val="8"/>
                <w:highlight w:val="none"/>
                <w:u w:val="single" w:color="auto"/>
              </w:rPr>
              <w:t>。</w:t>
            </w:r>
          </w:p>
          <w:p w14:paraId="4C3AF276">
            <w:pPr>
              <w:pStyle w:val="9"/>
              <w:spacing w:before="153" w:line="228" w:lineRule="auto"/>
              <w:ind w:left="111"/>
              <w:rPr>
                <w:color w:val="auto"/>
                <w:highlight w:val="none"/>
              </w:rPr>
            </w:pPr>
            <w:r>
              <w:rPr>
                <w:color w:val="auto"/>
                <w:spacing w:val="8"/>
                <w:highlight w:val="none"/>
              </w:rPr>
              <w:t>4. 采购代理费收取银行账户</w:t>
            </w:r>
          </w:p>
          <w:p w14:paraId="0D0E15B6">
            <w:pPr>
              <w:pStyle w:val="9"/>
              <w:spacing w:before="154" w:line="227" w:lineRule="auto"/>
              <w:ind w:left="115"/>
              <w:rPr>
                <w:color w:val="auto"/>
                <w:highlight w:val="none"/>
              </w:rPr>
            </w:pPr>
            <w:r>
              <w:rPr>
                <w:color w:val="auto"/>
                <w:spacing w:val="9"/>
                <w:highlight w:val="none"/>
              </w:rPr>
              <w:t>账户名称：广西拓正工程造价咨询有限公司</w:t>
            </w:r>
          </w:p>
          <w:p w14:paraId="7102B58C">
            <w:pPr>
              <w:pStyle w:val="9"/>
              <w:spacing w:before="45" w:line="323" w:lineRule="exact"/>
              <w:ind w:left="113"/>
              <w:rPr>
                <w:rFonts w:ascii="Calibri" w:hAnsi="Calibri" w:eastAsia="Calibri" w:cs="Calibri"/>
                <w:color w:val="auto"/>
                <w:sz w:val="22"/>
                <w:szCs w:val="22"/>
                <w:highlight w:val="none"/>
              </w:rPr>
            </w:pPr>
            <w:r>
              <w:rPr>
                <w:color w:val="auto"/>
                <w:spacing w:val="-1"/>
                <w:position w:val="2"/>
                <w:sz w:val="22"/>
                <w:szCs w:val="22"/>
                <w:highlight w:val="none"/>
              </w:rPr>
              <w:t>开户银行：</w:t>
            </w:r>
            <w:r>
              <w:rPr>
                <w:rFonts w:ascii="宋体" w:hAnsi="宋体" w:eastAsia="宋体" w:cs="宋体"/>
                <w:color w:val="auto"/>
                <w:spacing w:val="9"/>
                <w:highlight w:val="none"/>
              </w:rPr>
              <w:t>4505 0160 4950 0000 1216</w:t>
            </w:r>
          </w:p>
          <w:p w14:paraId="2915987F">
            <w:pPr>
              <w:pStyle w:val="9"/>
              <w:spacing w:before="31" w:line="221" w:lineRule="auto"/>
              <w:ind w:left="113"/>
              <w:rPr>
                <w:color w:val="auto"/>
                <w:sz w:val="22"/>
                <w:szCs w:val="22"/>
                <w:highlight w:val="none"/>
              </w:rPr>
            </w:pPr>
            <w:r>
              <w:rPr>
                <w:color w:val="auto"/>
                <w:spacing w:val="-1"/>
                <w:sz w:val="22"/>
                <w:szCs w:val="22"/>
                <w:highlight w:val="none"/>
              </w:rPr>
              <w:t>银行账号：中国建设银行股份有限公司南宁江南支行</w:t>
            </w:r>
          </w:p>
          <w:p w14:paraId="20EFACEE">
            <w:pPr>
              <w:pStyle w:val="9"/>
              <w:spacing w:before="152" w:line="228" w:lineRule="auto"/>
              <w:ind w:left="114"/>
              <w:rPr>
                <w:color w:val="auto"/>
                <w:highlight w:val="none"/>
              </w:rPr>
            </w:pPr>
            <w:r>
              <w:rPr>
                <w:color w:val="auto"/>
                <w:spacing w:val="9"/>
                <w:highlight w:val="none"/>
              </w:rPr>
              <w:t>备注信息：某项目编号或项目名称采购代理服务</w:t>
            </w:r>
            <w:r>
              <w:rPr>
                <w:color w:val="auto"/>
                <w:spacing w:val="8"/>
                <w:highlight w:val="none"/>
              </w:rPr>
              <w:t>费。</w:t>
            </w:r>
          </w:p>
        </w:tc>
      </w:tr>
      <w:tr w14:paraId="74A68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7" w:hRule="atLeast"/>
        </w:trPr>
        <w:tc>
          <w:tcPr>
            <w:tcW w:w="863" w:type="dxa"/>
            <w:vAlign w:val="top"/>
          </w:tcPr>
          <w:p w14:paraId="7D9BE21F">
            <w:pPr>
              <w:spacing w:line="254" w:lineRule="auto"/>
              <w:rPr>
                <w:rFonts w:ascii="Arial"/>
                <w:color w:val="auto"/>
                <w:sz w:val="21"/>
                <w:highlight w:val="none"/>
              </w:rPr>
            </w:pPr>
          </w:p>
          <w:p w14:paraId="5C120D11">
            <w:pPr>
              <w:spacing w:line="254" w:lineRule="auto"/>
              <w:rPr>
                <w:rFonts w:ascii="Arial"/>
                <w:color w:val="auto"/>
                <w:sz w:val="21"/>
                <w:highlight w:val="none"/>
              </w:rPr>
            </w:pPr>
          </w:p>
          <w:p w14:paraId="65C1A65C">
            <w:pPr>
              <w:spacing w:line="254" w:lineRule="auto"/>
              <w:rPr>
                <w:rFonts w:ascii="Arial"/>
                <w:color w:val="auto"/>
                <w:sz w:val="21"/>
                <w:highlight w:val="none"/>
              </w:rPr>
            </w:pPr>
          </w:p>
          <w:p w14:paraId="46DA40C5">
            <w:pPr>
              <w:spacing w:line="255" w:lineRule="auto"/>
              <w:rPr>
                <w:rFonts w:ascii="Arial"/>
                <w:color w:val="auto"/>
                <w:sz w:val="21"/>
                <w:highlight w:val="none"/>
              </w:rPr>
            </w:pPr>
          </w:p>
          <w:p w14:paraId="042AE28D">
            <w:pPr>
              <w:spacing w:line="255" w:lineRule="auto"/>
              <w:rPr>
                <w:rFonts w:ascii="Arial"/>
                <w:color w:val="auto"/>
                <w:sz w:val="21"/>
                <w:highlight w:val="none"/>
              </w:rPr>
            </w:pPr>
          </w:p>
          <w:p w14:paraId="7093E101">
            <w:pPr>
              <w:pStyle w:val="9"/>
              <w:spacing w:before="65" w:line="268" w:lineRule="exact"/>
              <w:ind w:left="229"/>
              <w:rPr>
                <w:color w:val="auto"/>
                <w:highlight w:val="none"/>
              </w:rPr>
            </w:pPr>
            <w:r>
              <w:rPr>
                <w:color w:val="auto"/>
                <w:spacing w:val="2"/>
                <w:position w:val="1"/>
                <w:highlight w:val="none"/>
              </w:rPr>
              <w:t>34.1</w:t>
            </w:r>
          </w:p>
        </w:tc>
        <w:tc>
          <w:tcPr>
            <w:tcW w:w="2426" w:type="dxa"/>
            <w:vAlign w:val="top"/>
          </w:tcPr>
          <w:p w14:paraId="13485E50">
            <w:pPr>
              <w:spacing w:line="254" w:lineRule="auto"/>
              <w:rPr>
                <w:rFonts w:ascii="Arial"/>
                <w:color w:val="auto"/>
                <w:sz w:val="21"/>
                <w:highlight w:val="none"/>
              </w:rPr>
            </w:pPr>
          </w:p>
          <w:p w14:paraId="7E42C3C8">
            <w:pPr>
              <w:spacing w:line="254" w:lineRule="auto"/>
              <w:rPr>
                <w:rFonts w:ascii="Arial"/>
                <w:color w:val="auto"/>
                <w:sz w:val="21"/>
                <w:highlight w:val="none"/>
              </w:rPr>
            </w:pPr>
          </w:p>
          <w:p w14:paraId="3A56C7A0">
            <w:pPr>
              <w:spacing w:line="254" w:lineRule="auto"/>
              <w:rPr>
                <w:rFonts w:ascii="Arial"/>
                <w:color w:val="auto"/>
                <w:sz w:val="21"/>
                <w:highlight w:val="none"/>
              </w:rPr>
            </w:pPr>
          </w:p>
          <w:p w14:paraId="54729836">
            <w:pPr>
              <w:spacing w:line="255" w:lineRule="auto"/>
              <w:rPr>
                <w:rFonts w:ascii="Arial"/>
                <w:color w:val="auto"/>
                <w:sz w:val="21"/>
                <w:highlight w:val="none"/>
              </w:rPr>
            </w:pPr>
          </w:p>
          <w:p w14:paraId="7ADCBFFB">
            <w:pPr>
              <w:spacing w:line="255" w:lineRule="auto"/>
              <w:rPr>
                <w:rFonts w:ascii="Arial"/>
                <w:color w:val="auto"/>
                <w:sz w:val="21"/>
                <w:highlight w:val="none"/>
              </w:rPr>
            </w:pPr>
          </w:p>
          <w:p w14:paraId="3DE41DCB">
            <w:pPr>
              <w:pStyle w:val="9"/>
              <w:spacing w:before="65" w:line="228" w:lineRule="auto"/>
              <w:ind w:left="1005"/>
              <w:rPr>
                <w:color w:val="auto"/>
                <w:highlight w:val="none"/>
              </w:rPr>
            </w:pPr>
            <w:r>
              <w:rPr>
                <w:color w:val="auto"/>
                <w:spacing w:val="5"/>
                <w:highlight w:val="none"/>
              </w:rPr>
              <w:t>解释</w:t>
            </w:r>
          </w:p>
        </w:tc>
        <w:tc>
          <w:tcPr>
            <w:tcW w:w="6645" w:type="dxa"/>
            <w:vAlign w:val="top"/>
          </w:tcPr>
          <w:p w14:paraId="6F68D41F">
            <w:pPr>
              <w:pStyle w:val="9"/>
              <w:spacing w:before="142" w:line="350" w:lineRule="auto"/>
              <w:ind w:left="111" w:right="21"/>
              <w:jc w:val="both"/>
              <w:rPr>
                <w:color w:val="auto"/>
                <w:highlight w:val="none"/>
              </w:rPr>
            </w:pPr>
            <w:r>
              <w:rPr>
                <w:b/>
                <w:bCs/>
                <w:color w:val="auto"/>
                <w:spacing w:val="7"/>
                <w:highlight w:val="none"/>
              </w:rPr>
              <w:t>解释权：</w:t>
            </w:r>
            <w:r>
              <w:rPr>
                <w:color w:val="auto"/>
                <w:spacing w:val="7"/>
                <w:highlight w:val="none"/>
              </w:rPr>
              <w:t>构成本磋商文件的各个组成文件应互为解释，</w:t>
            </w:r>
            <w:r>
              <w:rPr>
                <w:color w:val="auto"/>
                <w:spacing w:val="6"/>
                <w:highlight w:val="none"/>
              </w:rPr>
              <w:t>互为说明；除磋</w:t>
            </w:r>
            <w:r>
              <w:rPr>
                <w:color w:val="auto"/>
                <w:highlight w:val="none"/>
              </w:rPr>
              <w:t xml:space="preserve">  </w:t>
            </w:r>
            <w:r>
              <w:rPr>
                <w:color w:val="auto"/>
                <w:spacing w:val="7"/>
                <w:highlight w:val="none"/>
              </w:rPr>
              <w:t>商文件中有特别规定外，仅适用于竞标阶段的规定，按更正公告（澄清</w:t>
            </w:r>
            <w:r>
              <w:rPr>
                <w:color w:val="auto"/>
                <w:spacing w:val="1"/>
                <w:highlight w:val="none"/>
              </w:rPr>
              <w:t xml:space="preserve">  </w:t>
            </w:r>
            <w:r>
              <w:rPr>
                <w:color w:val="auto"/>
                <w:spacing w:val="7"/>
                <w:highlight w:val="none"/>
              </w:rPr>
              <w:t>公告）、竞争性磋商公告、供应商须知、采购需求、评审程序、评审方</w:t>
            </w:r>
            <w:r>
              <w:rPr>
                <w:color w:val="auto"/>
                <w:spacing w:val="1"/>
                <w:highlight w:val="none"/>
              </w:rPr>
              <w:t xml:space="preserve">  </w:t>
            </w:r>
            <w:r>
              <w:rPr>
                <w:color w:val="auto"/>
                <w:spacing w:val="7"/>
                <w:highlight w:val="none"/>
              </w:rPr>
              <w:t>法和评审标准、响应文件格式、合同文本的先后顺序解释；同一组成文</w:t>
            </w:r>
            <w:r>
              <w:rPr>
                <w:color w:val="auto"/>
                <w:spacing w:val="1"/>
                <w:highlight w:val="none"/>
              </w:rPr>
              <w:t xml:space="preserve">  </w:t>
            </w:r>
            <w:r>
              <w:rPr>
                <w:color w:val="auto"/>
                <w:spacing w:val="7"/>
                <w:highlight w:val="none"/>
              </w:rPr>
              <w:t>件中就同一事项的规定或者约定不一致的，以编排顺序在后者为准；同</w:t>
            </w:r>
            <w:r>
              <w:rPr>
                <w:color w:val="auto"/>
                <w:spacing w:val="1"/>
                <w:highlight w:val="none"/>
              </w:rPr>
              <w:t xml:space="preserve">  </w:t>
            </w:r>
            <w:r>
              <w:rPr>
                <w:color w:val="auto"/>
                <w:spacing w:val="7"/>
                <w:highlight w:val="none"/>
              </w:rPr>
              <w:t>一组成文件不同版本之间有不一致的，以形成时间在后者为准；更正公</w:t>
            </w:r>
            <w:r>
              <w:rPr>
                <w:color w:val="auto"/>
                <w:spacing w:val="1"/>
                <w:highlight w:val="none"/>
              </w:rPr>
              <w:t xml:space="preserve">  </w:t>
            </w:r>
            <w:r>
              <w:rPr>
                <w:color w:val="auto"/>
                <w:spacing w:val="3"/>
                <w:highlight w:val="none"/>
              </w:rPr>
              <w:t>告（澄清公告）与同步更新的磋商文件不一致时以更正公告（澄清公告）</w:t>
            </w:r>
          </w:p>
        </w:tc>
      </w:tr>
    </w:tbl>
    <w:p w14:paraId="2EE99CBD">
      <w:pPr>
        <w:pStyle w:val="2"/>
        <w:rPr>
          <w:color w:val="auto"/>
          <w:highlight w:val="none"/>
        </w:rPr>
      </w:pPr>
    </w:p>
    <w:p w14:paraId="4C67EA5E">
      <w:pPr>
        <w:rPr>
          <w:color w:val="auto"/>
          <w:highlight w:val="none"/>
        </w:rPr>
        <w:sectPr>
          <w:footerReference r:id="rId21" w:type="default"/>
          <w:pgSz w:w="11905" w:h="16839"/>
          <w:pgMar w:top="400" w:right="983" w:bottom="1149" w:left="982" w:header="0" w:footer="913" w:gutter="0"/>
          <w:cols w:space="720" w:num="1"/>
        </w:sectPr>
      </w:pPr>
    </w:p>
    <w:p w14:paraId="4B78F8C9">
      <w:pPr>
        <w:spacing w:before="3"/>
        <w:rPr>
          <w:color w:val="auto"/>
          <w:highlight w:val="none"/>
        </w:rPr>
      </w:pPr>
    </w:p>
    <w:p w14:paraId="67CCC908">
      <w:pPr>
        <w:spacing w:before="3"/>
        <w:rPr>
          <w:color w:val="auto"/>
          <w:highlight w:val="none"/>
        </w:rPr>
      </w:pPr>
    </w:p>
    <w:p w14:paraId="0016AC45">
      <w:pPr>
        <w:spacing w:before="3"/>
        <w:rPr>
          <w:color w:val="auto"/>
          <w:highlight w:val="none"/>
        </w:rPr>
      </w:pPr>
    </w:p>
    <w:tbl>
      <w:tblPr>
        <w:tblStyle w:val="8"/>
        <w:tblW w:w="9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2426"/>
        <w:gridCol w:w="6645"/>
      </w:tblGrid>
      <w:tr w14:paraId="70E92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7" w:hRule="atLeast"/>
        </w:trPr>
        <w:tc>
          <w:tcPr>
            <w:tcW w:w="863" w:type="dxa"/>
            <w:vAlign w:val="top"/>
          </w:tcPr>
          <w:p w14:paraId="0827D85A">
            <w:pPr>
              <w:rPr>
                <w:rFonts w:ascii="Arial"/>
                <w:color w:val="auto"/>
                <w:sz w:val="21"/>
                <w:highlight w:val="none"/>
              </w:rPr>
            </w:pPr>
          </w:p>
        </w:tc>
        <w:tc>
          <w:tcPr>
            <w:tcW w:w="2426" w:type="dxa"/>
            <w:vAlign w:val="top"/>
          </w:tcPr>
          <w:p w14:paraId="5A107947">
            <w:pPr>
              <w:rPr>
                <w:rFonts w:ascii="Arial"/>
                <w:color w:val="auto"/>
                <w:sz w:val="21"/>
                <w:highlight w:val="none"/>
              </w:rPr>
            </w:pPr>
          </w:p>
        </w:tc>
        <w:tc>
          <w:tcPr>
            <w:tcW w:w="6645" w:type="dxa"/>
            <w:vAlign w:val="top"/>
          </w:tcPr>
          <w:p w14:paraId="26A61F1C">
            <w:pPr>
              <w:pStyle w:val="9"/>
              <w:spacing w:before="146" w:line="369" w:lineRule="auto"/>
              <w:ind w:left="119" w:right="108" w:hanging="5"/>
              <w:rPr>
                <w:color w:val="auto"/>
                <w:highlight w:val="none"/>
              </w:rPr>
            </w:pPr>
            <w:r>
              <w:rPr>
                <w:color w:val="auto"/>
                <w:spacing w:val="6"/>
                <w:highlight w:val="none"/>
              </w:rPr>
              <w:t>为准。按本款前述规定仍不能形成结论的，</w:t>
            </w:r>
            <w:r>
              <w:rPr>
                <w:b/>
                <w:bCs/>
                <w:color w:val="auto"/>
                <w:spacing w:val="6"/>
                <w:highlight w:val="none"/>
              </w:rPr>
              <w:t>由采购人或者采购代理机构</w:t>
            </w:r>
            <w:r>
              <w:rPr>
                <w:color w:val="auto"/>
                <w:spacing w:val="4"/>
                <w:highlight w:val="none"/>
              </w:rPr>
              <w:t xml:space="preserve"> </w:t>
            </w:r>
            <w:r>
              <w:rPr>
                <w:b/>
                <w:bCs/>
                <w:color w:val="auto"/>
                <w:spacing w:val="3"/>
                <w:highlight w:val="none"/>
              </w:rPr>
              <w:t>负责解释。</w:t>
            </w:r>
          </w:p>
          <w:p w14:paraId="75FB6BFD">
            <w:pPr>
              <w:pStyle w:val="9"/>
              <w:spacing w:line="228" w:lineRule="auto"/>
              <w:ind w:left="112"/>
              <w:rPr>
                <w:color w:val="auto"/>
                <w:highlight w:val="none"/>
              </w:rPr>
            </w:pPr>
            <w:r>
              <w:rPr>
                <w:b/>
                <w:bCs/>
                <w:color w:val="auto"/>
                <w:spacing w:val="4"/>
                <w:highlight w:val="none"/>
              </w:rPr>
              <w:t>法律责任：</w:t>
            </w:r>
          </w:p>
          <w:p w14:paraId="07F8D706">
            <w:pPr>
              <w:pStyle w:val="9"/>
              <w:spacing w:before="152" w:line="334" w:lineRule="auto"/>
              <w:ind w:left="111" w:right="108" w:firstLine="15"/>
              <w:rPr>
                <w:color w:val="auto"/>
                <w:highlight w:val="none"/>
              </w:rPr>
            </w:pPr>
            <w:r>
              <w:rPr>
                <w:color w:val="auto"/>
                <w:spacing w:val="6"/>
                <w:highlight w:val="none"/>
              </w:rPr>
              <w:t>1.本采购文件根据《中华人民共和国政府采购法》、《中华人民共和国</w:t>
            </w:r>
            <w:r>
              <w:rPr>
                <w:color w:val="auto"/>
                <w:spacing w:val="10"/>
                <w:highlight w:val="none"/>
              </w:rPr>
              <w:t xml:space="preserve"> </w:t>
            </w:r>
            <w:r>
              <w:rPr>
                <w:color w:val="auto"/>
                <w:spacing w:val="7"/>
                <w:highlight w:val="none"/>
              </w:rPr>
              <w:t>民法典》；《中华人民共和国政府采购法实施条例》、《政府采购</w:t>
            </w:r>
            <w:r>
              <w:rPr>
                <w:color w:val="auto"/>
                <w:spacing w:val="6"/>
                <w:highlight w:val="none"/>
              </w:rPr>
              <w:t>竞争</w:t>
            </w:r>
            <w:r>
              <w:rPr>
                <w:color w:val="auto"/>
                <w:highlight w:val="none"/>
              </w:rPr>
              <w:t xml:space="preserve"> </w:t>
            </w:r>
            <w:r>
              <w:rPr>
                <w:color w:val="auto"/>
                <w:spacing w:val="7"/>
                <w:highlight w:val="none"/>
              </w:rPr>
              <w:t>性磋商采购方式管理暂行办法》等有关法律、法规编制，参与本项目的</w:t>
            </w:r>
            <w:r>
              <w:rPr>
                <w:color w:val="auto"/>
                <w:spacing w:val="1"/>
                <w:highlight w:val="none"/>
              </w:rPr>
              <w:t xml:space="preserve"> </w:t>
            </w:r>
            <w:r>
              <w:rPr>
                <w:color w:val="auto"/>
                <w:spacing w:val="9"/>
                <w:highlight w:val="none"/>
              </w:rPr>
              <w:t>各政府采购当事人依法享有上述法律法规所赋予的权利与义务。</w:t>
            </w:r>
          </w:p>
          <w:p w14:paraId="29BEDD74">
            <w:pPr>
              <w:pStyle w:val="9"/>
              <w:spacing w:before="151" w:line="346" w:lineRule="auto"/>
              <w:ind w:left="110" w:right="108" w:firstLine="4"/>
              <w:rPr>
                <w:color w:val="auto"/>
                <w:highlight w:val="none"/>
              </w:rPr>
            </w:pPr>
            <w:r>
              <w:rPr>
                <w:b/>
                <w:bCs/>
                <w:color w:val="auto"/>
                <w:spacing w:val="11"/>
                <w:highlight w:val="none"/>
              </w:rPr>
              <w:t>2.本项目采购代理机构应严格按照广西政府采购云平台项目采购全流</w:t>
            </w:r>
            <w:r>
              <w:rPr>
                <w:color w:val="auto"/>
                <w:spacing w:val="9"/>
                <w:highlight w:val="none"/>
              </w:rPr>
              <w:t xml:space="preserve"> </w:t>
            </w:r>
            <w:r>
              <w:rPr>
                <w:b/>
                <w:bCs/>
                <w:color w:val="auto"/>
                <w:spacing w:val="12"/>
                <w:highlight w:val="none"/>
              </w:rPr>
              <w:t>程电子化电子开评标规程执行项目采购活动，代理机构</w:t>
            </w:r>
            <w:r>
              <w:rPr>
                <w:b/>
                <w:bCs/>
                <w:color w:val="auto"/>
                <w:spacing w:val="11"/>
                <w:highlight w:val="none"/>
              </w:rPr>
              <w:t>在广西政府采</w:t>
            </w:r>
            <w:r>
              <w:rPr>
                <w:color w:val="auto"/>
                <w:highlight w:val="none"/>
              </w:rPr>
              <w:t xml:space="preserve"> </w:t>
            </w:r>
            <w:r>
              <w:rPr>
                <w:b/>
                <w:bCs/>
                <w:color w:val="auto"/>
                <w:spacing w:val="10"/>
                <w:highlight w:val="none"/>
              </w:rPr>
              <w:t>购云平台的“项目管理</w:t>
            </w:r>
            <w:r>
              <w:rPr>
                <w:color w:val="auto"/>
                <w:spacing w:val="-68"/>
                <w:highlight w:val="none"/>
              </w:rPr>
              <w:t xml:space="preserve"> </w:t>
            </w:r>
            <w:r>
              <w:rPr>
                <w:b/>
                <w:bCs/>
                <w:color w:val="auto"/>
                <w:spacing w:val="10"/>
                <w:highlight w:val="none"/>
              </w:rPr>
              <w:t>”—“采购文件管理</w:t>
            </w:r>
            <w:r>
              <w:rPr>
                <w:color w:val="auto"/>
                <w:spacing w:val="-68"/>
                <w:highlight w:val="none"/>
              </w:rPr>
              <w:t xml:space="preserve"> </w:t>
            </w:r>
            <w:r>
              <w:rPr>
                <w:b/>
                <w:bCs/>
                <w:color w:val="auto"/>
                <w:spacing w:val="10"/>
                <w:highlight w:val="none"/>
              </w:rPr>
              <w:t>”内开</w:t>
            </w:r>
            <w:r>
              <w:rPr>
                <w:b/>
                <w:bCs/>
                <w:color w:val="auto"/>
                <w:spacing w:val="9"/>
                <w:highlight w:val="none"/>
              </w:rPr>
              <w:t>评标规则设置作为</w:t>
            </w:r>
            <w:r>
              <w:rPr>
                <w:color w:val="auto"/>
                <w:highlight w:val="none"/>
              </w:rPr>
              <w:t xml:space="preserve"> </w:t>
            </w:r>
            <w:r>
              <w:rPr>
                <w:b/>
                <w:bCs/>
                <w:color w:val="auto"/>
                <w:spacing w:val="12"/>
                <w:highlight w:val="none"/>
              </w:rPr>
              <w:t>本采购文件的组成部分，截标之后不可更改，因代理机</w:t>
            </w:r>
            <w:r>
              <w:rPr>
                <w:b/>
                <w:bCs/>
                <w:color w:val="auto"/>
                <w:spacing w:val="11"/>
                <w:highlight w:val="none"/>
              </w:rPr>
              <w:t>构开评标规则</w:t>
            </w:r>
            <w:r>
              <w:rPr>
                <w:color w:val="auto"/>
                <w:highlight w:val="none"/>
              </w:rPr>
              <w:t xml:space="preserve"> </w:t>
            </w:r>
            <w:r>
              <w:rPr>
                <w:b/>
                <w:bCs/>
                <w:color w:val="auto"/>
                <w:spacing w:val="10"/>
                <w:highlight w:val="none"/>
              </w:rPr>
              <w:t>设置错误导致采购活动无法开展下去的情况，</w:t>
            </w:r>
            <w:r>
              <w:rPr>
                <w:color w:val="auto"/>
                <w:spacing w:val="-46"/>
                <w:highlight w:val="none"/>
              </w:rPr>
              <w:t xml:space="preserve"> </w:t>
            </w:r>
            <w:r>
              <w:rPr>
                <w:b/>
                <w:bCs/>
                <w:color w:val="auto"/>
                <w:spacing w:val="10"/>
                <w:highlight w:val="none"/>
              </w:rPr>
              <w:t>由代理机构负责解释并</w:t>
            </w:r>
            <w:r>
              <w:rPr>
                <w:color w:val="auto"/>
                <w:highlight w:val="none"/>
              </w:rPr>
              <w:t xml:space="preserve"> </w:t>
            </w:r>
            <w:r>
              <w:rPr>
                <w:b/>
                <w:bCs/>
                <w:color w:val="auto"/>
                <w:spacing w:val="5"/>
                <w:highlight w:val="none"/>
              </w:rPr>
              <w:t>承担其后果。</w:t>
            </w:r>
          </w:p>
        </w:tc>
      </w:tr>
      <w:tr w14:paraId="105E6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7" w:hRule="atLeast"/>
        </w:trPr>
        <w:tc>
          <w:tcPr>
            <w:tcW w:w="863" w:type="dxa"/>
            <w:vAlign w:val="top"/>
          </w:tcPr>
          <w:p w14:paraId="1F4B6E3B">
            <w:pPr>
              <w:spacing w:line="242" w:lineRule="auto"/>
              <w:rPr>
                <w:rFonts w:ascii="Arial"/>
                <w:color w:val="auto"/>
                <w:sz w:val="21"/>
                <w:highlight w:val="none"/>
              </w:rPr>
            </w:pPr>
          </w:p>
          <w:p w14:paraId="428CCC3C">
            <w:pPr>
              <w:spacing w:line="242" w:lineRule="auto"/>
              <w:rPr>
                <w:rFonts w:ascii="Arial"/>
                <w:color w:val="auto"/>
                <w:sz w:val="21"/>
                <w:highlight w:val="none"/>
              </w:rPr>
            </w:pPr>
          </w:p>
          <w:p w14:paraId="6CF9222C">
            <w:pPr>
              <w:spacing w:line="242" w:lineRule="auto"/>
              <w:rPr>
                <w:rFonts w:ascii="Arial"/>
                <w:color w:val="auto"/>
                <w:sz w:val="21"/>
                <w:highlight w:val="none"/>
              </w:rPr>
            </w:pPr>
          </w:p>
          <w:p w14:paraId="3D08C42F">
            <w:pPr>
              <w:spacing w:line="242" w:lineRule="auto"/>
              <w:rPr>
                <w:rFonts w:ascii="Arial"/>
                <w:color w:val="auto"/>
                <w:sz w:val="21"/>
                <w:highlight w:val="none"/>
              </w:rPr>
            </w:pPr>
          </w:p>
          <w:p w14:paraId="0FB4995D">
            <w:pPr>
              <w:spacing w:line="242" w:lineRule="auto"/>
              <w:rPr>
                <w:rFonts w:ascii="Arial"/>
                <w:color w:val="auto"/>
                <w:sz w:val="21"/>
                <w:highlight w:val="none"/>
              </w:rPr>
            </w:pPr>
          </w:p>
          <w:p w14:paraId="14FC2428">
            <w:pPr>
              <w:spacing w:line="242" w:lineRule="auto"/>
              <w:rPr>
                <w:rFonts w:ascii="Arial"/>
                <w:color w:val="auto"/>
                <w:sz w:val="21"/>
                <w:highlight w:val="none"/>
              </w:rPr>
            </w:pPr>
          </w:p>
          <w:p w14:paraId="288662A2">
            <w:pPr>
              <w:spacing w:line="242" w:lineRule="auto"/>
              <w:rPr>
                <w:rFonts w:ascii="Arial"/>
                <w:color w:val="auto"/>
                <w:sz w:val="21"/>
                <w:highlight w:val="none"/>
              </w:rPr>
            </w:pPr>
          </w:p>
          <w:p w14:paraId="0CD97E6F">
            <w:pPr>
              <w:spacing w:line="242" w:lineRule="auto"/>
              <w:rPr>
                <w:rFonts w:ascii="Arial"/>
                <w:color w:val="auto"/>
                <w:sz w:val="21"/>
                <w:highlight w:val="none"/>
              </w:rPr>
            </w:pPr>
          </w:p>
          <w:p w14:paraId="329ABA94">
            <w:pPr>
              <w:spacing w:line="242" w:lineRule="auto"/>
              <w:rPr>
                <w:rFonts w:ascii="Arial"/>
                <w:color w:val="auto"/>
                <w:sz w:val="21"/>
                <w:highlight w:val="none"/>
              </w:rPr>
            </w:pPr>
          </w:p>
          <w:p w14:paraId="222EB643">
            <w:pPr>
              <w:spacing w:line="242" w:lineRule="auto"/>
              <w:rPr>
                <w:rFonts w:ascii="Arial"/>
                <w:color w:val="auto"/>
                <w:sz w:val="21"/>
                <w:highlight w:val="none"/>
              </w:rPr>
            </w:pPr>
          </w:p>
          <w:p w14:paraId="7A302AC3">
            <w:pPr>
              <w:spacing w:line="242" w:lineRule="auto"/>
              <w:rPr>
                <w:rFonts w:ascii="Arial"/>
                <w:color w:val="auto"/>
                <w:sz w:val="21"/>
                <w:highlight w:val="none"/>
              </w:rPr>
            </w:pPr>
          </w:p>
          <w:p w14:paraId="5F84602B">
            <w:pPr>
              <w:pStyle w:val="9"/>
              <w:spacing w:before="65" w:line="269" w:lineRule="exact"/>
              <w:ind w:left="229"/>
              <w:rPr>
                <w:color w:val="auto"/>
                <w:highlight w:val="none"/>
              </w:rPr>
            </w:pPr>
            <w:r>
              <w:rPr>
                <w:color w:val="auto"/>
                <w:spacing w:val="2"/>
                <w:position w:val="1"/>
                <w:highlight w:val="none"/>
              </w:rPr>
              <w:t>34.2</w:t>
            </w:r>
          </w:p>
        </w:tc>
        <w:tc>
          <w:tcPr>
            <w:tcW w:w="2426" w:type="dxa"/>
            <w:vAlign w:val="top"/>
          </w:tcPr>
          <w:p w14:paraId="494AB052">
            <w:pPr>
              <w:spacing w:line="242" w:lineRule="auto"/>
              <w:rPr>
                <w:rFonts w:ascii="Arial"/>
                <w:color w:val="auto"/>
                <w:sz w:val="21"/>
                <w:highlight w:val="none"/>
              </w:rPr>
            </w:pPr>
          </w:p>
          <w:p w14:paraId="1236F91B">
            <w:pPr>
              <w:spacing w:line="242" w:lineRule="auto"/>
              <w:rPr>
                <w:rFonts w:ascii="Arial"/>
                <w:color w:val="auto"/>
                <w:sz w:val="21"/>
                <w:highlight w:val="none"/>
              </w:rPr>
            </w:pPr>
          </w:p>
          <w:p w14:paraId="5142EE60">
            <w:pPr>
              <w:spacing w:line="242" w:lineRule="auto"/>
              <w:rPr>
                <w:rFonts w:ascii="Arial"/>
                <w:color w:val="auto"/>
                <w:sz w:val="21"/>
                <w:highlight w:val="none"/>
              </w:rPr>
            </w:pPr>
          </w:p>
          <w:p w14:paraId="4384BCC1">
            <w:pPr>
              <w:spacing w:line="242" w:lineRule="auto"/>
              <w:rPr>
                <w:rFonts w:ascii="Arial"/>
                <w:color w:val="auto"/>
                <w:sz w:val="21"/>
                <w:highlight w:val="none"/>
              </w:rPr>
            </w:pPr>
          </w:p>
          <w:p w14:paraId="34328419">
            <w:pPr>
              <w:spacing w:line="242" w:lineRule="auto"/>
              <w:rPr>
                <w:rFonts w:ascii="Arial"/>
                <w:color w:val="auto"/>
                <w:sz w:val="21"/>
                <w:highlight w:val="none"/>
              </w:rPr>
            </w:pPr>
          </w:p>
          <w:p w14:paraId="60C4D112">
            <w:pPr>
              <w:spacing w:line="242" w:lineRule="auto"/>
              <w:rPr>
                <w:rFonts w:ascii="Arial"/>
                <w:color w:val="auto"/>
                <w:sz w:val="21"/>
                <w:highlight w:val="none"/>
              </w:rPr>
            </w:pPr>
          </w:p>
          <w:p w14:paraId="1E0620AF">
            <w:pPr>
              <w:spacing w:line="242" w:lineRule="auto"/>
              <w:rPr>
                <w:rFonts w:ascii="Arial"/>
                <w:color w:val="auto"/>
                <w:sz w:val="21"/>
                <w:highlight w:val="none"/>
              </w:rPr>
            </w:pPr>
          </w:p>
          <w:p w14:paraId="2D779185">
            <w:pPr>
              <w:spacing w:line="242" w:lineRule="auto"/>
              <w:rPr>
                <w:rFonts w:ascii="Arial"/>
                <w:color w:val="auto"/>
                <w:sz w:val="21"/>
                <w:highlight w:val="none"/>
              </w:rPr>
            </w:pPr>
          </w:p>
          <w:p w14:paraId="78911265">
            <w:pPr>
              <w:spacing w:line="242" w:lineRule="auto"/>
              <w:rPr>
                <w:rFonts w:ascii="Arial"/>
                <w:color w:val="auto"/>
                <w:sz w:val="21"/>
                <w:highlight w:val="none"/>
              </w:rPr>
            </w:pPr>
          </w:p>
          <w:p w14:paraId="5089B4AF">
            <w:pPr>
              <w:spacing w:line="242" w:lineRule="auto"/>
              <w:rPr>
                <w:rFonts w:ascii="Arial"/>
                <w:color w:val="auto"/>
                <w:sz w:val="21"/>
                <w:highlight w:val="none"/>
              </w:rPr>
            </w:pPr>
          </w:p>
          <w:p w14:paraId="2668D89F">
            <w:pPr>
              <w:spacing w:line="242" w:lineRule="auto"/>
              <w:rPr>
                <w:rFonts w:ascii="Arial"/>
                <w:color w:val="auto"/>
                <w:sz w:val="21"/>
                <w:highlight w:val="none"/>
              </w:rPr>
            </w:pPr>
          </w:p>
          <w:p w14:paraId="43EF2BD1">
            <w:pPr>
              <w:pStyle w:val="9"/>
              <w:spacing w:before="65" w:line="229" w:lineRule="auto"/>
              <w:ind w:left="1007"/>
              <w:rPr>
                <w:color w:val="auto"/>
                <w:highlight w:val="none"/>
              </w:rPr>
            </w:pPr>
            <w:r>
              <w:rPr>
                <w:color w:val="auto"/>
                <w:spacing w:val="4"/>
                <w:highlight w:val="none"/>
              </w:rPr>
              <w:t>其他</w:t>
            </w:r>
          </w:p>
        </w:tc>
        <w:tc>
          <w:tcPr>
            <w:tcW w:w="6645" w:type="dxa"/>
            <w:vAlign w:val="top"/>
          </w:tcPr>
          <w:p w14:paraId="0129DA41">
            <w:pPr>
              <w:pStyle w:val="9"/>
              <w:spacing w:before="142" w:line="341" w:lineRule="auto"/>
              <w:ind w:left="111" w:right="52" w:firstLine="15"/>
              <w:rPr>
                <w:color w:val="auto"/>
                <w:highlight w:val="none"/>
              </w:rPr>
            </w:pPr>
            <w:r>
              <w:rPr>
                <w:color w:val="auto"/>
                <w:spacing w:val="1"/>
                <w:highlight w:val="none"/>
              </w:rPr>
              <w:t>1.本磋商文件中描述供应商的“公章</w:t>
            </w:r>
            <w:r>
              <w:rPr>
                <w:color w:val="auto"/>
                <w:spacing w:val="-70"/>
                <w:highlight w:val="none"/>
              </w:rPr>
              <w:t xml:space="preserve"> </w:t>
            </w:r>
            <w:r>
              <w:rPr>
                <w:color w:val="auto"/>
                <w:spacing w:val="1"/>
                <w:highlight w:val="none"/>
              </w:rPr>
              <w:t>”是指根据我国对公章的</w:t>
            </w:r>
            <w:r>
              <w:rPr>
                <w:color w:val="auto"/>
                <w:highlight w:val="none"/>
              </w:rPr>
              <w:t xml:space="preserve">管理规定， </w:t>
            </w:r>
            <w:r>
              <w:rPr>
                <w:color w:val="auto"/>
                <w:spacing w:val="9"/>
                <w:highlight w:val="none"/>
              </w:rPr>
              <w:t>用供应商法定主体行为名称制作的印章，除本磋商文件有特</w:t>
            </w:r>
            <w:r>
              <w:rPr>
                <w:color w:val="auto"/>
                <w:spacing w:val="8"/>
                <w:highlight w:val="none"/>
              </w:rPr>
              <w:t>殊规定外，</w:t>
            </w:r>
            <w:r>
              <w:rPr>
                <w:color w:val="auto"/>
                <w:highlight w:val="none"/>
              </w:rPr>
              <w:t xml:space="preserve"> </w:t>
            </w:r>
            <w:r>
              <w:rPr>
                <w:color w:val="auto"/>
                <w:spacing w:val="10"/>
                <w:highlight w:val="none"/>
              </w:rPr>
              <w:t>供应商的财务章、部门章、分公司章、工会章、合同章、竞标/投标专</w:t>
            </w:r>
            <w:r>
              <w:rPr>
                <w:color w:val="auto"/>
                <w:spacing w:val="8"/>
                <w:highlight w:val="none"/>
              </w:rPr>
              <w:t xml:space="preserve"> </w:t>
            </w:r>
            <w:r>
              <w:rPr>
                <w:color w:val="auto"/>
                <w:spacing w:val="7"/>
                <w:highlight w:val="none"/>
              </w:rPr>
              <w:t>用章、业务专用章及银行的转账章、现金收讫章、现金付讫章等其他形</w:t>
            </w:r>
            <w:r>
              <w:rPr>
                <w:color w:val="auto"/>
                <w:spacing w:val="1"/>
                <w:highlight w:val="none"/>
              </w:rPr>
              <w:t xml:space="preserve"> </w:t>
            </w:r>
            <w:r>
              <w:rPr>
                <w:color w:val="auto"/>
                <w:spacing w:val="8"/>
                <w:highlight w:val="none"/>
              </w:rPr>
              <w:t>式印章均不能代替公章。</w:t>
            </w:r>
          </w:p>
          <w:p w14:paraId="70EAA543">
            <w:pPr>
              <w:pStyle w:val="9"/>
              <w:spacing w:before="153" w:line="322" w:lineRule="auto"/>
              <w:ind w:left="111" w:right="108" w:firstLine="2"/>
              <w:rPr>
                <w:color w:val="auto"/>
                <w:highlight w:val="none"/>
              </w:rPr>
            </w:pPr>
            <w:r>
              <w:rPr>
                <w:color w:val="auto"/>
                <w:spacing w:val="7"/>
                <w:highlight w:val="none"/>
              </w:rPr>
              <w:t>2.供应商为其他组织或者自然人时，本磋商文件规</w:t>
            </w:r>
            <w:r>
              <w:rPr>
                <w:color w:val="auto"/>
                <w:spacing w:val="6"/>
                <w:highlight w:val="none"/>
              </w:rPr>
              <w:t>定的法定代表人指负</w:t>
            </w:r>
            <w:r>
              <w:rPr>
                <w:color w:val="auto"/>
                <w:highlight w:val="none"/>
              </w:rPr>
              <w:t xml:space="preserve"> </w:t>
            </w:r>
            <w:r>
              <w:rPr>
                <w:color w:val="auto"/>
                <w:spacing w:val="7"/>
                <w:highlight w:val="none"/>
              </w:rPr>
              <w:t>责人或者自然人。本磋商文件所称负责人是指参加竞标的其他组织营业</w:t>
            </w:r>
            <w:r>
              <w:rPr>
                <w:color w:val="auto"/>
                <w:spacing w:val="1"/>
                <w:highlight w:val="none"/>
              </w:rPr>
              <w:t xml:space="preserve"> </w:t>
            </w:r>
            <w:r>
              <w:rPr>
                <w:color w:val="auto"/>
                <w:spacing w:val="9"/>
                <w:highlight w:val="none"/>
              </w:rPr>
              <w:t>执照上的负责人，本磋商文件所称自然人指参与竞标的自然人本人。</w:t>
            </w:r>
          </w:p>
          <w:p w14:paraId="6540C4F9">
            <w:pPr>
              <w:pStyle w:val="9"/>
              <w:spacing w:before="153" w:line="322" w:lineRule="auto"/>
              <w:ind w:left="111" w:right="108" w:firstLine="4"/>
              <w:rPr>
                <w:color w:val="auto"/>
                <w:highlight w:val="none"/>
              </w:rPr>
            </w:pPr>
            <w:r>
              <w:rPr>
                <w:color w:val="auto"/>
                <w:spacing w:val="6"/>
                <w:highlight w:val="none"/>
              </w:rPr>
              <w:t>3.本磋商文件中描述供应商的“签字</w:t>
            </w:r>
            <w:r>
              <w:rPr>
                <w:color w:val="auto"/>
                <w:spacing w:val="-70"/>
                <w:highlight w:val="none"/>
              </w:rPr>
              <w:t xml:space="preserve"> </w:t>
            </w:r>
            <w:r>
              <w:rPr>
                <w:color w:val="auto"/>
                <w:spacing w:val="6"/>
                <w:highlight w:val="none"/>
              </w:rPr>
              <w:t>”是指供应商</w:t>
            </w:r>
            <w:r>
              <w:rPr>
                <w:color w:val="auto"/>
                <w:spacing w:val="5"/>
                <w:highlight w:val="none"/>
              </w:rPr>
              <w:t>的法定代表人或者委</w:t>
            </w:r>
            <w:r>
              <w:rPr>
                <w:color w:val="auto"/>
                <w:highlight w:val="none"/>
              </w:rPr>
              <w:t xml:space="preserve"> </w:t>
            </w:r>
            <w:r>
              <w:rPr>
                <w:color w:val="auto"/>
                <w:spacing w:val="7"/>
                <w:highlight w:val="none"/>
              </w:rPr>
              <w:t>托代理人亲自在文件规定签署处亲笔写上个人的名字的行为，私章、签</w:t>
            </w:r>
            <w:r>
              <w:rPr>
                <w:color w:val="auto"/>
                <w:spacing w:val="1"/>
                <w:highlight w:val="none"/>
              </w:rPr>
              <w:t xml:space="preserve"> </w:t>
            </w:r>
            <w:r>
              <w:rPr>
                <w:color w:val="auto"/>
                <w:spacing w:val="9"/>
                <w:highlight w:val="none"/>
              </w:rPr>
              <w:t>字章、印鉴、影印等其他形式均不能代替亲笔签字。</w:t>
            </w:r>
          </w:p>
          <w:p w14:paraId="1435D221">
            <w:pPr>
              <w:pStyle w:val="9"/>
              <w:spacing w:before="153" w:line="228" w:lineRule="auto"/>
              <w:ind w:left="111"/>
              <w:rPr>
                <w:color w:val="auto"/>
                <w:highlight w:val="none"/>
              </w:rPr>
            </w:pPr>
            <w:r>
              <w:rPr>
                <w:color w:val="auto"/>
                <w:spacing w:val="7"/>
                <w:highlight w:val="none"/>
              </w:rPr>
              <w:t>4.</w:t>
            </w:r>
            <w:r>
              <w:rPr>
                <w:color w:val="auto"/>
                <w:spacing w:val="-43"/>
                <w:highlight w:val="none"/>
              </w:rPr>
              <w:t xml:space="preserve"> </w:t>
            </w:r>
            <w:r>
              <w:rPr>
                <w:color w:val="auto"/>
                <w:spacing w:val="7"/>
                <w:highlight w:val="none"/>
              </w:rPr>
              <w:t>自然人竞标的，磋商文件规定盖公章处由自然人摁手指指印。</w:t>
            </w:r>
          </w:p>
          <w:p w14:paraId="7B94F55E">
            <w:pPr>
              <w:pStyle w:val="9"/>
              <w:spacing w:before="152" w:line="228" w:lineRule="auto"/>
              <w:ind w:left="116"/>
              <w:rPr>
                <w:color w:val="auto"/>
                <w:highlight w:val="none"/>
              </w:rPr>
            </w:pPr>
            <w:r>
              <w:rPr>
                <w:color w:val="auto"/>
                <w:spacing w:val="2"/>
                <w:highlight w:val="none"/>
              </w:rPr>
              <w:t>5.本磋商文件所称的“</w:t>
            </w:r>
            <w:r>
              <w:rPr>
                <w:color w:val="auto"/>
                <w:spacing w:val="-66"/>
                <w:highlight w:val="none"/>
              </w:rPr>
              <w:t xml:space="preserve"> </w:t>
            </w:r>
            <w:r>
              <w:rPr>
                <w:color w:val="auto"/>
                <w:spacing w:val="2"/>
                <w:highlight w:val="none"/>
              </w:rPr>
              <w:t>以上</w:t>
            </w:r>
            <w:r>
              <w:rPr>
                <w:color w:val="auto"/>
                <w:spacing w:val="-70"/>
                <w:highlight w:val="none"/>
              </w:rPr>
              <w:t xml:space="preserve"> </w:t>
            </w:r>
            <w:r>
              <w:rPr>
                <w:color w:val="auto"/>
                <w:spacing w:val="2"/>
                <w:highlight w:val="none"/>
              </w:rPr>
              <w:t>”“</w:t>
            </w:r>
            <w:r>
              <w:rPr>
                <w:color w:val="auto"/>
                <w:spacing w:val="-66"/>
                <w:highlight w:val="none"/>
              </w:rPr>
              <w:t xml:space="preserve"> </w:t>
            </w:r>
            <w:r>
              <w:rPr>
                <w:color w:val="auto"/>
                <w:spacing w:val="2"/>
                <w:highlight w:val="none"/>
              </w:rPr>
              <w:t>以下</w:t>
            </w:r>
            <w:r>
              <w:rPr>
                <w:color w:val="auto"/>
                <w:spacing w:val="-70"/>
                <w:highlight w:val="none"/>
              </w:rPr>
              <w:t xml:space="preserve"> </w:t>
            </w:r>
            <w:r>
              <w:rPr>
                <w:color w:val="auto"/>
                <w:spacing w:val="2"/>
                <w:highlight w:val="none"/>
              </w:rPr>
              <w:t>”“</w:t>
            </w:r>
            <w:r>
              <w:rPr>
                <w:color w:val="auto"/>
                <w:spacing w:val="-66"/>
                <w:highlight w:val="none"/>
              </w:rPr>
              <w:t xml:space="preserve"> </w:t>
            </w:r>
            <w:r>
              <w:rPr>
                <w:color w:val="auto"/>
                <w:spacing w:val="2"/>
                <w:highlight w:val="none"/>
              </w:rPr>
              <w:t>以内</w:t>
            </w:r>
            <w:r>
              <w:rPr>
                <w:color w:val="auto"/>
                <w:spacing w:val="-70"/>
                <w:highlight w:val="none"/>
              </w:rPr>
              <w:t xml:space="preserve"> </w:t>
            </w:r>
            <w:r>
              <w:rPr>
                <w:color w:val="auto"/>
                <w:spacing w:val="2"/>
                <w:highlight w:val="none"/>
              </w:rPr>
              <w:t>”“届满</w:t>
            </w:r>
            <w:r>
              <w:rPr>
                <w:color w:val="auto"/>
                <w:spacing w:val="-70"/>
                <w:highlight w:val="none"/>
              </w:rPr>
              <w:t xml:space="preserve"> </w:t>
            </w:r>
            <w:r>
              <w:rPr>
                <w:color w:val="auto"/>
                <w:spacing w:val="2"/>
                <w:highlight w:val="none"/>
              </w:rPr>
              <w:t>”，包括本数；</w:t>
            </w:r>
          </w:p>
          <w:p w14:paraId="57181C12">
            <w:pPr>
              <w:pStyle w:val="9"/>
              <w:spacing w:before="153" w:line="228" w:lineRule="auto"/>
              <w:ind w:left="111"/>
              <w:outlineLvl w:val="1"/>
              <w:rPr>
                <w:color w:val="auto"/>
                <w:highlight w:val="none"/>
              </w:rPr>
            </w:pPr>
            <w:bookmarkStart w:id="5" w:name="_Toc10502"/>
            <w:r>
              <w:rPr>
                <w:color w:val="auto"/>
                <w:spacing w:val="3"/>
                <w:highlight w:val="none"/>
              </w:rPr>
              <w:t>所称的“不满</w:t>
            </w:r>
            <w:r>
              <w:rPr>
                <w:color w:val="auto"/>
                <w:spacing w:val="-61"/>
                <w:highlight w:val="none"/>
              </w:rPr>
              <w:t xml:space="preserve"> </w:t>
            </w:r>
            <w:r>
              <w:rPr>
                <w:color w:val="auto"/>
                <w:spacing w:val="3"/>
                <w:highlight w:val="none"/>
              </w:rPr>
              <w:t>”“超过</w:t>
            </w:r>
            <w:r>
              <w:rPr>
                <w:color w:val="auto"/>
                <w:spacing w:val="-70"/>
                <w:highlight w:val="none"/>
              </w:rPr>
              <w:t xml:space="preserve"> </w:t>
            </w:r>
            <w:r>
              <w:rPr>
                <w:color w:val="auto"/>
                <w:spacing w:val="3"/>
                <w:highlight w:val="none"/>
              </w:rPr>
              <w:t>”“</w:t>
            </w:r>
            <w:r>
              <w:rPr>
                <w:color w:val="auto"/>
                <w:spacing w:val="-66"/>
                <w:highlight w:val="none"/>
              </w:rPr>
              <w:t xml:space="preserve"> </w:t>
            </w:r>
            <w:r>
              <w:rPr>
                <w:color w:val="auto"/>
                <w:spacing w:val="3"/>
                <w:highlight w:val="none"/>
              </w:rPr>
              <w:t>以外</w:t>
            </w:r>
            <w:r>
              <w:rPr>
                <w:color w:val="auto"/>
                <w:spacing w:val="-70"/>
                <w:highlight w:val="none"/>
              </w:rPr>
              <w:t xml:space="preserve"> </w:t>
            </w:r>
            <w:r>
              <w:rPr>
                <w:color w:val="auto"/>
                <w:spacing w:val="3"/>
                <w:highlight w:val="none"/>
              </w:rPr>
              <w:t>”，不包括本数。</w:t>
            </w:r>
            <w:bookmarkEnd w:id="5"/>
          </w:p>
        </w:tc>
      </w:tr>
    </w:tbl>
    <w:p w14:paraId="237B7409">
      <w:pPr>
        <w:pStyle w:val="2"/>
        <w:rPr>
          <w:color w:val="auto"/>
          <w:highlight w:val="none"/>
        </w:rPr>
      </w:pPr>
    </w:p>
    <w:p w14:paraId="446F0539">
      <w:pPr>
        <w:rPr>
          <w:color w:val="auto"/>
          <w:highlight w:val="none"/>
        </w:rPr>
        <w:sectPr>
          <w:footerReference r:id="rId22" w:type="default"/>
          <w:pgSz w:w="11905" w:h="16839"/>
          <w:pgMar w:top="400" w:right="983" w:bottom="1149" w:left="982" w:header="0" w:footer="913" w:gutter="0"/>
          <w:cols w:space="720" w:num="1"/>
        </w:sectPr>
      </w:pPr>
    </w:p>
    <w:p w14:paraId="58C6210C">
      <w:pPr>
        <w:pStyle w:val="2"/>
        <w:spacing w:line="316" w:lineRule="auto"/>
        <w:rPr>
          <w:color w:val="auto"/>
          <w:highlight w:val="none"/>
        </w:rPr>
      </w:pPr>
    </w:p>
    <w:p w14:paraId="483D6627">
      <w:pPr>
        <w:pStyle w:val="2"/>
        <w:spacing w:line="317" w:lineRule="auto"/>
        <w:rPr>
          <w:color w:val="auto"/>
          <w:highlight w:val="none"/>
        </w:rPr>
      </w:pPr>
    </w:p>
    <w:p w14:paraId="4289F274">
      <w:pPr>
        <w:pStyle w:val="2"/>
        <w:spacing w:line="317" w:lineRule="auto"/>
        <w:rPr>
          <w:color w:val="auto"/>
          <w:highlight w:val="none"/>
        </w:rPr>
      </w:pPr>
    </w:p>
    <w:p w14:paraId="26F6BDEB">
      <w:pPr>
        <w:spacing w:before="101" w:line="225" w:lineRule="auto"/>
        <w:ind w:left="2683"/>
        <w:rPr>
          <w:rFonts w:ascii="宋体" w:hAnsi="宋体" w:eastAsia="宋体" w:cs="宋体"/>
          <w:color w:val="auto"/>
          <w:sz w:val="31"/>
          <w:szCs w:val="31"/>
          <w:highlight w:val="none"/>
        </w:rPr>
      </w:pPr>
      <w:r>
        <w:rPr>
          <w:rFonts w:ascii="宋体" w:hAnsi="宋体" w:eastAsia="宋体" w:cs="宋体"/>
          <w:b/>
          <w:bCs/>
          <w:color w:val="auto"/>
          <w:spacing w:val="6"/>
          <w:sz w:val="31"/>
          <w:szCs w:val="31"/>
          <w:highlight w:val="none"/>
        </w:rPr>
        <w:t>第二节</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供应商须知正文</w:t>
      </w:r>
    </w:p>
    <w:p w14:paraId="68328DF2">
      <w:pPr>
        <w:pStyle w:val="2"/>
        <w:spacing w:line="309" w:lineRule="auto"/>
        <w:rPr>
          <w:color w:val="auto"/>
          <w:highlight w:val="none"/>
        </w:rPr>
      </w:pPr>
    </w:p>
    <w:p w14:paraId="71AADD66">
      <w:pPr>
        <w:spacing w:before="101" w:line="226" w:lineRule="auto"/>
        <w:ind w:left="4054"/>
        <w:outlineLvl w:val="2"/>
        <w:rPr>
          <w:rFonts w:ascii="宋体" w:hAnsi="宋体" w:eastAsia="宋体" w:cs="宋体"/>
          <w:color w:val="auto"/>
          <w:sz w:val="31"/>
          <w:szCs w:val="31"/>
          <w:highlight w:val="none"/>
        </w:rPr>
      </w:pPr>
      <w:bookmarkStart w:id="6" w:name="_Toc17920"/>
      <w:r>
        <w:rPr>
          <w:rFonts w:ascii="宋体" w:hAnsi="宋体" w:eastAsia="宋体" w:cs="宋体"/>
          <w:b/>
          <w:bCs/>
          <w:color w:val="auto"/>
          <w:spacing w:val="3"/>
          <w:sz w:val="31"/>
          <w:szCs w:val="31"/>
          <w:highlight w:val="none"/>
        </w:rPr>
        <w:t>一、总则</w:t>
      </w:r>
      <w:bookmarkEnd w:id="6"/>
    </w:p>
    <w:p w14:paraId="0AC0B11D">
      <w:pPr>
        <w:spacing w:before="237" w:line="221" w:lineRule="auto"/>
        <w:ind w:left="439"/>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1.适用范围</w:t>
      </w:r>
    </w:p>
    <w:p w14:paraId="16F43C48">
      <w:pPr>
        <w:spacing w:before="223" w:line="401" w:lineRule="auto"/>
        <w:ind w:right="11" w:firstLine="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本项目采购人、采购代理机构、供应商、磋商小组的相关行为均受《中华人</w:t>
      </w:r>
      <w:r>
        <w:rPr>
          <w:rFonts w:ascii="宋体" w:hAnsi="宋体" w:eastAsia="宋体" w:cs="宋体"/>
          <w:color w:val="auto"/>
          <w:spacing w:val="7"/>
          <w:sz w:val="20"/>
          <w:szCs w:val="20"/>
          <w:highlight w:val="none"/>
        </w:rPr>
        <w:t>民共和国政</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府采购法》《中华人民共和国政府采购法实施条例》《政府</w:t>
      </w:r>
      <w:r>
        <w:rPr>
          <w:rFonts w:ascii="宋体" w:hAnsi="宋体" w:eastAsia="宋体" w:cs="宋体"/>
          <w:color w:val="auto"/>
          <w:spacing w:val="7"/>
          <w:sz w:val="20"/>
          <w:szCs w:val="20"/>
          <w:highlight w:val="none"/>
        </w:rPr>
        <w:t>采购竞争性磋商采购方式管理暂行办</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法》《财政部关于政府采购竞争性磋商采购方式管理暂行办法有关</w:t>
      </w:r>
      <w:r>
        <w:rPr>
          <w:rFonts w:ascii="宋体" w:hAnsi="宋体" w:eastAsia="宋体" w:cs="宋体"/>
          <w:color w:val="auto"/>
          <w:spacing w:val="7"/>
          <w:sz w:val="20"/>
          <w:szCs w:val="20"/>
          <w:highlight w:val="none"/>
        </w:rPr>
        <w:t>问题的补充通知》及本项目本</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级和上级财政部门政府采购有关规定的约束和保护。</w:t>
      </w:r>
    </w:p>
    <w:p w14:paraId="776410DF">
      <w:pPr>
        <w:spacing w:before="247" w:line="344" w:lineRule="auto"/>
        <w:ind w:left="5" w:firstLine="43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1.2</w:t>
      </w:r>
      <w:r>
        <w:rPr>
          <w:rFonts w:ascii="宋体" w:hAnsi="宋体" w:eastAsia="宋体" w:cs="宋体"/>
          <w:color w:val="auto"/>
          <w:spacing w:val="-37"/>
          <w:sz w:val="20"/>
          <w:szCs w:val="20"/>
          <w:highlight w:val="none"/>
        </w:rPr>
        <w:t xml:space="preserve"> </w:t>
      </w:r>
      <w:r>
        <w:rPr>
          <w:rFonts w:ascii="宋体" w:hAnsi="宋体" w:eastAsia="宋体" w:cs="宋体"/>
          <w:color w:val="auto"/>
          <w:spacing w:val="-1"/>
          <w:sz w:val="20"/>
          <w:szCs w:val="20"/>
          <w:highlight w:val="none"/>
        </w:rPr>
        <w:t>本竞争性磋商文件（以下简称磋商文件）</w:t>
      </w:r>
      <w:r>
        <w:rPr>
          <w:rFonts w:ascii="宋体" w:hAnsi="宋体" w:eastAsia="宋体" w:cs="宋体"/>
          <w:color w:val="auto"/>
          <w:spacing w:val="-2"/>
          <w:sz w:val="20"/>
          <w:szCs w:val="20"/>
          <w:highlight w:val="none"/>
        </w:rPr>
        <w:t>适用于本项目的所有采购程序和环节（法律、法规</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另有规定的，从其规定）。</w:t>
      </w:r>
    </w:p>
    <w:p w14:paraId="205D065E">
      <w:pPr>
        <w:spacing w:before="234" w:line="221" w:lineRule="auto"/>
        <w:ind w:left="424"/>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2.定义</w:t>
      </w:r>
    </w:p>
    <w:p w14:paraId="54A5E625">
      <w:pPr>
        <w:spacing w:before="224"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2.1“采购人</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”是指依法进行政府采购的国家机关、事业单位、团体组织。</w:t>
      </w:r>
    </w:p>
    <w:p w14:paraId="207C87E5">
      <w:pPr>
        <w:spacing w:before="249"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2.2“采购代理机构</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”是指政府采购集中采购机构和集中采购机构以外的采购代理机构。</w:t>
      </w:r>
    </w:p>
    <w:p w14:paraId="757F43D5">
      <w:pPr>
        <w:spacing w:before="250"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2.3“供应商</w:t>
      </w:r>
      <w:r>
        <w:rPr>
          <w:rFonts w:ascii="宋体" w:hAnsi="宋体" w:eastAsia="宋体" w:cs="宋体"/>
          <w:color w:val="auto"/>
          <w:spacing w:val="-61"/>
          <w:sz w:val="20"/>
          <w:szCs w:val="20"/>
          <w:highlight w:val="none"/>
        </w:rPr>
        <w:t xml:space="preserve"> </w:t>
      </w:r>
      <w:r>
        <w:rPr>
          <w:rFonts w:ascii="宋体" w:hAnsi="宋体" w:eastAsia="宋体" w:cs="宋体"/>
          <w:color w:val="auto"/>
          <w:spacing w:val="8"/>
          <w:sz w:val="20"/>
          <w:szCs w:val="20"/>
          <w:highlight w:val="none"/>
        </w:rPr>
        <w:t>”是指向采购人提供货物、工程或者服务的法人、其他组织或者自然人。</w:t>
      </w:r>
    </w:p>
    <w:p w14:paraId="2016C577">
      <w:pPr>
        <w:spacing w:before="250" w:line="228" w:lineRule="auto"/>
        <w:ind w:left="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2.4“工程</w:t>
      </w:r>
      <w:r>
        <w:rPr>
          <w:rFonts w:ascii="宋体" w:hAnsi="宋体" w:eastAsia="宋体" w:cs="宋体"/>
          <w:color w:val="auto"/>
          <w:spacing w:val="-58"/>
          <w:sz w:val="20"/>
          <w:szCs w:val="20"/>
          <w:highlight w:val="none"/>
        </w:rPr>
        <w:t xml:space="preserve"> </w:t>
      </w:r>
      <w:r>
        <w:rPr>
          <w:rFonts w:ascii="宋体" w:hAnsi="宋体" w:eastAsia="宋体" w:cs="宋体"/>
          <w:color w:val="auto"/>
          <w:spacing w:val="7"/>
          <w:sz w:val="20"/>
          <w:szCs w:val="20"/>
          <w:highlight w:val="none"/>
        </w:rPr>
        <w:t>”是指除货物和服务以外的其他政府采购对象。</w:t>
      </w:r>
    </w:p>
    <w:p w14:paraId="69157419">
      <w:pPr>
        <w:spacing w:before="251" w:line="342" w:lineRule="auto"/>
        <w:ind w:left="1" w:right="49" w:firstLine="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2.5“竞标</w:t>
      </w:r>
      <w:r>
        <w:rPr>
          <w:rFonts w:ascii="宋体" w:hAnsi="宋体" w:eastAsia="宋体" w:cs="宋体"/>
          <w:color w:val="auto"/>
          <w:spacing w:val="-66"/>
          <w:sz w:val="20"/>
          <w:szCs w:val="20"/>
          <w:highlight w:val="none"/>
        </w:rPr>
        <w:t xml:space="preserve"> </w:t>
      </w:r>
      <w:r>
        <w:rPr>
          <w:rFonts w:ascii="宋体" w:hAnsi="宋体" w:eastAsia="宋体" w:cs="宋体"/>
          <w:color w:val="auto"/>
          <w:spacing w:val="8"/>
          <w:sz w:val="20"/>
          <w:szCs w:val="20"/>
          <w:highlight w:val="none"/>
        </w:rPr>
        <w:t>”是指供应商按照本项目竞争性磋商公告或者邀请函规定的方式获取磋商文件、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提交响应文件并希望获得标的的行为。</w:t>
      </w:r>
    </w:p>
    <w:p w14:paraId="66EA48BE">
      <w:pPr>
        <w:spacing w:before="250" w:line="343" w:lineRule="auto"/>
        <w:ind w:left="1" w:right="2" w:firstLine="421"/>
        <w:rPr>
          <w:rFonts w:ascii="宋体" w:hAnsi="宋体" w:eastAsia="宋体" w:cs="宋体"/>
          <w:color w:val="auto"/>
          <w:sz w:val="20"/>
          <w:szCs w:val="20"/>
          <w:highlight w:val="none"/>
        </w:rPr>
      </w:pPr>
      <w:r>
        <w:rPr>
          <w:rFonts w:ascii="宋体" w:hAnsi="宋体" w:eastAsia="宋体" w:cs="宋体"/>
          <w:color w:val="auto"/>
          <w:sz w:val="20"/>
          <w:szCs w:val="20"/>
          <w:highlight w:val="none"/>
        </w:rPr>
        <w:t>2.6“响应文件</w:t>
      </w:r>
      <w:r>
        <w:rPr>
          <w:rFonts w:ascii="宋体" w:hAnsi="宋体" w:eastAsia="宋体" w:cs="宋体"/>
          <w:color w:val="auto"/>
          <w:spacing w:val="-72"/>
          <w:sz w:val="20"/>
          <w:szCs w:val="20"/>
          <w:highlight w:val="none"/>
        </w:rPr>
        <w:t xml:space="preserve"> </w:t>
      </w:r>
      <w:r>
        <w:rPr>
          <w:rFonts w:ascii="宋体" w:hAnsi="宋体" w:eastAsia="宋体" w:cs="宋体"/>
          <w:color w:val="auto"/>
          <w:sz w:val="20"/>
          <w:szCs w:val="20"/>
          <w:highlight w:val="none"/>
        </w:rPr>
        <w:t>”是指：供应商根据本磋商文件要求</w:t>
      </w:r>
      <w:r>
        <w:rPr>
          <w:rFonts w:ascii="宋体" w:hAnsi="宋体" w:eastAsia="宋体" w:cs="宋体"/>
          <w:color w:val="auto"/>
          <w:spacing w:val="-1"/>
          <w:sz w:val="20"/>
          <w:szCs w:val="20"/>
          <w:highlight w:val="none"/>
        </w:rPr>
        <w:t>，编制包含资格证明、报价、商务技术等所</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有内容的文件。</w:t>
      </w:r>
    </w:p>
    <w:p w14:paraId="2731D754">
      <w:pPr>
        <w:spacing w:before="250" w:line="343" w:lineRule="auto"/>
        <w:ind w:left="2" w:right="14"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2.7“实质性要求</w:t>
      </w:r>
      <w:r>
        <w:rPr>
          <w:rFonts w:ascii="宋体" w:hAnsi="宋体" w:eastAsia="宋体" w:cs="宋体"/>
          <w:color w:val="auto"/>
          <w:spacing w:val="-72"/>
          <w:sz w:val="20"/>
          <w:szCs w:val="20"/>
          <w:highlight w:val="none"/>
        </w:rPr>
        <w:t xml:space="preserve"> </w:t>
      </w:r>
      <w:r>
        <w:rPr>
          <w:rFonts w:ascii="宋体" w:hAnsi="宋体" w:eastAsia="宋体" w:cs="宋体"/>
          <w:color w:val="auto"/>
          <w:spacing w:val="9"/>
          <w:sz w:val="20"/>
          <w:szCs w:val="20"/>
          <w:highlight w:val="none"/>
        </w:rPr>
        <w:t>”是指磋商文件中已经指明不满足则响应文件按无效响应处理的条款，或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者不能负偏离的条款，或者采购需求中带“▲</w:t>
      </w:r>
      <w:r>
        <w:rPr>
          <w:rFonts w:ascii="宋体" w:hAnsi="宋体" w:eastAsia="宋体" w:cs="宋体"/>
          <w:color w:val="auto"/>
          <w:spacing w:val="-71"/>
          <w:sz w:val="20"/>
          <w:szCs w:val="20"/>
          <w:highlight w:val="none"/>
        </w:rPr>
        <w:t xml:space="preserve"> </w:t>
      </w:r>
      <w:r>
        <w:rPr>
          <w:rFonts w:ascii="宋体" w:hAnsi="宋体" w:eastAsia="宋体" w:cs="宋体"/>
          <w:color w:val="auto"/>
          <w:spacing w:val="8"/>
          <w:sz w:val="20"/>
          <w:szCs w:val="20"/>
          <w:highlight w:val="none"/>
        </w:rPr>
        <w:t>”的条款。</w:t>
      </w:r>
    </w:p>
    <w:p w14:paraId="04E11A69">
      <w:pPr>
        <w:spacing w:before="250" w:line="343" w:lineRule="auto"/>
        <w:ind w:left="2" w:right="14"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2.8“正偏离</w:t>
      </w:r>
      <w:r>
        <w:rPr>
          <w:rFonts w:ascii="宋体" w:hAnsi="宋体" w:eastAsia="宋体" w:cs="宋体"/>
          <w:color w:val="auto"/>
          <w:spacing w:val="-61"/>
          <w:sz w:val="20"/>
          <w:szCs w:val="20"/>
          <w:highlight w:val="none"/>
        </w:rPr>
        <w:t xml:space="preserve"> </w:t>
      </w:r>
      <w:r>
        <w:rPr>
          <w:rFonts w:ascii="宋体" w:hAnsi="宋体" w:eastAsia="宋体" w:cs="宋体"/>
          <w:color w:val="auto"/>
          <w:spacing w:val="8"/>
          <w:sz w:val="20"/>
          <w:szCs w:val="20"/>
          <w:highlight w:val="none"/>
        </w:rPr>
        <w:t>”，是指响应文件对磋商文件“采购需求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”中有关条款作出的响应优于条款要</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求并有利于采购人的情形。</w:t>
      </w:r>
    </w:p>
    <w:p w14:paraId="4BBBB689">
      <w:pPr>
        <w:spacing w:before="251" w:line="342" w:lineRule="auto"/>
        <w:ind w:left="1" w:right="14" w:firstLine="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2.9“负偏离</w:t>
      </w:r>
      <w:r>
        <w:rPr>
          <w:rFonts w:ascii="宋体" w:hAnsi="宋体" w:eastAsia="宋体" w:cs="宋体"/>
          <w:color w:val="auto"/>
          <w:spacing w:val="-61"/>
          <w:sz w:val="20"/>
          <w:szCs w:val="20"/>
          <w:highlight w:val="none"/>
        </w:rPr>
        <w:t xml:space="preserve"> </w:t>
      </w:r>
      <w:r>
        <w:rPr>
          <w:rFonts w:ascii="宋体" w:hAnsi="宋体" w:eastAsia="宋体" w:cs="宋体"/>
          <w:color w:val="auto"/>
          <w:spacing w:val="8"/>
          <w:sz w:val="20"/>
          <w:szCs w:val="20"/>
          <w:highlight w:val="none"/>
        </w:rPr>
        <w:t>”，是指响应文件对磋商文件“采购需求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”中有关条款作出的响应不满足条款</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要求，导致采购人要求不能得到满足的情形。</w:t>
      </w:r>
    </w:p>
    <w:p w14:paraId="013842A5">
      <w:pPr>
        <w:spacing w:before="249" w:line="228" w:lineRule="auto"/>
        <w:ind w:left="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2.10“允许负偏离的条款</w:t>
      </w:r>
      <w:r>
        <w:rPr>
          <w:rFonts w:ascii="宋体" w:hAnsi="宋体" w:eastAsia="宋体" w:cs="宋体"/>
          <w:color w:val="auto"/>
          <w:spacing w:val="-65"/>
          <w:sz w:val="20"/>
          <w:szCs w:val="20"/>
          <w:highlight w:val="none"/>
        </w:rPr>
        <w:t xml:space="preserve"> </w:t>
      </w:r>
      <w:r>
        <w:rPr>
          <w:rFonts w:ascii="宋体" w:hAnsi="宋体" w:eastAsia="宋体" w:cs="宋体"/>
          <w:color w:val="auto"/>
          <w:spacing w:val="7"/>
          <w:sz w:val="20"/>
          <w:szCs w:val="20"/>
          <w:highlight w:val="none"/>
        </w:rPr>
        <w:t>”是指采购需求中的不属于“实质性要求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”的条款。</w:t>
      </w:r>
    </w:p>
    <w:p w14:paraId="53ABC6AD">
      <w:pPr>
        <w:spacing w:before="252" w:line="343" w:lineRule="auto"/>
        <w:ind w:left="25" w:right="11" w:firstLine="39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2.11“书面形式</w:t>
      </w:r>
      <w:r>
        <w:rPr>
          <w:rFonts w:ascii="宋体" w:hAnsi="宋体" w:eastAsia="宋体" w:cs="宋体"/>
          <w:color w:val="auto"/>
          <w:spacing w:val="-53"/>
          <w:sz w:val="20"/>
          <w:szCs w:val="20"/>
          <w:highlight w:val="none"/>
        </w:rPr>
        <w:t xml:space="preserve"> </w:t>
      </w:r>
      <w:r>
        <w:rPr>
          <w:rFonts w:ascii="宋体" w:hAnsi="宋体" w:eastAsia="宋体" w:cs="宋体"/>
          <w:color w:val="auto"/>
          <w:spacing w:val="6"/>
          <w:sz w:val="20"/>
          <w:szCs w:val="20"/>
          <w:highlight w:val="none"/>
        </w:rPr>
        <w:t>”是指合同书、信件和数据电文（包括电报、电传、传真、电子数据交换和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电子邮件）等可以有形地表现所载内容的形式。</w:t>
      </w:r>
    </w:p>
    <w:p w14:paraId="7BAB8A1C">
      <w:pPr>
        <w:spacing w:before="249" w:line="227" w:lineRule="auto"/>
        <w:ind w:left="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2.12“首次报价</w:t>
      </w:r>
      <w:r>
        <w:rPr>
          <w:rFonts w:ascii="宋体" w:hAnsi="宋体" w:eastAsia="宋体" w:cs="宋体"/>
          <w:color w:val="auto"/>
          <w:spacing w:val="-57"/>
          <w:sz w:val="20"/>
          <w:szCs w:val="20"/>
          <w:highlight w:val="none"/>
        </w:rPr>
        <w:t xml:space="preserve"> </w:t>
      </w:r>
      <w:r>
        <w:rPr>
          <w:rFonts w:ascii="宋体" w:hAnsi="宋体" w:eastAsia="宋体" w:cs="宋体"/>
          <w:color w:val="auto"/>
          <w:spacing w:val="7"/>
          <w:sz w:val="20"/>
          <w:szCs w:val="20"/>
          <w:highlight w:val="none"/>
        </w:rPr>
        <w:t>”是指供应商提交的首次响应文件中的报价。</w:t>
      </w:r>
    </w:p>
    <w:p w14:paraId="637D9DC5">
      <w:pPr>
        <w:spacing w:line="227" w:lineRule="auto"/>
        <w:rPr>
          <w:rFonts w:ascii="宋体" w:hAnsi="宋体" w:eastAsia="宋体" w:cs="宋体"/>
          <w:color w:val="auto"/>
          <w:sz w:val="20"/>
          <w:szCs w:val="20"/>
          <w:highlight w:val="none"/>
        </w:rPr>
        <w:sectPr>
          <w:footerReference r:id="rId23" w:type="default"/>
          <w:pgSz w:w="11905" w:h="16839"/>
          <w:pgMar w:top="400" w:right="1575" w:bottom="1149" w:left="1593" w:header="0" w:footer="913" w:gutter="0"/>
          <w:cols w:space="720" w:num="1"/>
        </w:sectPr>
      </w:pPr>
    </w:p>
    <w:p w14:paraId="48C5DEE1">
      <w:pPr>
        <w:pStyle w:val="2"/>
        <w:spacing w:line="269" w:lineRule="auto"/>
        <w:rPr>
          <w:color w:val="auto"/>
          <w:highlight w:val="none"/>
        </w:rPr>
      </w:pPr>
    </w:p>
    <w:p w14:paraId="7DC390CF">
      <w:pPr>
        <w:pStyle w:val="2"/>
        <w:spacing w:line="269" w:lineRule="auto"/>
        <w:rPr>
          <w:color w:val="auto"/>
          <w:highlight w:val="none"/>
        </w:rPr>
      </w:pPr>
    </w:p>
    <w:p w14:paraId="6E1BCA74">
      <w:pPr>
        <w:pStyle w:val="2"/>
        <w:spacing w:line="269" w:lineRule="auto"/>
        <w:rPr>
          <w:color w:val="auto"/>
          <w:highlight w:val="none"/>
        </w:rPr>
      </w:pPr>
    </w:p>
    <w:p w14:paraId="225CBE06">
      <w:pPr>
        <w:spacing w:before="65" w:line="451" w:lineRule="auto"/>
        <w:ind w:left="2" w:firstLine="42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2.13“评审报价</w:t>
      </w:r>
      <w:r>
        <w:rPr>
          <w:rFonts w:ascii="宋体" w:hAnsi="宋体" w:eastAsia="宋体" w:cs="宋体"/>
          <w:color w:val="auto"/>
          <w:spacing w:val="-70"/>
          <w:sz w:val="20"/>
          <w:szCs w:val="20"/>
          <w:highlight w:val="none"/>
        </w:rPr>
        <w:t xml:space="preserve"> </w:t>
      </w:r>
      <w:r>
        <w:rPr>
          <w:rFonts w:ascii="宋体" w:hAnsi="宋体" w:eastAsia="宋体" w:cs="宋体"/>
          <w:color w:val="auto"/>
          <w:spacing w:val="4"/>
          <w:sz w:val="20"/>
          <w:szCs w:val="20"/>
          <w:highlight w:val="none"/>
        </w:rPr>
        <w:t>”是指供应商提交的最后报价并经修</w:t>
      </w:r>
      <w:r>
        <w:rPr>
          <w:rFonts w:ascii="宋体" w:hAnsi="宋体" w:eastAsia="宋体" w:cs="宋体"/>
          <w:color w:val="auto"/>
          <w:spacing w:val="3"/>
          <w:sz w:val="20"/>
          <w:szCs w:val="20"/>
          <w:highlight w:val="none"/>
        </w:rPr>
        <w:t>正（如有）和政策功能价格扣除（如有）</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后的价格。</w:t>
      </w:r>
    </w:p>
    <w:p w14:paraId="01B6DD74">
      <w:pPr>
        <w:spacing w:line="219" w:lineRule="auto"/>
        <w:ind w:left="42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3.供应商的资格条件</w:t>
      </w:r>
    </w:p>
    <w:p w14:paraId="5A1BA77F">
      <w:pPr>
        <w:spacing w:before="225" w:line="228" w:lineRule="auto"/>
        <w:ind w:left="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供应商的资格条件详见“供应商须知前附表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w:t>
      </w:r>
    </w:p>
    <w:p w14:paraId="7DD10F55">
      <w:pPr>
        <w:spacing w:before="235" w:line="221" w:lineRule="auto"/>
        <w:ind w:left="42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4.磋商费用</w:t>
      </w:r>
    </w:p>
    <w:p w14:paraId="7C294698">
      <w:pPr>
        <w:spacing w:before="224" w:line="452" w:lineRule="auto"/>
        <w:ind w:right="87"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供应商应承担参与本次采购活动有关的所有</w:t>
      </w:r>
      <w:r>
        <w:rPr>
          <w:rFonts w:ascii="宋体" w:hAnsi="宋体" w:eastAsia="宋体" w:cs="宋体"/>
          <w:color w:val="auto"/>
          <w:spacing w:val="7"/>
          <w:sz w:val="20"/>
          <w:szCs w:val="20"/>
          <w:highlight w:val="none"/>
        </w:rPr>
        <w:t>费用，包括但不限于、勘查现场、编制和提交响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应文件、参加磋商与应答、签订合同等，不论竞标结果如何，均应自行承担。</w:t>
      </w:r>
    </w:p>
    <w:p w14:paraId="69CB9CEA">
      <w:pPr>
        <w:spacing w:before="1" w:line="220" w:lineRule="auto"/>
        <w:ind w:left="42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5.联合体竞标</w:t>
      </w:r>
    </w:p>
    <w:p w14:paraId="74DF8625">
      <w:pPr>
        <w:spacing w:before="224" w:line="228"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5.1</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本项目是否接受联合体竞标，详见“供应商须知前附表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w:t>
      </w:r>
    </w:p>
    <w:p w14:paraId="34752177">
      <w:pPr>
        <w:spacing w:before="247" w:line="228"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5.2</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如接受联合体竞标，联合体竞标要求详见“供应商须知前附表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w:t>
      </w:r>
    </w:p>
    <w:p w14:paraId="1C29BA23">
      <w:pPr>
        <w:spacing w:before="250" w:line="420" w:lineRule="auto"/>
        <w:ind w:firstLine="42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5.3</w:t>
      </w:r>
      <w:r>
        <w:rPr>
          <w:rFonts w:ascii="宋体" w:hAnsi="宋体" w:eastAsia="宋体" w:cs="宋体"/>
          <w:color w:val="auto"/>
          <w:spacing w:val="-40"/>
          <w:sz w:val="20"/>
          <w:szCs w:val="20"/>
          <w:highlight w:val="none"/>
        </w:rPr>
        <w:t xml:space="preserve"> </w:t>
      </w:r>
      <w:r>
        <w:rPr>
          <w:rFonts w:ascii="宋体" w:hAnsi="宋体" w:eastAsia="宋体" w:cs="宋体"/>
          <w:color w:val="auto"/>
          <w:spacing w:val="6"/>
          <w:sz w:val="20"/>
          <w:szCs w:val="20"/>
          <w:highlight w:val="none"/>
        </w:rPr>
        <w:t>根据《政府采购促进中小企业发展管理办法》（财库[2020]46</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号）第九条及《广西壮族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自治区财政厅关于进一步发挥政府采购政策功能促进企业</w:t>
      </w:r>
      <w:r>
        <w:rPr>
          <w:rFonts w:ascii="宋体" w:hAnsi="宋体" w:eastAsia="宋体" w:cs="宋体"/>
          <w:color w:val="auto"/>
          <w:spacing w:val="7"/>
          <w:sz w:val="20"/>
          <w:szCs w:val="20"/>
          <w:highlight w:val="none"/>
        </w:rPr>
        <w:t>发展的通知》（桂财采〔2022〕30</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规定，接受大中型企业与小微企业组成联合体的采购项目</w:t>
      </w:r>
      <w:r>
        <w:rPr>
          <w:rFonts w:ascii="宋体" w:hAnsi="宋体" w:eastAsia="宋体" w:cs="宋体"/>
          <w:color w:val="auto"/>
          <w:spacing w:val="7"/>
          <w:sz w:val="20"/>
          <w:szCs w:val="20"/>
          <w:highlight w:val="none"/>
        </w:rPr>
        <w:t>，对于联合协议约定小微企业的合同份</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额占到合同总金额 30%以上的，采购人、采购代理机构应当对联合体的报价给予 4%</w:t>
      </w:r>
      <w:r>
        <w:rPr>
          <w:rFonts w:ascii="宋体" w:hAnsi="宋体" w:eastAsia="宋体" w:cs="宋体"/>
          <w:color w:val="auto"/>
          <w:spacing w:val="6"/>
          <w:sz w:val="20"/>
          <w:szCs w:val="20"/>
          <w:highlight w:val="none"/>
        </w:rPr>
        <w:t>-6%（工程项</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目为</w:t>
      </w:r>
      <w:r>
        <w:rPr>
          <w:rFonts w:ascii="宋体" w:hAnsi="宋体" w:eastAsia="宋体" w:cs="宋体"/>
          <w:color w:val="auto"/>
          <w:spacing w:val="43"/>
          <w:sz w:val="20"/>
          <w:szCs w:val="20"/>
          <w:highlight w:val="none"/>
        </w:rPr>
        <w:t xml:space="preserve"> </w:t>
      </w:r>
      <w:r>
        <w:rPr>
          <w:rFonts w:ascii="宋体" w:hAnsi="宋体" w:eastAsia="宋体" w:cs="宋体"/>
          <w:color w:val="auto"/>
          <w:spacing w:val="6"/>
          <w:sz w:val="20"/>
          <w:szCs w:val="20"/>
          <w:highlight w:val="none"/>
        </w:rPr>
        <w:t>1%—2%）的扣除，用扣除后的价格参加评审。组成联合体的小微企业与联合体内其他企业、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分包企业之间存在直接控股、管理关系的，不享受价格扣除优惠政策。</w:t>
      </w:r>
    </w:p>
    <w:p w14:paraId="766BF076">
      <w:pPr>
        <w:spacing w:before="236" w:line="221" w:lineRule="auto"/>
        <w:ind w:left="42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6.转包与分包</w:t>
      </w:r>
    </w:p>
    <w:p w14:paraId="1C179535">
      <w:pPr>
        <w:spacing w:before="222" w:line="228" w:lineRule="auto"/>
        <w:ind w:left="4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6.1</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本项目是否允许分包详见“供应商须知前附表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”，本项目不允许违法</w:t>
      </w:r>
      <w:r>
        <w:rPr>
          <w:rFonts w:ascii="宋体" w:hAnsi="宋体" w:eastAsia="宋体" w:cs="宋体"/>
          <w:color w:val="auto"/>
          <w:spacing w:val="7"/>
          <w:sz w:val="20"/>
          <w:szCs w:val="20"/>
          <w:highlight w:val="none"/>
        </w:rPr>
        <w:t>分包。</w:t>
      </w:r>
    </w:p>
    <w:p w14:paraId="7C27DEDD">
      <w:pPr>
        <w:spacing w:before="250" w:line="420" w:lineRule="auto"/>
        <w:ind w:firstLine="42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6.2</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根据《政府采购促进中小企业发展管理办法》（财库[2020]46</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号）第九条及《广西壮族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自治区财政厅关于进一步发挥政府采购政策功能促进企业</w:t>
      </w:r>
      <w:r>
        <w:rPr>
          <w:rFonts w:ascii="宋体" w:hAnsi="宋体" w:eastAsia="宋体" w:cs="宋体"/>
          <w:color w:val="auto"/>
          <w:spacing w:val="7"/>
          <w:sz w:val="20"/>
          <w:szCs w:val="20"/>
          <w:highlight w:val="none"/>
        </w:rPr>
        <w:t>发展的通知》（桂财采〔2022〕30</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规定，允许大中型企业向一家或者多家小微企业分包的采购项目</w:t>
      </w:r>
      <w:r>
        <w:rPr>
          <w:rFonts w:ascii="宋体" w:hAnsi="宋体" w:eastAsia="宋体" w:cs="宋体"/>
          <w:color w:val="auto"/>
          <w:spacing w:val="7"/>
          <w:sz w:val="20"/>
          <w:szCs w:val="20"/>
          <w:highlight w:val="none"/>
        </w:rPr>
        <w:t>，对于分包意向协议约定小微企</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 xml:space="preserve">业的合同份额占到合同总金额 30%以上的，采购人、采购代理机构应当对大中型企业的报价给予  </w:t>
      </w:r>
      <w:r>
        <w:rPr>
          <w:rFonts w:ascii="宋体" w:hAnsi="宋体" w:eastAsia="宋体" w:cs="宋体"/>
          <w:color w:val="auto"/>
          <w:spacing w:val="10"/>
          <w:sz w:val="20"/>
          <w:szCs w:val="20"/>
          <w:highlight w:val="none"/>
        </w:rPr>
        <w:t>4%-6%的扣除，用扣除后的价格参加评审。接受分包的小微企业与分包企业之间存</w:t>
      </w:r>
      <w:r>
        <w:rPr>
          <w:rFonts w:ascii="宋体" w:hAnsi="宋体" w:eastAsia="宋体" w:cs="宋体"/>
          <w:color w:val="auto"/>
          <w:spacing w:val="9"/>
          <w:sz w:val="20"/>
          <w:szCs w:val="20"/>
          <w:highlight w:val="none"/>
        </w:rPr>
        <w:t>在直接控股、</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管理关系的，不享受价格扣除优惠政策。</w:t>
      </w:r>
    </w:p>
    <w:p w14:paraId="309BEB3C">
      <w:pPr>
        <w:spacing w:before="236" w:line="220" w:lineRule="auto"/>
        <w:ind w:left="42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7.特别说明</w:t>
      </w:r>
    </w:p>
    <w:p w14:paraId="1E9FE03D">
      <w:pPr>
        <w:spacing w:before="224" w:line="343" w:lineRule="auto"/>
        <w:ind w:left="17" w:right="87" w:firstLine="40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7.1</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如果本磋商文件要求提供供应商或制造商的资格、信誉、荣誉、业绩与企业认证等材料</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的，资格、信誉、荣誉、业绩与企业认证等必须为供应商或者制造商所拥有或自身获得 。</w:t>
      </w:r>
    </w:p>
    <w:p w14:paraId="78F2D87F">
      <w:pPr>
        <w:spacing w:before="250" w:line="343" w:lineRule="auto"/>
        <w:ind w:right="87"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7.2</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供应商应仔细阅读磋商文件的所有内容，按照磋商文件的要求提交响应文件，并对所提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供的全部资料的真实性承担法律责任。</w:t>
      </w:r>
    </w:p>
    <w:p w14:paraId="2B9AE7A2">
      <w:pPr>
        <w:spacing w:line="343" w:lineRule="auto"/>
        <w:rPr>
          <w:rFonts w:ascii="宋体" w:hAnsi="宋体" w:eastAsia="宋体" w:cs="宋体"/>
          <w:color w:val="auto"/>
          <w:sz w:val="20"/>
          <w:szCs w:val="20"/>
          <w:highlight w:val="none"/>
        </w:rPr>
        <w:sectPr>
          <w:footerReference r:id="rId24" w:type="default"/>
          <w:pgSz w:w="11905" w:h="16839"/>
          <w:pgMar w:top="400" w:right="1502" w:bottom="1149" w:left="1593" w:header="0" w:footer="913" w:gutter="0"/>
          <w:cols w:space="720" w:num="1"/>
        </w:sectPr>
      </w:pPr>
    </w:p>
    <w:p w14:paraId="35024A4D">
      <w:pPr>
        <w:pStyle w:val="2"/>
        <w:spacing w:line="269" w:lineRule="auto"/>
        <w:rPr>
          <w:color w:val="auto"/>
          <w:highlight w:val="none"/>
        </w:rPr>
      </w:pPr>
    </w:p>
    <w:p w14:paraId="151401B9">
      <w:pPr>
        <w:pStyle w:val="2"/>
        <w:spacing w:line="269" w:lineRule="auto"/>
        <w:rPr>
          <w:color w:val="auto"/>
          <w:highlight w:val="none"/>
        </w:rPr>
      </w:pPr>
    </w:p>
    <w:p w14:paraId="750F8562">
      <w:pPr>
        <w:pStyle w:val="2"/>
        <w:spacing w:line="269" w:lineRule="auto"/>
        <w:rPr>
          <w:color w:val="auto"/>
          <w:highlight w:val="none"/>
        </w:rPr>
      </w:pPr>
    </w:p>
    <w:p w14:paraId="5AF3C774">
      <w:pPr>
        <w:spacing w:before="65" w:line="381" w:lineRule="auto"/>
        <w:ind w:right="2"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7.3</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供应商在竞标活动中提供任何疑似虚假材料，将报监管部门查处；签订合同后发现的，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成交供应商须依照《中华人民共和国消费者权益保护法》</w:t>
      </w:r>
      <w:r>
        <w:rPr>
          <w:rFonts w:ascii="宋体" w:hAnsi="宋体" w:eastAsia="宋体" w:cs="宋体"/>
          <w:color w:val="auto"/>
          <w:spacing w:val="7"/>
          <w:sz w:val="20"/>
          <w:szCs w:val="20"/>
          <w:highlight w:val="none"/>
        </w:rPr>
        <w:t>规定赔偿采购人，且民事赔偿并不免除</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违法供应商的行政与刑事责任。</w:t>
      </w:r>
    </w:p>
    <w:p w14:paraId="478BB1E4">
      <w:pPr>
        <w:spacing w:before="249" w:line="228" w:lineRule="auto"/>
        <w:jc w:val="righ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7.4</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在政府采购活动中，采购人员及相关人员与供应商有下列利害关系之一</w:t>
      </w:r>
      <w:r>
        <w:rPr>
          <w:rFonts w:ascii="宋体" w:hAnsi="宋体" w:eastAsia="宋体" w:cs="宋体"/>
          <w:color w:val="auto"/>
          <w:spacing w:val="7"/>
          <w:sz w:val="20"/>
          <w:szCs w:val="20"/>
          <w:highlight w:val="none"/>
        </w:rPr>
        <w:t>的，应当回避：</w:t>
      </w:r>
    </w:p>
    <w:p w14:paraId="2319232E">
      <w:pPr>
        <w:spacing w:before="249"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（1）参加采购活动前</w:t>
      </w:r>
      <w:r>
        <w:rPr>
          <w:rFonts w:ascii="宋体" w:hAnsi="宋体" w:eastAsia="宋体" w:cs="宋体"/>
          <w:color w:val="auto"/>
          <w:spacing w:val="-27"/>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年内与供应商存在劳动关系；</w:t>
      </w:r>
    </w:p>
    <w:p w14:paraId="58DDE559">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（2）参加采购活动前</w:t>
      </w:r>
      <w:r>
        <w:rPr>
          <w:rFonts w:ascii="宋体" w:hAnsi="宋体" w:eastAsia="宋体" w:cs="宋体"/>
          <w:color w:val="auto"/>
          <w:spacing w:val="-23"/>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年内担任供应商的董事、监事；</w:t>
      </w:r>
    </w:p>
    <w:p w14:paraId="651BE049">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（3）参加采购活动前</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年内是供应商的控股股东或</w:t>
      </w:r>
      <w:r>
        <w:rPr>
          <w:rFonts w:ascii="宋体" w:hAnsi="宋体" w:eastAsia="宋体" w:cs="宋体"/>
          <w:color w:val="auto"/>
          <w:spacing w:val="7"/>
          <w:sz w:val="20"/>
          <w:szCs w:val="20"/>
          <w:highlight w:val="none"/>
        </w:rPr>
        <w:t>者实际控制人；</w:t>
      </w:r>
    </w:p>
    <w:p w14:paraId="6A2FBA7D">
      <w:pPr>
        <w:spacing w:before="249" w:line="344" w:lineRule="auto"/>
        <w:ind w:left="3" w:right="2" w:firstLine="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（4）与供应商的法定代表人或者负责人有夫妻、直系血亲、三代</w:t>
      </w:r>
      <w:r>
        <w:rPr>
          <w:rFonts w:ascii="宋体" w:hAnsi="宋体" w:eastAsia="宋体" w:cs="宋体"/>
          <w:color w:val="auto"/>
          <w:spacing w:val="9"/>
          <w:sz w:val="20"/>
          <w:szCs w:val="20"/>
          <w:highlight w:val="none"/>
        </w:rPr>
        <w:t>以内旁系血亲或者近姻亲</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关系；</w:t>
      </w:r>
    </w:p>
    <w:p w14:paraId="4781612B">
      <w:pPr>
        <w:spacing w:before="246"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（5）与供应商有其他可能影响政府采购活动公平、公</w:t>
      </w:r>
      <w:r>
        <w:rPr>
          <w:rFonts w:ascii="宋体" w:hAnsi="宋体" w:eastAsia="宋体" w:cs="宋体"/>
          <w:color w:val="auto"/>
          <w:spacing w:val="8"/>
          <w:sz w:val="20"/>
          <w:szCs w:val="20"/>
          <w:highlight w:val="none"/>
        </w:rPr>
        <w:t>正进行的关系。</w:t>
      </w:r>
    </w:p>
    <w:p w14:paraId="42A8F0EC">
      <w:pPr>
        <w:spacing w:before="249" w:line="459" w:lineRule="auto"/>
        <w:ind w:firstLine="419"/>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供应商认为采购人员及相关人员与其他供应商有利</w:t>
      </w:r>
      <w:r>
        <w:rPr>
          <w:rFonts w:ascii="宋体" w:hAnsi="宋体" w:eastAsia="宋体" w:cs="宋体"/>
          <w:color w:val="auto"/>
          <w:spacing w:val="7"/>
          <w:sz w:val="20"/>
          <w:szCs w:val="20"/>
          <w:highlight w:val="none"/>
        </w:rPr>
        <w:t>害关系的，可以向采购人或者采购代理机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构书面提出回避申请，并说明理由。采购人或者采购代</w:t>
      </w:r>
      <w:r>
        <w:rPr>
          <w:rFonts w:ascii="宋体" w:hAnsi="宋体" w:eastAsia="宋体" w:cs="宋体"/>
          <w:color w:val="auto"/>
          <w:spacing w:val="7"/>
          <w:sz w:val="20"/>
          <w:szCs w:val="20"/>
          <w:highlight w:val="none"/>
        </w:rPr>
        <w:t>理机构应当及时询问被申请回避人员，有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利害关系的被申请回避人员应当回避。</w:t>
      </w:r>
    </w:p>
    <w:p w14:paraId="58389428">
      <w:pPr>
        <w:spacing w:before="1" w:line="227"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7.5</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有下列情形之一的视为供应商相互串通竞标，响应文件将被视为无效：</w:t>
      </w:r>
    </w:p>
    <w:p w14:paraId="7E2444F7">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（1）不同供应商的响应文件由同一单位或者个人编制；</w:t>
      </w:r>
    </w:p>
    <w:p w14:paraId="52F68672">
      <w:pPr>
        <w:spacing w:before="249"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（2）不同供应商委托同一单位或者个人办理竞标事宜；</w:t>
      </w:r>
    </w:p>
    <w:p w14:paraId="129DC1EC">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（3）不同的供应商的响应文件载明的项目</w:t>
      </w:r>
      <w:r>
        <w:rPr>
          <w:rFonts w:ascii="宋体" w:hAnsi="宋体" w:eastAsia="宋体" w:cs="宋体"/>
          <w:color w:val="auto"/>
          <w:spacing w:val="8"/>
          <w:sz w:val="20"/>
          <w:szCs w:val="20"/>
          <w:highlight w:val="none"/>
        </w:rPr>
        <w:t>管理员为同一个人；</w:t>
      </w:r>
    </w:p>
    <w:p w14:paraId="0BC58FBB">
      <w:pPr>
        <w:spacing w:before="248" w:line="227"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（4）不同供应商的响应文件异常一致或者</w:t>
      </w:r>
      <w:r>
        <w:rPr>
          <w:rFonts w:ascii="宋体" w:hAnsi="宋体" w:eastAsia="宋体" w:cs="宋体"/>
          <w:color w:val="auto"/>
          <w:spacing w:val="8"/>
          <w:sz w:val="20"/>
          <w:szCs w:val="20"/>
          <w:highlight w:val="none"/>
        </w:rPr>
        <w:t>报价呈规律性差异；</w:t>
      </w:r>
    </w:p>
    <w:p w14:paraId="65EE4176">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（5）不同供应商的响应文件相互混装；</w:t>
      </w:r>
    </w:p>
    <w:p w14:paraId="55703510">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（6）不同供应商的磋商保证金从同一单位</w:t>
      </w:r>
      <w:r>
        <w:rPr>
          <w:rFonts w:ascii="宋体" w:hAnsi="宋体" w:eastAsia="宋体" w:cs="宋体"/>
          <w:color w:val="auto"/>
          <w:spacing w:val="8"/>
          <w:sz w:val="20"/>
          <w:szCs w:val="20"/>
          <w:highlight w:val="none"/>
        </w:rPr>
        <w:t>或者个人账户转出。</w:t>
      </w:r>
    </w:p>
    <w:p w14:paraId="68CDFB06">
      <w:pPr>
        <w:spacing w:before="250" w:line="228" w:lineRule="auto"/>
        <w:ind w:left="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7.6</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供应商有下列情形之一的，属于恶意串通行</w:t>
      </w:r>
      <w:r>
        <w:rPr>
          <w:rFonts w:ascii="宋体" w:hAnsi="宋体" w:eastAsia="宋体" w:cs="宋体"/>
          <w:color w:val="auto"/>
          <w:spacing w:val="8"/>
          <w:sz w:val="20"/>
          <w:szCs w:val="20"/>
          <w:highlight w:val="none"/>
        </w:rPr>
        <w:t>为，将报同级监督管理部门：</w:t>
      </w:r>
    </w:p>
    <w:p w14:paraId="14D056B6">
      <w:pPr>
        <w:spacing w:before="251" w:line="343" w:lineRule="auto"/>
        <w:ind w:right="2"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（1）供应商直接或者间接从采购人或者采购代理机构处获得其他</w:t>
      </w:r>
      <w:r>
        <w:rPr>
          <w:rFonts w:ascii="宋体" w:hAnsi="宋体" w:eastAsia="宋体" w:cs="宋体"/>
          <w:color w:val="auto"/>
          <w:spacing w:val="9"/>
          <w:sz w:val="20"/>
          <w:szCs w:val="20"/>
          <w:highlight w:val="none"/>
        </w:rPr>
        <w:t>供应商的相关信息并修改</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其响应文件；</w:t>
      </w:r>
    </w:p>
    <w:p w14:paraId="0A47CC1D">
      <w:pPr>
        <w:spacing w:before="249"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（2）供应商按照采购人或者采购代理机构的授意撤换、修改</w:t>
      </w:r>
      <w:r>
        <w:rPr>
          <w:rFonts w:ascii="宋体" w:hAnsi="宋体" w:eastAsia="宋体" w:cs="宋体"/>
          <w:color w:val="auto"/>
          <w:spacing w:val="8"/>
          <w:sz w:val="20"/>
          <w:szCs w:val="20"/>
          <w:highlight w:val="none"/>
        </w:rPr>
        <w:t>响应文件；</w:t>
      </w:r>
    </w:p>
    <w:p w14:paraId="38A7A633">
      <w:pPr>
        <w:spacing w:before="250" w:line="227"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（3）供应商之间协商报价、技术方案等响应文件或者响应文件的实质性</w:t>
      </w:r>
      <w:r>
        <w:rPr>
          <w:rFonts w:ascii="宋体" w:hAnsi="宋体" w:eastAsia="宋体" w:cs="宋体"/>
          <w:color w:val="auto"/>
          <w:spacing w:val="8"/>
          <w:sz w:val="20"/>
          <w:szCs w:val="20"/>
          <w:highlight w:val="none"/>
        </w:rPr>
        <w:t>内容；</w:t>
      </w:r>
    </w:p>
    <w:p w14:paraId="0E1C5D9E">
      <w:pPr>
        <w:spacing w:before="249" w:line="344" w:lineRule="auto"/>
        <w:ind w:right="2"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（4）属于同一集团、协会、商会等组织成员的供应商按照该组织</w:t>
      </w:r>
      <w:r>
        <w:rPr>
          <w:rFonts w:ascii="宋体" w:hAnsi="宋体" w:eastAsia="宋体" w:cs="宋体"/>
          <w:color w:val="auto"/>
          <w:spacing w:val="9"/>
          <w:sz w:val="20"/>
          <w:szCs w:val="20"/>
          <w:highlight w:val="none"/>
        </w:rPr>
        <w:t>要求协同参加政府采购活</w:t>
      </w:r>
      <w:r>
        <w:rPr>
          <w:rFonts w:ascii="宋体" w:hAnsi="宋体" w:eastAsia="宋体" w:cs="宋体"/>
          <w:color w:val="auto"/>
          <w:sz w:val="20"/>
          <w:szCs w:val="20"/>
          <w:highlight w:val="none"/>
        </w:rPr>
        <w:t xml:space="preserve"> 动；</w:t>
      </w:r>
    </w:p>
    <w:p w14:paraId="08C3F89D">
      <w:pPr>
        <w:spacing w:before="248" w:line="343" w:lineRule="auto"/>
        <w:ind w:left="5" w:right="2"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（5）供应商之间事先约定一致抬高或者压低报价，或者在政府采</w:t>
      </w:r>
      <w:r>
        <w:rPr>
          <w:rFonts w:ascii="宋体" w:hAnsi="宋体" w:eastAsia="宋体" w:cs="宋体"/>
          <w:color w:val="auto"/>
          <w:spacing w:val="9"/>
          <w:sz w:val="20"/>
          <w:szCs w:val="20"/>
          <w:highlight w:val="none"/>
        </w:rPr>
        <w:t>购活动中事先约定轮流以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高价位或者低价位成交，或者事先约定由某一特定供应商成交，然后再参加竞标；</w:t>
      </w:r>
    </w:p>
    <w:p w14:paraId="5D68875E">
      <w:pPr>
        <w:spacing w:line="343" w:lineRule="auto"/>
        <w:rPr>
          <w:rFonts w:ascii="宋体" w:hAnsi="宋体" w:eastAsia="宋体" w:cs="宋体"/>
          <w:color w:val="auto"/>
          <w:sz w:val="20"/>
          <w:szCs w:val="20"/>
          <w:highlight w:val="none"/>
        </w:rPr>
        <w:sectPr>
          <w:footerReference r:id="rId25" w:type="default"/>
          <w:pgSz w:w="11905" w:h="16839"/>
          <w:pgMar w:top="400" w:right="1587" w:bottom="1149" w:left="1594" w:header="0" w:footer="913" w:gutter="0"/>
          <w:cols w:space="720" w:num="1"/>
        </w:sectPr>
      </w:pPr>
    </w:p>
    <w:p w14:paraId="5BB6B474">
      <w:pPr>
        <w:pStyle w:val="2"/>
        <w:spacing w:line="269" w:lineRule="auto"/>
        <w:rPr>
          <w:color w:val="auto"/>
          <w:highlight w:val="none"/>
        </w:rPr>
      </w:pPr>
    </w:p>
    <w:p w14:paraId="4C8EE976">
      <w:pPr>
        <w:pStyle w:val="2"/>
        <w:spacing w:line="269" w:lineRule="auto"/>
        <w:rPr>
          <w:color w:val="auto"/>
          <w:highlight w:val="none"/>
        </w:rPr>
      </w:pPr>
    </w:p>
    <w:p w14:paraId="703FFD40">
      <w:pPr>
        <w:pStyle w:val="2"/>
        <w:spacing w:line="269" w:lineRule="auto"/>
        <w:rPr>
          <w:color w:val="auto"/>
          <w:highlight w:val="none"/>
        </w:rPr>
      </w:pPr>
    </w:p>
    <w:p w14:paraId="0D2D4CE8">
      <w:pPr>
        <w:spacing w:before="65"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（6）供应商之间商定部分供应商放弃参加政府采购活动或者</w:t>
      </w:r>
      <w:r>
        <w:rPr>
          <w:rFonts w:ascii="宋体" w:hAnsi="宋体" w:eastAsia="宋体" w:cs="宋体"/>
          <w:color w:val="auto"/>
          <w:spacing w:val="8"/>
          <w:sz w:val="20"/>
          <w:szCs w:val="20"/>
          <w:highlight w:val="none"/>
        </w:rPr>
        <w:t>放弃成交；</w:t>
      </w:r>
    </w:p>
    <w:p w14:paraId="0B044D27">
      <w:pPr>
        <w:spacing w:before="248" w:line="343" w:lineRule="auto"/>
        <w:ind w:left="2" w:right="2"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（7）供应商与采购人或者采购代理机构之间、供应商相互之间，</w:t>
      </w:r>
      <w:r>
        <w:rPr>
          <w:rFonts w:ascii="宋体" w:hAnsi="宋体" w:eastAsia="宋体" w:cs="宋体"/>
          <w:color w:val="auto"/>
          <w:spacing w:val="9"/>
          <w:sz w:val="20"/>
          <w:szCs w:val="20"/>
          <w:highlight w:val="none"/>
        </w:rPr>
        <w:t>为谋求特定供应商成交或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者排斥其他供应商的其他串通行为。</w:t>
      </w:r>
    </w:p>
    <w:p w14:paraId="40045E74">
      <w:pPr>
        <w:spacing w:before="281" w:line="225" w:lineRule="auto"/>
        <w:ind w:left="3732"/>
        <w:outlineLvl w:val="2"/>
        <w:rPr>
          <w:rFonts w:ascii="宋体" w:hAnsi="宋体" w:eastAsia="宋体" w:cs="宋体"/>
          <w:color w:val="auto"/>
          <w:sz w:val="31"/>
          <w:szCs w:val="31"/>
          <w:highlight w:val="none"/>
        </w:rPr>
      </w:pPr>
      <w:bookmarkStart w:id="7" w:name="_Toc16834"/>
      <w:r>
        <w:rPr>
          <w:rFonts w:ascii="宋体" w:hAnsi="宋体" w:eastAsia="宋体" w:cs="宋体"/>
          <w:b/>
          <w:bCs/>
          <w:color w:val="auto"/>
          <w:spacing w:val="4"/>
          <w:sz w:val="31"/>
          <w:szCs w:val="31"/>
          <w:highlight w:val="none"/>
        </w:rPr>
        <w:t>二、磋商文件</w:t>
      </w:r>
      <w:bookmarkEnd w:id="7"/>
    </w:p>
    <w:p w14:paraId="4A7F4FA6">
      <w:pPr>
        <w:spacing w:before="238" w:line="220" w:lineRule="auto"/>
        <w:ind w:left="42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8.磋商文件的构成</w:t>
      </w:r>
    </w:p>
    <w:p w14:paraId="485B2919">
      <w:pPr>
        <w:spacing w:before="225" w:line="227" w:lineRule="auto"/>
        <w:ind w:left="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第一章 竞争性磋商公告；</w:t>
      </w:r>
    </w:p>
    <w:p w14:paraId="05AF7D29">
      <w:pPr>
        <w:spacing w:before="251" w:line="228" w:lineRule="auto"/>
        <w:ind w:left="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第二章 采购需求；</w:t>
      </w:r>
    </w:p>
    <w:p w14:paraId="09A264E4">
      <w:pPr>
        <w:spacing w:before="249" w:line="228" w:lineRule="auto"/>
        <w:ind w:left="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第三章 供应商须知；</w:t>
      </w:r>
    </w:p>
    <w:p w14:paraId="440BC791">
      <w:pPr>
        <w:spacing w:before="248" w:line="228" w:lineRule="auto"/>
        <w:ind w:left="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第四章 评审程序、评审方法和评审标准；</w:t>
      </w:r>
    </w:p>
    <w:p w14:paraId="264D9124">
      <w:pPr>
        <w:spacing w:before="250" w:line="228" w:lineRule="auto"/>
        <w:ind w:left="42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第五章</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响应文件格式；</w:t>
      </w:r>
    </w:p>
    <w:p w14:paraId="40FE9442">
      <w:pPr>
        <w:spacing w:before="249" w:line="228" w:lineRule="auto"/>
        <w:ind w:left="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第六章 合同文本；</w:t>
      </w:r>
    </w:p>
    <w:p w14:paraId="78420D97">
      <w:pPr>
        <w:spacing w:before="250" w:line="228" w:lineRule="auto"/>
        <w:ind w:left="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第七章 质疑、投诉材料格式。</w:t>
      </w:r>
    </w:p>
    <w:p w14:paraId="6AC4B852">
      <w:pPr>
        <w:spacing w:before="236" w:line="219" w:lineRule="auto"/>
        <w:ind w:left="42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9.供应商的询问</w:t>
      </w:r>
    </w:p>
    <w:p w14:paraId="43F64C2D">
      <w:pPr>
        <w:spacing w:before="228" w:line="453" w:lineRule="auto"/>
        <w:ind w:right="2" w:firstLine="42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供应商应认真阅读磋商文件的采购需求，如</w:t>
      </w:r>
      <w:r>
        <w:rPr>
          <w:rFonts w:ascii="宋体" w:hAnsi="宋体" w:eastAsia="宋体" w:cs="宋体"/>
          <w:color w:val="auto"/>
          <w:spacing w:val="7"/>
          <w:sz w:val="20"/>
          <w:szCs w:val="20"/>
          <w:highlight w:val="none"/>
        </w:rPr>
        <w:t>供应商对磋商文件有疑问的，如要求采购人作出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澄清或者修改的，供应商尽应在提交首次响应文件截止之日</w:t>
      </w:r>
      <w:r>
        <w:rPr>
          <w:rFonts w:ascii="宋体" w:hAnsi="宋体" w:eastAsia="宋体" w:cs="宋体"/>
          <w:color w:val="auto"/>
          <w:spacing w:val="7"/>
          <w:sz w:val="20"/>
          <w:szCs w:val="20"/>
          <w:highlight w:val="none"/>
        </w:rPr>
        <w:t>前，以书面形式向采购人、采购代理</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机构提出。</w:t>
      </w:r>
    </w:p>
    <w:p w14:paraId="1355BE08">
      <w:pPr>
        <w:spacing w:line="220" w:lineRule="auto"/>
        <w:ind w:left="439"/>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10.磋商文件的澄清和修改</w:t>
      </w:r>
    </w:p>
    <w:p w14:paraId="34CC5171">
      <w:pPr>
        <w:spacing w:before="225" w:line="343" w:lineRule="auto"/>
        <w:ind w:left="5" w:firstLine="43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10.1</w:t>
      </w:r>
      <w:r>
        <w:rPr>
          <w:rFonts w:ascii="宋体" w:hAnsi="宋体" w:eastAsia="宋体" w:cs="宋体"/>
          <w:color w:val="auto"/>
          <w:spacing w:val="-15"/>
          <w:sz w:val="20"/>
          <w:szCs w:val="20"/>
          <w:highlight w:val="none"/>
        </w:rPr>
        <w:t xml:space="preserve"> </w:t>
      </w:r>
      <w:r>
        <w:rPr>
          <w:rFonts w:ascii="宋体" w:hAnsi="宋体" w:eastAsia="宋体" w:cs="宋体"/>
          <w:color w:val="auto"/>
          <w:spacing w:val="10"/>
          <w:sz w:val="20"/>
          <w:szCs w:val="20"/>
          <w:highlight w:val="none"/>
        </w:rPr>
        <w:t>已获取磋商文件的潜在供应商，若有问题需要澄清，应于应标截</w:t>
      </w:r>
      <w:r>
        <w:rPr>
          <w:rFonts w:ascii="宋体" w:hAnsi="宋体" w:eastAsia="宋体" w:cs="宋体"/>
          <w:color w:val="auto"/>
          <w:spacing w:val="9"/>
          <w:sz w:val="20"/>
          <w:szCs w:val="20"/>
          <w:highlight w:val="none"/>
        </w:rPr>
        <w:t>止时间前，以书面形</w:t>
      </w:r>
      <w:r>
        <w:rPr>
          <w:rFonts w:ascii="宋体" w:hAnsi="宋体" w:eastAsia="宋体" w:cs="宋体"/>
          <w:color w:val="auto"/>
          <w:sz w:val="20"/>
          <w:szCs w:val="20"/>
          <w:highlight w:val="none"/>
        </w:rPr>
        <w:t xml:space="preserve"> </w:t>
      </w:r>
      <w:r>
        <w:rPr>
          <w:rFonts w:ascii="宋体" w:hAnsi="宋体" w:eastAsia="宋体" w:cs="宋体"/>
          <w:color w:val="auto"/>
          <w:spacing w:val="13"/>
          <w:sz w:val="20"/>
          <w:szCs w:val="20"/>
          <w:highlight w:val="none"/>
        </w:rPr>
        <w:t>式向采购代理机构提出，采购代理机构与采购人研究后，对</w:t>
      </w:r>
      <w:r>
        <w:rPr>
          <w:rFonts w:ascii="宋体" w:hAnsi="宋体" w:eastAsia="宋体" w:cs="宋体"/>
          <w:color w:val="auto"/>
          <w:spacing w:val="12"/>
          <w:sz w:val="20"/>
          <w:szCs w:val="20"/>
          <w:highlight w:val="none"/>
        </w:rPr>
        <w:t>认为有必要回答的问题，按照本章</w:t>
      </w:r>
    </w:p>
    <w:p w14:paraId="39C6DBEF">
      <w:pPr>
        <w:spacing w:before="251" w:line="228" w:lineRule="auto"/>
        <w:ind w:left="1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10.3</w:t>
      </w:r>
      <w:r>
        <w:rPr>
          <w:rFonts w:ascii="宋体" w:hAnsi="宋体" w:eastAsia="宋体" w:cs="宋体"/>
          <w:color w:val="auto"/>
          <w:spacing w:val="-23"/>
          <w:sz w:val="20"/>
          <w:szCs w:val="20"/>
          <w:highlight w:val="none"/>
        </w:rPr>
        <w:t xml:space="preserve"> </w:t>
      </w:r>
      <w:r>
        <w:rPr>
          <w:rFonts w:ascii="宋体" w:hAnsi="宋体" w:eastAsia="宋体" w:cs="宋体"/>
          <w:color w:val="auto"/>
          <w:spacing w:val="2"/>
          <w:sz w:val="20"/>
          <w:szCs w:val="20"/>
          <w:highlight w:val="none"/>
        </w:rPr>
        <w:t>的内容处理。</w:t>
      </w:r>
    </w:p>
    <w:p w14:paraId="625E788E">
      <w:pPr>
        <w:spacing w:before="249" w:line="382" w:lineRule="auto"/>
        <w:ind w:left="8" w:right="2" w:firstLine="428"/>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10.2</w:t>
      </w:r>
      <w:r>
        <w:rPr>
          <w:rFonts w:ascii="宋体" w:hAnsi="宋体" w:eastAsia="宋体" w:cs="宋体"/>
          <w:color w:val="auto"/>
          <w:spacing w:val="-31"/>
          <w:sz w:val="20"/>
          <w:szCs w:val="20"/>
          <w:highlight w:val="none"/>
        </w:rPr>
        <w:t xml:space="preserve"> </w:t>
      </w:r>
      <w:r>
        <w:rPr>
          <w:rFonts w:ascii="宋体" w:hAnsi="宋体" w:eastAsia="宋体" w:cs="宋体"/>
          <w:b/>
          <w:bCs/>
          <w:color w:val="auto"/>
          <w:spacing w:val="8"/>
          <w:sz w:val="20"/>
          <w:szCs w:val="20"/>
          <w:highlight w:val="none"/>
        </w:rPr>
        <w:t>采购人或者采购代理机构可以对已发出的磋商文件进行必要的澄清或者修改，但不得</w:t>
      </w:r>
      <w:r>
        <w:rPr>
          <w:rFonts w:ascii="宋体" w:hAnsi="宋体" w:eastAsia="宋体" w:cs="宋体"/>
          <w:color w:val="auto"/>
          <w:sz w:val="20"/>
          <w:szCs w:val="20"/>
          <w:highlight w:val="none"/>
        </w:rPr>
        <w:t xml:space="preserve"> </w:t>
      </w:r>
      <w:r>
        <w:rPr>
          <w:rFonts w:ascii="宋体" w:hAnsi="宋体" w:eastAsia="宋体" w:cs="宋体"/>
          <w:b/>
          <w:bCs/>
          <w:color w:val="auto"/>
          <w:spacing w:val="10"/>
          <w:sz w:val="20"/>
          <w:szCs w:val="20"/>
          <w:highlight w:val="none"/>
        </w:rPr>
        <w:t>改变采购标的和资格条件。澄清或者修改应当在原公告发布媒体上发布澄清公告。澄清或者修</w:t>
      </w:r>
      <w:r>
        <w:rPr>
          <w:rFonts w:ascii="宋体" w:hAnsi="宋体" w:eastAsia="宋体" w:cs="宋体"/>
          <w:color w:val="auto"/>
          <w:spacing w:val="16"/>
          <w:sz w:val="20"/>
          <w:szCs w:val="20"/>
          <w:highlight w:val="none"/>
        </w:rPr>
        <w:t xml:space="preserve"> </w:t>
      </w:r>
      <w:r>
        <w:rPr>
          <w:rFonts w:ascii="宋体" w:hAnsi="宋体" w:eastAsia="宋体" w:cs="宋体"/>
          <w:b/>
          <w:bCs/>
          <w:color w:val="auto"/>
          <w:spacing w:val="6"/>
          <w:sz w:val="20"/>
          <w:szCs w:val="20"/>
          <w:highlight w:val="none"/>
        </w:rPr>
        <w:t>改的内容为磋商文件的组成部分。</w:t>
      </w:r>
    </w:p>
    <w:p w14:paraId="71B48447">
      <w:pPr>
        <w:spacing w:before="249" w:line="412" w:lineRule="auto"/>
        <w:ind w:firstLine="43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10.3</w:t>
      </w:r>
      <w:r>
        <w:rPr>
          <w:rFonts w:ascii="宋体" w:hAnsi="宋体" w:eastAsia="宋体" w:cs="宋体"/>
          <w:color w:val="auto"/>
          <w:spacing w:val="-24"/>
          <w:sz w:val="20"/>
          <w:szCs w:val="20"/>
          <w:highlight w:val="none"/>
        </w:rPr>
        <w:t xml:space="preserve"> </w:t>
      </w:r>
      <w:r>
        <w:rPr>
          <w:rFonts w:ascii="宋体" w:hAnsi="宋体" w:eastAsia="宋体" w:cs="宋体"/>
          <w:color w:val="auto"/>
          <w:spacing w:val="10"/>
          <w:sz w:val="20"/>
          <w:szCs w:val="20"/>
          <w:highlight w:val="none"/>
        </w:rPr>
        <w:t>提交首次响应文件截止之日前，采购人、采购代理机构或者磋商小组可以对已发出的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磋商文件进行必要的澄清或者修改，澄清或者修改的内容作为磋商</w:t>
      </w:r>
      <w:r>
        <w:rPr>
          <w:rFonts w:ascii="宋体" w:hAnsi="宋体" w:eastAsia="宋体" w:cs="宋体"/>
          <w:color w:val="auto"/>
          <w:spacing w:val="7"/>
          <w:sz w:val="20"/>
          <w:szCs w:val="20"/>
          <w:highlight w:val="none"/>
        </w:rPr>
        <w:t>文件的组成部分。澄清或者修</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改的内容可能影响响应文件编制的，采购人、采购代理机构</w:t>
      </w:r>
      <w:r>
        <w:rPr>
          <w:rFonts w:ascii="宋体" w:hAnsi="宋体" w:eastAsia="宋体" w:cs="宋体"/>
          <w:color w:val="auto"/>
          <w:spacing w:val="7"/>
          <w:sz w:val="20"/>
          <w:szCs w:val="20"/>
          <w:highlight w:val="none"/>
        </w:rPr>
        <w:t>或者磋商小组在提交首次响应文件截</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止之日</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个工作日前，以书面形式（</w:t>
      </w:r>
      <w:r>
        <w:rPr>
          <w:rFonts w:ascii="宋体" w:hAnsi="宋体" w:eastAsia="宋体" w:cs="宋体"/>
          <w:color w:val="auto"/>
          <w:spacing w:val="-51"/>
          <w:sz w:val="20"/>
          <w:szCs w:val="20"/>
          <w:highlight w:val="none"/>
        </w:rPr>
        <w:t xml:space="preserve"> </w:t>
      </w:r>
      <w:r>
        <w:rPr>
          <w:rFonts w:ascii="宋体" w:hAnsi="宋体" w:eastAsia="宋体" w:cs="宋体"/>
          <w:color w:val="auto"/>
          <w:spacing w:val="6"/>
          <w:sz w:val="20"/>
          <w:szCs w:val="20"/>
          <w:highlight w:val="none"/>
        </w:rPr>
        <w:t>目前为网上公告和系统短信等形式）通知</w:t>
      </w:r>
      <w:r>
        <w:rPr>
          <w:rFonts w:ascii="宋体" w:hAnsi="宋体" w:eastAsia="宋体" w:cs="宋体"/>
          <w:color w:val="auto"/>
          <w:spacing w:val="5"/>
          <w:sz w:val="20"/>
          <w:szCs w:val="20"/>
          <w:highlight w:val="none"/>
        </w:rPr>
        <w:t>所有获取磋商文件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的供应商，不足</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个工作日的，应当顺延提交首次响应文件截止之日。</w:t>
      </w:r>
    </w:p>
    <w:p w14:paraId="17EAA646">
      <w:pPr>
        <w:spacing w:before="250" w:line="227" w:lineRule="auto"/>
        <w:jc w:val="right"/>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10.4</w:t>
      </w:r>
      <w:r>
        <w:rPr>
          <w:rFonts w:ascii="宋体" w:hAnsi="宋体" w:eastAsia="宋体" w:cs="宋体"/>
          <w:color w:val="auto"/>
          <w:spacing w:val="-24"/>
          <w:sz w:val="20"/>
          <w:szCs w:val="20"/>
          <w:highlight w:val="none"/>
        </w:rPr>
        <w:t xml:space="preserve"> </w:t>
      </w:r>
      <w:r>
        <w:rPr>
          <w:rFonts w:ascii="宋体" w:hAnsi="宋体" w:eastAsia="宋体" w:cs="宋体"/>
          <w:color w:val="auto"/>
          <w:spacing w:val="10"/>
          <w:sz w:val="20"/>
          <w:szCs w:val="20"/>
          <w:highlight w:val="none"/>
        </w:rPr>
        <w:t>采购信息更正公告的内容应当包括采购人和采购代理机构名称、地址、联系方式，原</w:t>
      </w:r>
    </w:p>
    <w:p w14:paraId="31EA1B79">
      <w:pPr>
        <w:spacing w:line="227" w:lineRule="auto"/>
        <w:rPr>
          <w:rFonts w:ascii="宋体" w:hAnsi="宋体" w:eastAsia="宋体" w:cs="宋体"/>
          <w:color w:val="auto"/>
          <w:sz w:val="20"/>
          <w:szCs w:val="20"/>
          <w:highlight w:val="none"/>
        </w:rPr>
        <w:sectPr>
          <w:footerReference r:id="rId26" w:type="default"/>
          <w:pgSz w:w="11905" w:h="16839"/>
          <w:pgMar w:top="400" w:right="1587" w:bottom="1149" w:left="1593" w:header="0" w:footer="913" w:gutter="0"/>
          <w:cols w:space="720" w:num="1"/>
        </w:sectPr>
      </w:pPr>
    </w:p>
    <w:p w14:paraId="5E8366CE">
      <w:pPr>
        <w:pStyle w:val="2"/>
        <w:spacing w:line="269" w:lineRule="auto"/>
        <w:rPr>
          <w:color w:val="auto"/>
          <w:highlight w:val="none"/>
        </w:rPr>
      </w:pPr>
    </w:p>
    <w:p w14:paraId="57347634">
      <w:pPr>
        <w:pStyle w:val="2"/>
        <w:spacing w:line="269" w:lineRule="auto"/>
        <w:rPr>
          <w:color w:val="auto"/>
          <w:highlight w:val="none"/>
        </w:rPr>
      </w:pPr>
    </w:p>
    <w:p w14:paraId="17E6F251">
      <w:pPr>
        <w:pStyle w:val="2"/>
        <w:spacing w:line="270" w:lineRule="auto"/>
        <w:rPr>
          <w:color w:val="auto"/>
          <w:highlight w:val="none"/>
        </w:rPr>
      </w:pPr>
    </w:p>
    <w:p w14:paraId="1852B125">
      <w:pPr>
        <w:spacing w:before="65" w:line="227" w:lineRule="auto"/>
        <w:ind w:left="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公告的采购项目名称及首次公告日期，更正事项、</w:t>
      </w:r>
      <w:r>
        <w:rPr>
          <w:rFonts w:ascii="宋体" w:hAnsi="宋体" w:eastAsia="宋体" w:cs="宋体"/>
          <w:color w:val="auto"/>
          <w:spacing w:val="-51"/>
          <w:sz w:val="20"/>
          <w:szCs w:val="20"/>
          <w:highlight w:val="none"/>
        </w:rPr>
        <w:t xml:space="preserve"> </w:t>
      </w:r>
      <w:r>
        <w:rPr>
          <w:rFonts w:ascii="宋体" w:hAnsi="宋体" w:eastAsia="宋体" w:cs="宋体"/>
          <w:color w:val="auto"/>
          <w:spacing w:val="8"/>
          <w:sz w:val="20"/>
          <w:szCs w:val="20"/>
          <w:highlight w:val="none"/>
        </w:rPr>
        <w:t>内容及日期，采购项目联系人和电话。</w:t>
      </w:r>
    </w:p>
    <w:p w14:paraId="02558C6D">
      <w:pPr>
        <w:spacing w:before="250" w:line="439" w:lineRule="auto"/>
        <w:ind w:right="54" w:firstLine="437"/>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10.5</w:t>
      </w:r>
      <w:r>
        <w:rPr>
          <w:rFonts w:ascii="宋体" w:hAnsi="宋体" w:eastAsia="宋体" w:cs="宋体"/>
          <w:color w:val="auto"/>
          <w:spacing w:val="-24"/>
          <w:sz w:val="20"/>
          <w:szCs w:val="20"/>
          <w:highlight w:val="none"/>
        </w:rPr>
        <w:t xml:space="preserve"> </w:t>
      </w:r>
      <w:r>
        <w:rPr>
          <w:rFonts w:ascii="宋体" w:hAnsi="宋体" w:eastAsia="宋体" w:cs="宋体"/>
          <w:color w:val="auto"/>
          <w:spacing w:val="10"/>
          <w:sz w:val="20"/>
          <w:szCs w:val="20"/>
          <w:highlight w:val="none"/>
        </w:rPr>
        <w:t>采购人和采购代理机构可以视采购具体情况，变更提交首次响应文件截止时间和竞谈</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时间，将变更时间将在“采购文件公告</w:t>
      </w:r>
      <w:r>
        <w:rPr>
          <w:rFonts w:ascii="宋体" w:hAnsi="宋体" w:eastAsia="宋体" w:cs="宋体"/>
          <w:color w:val="auto"/>
          <w:spacing w:val="-60"/>
          <w:sz w:val="20"/>
          <w:szCs w:val="20"/>
          <w:highlight w:val="none"/>
        </w:rPr>
        <w:t xml:space="preserve"> </w:t>
      </w:r>
      <w:r>
        <w:rPr>
          <w:rFonts w:ascii="宋体" w:hAnsi="宋体" w:eastAsia="宋体" w:cs="宋体"/>
          <w:color w:val="auto"/>
          <w:spacing w:val="5"/>
          <w:sz w:val="20"/>
          <w:szCs w:val="20"/>
          <w:highlight w:val="none"/>
        </w:rPr>
        <w:t>”中“七、其他补充事宜</w:t>
      </w:r>
      <w:r>
        <w:rPr>
          <w:rFonts w:ascii="宋体" w:hAnsi="宋体" w:eastAsia="宋体" w:cs="宋体"/>
          <w:color w:val="auto"/>
          <w:spacing w:val="-37"/>
          <w:sz w:val="20"/>
          <w:szCs w:val="20"/>
          <w:highlight w:val="none"/>
        </w:rPr>
        <w:t xml:space="preserve"> </w:t>
      </w:r>
      <w:r>
        <w:rPr>
          <w:rFonts w:ascii="Times New Roman" w:hAnsi="Times New Roman" w:eastAsia="Times New Roman" w:cs="Times New Roman"/>
          <w:color w:val="auto"/>
          <w:spacing w:val="5"/>
          <w:sz w:val="20"/>
          <w:szCs w:val="20"/>
          <w:highlight w:val="none"/>
        </w:rPr>
        <w:t>3.</w:t>
      </w:r>
      <w:r>
        <w:rPr>
          <w:rFonts w:ascii="Times New Roman" w:hAnsi="Times New Roman" w:eastAsia="Times New Roman" w:cs="Times New Roman"/>
          <w:color w:val="auto"/>
          <w:spacing w:val="-27"/>
          <w:sz w:val="20"/>
          <w:szCs w:val="20"/>
          <w:highlight w:val="none"/>
        </w:rPr>
        <w:t xml:space="preserve"> </w:t>
      </w:r>
      <w:r>
        <w:rPr>
          <w:rFonts w:ascii="宋体" w:hAnsi="宋体" w:eastAsia="宋体" w:cs="宋体"/>
          <w:color w:val="auto"/>
          <w:spacing w:val="5"/>
          <w:sz w:val="20"/>
          <w:szCs w:val="20"/>
          <w:highlight w:val="none"/>
        </w:rPr>
        <w:t>网上查询地址</w:t>
      </w:r>
      <w:r>
        <w:rPr>
          <w:rFonts w:ascii="宋体" w:hAnsi="宋体" w:eastAsia="宋体" w:cs="宋体"/>
          <w:color w:val="auto"/>
          <w:spacing w:val="-70"/>
          <w:sz w:val="20"/>
          <w:szCs w:val="20"/>
          <w:highlight w:val="none"/>
        </w:rPr>
        <w:t xml:space="preserve"> </w:t>
      </w:r>
      <w:r>
        <w:rPr>
          <w:rFonts w:ascii="宋体" w:hAnsi="宋体" w:eastAsia="宋体" w:cs="宋体"/>
          <w:color w:val="auto"/>
          <w:spacing w:val="5"/>
          <w:sz w:val="20"/>
          <w:szCs w:val="20"/>
          <w:highlight w:val="none"/>
        </w:rPr>
        <w:t>”规定的政府采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购信息发布媒体上发布更正公告。</w:t>
      </w:r>
    </w:p>
    <w:p w14:paraId="5FA114FB">
      <w:pPr>
        <w:spacing w:before="62" w:line="460" w:lineRule="auto"/>
        <w:ind w:left="2" w:right="54" w:firstLine="426"/>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w:t>
      </w:r>
      <w:r>
        <w:rPr>
          <w:rFonts w:ascii="宋体" w:hAnsi="宋体" w:eastAsia="宋体" w:cs="宋体"/>
          <w:b/>
          <w:bCs/>
          <w:color w:val="auto"/>
          <w:spacing w:val="11"/>
          <w:sz w:val="20"/>
          <w:szCs w:val="20"/>
          <w:highlight w:val="none"/>
        </w:rPr>
        <w:t>响应文件未按磋商文件的澄清、修改的内容编制，又</w:t>
      </w:r>
      <w:r>
        <w:rPr>
          <w:rFonts w:ascii="宋体" w:hAnsi="宋体" w:eastAsia="宋体" w:cs="宋体"/>
          <w:b/>
          <w:bCs/>
          <w:color w:val="auto"/>
          <w:spacing w:val="10"/>
          <w:sz w:val="20"/>
          <w:szCs w:val="20"/>
          <w:highlight w:val="none"/>
        </w:rPr>
        <w:t>不符合实质性要求的，其响应文件</w:t>
      </w:r>
      <w:r>
        <w:rPr>
          <w:rFonts w:ascii="宋体" w:hAnsi="宋体" w:eastAsia="宋体" w:cs="宋体"/>
          <w:color w:val="auto"/>
          <w:sz w:val="20"/>
          <w:szCs w:val="20"/>
          <w:highlight w:val="none"/>
        </w:rPr>
        <w:t xml:space="preserve"> </w:t>
      </w:r>
      <w:r>
        <w:rPr>
          <w:rFonts w:ascii="宋体" w:hAnsi="宋体" w:eastAsia="宋体" w:cs="宋体"/>
          <w:b/>
          <w:bCs/>
          <w:color w:val="auto"/>
          <w:spacing w:val="4"/>
          <w:sz w:val="20"/>
          <w:szCs w:val="20"/>
          <w:highlight w:val="none"/>
        </w:rPr>
        <w:t>作无效处理。</w:t>
      </w:r>
    </w:p>
    <w:p w14:paraId="69277C54">
      <w:pPr>
        <w:spacing w:before="27" w:line="225" w:lineRule="auto"/>
        <w:ind w:left="3248"/>
        <w:outlineLvl w:val="2"/>
        <w:rPr>
          <w:rFonts w:ascii="宋体" w:hAnsi="宋体" w:eastAsia="宋体" w:cs="宋体"/>
          <w:color w:val="auto"/>
          <w:sz w:val="31"/>
          <w:szCs w:val="31"/>
          <w:highlight w:val="none"/>
        </w:rPr>
      </w:pPr>
      <w:bookmarkStart w:id="8" w:name="_Toc8411"/>
      <w:r>
        <w:rPr>
          <w:rFonts w:ascii="宋体" w:hAnsi="宋体" w:eastAsia="宋体" w:cs="宋体"/>
          <w:b/>
          <w:bCs/>
          <w:color w:val="auto"/>
          <w:spacing w:val="6"/>
          <w:sz w:val="31"/>
          <w:szCs w:val="31"/>
          <w:highlight w:val="none"/>
        </w:rPr>
        <w:t>三、响应文件的编制</w:t>
      </w:r>
      <w:bookmarkEnd w:id="8"/>
    </w:p>
    <w:p w14:paraId="2F781EB1">
      <w:pPr>
        <w:spacing w:before="238" w:line="220" w:lineRule="auto"/>
        <w:ind w:left="44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11.响应文件的编制原则</w:t>
      </w:r>
    </w:p>
    <w:p w14:paraId="3B181359">
      <w:pPr>
        <w:spacing w:before="222" w:line="452" w:lineRule="auto"/>
        <w:ind w:left="2" w:right="56"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供应商必须按照磋商文件的要求编制响应文</w:t>
      </w:r>
      <w:r>
        <w:rPr>
          <w:rFonts w:ascii="宋体" w:hAnsi="宋体" w:eastAsia="宋体" w:cs="宋体"/>
          <w:color w:val="auto"/>
          <w:spacing w:val="7"/>
          <w:sz w:val="20"/>
          <w:szCs w:val="20"/>
          <w:highlight w:val="none"/>
        </w:rPr>
        <w:t>件，并对其提交的响应文件的真实性、合法性承</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担法律责任。响应文件必须对磋商文件作出实质性响应。</w:t>
      </w:r>
    </w:p>
    <w:p w14:paraId="09F6CC80">
      <w:pPr>
        <w:spacing w:before="1" w:line="220" w:lineRule="auto"/>
        <w:ind w:left="440"/>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12.响应文件的组成</w:t>
      </w:r>
    </w:p>
    <w:p w14:paraId="264E51C6">
      <w:pPr>
        <w:spacing w:before="225"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12.1</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响应文件由资格证明文件、商务技术文件、报</w:t>
      </w:r>
      <w:r>
        <w:rPr>
          <w:rFonts w:ascii="宋体" w:hAnsi="宋体" w:eastAsia="宋体" w:cs="宋体"/>
          <w:color w:val="auto"/>
          <w:spacing w:val="7"/>
          <w:sz w:val="20"/>
          <w:szCs w:val="20"/>
          <w:highlight w:val="none"/>
        </w:rPr>
        <w:t>价文件三部分组成。</w:t>
      </w:r>
    </w:p>
    <w:p w14:paraId="7E39DE22">
      <w:pPr>
        <w:spacing w:before="250" w:line="228" w:lineRule="auto"/>
        <w:ind w:left="85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12.1.1</w:t>
      </w:r>
      <w:r>
        <w:rPr>
          <w:rFonts w:ascii="宋体" w:hAnsi="宋体" w:eastAsia="宋体" w:cs="宋体"/>
          <w:color w:val="auto"/>
          <w:spacing w:val="-26"/>
          <w:sz w:val="20"/>
          <w:szCs w:val="20"/>
          <w:highlight w:val="none"/>
        </w:rPr>
        <w:t xml:space="preserve"> </w:t>
      </w:r>
      <w:r>
        <w:rPr>
          <w:rFonts w:ascii="宋体" w:hAnsi="宋体" w:eastAsia="宋体" w:cs="宋体"/>
          <w:color w:val="auto"/>
          <w:spacing w:val="6"/>
          <w:sz w:val="20"/>
          <w:szCs w:val="20"/>
          <w:highlight w:val="none"/>
        </w:rPr>
        <w:t>资格证明文件：详见须知前附表</w:t>
      </w:r>
    </w:p>
    <w:p w14:paraId="72242A9B">
      <w:pPr>
        <w:spacing w:before="250" w:line="228" w:lineRule="auto"/>
        <w:ind w:left="85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12.1.2</w:t>
      </w:r>
      <w:r>
        <w:rPr>
          <w:rFonts w:ascii="宋体" w:hAnsi="宋体" w:eastAsia="宋体" w:cs="宋体"/>
          <w:color w:val="auto"/>
          <w:spacing w:val="-26"/>
          <w:sz w:val="20"/>
          <w:szCs w:val="20"/>
          <w:highlight w:val="none"/>
        </w:rPr>
        <w:t xml:space="preserve"> </w:t>
      </w:r>
      <w:r>
        <w:rPr>
          <w:rFonts w:ascii="宋体" w:hAnsi="宋体" w:eastAsia="宋体" w:cs="宋体"/>
          <w:color w:val="auto"/>
          <w:spacing w:val="6"/>
          <w:sz w:val="20"/>
          <w:szCs w:val="20"/>
          <w:highlight w:val="none"/>
        </w:rPr>
        <w:t>商务技术文件：详见须知前附表</w:t>
      </w:r>
    </w:p>
    <w:p w14:paraId="03821B15">
      <w:pPr>
        <w:spacing w:before="250" w:line="227" w:lineRule="auto"/>
        <w:ind w:left="85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12.1.3</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报价文件：详见须知前附表</w:t>
      </w:r>
    </w:p>
    <w:p w14:paraId="6BE62A62">
      <w:pPr>
        <w:spacing w:before="251" w:line="228" w:lineRule="auto"/>
        <w:ind w:left="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12.2</w:t>
      </w:r>
      <w:r>
        <w:rPr>
          <w:rFonts w:ascii="宋体" w:hAnsi="宋体" w:eastAsia="宋体" w:cs="宋体"/>
          <w:color w:val="auto"/>
          <w:spacing w:val="-17"/>
          <w:sz w:val="20"/>
          <w:szCs w:val="20"/>
          <w:highlight w:val="none"/>
        </w:rPr>
        <w:t xml:space="preserve"> </w:t>
      </w:r>
      <w:r>
        <w:rPr>
          <w:rFonts w:ascii="宋体" w:hAnsi="宋体" w:eastAsia="宋体" w:cs="宋体"/>
          <w:color w:val="auto"/>
          <w:spacing w:val="6"/>
          <w:sz w:val="20"/>
          <w:szCs w:val="20"/>
          <w:highlight w:val="none"/>
        </w:rPr>
        <w:t>响应文件电子版：详见须知前附表</w:t>
      </w:r>
    </w:p>
    <w:p w14:paraId="6FD1ADE6">
      <w:pPr>
        <w:spacing w:before="233" w:line="221" w:lineRule="auto"/>
        <w:ind w:left="44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13.计量单位</w:t>
      </w:r>
    </w:p>
    <w:p w14:paraId="7E365865">
      <w:pPr>
        <w:spacing w:before="224" w:line="452" w:lineRule="auto"/>
        <w:ind w:left="2" w:right="56" w:firstLine="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磋商文件已有明确规定的，使用磋商文件规定</w:t>
      </w:r>
      <w:r>
        <w:rPr>
          <w:rFonts w:ascii="宋体" w:hAnsi="宋体" w:eastAsia="宋体" w:cs="宋体"/>
          <w:color w:val="auto"/>
          <w:spacing w:val="7"/>
          <w:sz w:val="20"/>
          <w:szCs w:val="20"/>
          <w:highlight w:val="none"/>
        </w:rPr>
        <w:t>的计量单位；磋商文件没有规定的，应采用中</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华人民共和国法定计量单位，货币种类为人民币，否则视同未响应。</w:t>
      </w:r>
    </w:p>
    <w:p w14:paraId="0EB2D604">
      <w:pPr>
        <w:spacing w:before="1" w:line="220" w:lineRule="auto"/>
        <w:ind w:left="44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14.竞标的风险</w:t>
      </w:r>
    </w:p>
    <w:p w14:paraId="780A0414">
      <w:pPr>
        <w:spacing w:before="224" w:line="452" w:lineRule="auto"/>
        <w:ind w:left="1" w:right="56"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供应商没有按照磋商文件要求提供全部资料</w:t>
      </w:r>
      <w:r>
        <w:rPr>
          <w:rFonts w:ascii="宋体" w:hAnsi="宋体" w:eastAsia="宋体" w:cs="宋体"/>
          <w:color w:val="auto"/>
          <w:spacing w:val="7"/>
          <w:sz w:val="20"/>
          <w:szCs w:val="20"/>
          <w:highlight w:val="none"/>
        </w:rPr>
        <w:t>，或者供应商没有对磋商文件在各方面作出实质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性响应可能导致其响应无效，是供应商应当考虑的风险。</w:t>
      </w:r>
    </w:p>
    <w:p w14:paraId="747000A2">
      <w:pPr>
        <w:spacing w:before="1" w:line="218" w:lineRule="auto"/>
        <w:ind w:left="44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15.响应报价要求和构成</w:t>
      </w:r>
    </w:p>
    <w:p w14:paraId="6911A369">
      <w:pPr>
        <w:spacing w:before="228" w:line="343" w:lineRule="auto"/>
        <w:ind w:left="7" w:right="53" w:firstLine="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15.1</w:t>
      </w:r>
      <w:r>
        <w:rPr>
          <w:rFonts w:ascii="宋体" w:hAnsi="宋体" w:eastAsia="宋体" w:cs="宋体"/>
          <w:color w:val="auto"/>
          <w:spacing w:val="-26"/>
          <w:sz w:val="20"/>
          <w:szCs w:val="20"/>
          <w:highlight w:val="none"/>
        </w:rPr>
        <w:t xml:space="preserve"> </w:t>
      </w:r>
      <w:r>
        <w:rPr>
          <w:rFonts w:ascii="宋体" w:hAnsi="宋体" w:eastAsia="宋体" w:cs="宋体"/>
          <w:color w:val="auto"/>
          <w:spacing w:val="6"/>
          <w:sz w:val="20"/>
          <w:szCs w:val="20"/>
          <w:highlight w:val="none"/>
        </w:rPr>
        <w:t>响应报价应按“第五章 响应文件格式</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”中“响应报价表、已标价工程量清单</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”格式填</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写。</w:t>
      </w:r>
    </w:p>
    <w:p w14:paraId="433D139D">
      <w:pPr>
        <w:spacing w:before="247" w:line="227"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15.2</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响应报价的价格构成见“供应商须知前附表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w:t>
      </w:r>
    </w:p>
    <w:p w14:paraId="392D1846">
      <w:pPr>
        <w:spacing w:before="251" w:line="227" w:lineRule="auto"/>
        <w:ind w:left="437"/>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15.3</w:t>
      </w:r>
      <w:r>
        <w:rPr>
          <w:rFonts w:ascii="宋体" w:hAnsi="宋体" w:eastAsia="宋体" w:cs="宋体"/>
          <w:color w:val="auto"/>
          <w:spacing w:val="-25"/>
          <w:sz w:val="20"/>
          <w:szCs w:val="20"/>
          <w:highlight w:val="none"/>
        </w:rPr>
        <w:t xml:space="preserve"> </w:t>
      </w:r>
      <w:r>
        <w:rPr>
          <w:rFonts w:ascii="宋体" w:hAnsi="宋体" w:eastAsia="宋体" w:cs="宋体"/>
          <w:color w:val="auto"/>
          <w:spacing w:val="3"/>
          <w:sz w:val="20"/>
          <w:szCs w:val="20"/>
          <w:highlight w:val="none"/>
        </w:rPr>
        <w:t>响应报价要求</w:t>
      </w:r>
    </w:p>
    <w:p w14:paraId="4E71D846">
      <w:pPr>
        <w:spacing w:before="251" w:line="227"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15.3.1</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供应商的响应报价应符合以下要求，否则响应文件按无效响应处</w:t>
      </w:r>
      <w:r>
        <w:rPr>
          <w:rFonts w:ascii="宋体" w:hAnsi="宋体" w:eastAsia="宋体" w:cs="宋体"/>
          <w:color w:val="auto"/>
          <w:spacing w:val="7"/>
          <w:sz w:val="20"/>
          <w:szCs w:val="20"/>
          <w:highlight w:val="none"/>
        </w:rPr>
        <w:t>理：</w:t>
      </w:r>
    </w:p>
    <w:p w14:paraId="0D63CA8C">
      <w:pPr>
        <w:spacing w:before="251" w:line="227" w:lineRule="auto"/>
        <w:jc w:val="right"/>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（1）供应商必须就“采购需求</w:t>
      </w:r>
      <w:r>
        <w:rPr>
          <w:rFonts w:ascii="宋体" w:hAnsi="宋体" w:eastAsia="宋体" w:cs="宋体"/>
          <w:color w:val="auto"/>
          <w:spacing w:val="-60"/>
          <w:sz w:val="20"/>
          <w:szCs w:val="20"/>
          <w:highlight w:val="none"/>
        </w:rPr>
        <w:t xml:space="preserve"> </w:t>
      </w:r>
      <w:r>
        <w:rPr>
          <w:rFonts w:ascii="宋体" w:hAnsi="宋体" w:eastAsia="宋体" w:cs="宋体"/>
          <w:color w:val="auto"/>
          <w:spacing w:val="5"/>
          <w:sz w:val="20"/>
          <w:szCs w:val="20"/>
          <w:highlight w:val="none"/>
        </w:rPr>
        <w:t>”中所竞标的每个分标的全部内容分别作完整唯一总价报价，</w:t>
      </w:r>
    </w:p>
    <w:p w14:paraId="6AF7FD91">
      <w:pPr>
        <w:spacing w:line="227" w:lineRule="auto"/>
        <w:rPr>
          <w:rFonts w:ascii="宋体" w:hAnsi="宋体" w:eastAsia="宋体" w:cs="宋体"/>
          <w:color w:val="auto"/>
          <w:sz w:val="20"/>
          <w:szCs w:val="20"/>
          <w:highlight w:val="none"/>
        </w:rPr>
        <w:sectPr>
          <w:footerReference r:id="rId27" w:type="default"/>
          <w:pgSz w:w="11905" w:h="16839"/>
          <w:pgMar w:top="400" w:right="1474" w:bottom="1149" w:left="1480" w:header="0" w:footer="913" w:gutter="0"/>
          <w:cols w:space="720" w:num="1"/>
        </w:sectPr>
      </w:pPr>
    </w:p>
    <w:p w14:paraId="3272953B">
      <w:pPr>
        <w:pStyle w:val="2"/>
        <w:spacing w:line="269" w:lineRule="auto"/>
        <w:rPr>
          <w:color w:val="auto"/>
          <w:highlight w:val="none"/>
        </w:rPr>
      </w:pPr>
    </w:p>
    <w:p w14:paraId="64D2E497">
      <w:pPr>
        <w:pStyle w:val="2"/>
        <w:spacing w:line="269" w:lineRule="auto"/>
        <w:rPr>
          <w:color w:val="auto"/>
          <w:highlight w:val="none"/>
        </w:rPr>
      </w:pPr>
    </w:p>
    <w:p w14:paraId="03C085E9">
      <w:pPr>
        <w:pStyle w:val="2"/>
        <w:spacing w:line="270" w:lineRule="auto"/>
        <w:rPr>
          <w:color w:val="auto"/>
          <w:highlight w:val="none"/>
        </w:rPr>
      </w:pPr>
    </w:p>
    <w:p w14:paraId="7413AF82">
      <w:pPr>
        <w:spacing w:before="65" w:line="227" w:lineRule="auto"/>
        <w:ind w:left="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不得存在漏项报价；</w:t>
      </w:r>
    </w:p>
    <w:p w14:paraId="38B33160">
      <w:pPr>
        <w:spacing w:before="248" w:line="227"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（2）供应商必须就所竞标的分标的单项内容作唯一报价。</w:t>
      </w:r>
    </w:p>
    <w:p w14:paraId="02372098">
      <w:pPr>
        <w:spacing w:before="250" w:line="343" w:lineRule="auto"/>
        <w:ind w:left="7" w:right="56"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15.3.2</w:t>
      </w:r>
      <w:r>
        <w:rPr>
          <w:rFonts w:ascii="宋体" w:hAnsi="宋体" w:eastAsia="宋体" w:cs="宋体"/>
          <w:color w:val="auto"/>
          <w:spacing w:val="-27"/>
          <w:sz w:val="20"/>
          <w:szCs w:val="20"/>
          <w:highlight w:val="none"/>
        </w:rPr>
        <w:t xml:space="preserve"> </w:t>
      </w:r>
      <w:r>
        <w:rPr>
          <w:rFonts w:ascii="宋体" w:hAnsi="宋体" w:eastAsia="宋体" w:cs="宋体"/>
          <w:color w:val="auto"/>
          <w:spacing w:val="10"/>
          <w:sz w:val="20"/>
          <w:szCs w:val="20"/>
          <w:highlight w:val="none"/>
        </w:rPr>
        <w:t>响应报价（包含首次报价、最后报价）超过所竞标分标规定的</w:t>
      </w:r>
      <w:r>
        <w:rPr>
          <w:rFonts w:ascii="宋体" w:hAnsi="宋体" w:eastAsia="宋体" w:cs="宋体"/>
          <w:color w:val="auto"/>
          <w:spacing w:val="9"/>
          <w:sz w:val="20"/>
          <w:szCs w:val="20"/>
          <w:highlight w:val="none"/>
        </w:rPr>
        <w:t>采购预算金额或者最</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高限价的，其响应文件将作无效处理。</w:t>
      </w:r>
    </w:p>
    <w:p w14:paraId="27AFA0D0">
      <w:pPr>
        <w:spacing w:before="251" w:line="343" w:lineRule="auto"/>
        <w:ind w:left="12" w:right="56"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15.3.3</w:t>
      </w:r>
      <w:r>
        <w:rPr>
          <w:rFonts w:ascii="宋体" w:hAnsi="宋体" w:eastAsia="宋体" w:cs="宋体"/>
          <w:color w:val="auto"/>
          <w:spacing w:val="-27"/>
          <w:sz w:val="20"/>
          <w:szCs w:val="20"/>
          <w:highlight w:val="none"/>
        </w:rPr>
        <w:t xml:space="preserve"> </w:t>
      </w:r>
      <w:r>
        <w:rPr>
          <w:rFonts w:ascii="宋体" w:hAnsi="宋体" w:eastAsia="宋体" w:cs="宋体"/>
          <w:color w:val="auto"/>
          <w:spacing w:val="10"/>
          <w:sz w:val="20"/>
          <w:szCs w:val="20"/>
          <w:highlight w:val="none"/>
        </w:rPr>
        <w:t>响应报价（包含首次报价、最后报价）超过分项采购预算金额</w:t>
      </w:r>
      <w:r>
        <w:rPr>
          <w:rFonts w:ascii="宋体" w:hAnsi="宋体" w:eastAsia="宋体" w:cs="宋体"/>
          <w:color w:val="auto"/>
          <w:spacing w:val="9"/>
          <w:sz w:val="20"/>
          <w:szCs w:val="20"/>
          <w:highlight w:val="none"/>
        </w:rPr>
        <w:t>或者最高限价的，其</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响应文件将作无效处理。</w:t>
      </w:r>
    </w:p>
    <w:p w14:paraId="05D305D6">
      <w:pPr>
        <w:spacing w:before="234" w:line="221" w:lineRule="auto"/>
        <w:ind w:left="44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16.竞标有效期</w:t>
      </w:r>
    </w:p>
    <w:p w14:paraId="16B3719C">
      <w:pPr>
        <w:spacing w:before="225" w:line="343" w:lineRule="auto"/>
        <w:ind w:left="1" w:right="54" w:firstLine="43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16.1</w:t>
      </w:r>
      <w:r>
        <w:rPr>
          <w:rFonts w:ascii="宋体" w:hAnsi="宋体" w:eastAsia="宋体" w:cs="宋体"/>
          <w:color w:val="auto"/>
          <w:spacing w:val="-24"/>
          <w:sz w:val="20"/>
          <w:szCs w:val="20"/>
          <w:highlight w:val="none"/>
        </w:rPr>
        <w:t xml:space="preserve"> </w:t>
      </w:r>
      <w:r>
        <w:rPr>
          <w:rFonts w:ascii="宋体" w:hAnsi="宋体" w:eastAsia="宋体" w:cs="宋体"/>
          <w:color w:val="auto"/>
          <w:spacing w:val="10"/>
          <w:sz w:val="20"/>
          <w:szCs w:val="20"/>
          <w:highlight w:val="none"/>
        </w:rPr>
        <w:t>竞标有效期是指为保证采购人有足够的时间在提交响应文件后完成评审、确定成交供</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应商、合同签订等工作而要求供应商提交的响应文件在一定时间内保持有效的期限。</w:t>
      </w:r>
    </w:p>
    <w:p w14:paraId="53C9C01A">
      <w:pPr>
        <w:spacing w:before="247" w:line="228"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16.2 竞标有效期应由供应商按“供应商须知前附表</w:t>
      </w:r>
      <w:r>
        <w:rPr>
          <w:rFonts w:ascii="宋体" w:hAnsi="宋体" w:eastAsia="宋体" w:cs="宋体"/>
          <w:color w:val="auto"/>
          <w:spacing w:val="-54"/>
          <w:sz w:val="20"/>
          <w:szCs w:val="20"/>
          <w:highlight w:val="none"/>
        </w:rPr>
        <w:t xml:space="preserve"> </w:t>
      </w:r>
      <w:r>
        <w:rPr>
          <w:rFonts w:ascii="宋体" w:hAnsi="宋体" w:eastAsia="宋体" w:cs="宋体"/>
          <w:color w:val="auto"/>
          <w:spacing w:val="7"/>
          <w:sz w:val="20"/>
          <w:szCs w:val="20"/>
          <w:highlight w:val="none"/>
        </w:rPr>
        <w:t>”规定的期限作出响应。</w:t>
      </w:r>
    </w:p>
    <w:p w14:paraId="760F6354">
      <w:pPr>
        <w:spacing w:before="250" w:line="228"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16.3</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供应商的响应文件在竞标有效期内均保持有效。</w:t>
      </w:r>
    </w:p>
    <w:p w14:paraId="7410D08B">
      <w:pPr>
        <w:spacing w:before="235" w:line="221" w:lineRule="auto"/>
        <w:ind w:left="44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17.磋商保证金</w:t>
      </w:r>
    </w:p>
    <w:p w14:paraId="37FCDADD">
      <w:pPr>
        <w:spacing w:before="224" w:line="228" w:lineRule="auto"/>
        <w:ind w:left="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详见“供应商须知前附表</w:t>
      </w:r>
      <w:r>
        <w:rPr>
          <w:rFonts w:ascii="宋体" w:hAnsi="宋体" w:eastAsia="宋体" w:cs="宋体"/>
          <w:color w:val="auto"/>
          <w:spacing w:val="-68"/>
          <w:sz w:val="20"/>
          <w:szCs w:val="20"/>
          <w:highlight w:val="none"/>
        </w:rPr>
        <w:t xml:space="preserve"> </w:t>
      </w:r>
      <w:r>
        <w:rPr>
          <w:rFonts w:ascii="宋体" w:hAnsi="宋体" w:eastAsia="宋体" w:cs="宋体"/>
          <w:color w:val="auto"/>
          <w:spacing w:val="8"/>
          <w:sz w:val="20"/>
          <w:szCs w:val="20"/>
          <w:highlight w:val="none"/>
        </w:rPr>
        <w:t>”。</w:t>
      </w:r>
    </w:p>
    <w:p w14:paraId="1B7AEF2F">
      <w:pPr>
        <w:spacing w:before="236" w:line="220" w:lineRule="auto"/>
        <w:ind w:left="44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18.响应文件编制的要求</w:t>
      </w:r>
    </w:p>
    <w:p w14:paraId="7D151633">
      <w:pPr>
        <w:spacing w:before="224" w:line="382" w:lineRule="auto"/>
        <w:ind w:left="2" w:firstLine="43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18.1</w:t>
      </w:r>
      <w:r>
        <w:rPr>
          <w:rFonts w:ascii="宋体" w:hAnsi="宋体" w:eastAsia="宋体" w:cs="宋体"/>
          <w:color w:val="auto"/>
          <w:spacing w:val="-38"/>
          <w:sz w:val="20"/>
          <w:szCs w:val="20"/>
          <w:highlight w:val="none"/>
        </w:rPr>
        <w:t xml:space="preserve"> </w:t>
      </w:r>
      <w:r>
        <w:rPr>
          <w:rFonts w:ascii="宋体" w:hAnsi="宋体" w:eastAsia="宋体" w:cs="宋体"/>
          <w:color w:val="auto"/>
          <w:spacing w:val="4"/>
          <w:sz w:val="20"/>
          <w:szCs w:val="20"/>
          <w:highlight w:val="none"/>
        </w:rPr>
        <w:t>各供应商在编制响应文件时请按照</w:t>
      </w:r>
      <w:r>
        <w:rPr>
          <w:rFonts w:ascii="宋体" w:hAnsi="宋体" w:eastAsia="宋体" w:cs="宋体"/>
          <w:color w:val="auto"/>
          <w:spacing w:val="3"/>
          <w:sz w:val="20"/>
          <w:szCs w:val="20"/>
          <w:highlight w:val="none"/>
        </w:rPr>
        <w:t>磋商文件“第五章 响应文件格式</w:t>
      </w:r>
      <w:r>
        <w:rPr>
          <w:rFonts w:ascii="宋体" w:hAnsi="宋体" w:eastAsia="宋体" w:cs="宋体"/>
          <w:color w:val="auto"/>
          <w:spacing w:val="-70"/>
          <w:sz w:val="20"/>
          <w:szCs w:val="20"/>
          <w:highlight w:val="none"/>
        </w:rPr>
        <w:t xml:space="preserve"> </w:t>
      </w:r>
      <w:r>
        <w:rPr>
          <w:rFonts w:ascii="宋体" w:hAnsi="宋体" w:eastAsia="宋体" w:cs="宋体"/>
          <w:color w:val="auto"/>
          <w:spacing w:val="3"/>
          <w:sz w:val="20"/>
          <w:szCs w:val="20"/>
          <w:highlight w:val="none"/>
        </w:rPr>
        <w:t>”规定的格式进行，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混乱的编排导致响应文件被误读或磋商小组查找不到有效文件</w:t>
      </w:r>
      <w:r>
        <w:rPr>
          <w:rFonts w:ascii="宋体" w:hAnsi="宋体" w:eastAsia="宋体" w:cs="宋体"/>
          <w:color w:val="auto"/>
          <w:spacing w:val="7"/>
          <w:sz w:val="20"/>
          <w:szCs w:val="20"/>
          <w:highlight w:val="none"/>
        </w:rPr>
        <w:t>是供应商的风险。不完整、编排混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乱导致响应文件被误读、漏读或者查找不到相关内容的，</w:t>
      </w:r>
      <w:r>
        <w:rPr>
          <w:rFonts w:ascii="宋体" w:hAnsi="宋体" w:eastAsia="宋体" w:cs="宋体"/>
          <w:color w:val="auto"/>
          <w:spacing w:val="-45"/>
          <w:sz w:val="20"/>
          <w:szCs w:val="20"/>
          <w:highlight w:val="none"/>
        </w:rPr>
        <w:t xml:space="preserve"> </w:t>
      </w:r>
      <w:r>
        <w:rPr>
          <w:rFonts w:ascii="宋体" w:hAnsi="宋体" w:eastAsia="宋体" w:cs="宋体"/>
          <w:color w:val="auto"/>
          <w:spacing w:val="8"/>
          <w:sz w:val="20"/>
          <w:szCs w:val="20"/>
          <w:highlight w:val="none"/>
        </w:rPr>
        <w:t>由此引发的后果由供应商承担。</w:t>
      </w:r>
    </w:p>
    <w:p w14:paraId="72282DD5">
      <w:pPr>
        <w:spacing w:before="248" w:line="343" w:lineRule="auto"/>
        <w:ind w:left="2" w:right="54" w:firstLine="43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18.2</w:t>
      </w:r>
      <w:r>
        <w:rPr>
          <w:rFonts w:ascii="宋体" w:hAnsi="宋体" w:eastAsia="宋体" w:cs="宋体"/>
          <w:color w:val="auto"/>
          <w:spacing w:val="-24"/>
          <w:sz w:val="20"/>
          <w:szCs w:val="20"/>
          <w:highlight w:val="none"/>
        </w:rPr>
        <w:t xml:space="preserve"> </w:t>
      </w:r>
      <w:r>
        <w:rPr>
          <w:rFonts w:ascii="宋体" w:hAnsi="宋体" w:eastAsia="宋体" w:cs="宋体"/>
          <w:color w:val="auto"/>
          <w:spacing w:val="10"/>
          <w:sz w:val="20"/>
          <w:szCs w:val="20"/>
          <w:highlight w:val="none"/>
        </w:rPr>
        <w:t>响应文件应按资格证明、报价分别编制，商务技术文件合并编制，本磋商只接受电子</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版响应文件，要求见本章“</w:t>
      </w:r>
      <w:r>
        <w:rPr>
          <w:rFonts w:ascii="宋体" w:hAnsi="宋体" w:eastAsia="宋体" w:cs="宋体"/>
          <w:color w:val="auto"/>
          <w:spacing w:val="-76"/>
          <w:sz w:val="20"/>
          <w:szCs w:val="20"/>
          <w:highlight w:val="none"/>
        </w:rPr>
        <w:t xml:space="preserve"> </w:t>
      </w:r>
      <w:r>
        <w:rPr>
          <w:rFonts w:ascii="宋体" w:hAnsi="宋体" w:eastAsia="宋体" w:cs="宋体"/>
          <w:color w:val="auto"/>
          <w:spacing w:val="7"/>
          <w:sz w:val="20"/>
          <w:szCs w:val="20"/>
          <w:highlight w:val="none"/>
        </w:rPr>
        <w:t>12.2</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响应文件电子版要求</w:t>
      </w:r>
      <w:r>
        <w:rPr>
          <w:rFonts w:ascii="宋体" w:hAnsi="宋体" w:eastAsia="宋体" w:cs="宋体"/>
          <w:color w:val="auto"/>
          <w:spacing w:val="-72"/>
          <w:sz w:val="20"/>
          <w:szCs w:val="20"/>
          <w:highlight w:val="none"/>
        </w:rPr>
        <w:t xml:space="preserve"> </w:t>
      </w:r>
      <w:r>
        <w:rPr>
          <w:rFonts w:ascii="宋体" w:hAnsi="宋体" w:eastAsia="宋体" w:cs="宋体"/>
          <w:color w:val="auto"/>
          <w:spacing w:val="7"/>
          <w:sz w:val="20"/>
          <w:szCs w:val="20"/>
          <w:highlight w:val="none"/>
        </w:rPr>
        <w:t>”。</w:t>
      </w:r>
    </w:p>
    <w:p w14:paraId="2B4F36FF">
      <w:pPr>
        <w:spacing w:before="250" w:line="343" w:lineRule="auto"/>
        <w:ind w:left="1" w:right="56" w:firstLine="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18.3</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响应文件须由供应商在“第五章 响应文件格式</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”规定位置进行</w:t>
      </w:r>
      <w:r>
        <w:rPr>
          <w:rFonts w:ascii="宋体" w:hAnsi="宋体" w:eastAsia="宋体" w:cs="宋体"/>
          <w:color w:val="auto"/>
          <w:spacing w:val="6"/>
          <w:sz w:val="20"/>
          <w:szCs w:val="20"/>
          <w:highlight w:val="none"/>
        </w:rPr>
        <w:t>签署、盖章，否则其响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应文件按无效响应处理。骑缝盖公章不视为在规定位置盖章。</w:t>
      </w:r>
    </w:p>
    <w:p w14:paraId="7943F924">
      <w:pPr>
        <w:spacing w:before="251" w:line="343" w:lineRule="auto"/>
        <w:ind w:left="3" w:right="54"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18.4</w:t>
      </w:r>
      <w:r>
        <w:rPr>
          <w:rFonts w:ascii="宋体" w:hAnsi="宋体" w:eastAsia="宋体" w:cs="宋体"/>
          <w:color w:val="auto"/>
          <w:spacing w:val="-28"/>
          <w:sz w:val="20"/>
          <w:szCs w:val="20"/>
          <w:highlight w:val="none"/>
        </w:rPr>
        <w:t xml:space="preserve"> </w:t>
      </w:r>
      <w:r>
        <w:rPr>
          <w:rFonts w:ascii="宋体" w:hAnsi="宋体" w:eastAsia="宋体" w:cs="宋体"/>
          <w:color w:val="auto"/>
          <w:spacing w:val="9"/>
          <w:sz w:val="20"/>
          <w:szCs w:val="20"/>
          <w:highlight w:val="none"/>
        </w:rPr>
        <w:t>响应文件中标注的供应商名称应与营业执照（事业单位法人证书、执业</w:t>
      </w:r>
      <w:r>
        <w:rPr>
          <w:rFonts w:ascii="宋体" w:hAnsi="宋体" w:eastAsia="宋体" w:cs="宋体"/>
          <w:color w:val="auto"/>
          <w:spacing w:val="8"/>
          <w:sz w:val="20"/>
          <w:szCs w:val="20"/>
          <w:highlight w:val="none"/>
        </w:rPr>
        <w:t>许可证、</w:t>
      </w:r>
      <w:r>
        <w:rPr>
          <w:rFonts w:ascii="宋体" w:hAnsi="宋体" w:eastAsia="宋体" w:cs="宋体"/>
          <w:color w:val="auto"/>
          <w:spacing w:val="-49"/>
          <w:sz w:val="20"/>
          <w:szCs w:val="20"/>
          <w:highlight w:val="none"/>
        </w:rPr>
        <w:t xml:space="preserve"> </w:t>
      </w:r>
      <w:r>
        <w:rPr>
          <w:rFonts w:ascii="宋体" w:hAnsi="宋体" w:eastAsia="宋体" w:cs="宋体"/>
          <w:color w:val="auto"/>
          <w:spacing w:val="8"/>
          <w:sz w:val="20"/>
          <w:szCs w:val="20"/>
          <w:highlight w:val="none"/>
        </w:rPr>
        <w:t>自然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人身份证）及电子公章一致，否则其响应文件按无效响应处理。</w:t>
      </w:r>
    </w:p>
    <w:p w14:paraId="56F80CC0">
      <w:pPr>
        <w:spacing w:before="250"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18.5</w:t>
      </w:r>
      <w:r>
        <w:rPr>
          <w:rFonts w:ascii="宋体" w:hAnsi="宋体" w:eastAsia="宋体" w:cs="宋体"/>
          <w:color w:val="auto"/>
          <w:spacing w:val="-28"/>
          <w:sz w:val="20"/>
          <w:szCs w:val="20"/>
          <w:highlight w:val="none"/>
        </w:rPr>
        <w:t xml:space="preserve"> </w:t>
      </w:r>
      <w:r>
        <w:rPr>
          <w:rFonts w:ascii="宋体" w:hAnsi="宋体" w:eastAsia="宋体" w:cs="宋体"/>
          <w:color w:val="auto"/>
          <w:spacing w:val="8"/>
          <w:sz w:val="20"/>
          <w:szCs w:val="20"/>
          <w:highlight w:val="none"/>
        </w:rPr>
        <w:t>响应文件应避免涂改、行间插字或者删除，否则其响应文件按无效响应处理。</w:t>
      </w:r>
    </w:p>
    <w:p w14:paraId="7362B43B">
      <w:pPr>
        <w:spacing w:before="235" w:line="220" w:lineRule="auto"/>
        <w:ind w:left="440"/>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19.响应文件的密封和标记</w:t>
      </w:r>
    </w:p>
    <w:p w14:paraId="2DB586F3">
      <w:pPr>
        <w:spacing w:before="223" w:line="382" w:lineRule="auto"/>
        <w:ind w:right="53" w:firstLine="43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19.1</w:t>
      </w:r>
      <w:r>
        <w:rPr>
          <w:rFonts w:ascii="宋体" w:hAnsi="宋体" w:eastAsia="宋体" w:cs="宋体"/>
          <w:color w:val="auto"/>
          <w:spacing w:val="-38"/>
          <w:sz w:val="20"/>
          <w:szCs w:val="20"/>
          <w:highlight w:val="none"/>
        </w:rPr>
        <w:t xml:space="preserve"> </w:t>
      </w:r>
      <w:r>
        <w:rPr>
          <w:rFonts w:ascii="宋体" w:hAnsi="宋体" w:eastAsia="宋体" w:cs="宋体"/>
          <w:color w:val="auto"/>
          <w:spacing w:val="10"/>
          <w:sz w:val="20"/>
          <w:szCs w:val="20"/>
          <w:highlight w:val="none"/>
        </w:rPr>
        <w:t>供应商进行电子交易应安装客户端软件—“政采</w:t>
      </w:r>
      <w:r>
        <w:rPr>
          <w:rFonts w:ascii="宋体" w:hAnsi="宋体" w:eastAsia="宋体" w:cs="宋体"/>
          <w:color w:val="auto"/>
          <w:spacing w:val="9"/>
          <w:sz w:val="20"/>
          <w:szCs w:val="20"/>
          <w:highlight w:val="none"/>
        </w:rPr>
        <w:t>云电子交易客户端</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”，并按照磋商文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件和电子交易平台的要求编制并加密响应文件。供应商未按规</w:t>
      </w:r>
      <w:r>
        <w:rPr>
          <w:rFonts w:ascii="宋体" w:hAnsi="宋体" w:eastAsia="宋体" w:cs="宋体"/>
          <w:color w:val="auto"/>
          <w:spacing w:val="7"/>
          <w:sz w:val="20"/>
          <w:szCs w:val="20"/>
          <w:highlight w:val="none"/>
        </w:rPr>
        <w:t>定加密的响应文件，电子交易平台</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将拒收并提示。</w:t>
      </w:r>
    </w:p>
    <w:p w14:paraId="0B570928">
      <w:pPr>
        <w:spacing w:before="249" w:line="228"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19.2</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使用“政采云电子交易客户端</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”需要提前申领</w:t>
      </w:r>
      <w:r>
        <w:rPr>
          <w:rFonts w:ascii="宋体" w:hAnsi="宋体" w:eastAsia="宋体" w:cs="宋体"/>
          <w:color w:val="auto"/>
          <w:spacing w:val="-38"/>
          <w:sz w:val="20"/>
          <w:szCs w:val="20"/>
          <w:highlight w:val="none"/>
        </w:rPr>
        <w:t xml:space="preserve"> </w:t>
      </w:r>
      <w:r>
        <w:rPr>
          <w:rFonts w:ascii="宋体" w:hAnsi="宋体" w:eastAsia="宋体" w:cs="宋体"/>
          <w:color w:val="auto"/>
          <w:sz w:val="20"/>
          <w:szCs w:val="20"/>
          <w:highlight w:val="none"/>
        </w:rPr>
        <w:t>CA</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数字证书，申领流程</w:t>
      </w:r>
      <w:r>
        <w:rPr>
          <w:rFonts w:ascii="宋体" w:hAnsi="宋体" w:eastAsia="宋体" w:cs="宋体"/>
          <w:color w:val="auto"/>
          <w:spacing w:val="6"/>
          <w:sz w:val="20"/>
          <w:szCs w:val="20"/>
          <w:highlight w:val="none"/>
        </w:rPr>
        <w:t>见该项目采购公</w:t>
      </w:r>
    </w:p>
    <w:p w14:paraId="0FB917ED">
      <w:pPr>
        <w:spacing w:line="228" w:lineRule="auto"/>
        <w:rPr>
          <w:rFonts w:ascii="宋体" w:hAnsi="宋体" w:eastAsia="宋体" w:cs="宋体"/>
          <w:color w:val="auto"/>
          <w:sz w:val="20"/>
          <w:szCs w:val="20"/>
          <w:highlight w:val="none"/>
        </w:rPr>
        <w:sectPr>
          <w:footerReference r:id="rId28" w:type="default"/>
          <w:pgSz w:w="11905" w:h="16839"/>
          <w:pgMar w:top="400" w:right="1533" w:bottom="1149" w:left="1592" w:header="0" w:footer="913" w:gutter="0"/>
          <w:cols w:space="720" w:num="1"/>
        </w:sectPr>
      </w:pPr>
    </w:p>
    <w:p w14:paraId="48AD9767">
      <w:pPr>
        <w:pStyle w:val="2"/>
        <w:spacing w:line="269" w:lineRule="auto"/>
        <w:rPr>
          <w:color w:val="auto"/>
          <w:highlight w:val="none"/>
        </w:rPr>
      </w:pPr>
    </w:p>
    <w:p w14:paraId="78C378BC">
      <w:pPr>
        <w:pStyle w:val="2"/>
        <w:spacing w:line="269" w:lineRule="auto"/>
        <w:rPr>
          <w:color w:val="auto"/>
          <w:highlight w:val="none"/>
        </w:rPr>
      </w:pPr>
    </w:p>
    <w:p w14:paraId="6EA0BE6E">
      <w:pPr>
        <w:pStyle w:val="2"/>
        <w:spacing w:line="270" w:lineRule="auto"/>
        <w:rPr>
          <w:color w:val="auto"/>
          <w:highlight w:val="none"/>
        </w:rPr>
      </w:pPr>
    </w:p>
    <w:p w14:paraId="017019DE">
      <w:pPr>
        <w:spacing w:before="65" w:line="227" w:lineRule="auto"/>
        <w:ind w:left="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告附件。</w:t>
      </w:r>
    </w:p>
    <w:p w14:paraId="1429AAC4">
      <w:pPr>
        <w:spacing w:before="248" w:line="454" w:lineRule="auto"/>
        <w:ind w:firstLine="436"/>
        <w:jc w:val="both"/>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19.3</w:t>
      </w:r>
      <w:r>
        <w:rPr>
          <w:rFonts w:ascii="宋体" w:hAnsi="宋体" w:eastAsia="宋体" w:cs="宋体"/>
          <w:color w:val="auto"/>
          <w:spacing w:val="-24"/>
          <w:sz w:val="20"/>
          <w:szCs w:val="20"/>
          <w:highlight w:val="none"/>
        </w:rPr>
        <w:t xml:space="preserve"> </w:t>
      </w:r>
      <w:r>
        <w:rPr>
          <w:rFonts w:ascii="宋体" w:hAnsi="宋体" w:eastAsia="宋体" w:cs="宋体"/>
          <w:color w:val="auto"/>
          <w:spacing w:val="5"/>
          <w:sz w:val="20"/>
          <w:szCs w:val="20"/>
          <w:highlight w:val="none"/>
        </w:rPr>
        <w:t>为确保网上操作合法、有效和安全，供应商应当在响应文件提交截止时间前完成在“政</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府采购云平台</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”的身份认证，确保在电子交易过程中能够对相关数据电文进行加密和使用电</w:t>
      </w:r>
      <w:r>
        <w:rPr>
          <w:rFonts w:ascii="宋体" w:hAnsi="宋体" w:eastAsia="宋体" w:cs="宋体"/>
          <w:color w:val="auto"/>
          <w:spacing w:val="6"/>
          <w:sz w:val="20"/>
          <w:szCs w:val="20"/>
          <w:highlight w:val="none"/>
        </w:rPr>
        <w:t>子签</w:t>
      </w:r>
      <w:r>
        <w:rPr>
          <w:rFonts w:ascii="宋体" w:hAnsi="宋体" w:eastAsia="宋体" w:cs="宋体"/>
          <w:color w:val="auto"/>
          <w:sz w:val="20"/>
          <w:szCs w:val="20"/>
          <w:highlight w:val="none"/>
        </w:rPr>
        <w:t xml:space="preserve"> 名。</w:t>
      </w:r>
    </w:p>
    <w:p w14:paraId="62E3BC07">
      <w:pPr>
        <w:spacing w:line="220" w:lineRule="auto"/>
        <w:ind w:left="42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20.响应文件的提交</w:t>
      </w:r>
    </w:p>
    <w:p w14:paraId="70EDDDD5">
      <w:pPr>
        <w:spacing w:before="224"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20.1</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供应商必须在“供应商须知前附表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”规定的时</w:t>
      </w:r>
      <w:r>
        <w:rPr>
          <w:rFonts w:ascii="宋体" w:hAnsi="宋体" w:eastAsia="宋体" w:cs="宋体"/>
          <w:color w:val="auto"/>
          <w:spacing w:val="7"/>
          <w:sz w:val="20"/>
          <w:szCs w:val="20"/>
          <w:highlight w:val="none"/>
        </w:rPr>
        <w:t>间和地点提交响应文件。</w:t>
      </w:r>
    </w:p>
    <w:p w14:paraId="45A83571">
      <w:pPr>
        <w:spacing w:before="250"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20.2 在响应文件提交截止时间以后，不能补充、修改响应文件。</w:t>
      </w:r>
    </w:p>
    <w:p w14:paraId="4F15C4F0">
      <w:pPr>
        <w:spacing w:before="250" w:line="227" w:lineRule="auto"/>
        <w:ind w:left="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20.3 在提交“最后报价</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”后，供应商不能退出磋商。</w:t>
      </w:r>
    </w:p>
    <w:p w14:paraId="5102F15C">
      <w:pPr>
        <w:spacing w:before="251" w:line="381" w:lineRule="auto"/>
        <w:ind w:left="2"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20.4</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电子交易平台收到响应文件，将妥善保存并即时向供应商发出确</w:t>
      </w:r>
      <w:r>
        <w:rPr>
          <w:rFonts w:ascii="宋体" w:hAnsi="宋体" w:eastAsia="宋体" w:cs="宋体"/>
          <w:color w:val="auto"/>
          <w:spacing w:val="8"/>
          <w:sz w:val="20"/>
          <w:szCs w:val="20"/>
          <w:highlight w:val="none"/>
        </w:rPr>
        <w:t>认回执通知。在响应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文件提交截止时间前，除供应商补充、修改或者撤回响应文</w:t>
      </w:r>
      <w:r>
        <w:rPr>
          <w:rFonts w:ascii="宋体" w:hAnsi="宋体" w:eastAsia="宋体" w:cs="宋体"/>
          <w:color w:val="auto"/>
          <w:spacing w:val="7"/>
          <w:sz w:val="20"/>
          <w:szCs w:val="20"/>
          <w:highlight w:val="none"/>
        </w:rPr>
        <w:t>件外，任何单位和个人不得解密或提</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取响应文件。</w:t>
      </w:r>
    </w:p>
    <w:p w14:paraId="4959BBE5">
      <w:pPr>
        <w:spacing w:before="249"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20.5 采购机构不可视情况延长提交响应文件的截止时间。</w:t>
      </w:r>
    </w:p>
    <w:p w14:paraId="6DEE127D">
      <w:pPr>
        <w:spacing w:before="250"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20.6</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备份响应文件。详见在“供应商须知前附</w:t>
      </w:r>
      <w:r>
        <w:rPr>
          <w:rFonts w:ascii="宋体" w:hAnsi="宋体" w:eastAsia="宋体" w:cs="宋体"/>
          <w:color w:val="auto"/>
          <w:spacing w:val="7"/>
          <w:sz w:val="20"/>
          <w:szCs w:val="20"/>
          <w:highlight w:val="none"/>
        </w:rPr>
        <w:t>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w:t>
      </w:r>
    </w:p>
    <w:p w14:paraId="64DE26EA">
      <w:pPr>
        <w:spacing w:before="235" w:line="220" w:lineRule="auto"/>
        <w:ind w:left="42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21.首次响应文件的补充、修改与撤回</w:t>
      </w:r>
    </w:p>
    <w:p w14:paraId="49547B10">
      <w:pPr>
        <w:spacing w:before="225"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详见“供应商须知前附表</w:t>
      </w:r>
      <w:r>
        <w:rPr>
          <w:rFonts w:ascii="宋体" w:hAnsi="宋体" w:eastAsia="宋体" w:cs="宋体"/>
          <w:color w:val="auto"/>
          <w:spacing w:val="-68"/>
          <w:sz w:val="20"/>
          <w:szCs w:val="20"/>
          <w:highlight w:val="none"/>
        </w:rPr>
        <w:t xml:space="preserve"> </w:t>
      </w:r>
      <w:r>
        <w:rPr>
          <w:rFonts w:ascii="宋体" w:hAnsi="宋体" w:eastAsia="宋体" w:cs="宋体"/>
          <w:color w:val="auto"/>
          <w:spacing w:val="8"/>
          <w:sz w:val="20"/>
          <w:szCs w:val="20"/>
          <w:highlight w:val="none"/>
        </w:rPr>
        <w:t>”。</w:t>
      </w:r>
    </w:p>
    <w:p w14:paraId="3E7D8A6A">
      <w:pPr>
        <w:spacing w:before="236" w:line="220" w:lineRule="auto"/>
        <w:ind w:left="42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22.首次响应文件的退回</w:t>
      </w:r>
    </w:p>
    <w:p w14:paraId="0FC46860">
      <w:pPr>
        <w:spacing w:before="226" w:line="453" w:lineRule="auto"/>
        <w:ind w:left="3" w:right="2" w:firstLine="416"/>
        <w:jc w:val="both"/>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在首次响应文件提交截止时间止提交响应文件的供应商不足</w:t>
      </w:r>
      <w:r>
        <w:rPr>
          <w:rFonts w:ascii="宋体" w:hAnsi="宋体" w:eastAsia="宋体" w:cs="宋体"/>
          <w:color w:val="auto"/>
          <w:spacing w:val="-32"/>
          <w:sz w:val="20"/>
          <w:szCs w:val="20"/>
          <w:highlight w:val="none"/>
        </w:rPr>
        <w:t xml:space="preserve"> </w:t>
      </w:r>
      <w:r>
        <w:rPr>
          <w:rFonts w:ascii="宋体" w:hAnsi="宋体" w:eastAsia="宋体" w:cs="宋体"/>
          <w:color w:val="auto"/>
          <w:spacing w:val="12"/>
          <w:sz w:val="20"/>
          <w:szCs w:val="20"/>
          <w:highlight w:val="none"/>
        </w:rPr>
        <w:t>3</w:t>
      </w:r>
      <w:r>
        <w:rPr>
          <w:rFonts w:ascii="宋体" w:hAnsi="宋体" w:eastAsia="宋体" w:cs="宋体"/>
          <w:color w:val="auto"/>
          <w:spacing w:val="-34"/>
          <w:sz w:val="20"/>
          <w:szCs w:val="20"/>
          <w:highlight w:val="none"/>
        </w:rPr>
        <w:t xml:space="preserve"> </w:t>
      </w:r>
      <w:r>
        <w:rPr>
          <w:rFonts w:ascii="宋体" w:hAnsi="宋体" w:eastAsia="宋体" w:cs="宋体"/>
          <w:color w:val="auto"/>
          <w:spacing w:val="12"/>
          <w:sz w:val="20"/>
          <w:szCs w:val="20"/>
          <w:highlight w:val="none"/>
        </w:rPr>
        <w:t>家时电子响应文件由代</w:t>
      </w:r>
      <w:r>
        <w:rPr>
          <w:rFonts w:ascii="宋体" w:hAnsi="宋体" w:eastAsia="宋体" w:cs="宋体"/>
          <w:color w:val="auto"/>
          <w:spacing w:val="11"/>
          <w:sz w:val="20"/>
          <w:szCs w:val="20"/>
          <w:highlight w:val="none"/>
        </w:rPr>
        <w:t>理机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构在广西政府采购云平台操作退回，除此之外采购人</w:t>
      </w:r>
      <w:r>
        <w:rPr>
          <w:rFonts w:ascii="宋体" w:hAnsi="宋体" w:eastAsia="宋体" w:cs="宋体"/>
          <w:color w:val="auto"/>
          <w:spacing w:val="7"/>
          <w:sz w:val="20"/>
          <w:szCs w:val="20"/>
          <w:highlight w:val="none"/>
        </w:rPr>
        <w:t>和采购代理机构对已提交的电子响应文件概</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不退回。</w:t>
      </w:r>
    </w:p>
    <w:p w14:paraId="2E4059C8">
      <w:pPr>
        <w:spacing w:before="1" w:line="220" w:lineRule="auto"/>
        <w:ind w:left="42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23.截止时间后的撤回</w:t>
      </w:r>
    </w:p>
    <w:p w14:paraId="26E96274">
      <w:pPr>
        <w:spacing w:before="224" w:line="460" w:lineRule="auto"/>
        <w:ind w:left="3" w:firstLine="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本项目不收取磋商保证金，供应商在首次响应文</w:t>
      </w:r>
      <w:r>
        <w:rPr>
          <w:rFonts w:ascii="宋体" w:hAnsi="宋体" w:eastAsia="宋体" w:cs="宋体"/>
          <w:color w:val="auto"/>
          <w:spacing w:val="7"/>
          <w:sz w:val="20"/>
          <w:szCs w:val="20"/>
          <w:highlight w:val="none"/>
        </w:rPr>
        <w:t>件提交截止时间后可向采购人、采购代理机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构书面申请撤回电子响应文件。</w:t>
      </w:r>
    </w:p>
    <w:p w14:paraId="6C843D08">
      <w:pPr>
        <w:spacing w:before="28" w:line="226" w:lineRule="auto"/>
        <w:ind w:left="3596"/>
        <w:outlineLvl w:val="2"/>
        <w:rPr>
          <w:rFonts w:ascii="宋体" w:hAnsi="宋体" w:eastAsia="宋体" w:cs="宋体"/>
          <w:color w:val="auto"/>
          <w:sz w:val="31"/>
          <w:szCs w:val="31"/>
          <w:highlight w:val="none"/>
        </w:rPr>
      </w:pPr>
      <w:bookmarkStart w:id="9" w:name="_Toc27934"/>
      <w:r>
        <w:rPr>
          <w:rFonts w:ascii="宋体" w:hAnsi="宋体" w:eastAsia="宋体" w:cs="宋体"/>
          <w:b/>
          <w:bCs/>
          <w:color w:val="auto"/>
          <w:spacing w:val="1"/>
          <w:sz w:val="31"/>
          <w:szCs w:val="31"/>
          <w:highlight w:val="none"/>
        </w:rPr>
        <w:t>四、评审及磋商</w:t>
      </w:r>
      <w:bookmarkEnd w:id="9"/>
    </w:p>
    <w:p w14:paraId="0A6EE43C">
      <w:pPr>
        <w:spacing w:before="238" w:line="221" w:lineRule="auto"/>
        <w:ind w:left="42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24.磋商小组成立</w:t>
      </w:r>
    </w:p>
    <w:p w14:paraId="04F01F32">
      <w:pPr>
        <w:spacing w:before="219" w:line="429" w:lineRule="auto"/>
        <w:ind w:right="2" w:firstLine="423"/>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24.1</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磋商小组由采购人代表和评审专家共</w:t>
      </w:r>
      <w:r>
        <w:rPr>
          <w:rFonts w:ascii="宋体" w:hAnsi="宋体" w:eastAsia="宋体" w:cs="宋体"/>
          <w:color w:val="auto"/>
          <w:spacing w:val="-32"/>
          <w:sz w:val="20"/>
          <w:szCs w:val="20"/>
          <w:highlight w:val="none"/>
        </w:rPr>
        <w:t xml:space="preserve"> </w:t>
      </w:r>
      <w:r>
        <w:rPr>
          <w:rFonts w:ascii="宋体" w:hAnsi="宋体" w:eastAsia="宋体" w:cs="宋体"/>
          <w:color w:val="auto"/>
          <w:spacing w:val="10"/>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10"/>
          <w:sz w:val="20"/>
          <w:szCs w:val="20"/>
          <w:highlight w:val="none"/>
        </w:rPr>
        <w:t>人以上单数组成，其中评审专家</w:t>
      </w:r>
      <w:r>
        <w:rPr>
          <w:rFonts w:ascii="宋体" w:hAnsi="宋体" w:eastAsia="宋体" w:cs="宋体"/>
          <w:color w:val="auto"/>
          <w:spacing w:val="9"/>
          <w:sz w:val="20"/>
          <w:szCs w:val="20"/>
          <w:highlight w:val="none"/>
        </w:rPr>
        <w:t>人数不得少于</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磋商小组成员总数的</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2/3。采购人代表不得以评审专家身份参加本部门或者本单位采购项目的评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审。采购代理机构人员不得参加本机构代理的采购项目的评</w:t>
      </w:r>
      <w:r>
        <w:rPr>
          <w:rFonts w:ascii="宋体" w:hAnsi="宋体" w:eastAsia="宋体" w:cs="宋体"/>
          <w:color w:val="auto"/>
          <w:spacing w:val="7"/>
          <w:sz w:val="20"/>
          <w:szCs w:val="20"/>
          <w:highlight w:val="none"/>
        </w:rPr>
        <w:t>审。达到公开招标数额标准的货物或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者服务采购项目，或者达到公开招标规模标准的政府采购工</w:t>
      </w:r>
      <w:r>
        <w:rPr>
          <w:rFonts w:ascii="宋体" w:hAnsi="宋体" w:eastAsia="宋体" w:cs="宋体"/>
          <w:color w:val="auto"/>
          <w:spacing w:val="7"/>
          <w:sz w:val="20"/>
          <w:szCs w:val="20"/>
          <w:highlight w:val="none"/>
        </w:rPr>
        <w:t>程，经批准采用竞争性磋商方式采购</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的，磋商小组由</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5</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人以上单数组成。</w:t>
      </w:r>
    </w:p>
    <w:p w14:paraId="6F1C11BC">
      <w:pPr>
        <w:spacing w:line="429" w:lineRule="auto"/>
        <w:rPr>
          <w:rFonts w:ascii="宋体" w:hAnsi="宋体" w:eastAsia="宋体" w:cs="宋体"/>
          <w:color w:val="auto"/>
          <w:sz w:val="20"/>
          <w:szCs w:val="20"/>
          <w:highlight w:val="none"/>
        </w:rPr>
        <w:sectPr>
          <w:footerReference r:id="rId29" w:type="default"/>
          <w:pgSz w:w="11905" w:h="16839"/>
          <w:pgMar w:top="400" w:right="1587" w:bottom="1149" w:left="1593" w:header="0" w:footer="913" w:gutter="0"/>
          <w:cols w:space="720" w:num="1"/>
        </w:sectPr>
      </w:pPr>
    </w:p>
    <w:p w14:paraId="5601138C">
      <w:pPr>
        <w:pStyle w:val="2"/>
        <w:spacing w:line="268" w:lineRule="auto"/>
        <w:rPr>
          <w:color w:val="auto"/>
          <w:highlight w:val="none"/>
        </w:rPr>
      </w:pPr>
    </w:p>
    <w:p w14:paraId="3D4F1E4E">
      <w:pPr>
        <w:pStyle w:val="2"/>
        <w:spacing w:line="269" w:lineRule="auto"/>
        <w:rPr>
          <w:color w:val="auto"/>
          <w:highlight w:val="none"/>
        </w:rPr>
      </w:pPr>
    </w:p>
    <w:p w14:paraId="09C6348F">
      <w:pPr>
        <w:pStyle w:val="2"/>
        <w:spacing w:line="269" w:lineRule="auto"/>
        <w:rPr>
          <w:color w:val="auto"/>
          <w:highlight w:val="none"/>
        </w:rPr>
      </w:pPr>
    </w:p>
    <w:p w14:paraId="6A4754EF">
      <w:pPr>
        <w:spacing w:before="65" w:line="455" w:lineRule="auto"/>
        <w:ind w:right="69" w:firstLine="424"/>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24.2</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评审专家应当从政府采购评审专家库内相关专业的专家</w:t>
      </w:r>
      <w:r>
        <w:rPr>
          <w:rFonts w:ascii="宋体" w:hAnsi="宋体" w:eastAsia="宋体" w:cs="宋体"/>
          <w:color w:val="auto"/>
          <w:spacing w:val="10"/>
          <w:sz w:val="20"/>
          <w:szCs w:val="20"/>
          <w:highlight w:val="none"/>
        </w:rPr>
        <w:t>名单中随机抽取。市场竞争不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充分的科研项目，以及需要扶持的科技成果转化项目，以及情况特</w:t>
      </w:r>
      <w:r>
        <w:rPr>
          <w:rFonts w:ascii="宋体" w:hAnsi="宋体" w:eastAsia="宋体" w:cs="宋体"/>
          <w:color w:val="auto"/>
          <w:spacing w:val="7"/>
          <w:sz w:val="20"/>
          <w:szCs w:val="20"/>
          <w:highlight w:val="none"/>
        </w:rPr>
        <w:t>殊、通过随机方式难以确定合</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适的评审专家的项目，经主管预算单位同意，可以自行选定评</w:t>
      </w:r>
      <w:r>
        <w:rPr>
          <w:rFonts w:ascii="宋体" w:hAnsi="宋体" w:eastAsia="宋体" w:cs="宋体"/>
          <w:color w:val="auto"/>
          <w:spacing w:val="7"/>
          <w:sz w:val="20"/>
          <w:szCs w:val="20"/>
          <w:highlight w:val="none"/>
        </w:rPr>
        <w:t>审专家。技术复杂、专业性强的采</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购项目，评审专家中应当包含</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名法律专家。</w:t>
      </w:r>
    </w:p>
    <w:p w14:paraId="64BEE694">
      <w:pPr>
        <w:spacing w:line="220" w:lineRule="auto"/>
        <w:ind w:left="42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25.首次响应文件的开启</w:t>
      </w:r>
    </w:p>
    <w:p w14:paraId="4D25EEF5">
      <w:pPr>
        <w:spacing w:before="224" w:line="228"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25.1</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首次响应文件由磋商小组或者采购代理机构</w:t>
      </w:r>
      <w:r>
        <w:rPr>
          <w:rFonts w:ascii="宋体" w:hAnsi="宋体" w:eastAsia="宋体" w:cs="宋体"/>
          <w:color w:val="auto"/>
          <w:spacing w:val="6"/>
          <w:sz w:val="20"/>
          <w:szCs w:val="20"/>
          <w:highlight w:val="none"/>
        </w:rPr>
        <w:t>在“供应商须知前附表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”规定的时间开启。</w:t>
      </w:r>
    </w:p>
    <w:p w14:paraId="4D801B0B">
      <w:pPr>
        <w:spacing w:before="250" w:line="228" w:lineRule="auto"/>
        <w:ind w:left="42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25.2</w:t>
      </w:r>
      <w:r>
        <w:rPr>
          <w:rFonts w:ascii="宋体" w:hAnsi="宋体" w:eastAsia="宋体" w:cs="宋体"/>
          <w:color w:val="auto"/>
          <w:spacing w:val="31"/>
          <w:sz w:val="20"/>
          <w:szCs w:val="20"/>
          <w:highlight w:val="none"/>
        </w:rPr>
        <w:t xml:space="preserve"> </w:t>
      </w:r>
      <w:r>
        <w:rPr>
          <w:rFonts w:ascii="宋体" w:hAnsi="宋体" w:eastAsia="宋体" w:cs="宋体"/>
          <w:color w:val="auto"/>
          <w:spacing w:val="4"/>
          <w:sz w:val="20"/>
          <w:szCs w:val="20"/>
          <w:highlight w:val="none"/>
        </w:rPr>
        <w:t>响应文件解密</w:t>
      </w:r>
    </w:p>
    <w:p w14:paraId="6CA2A02E">
      <w:pPr>
        <w:spacing w:before="251" w:line="458" w:lineRule="auto"/>
        <w:ind w:right="29" w:firstLine="42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采购代理机构将在“供应商须知前附表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”规定的时间通过电子交易平台组</w:t>
      </w:r>
      <w:r>
        <w:rPr>
          <w:rFonts w:ascii="宋体" w:hAnsi="宋体" w:eastAsia="宋体" w:cs="宋体"/>
          <w:color w:val="auto"/>
          <w:spacing w:val="7"/>
          <w:sz w:val="20"/>
          <w:szCs w:val="20"/>
          <w:highlight w:val="none"/>
        </w:rPr>
        <w:t>织响应文件开启，</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采购机构依托电子交易平台发起开始解密指令，供应商的法定代表人或其委托代理人</w:t>
      </w:r>
      <w:r>
        <w:rPr>
          <w:rFonts w:ascii="宋体" w:hAnsi="宋体" w:eastAsia="宋体" w:cs="宋体"/>
          <w:b/>
          <w:bCs/>
          <w:color w:val="auto"/>
          <w:spacing w:val="7"/>
          <w:sz w:val="20"/>
          <w:szCs w:val="20"/>
          <w:highlight w:val="none"/>
        </w:rPr>
        <w:t>须携带加密</w:t>
      </w:r>
      <w:r>
        <w:rPr>
          <w:rFonts w:ascii="宋体" w:hAnsi="宋体" w:eastAsia="宋体" w:cs="宋体"/>
          <w:color w:val="auto"/>
          <w:spacing w:val="16"/>
          <w:sz w:val="20"/>
          <w:szCs w:val="20"/>
          <w:highlight w:val="none"/>
        </w:rPr>
        <w:t xml:space="preserve"> </w:t>
      </w:r>
      <w:r>
        <w:rPr>
          <w:rFonts w:ascii="宋体" w:hAnsi="宋体" w:eastAsia="宋体" w:cs="宋体"/>
          <w:b/>
          <w:bCs/>
          <w:color w:val="auto"/>
          <w:spacing w:val="8"/>
          <w:sz w:val="20"/>
          <w:szCs w:val="20"/>
          <w:highlight w:val="none"/>
        </w:rPr>
        <w:t>时所用的</w:t>
      </w:r>
      <w:r>
        <w:rPr>
          <w:rFonts w:ascii="宋体" w:hAnsi="宋体" w:eastAsia="宋体" w:cs="宋体"/>
          <w:color w:val="auto"/>
          <w:spacing w:val="-41"/>
          <w:sz w:val="20"/>
          <w:szCs w:val="20"/>
          <w:highlight w:val="none"/>
        </w:rPr>
        <w:t xml:space="preserve"> </w:t>
      </w:r>
      <w:r>
        <w:rPr>
          <w:rFonts w:ascii="宋体" w:hAnsi="宋体" w:eastAsia="宋体" w:cs="宋体"/>
          <w:b/>
          <w:bCs/>
          <w:color w:val="auto"/>
          <w:sz w:val="20"/>
          <w:szCs w:val="20"/>
          <w:highlight w:val="none"/>
        </w:rPr>
        <w:t>CA</w:t>
      </w:r>
      <w:r>
        <w:rPr>
          <w:rFonts w:ascii="宋体" w:hAnsi="宋体" w:eastAsia="宋体" w:cs="宋体"/>
          <w:color w:val="auto"/>
          <w:spacing w:val="-47"/>
          <w:sz w:val="20"/>
          <w:szCs w:val="20"/>
          <w:highlight w:val="none"/>
        </w:rPr>
        <w:t xml:space="preserve"> </w:t>
      </w:r>
      <w:r>
        <w:rPr>
          <w:rFonts w:ascii="宋体" w:hAnsi="宋体" w:eastAsia="宋体" w:cs="宋体"/>
          <w:b/>
          <w:bCs/>
          <w:color w:val="auto"/>
          <w:spacing w:val="8"/>
          <w:sz w:val="20"/>
          <w:szCs w:val="20"/>
          <w:highlight w:val="none"/>
        </w:rPr>
        <w:t>锁按平台提示和采购文件的规定登录到广西政府采购云平台电子开标大厅签到并在</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发起解密指令之时起</w:t>
      </w:r>
      <w:r>
        <w:rPr>
          <w:rFonts w:ascii="宋体" w:hAnsi="宋体" w:eastAsia="宋体" w:cs="宋体"/>
          <w:color w:val="auto"/>
          <w:spacing w:val="-25"/>
          <w:sz w:val="20"/>
          <w:szCs w:val="20"/>
          <w:highlight w:val="none"/>
        </w:rPr>
        <w:t xml:space="preserve"> </w:t>
      </w:r>
      <w:r>
        <w:rPr>
          <w:rFonts w:ascii="宋体" w:hAnsi="宋体" w:eastAsia="宋体" w:cs="宋体"/>
          <w:b/>
          <w:bCs/>
          <w:color w:val="auto"/>
          <w:spacing w:val="7"/>
          <w:sz w:val="20"/>
          <w:szCs w:val="20"/>
          <w:highlight w:val="none"/>
        </w:rPr>
        <w:t>30</w:t>
      </w:r>
      <w:r>
        <w:rPr>
          <w:rFonts w:ascii="宋体" w:hAnsi="宋体" w:eastAsia="宋体" w:cs="宋体"/>
          <w:color w:val="auto"/>
          <w:spacing w:val="-35"/>
          <w:sz w:val="20"/>
          <w:szCs w:val="20"/>
          <w:highlight w:val="none"/>
        </w:rPr>
        <w:t xml:space="preserve"> </w:t>
      </w:r>
      <w:r>
        <w:rPr>
          <w:rFonts w:ascii="宋体" w:hAnsi="宋体" w:eastAsia="宋体" w:cs="宋体"/>
          <w:b/>
          <w:bCs/>
          <w:color w:val="auto"/>
          <w:spacing w:val="7"/>
          <w:sz w:val="20"/>
          <w:szCs w:val="20"/>
          <w:highlight w:val="none"/>
        </w:rPr>
        <w:t>分钟内完成对电子响应文件在线解密</w:t>
      </w:r>
      <w:r>
        <w:rPr>
          <w:rFonts w:ascii="宋体" w:hAnsi="宋体" w:eastAsia="宋体" w:cs="宋体"/>
          <w:color w:val="auto"/>
          <w:spacing w:val="7"/>
          <w:sz w:val="20"/>
          <w:szCs w:val="20"/>
          <w:highlight w:val="none"/>
        </w:rPr>
        <w:t>。发起解密指令之时起</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5</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分钟内供</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应商还未进行解密的，代理机构要通知供应商，供应商没预</w:t>
      </w:r>
      <w:r>
        <w:rPr>
          <w:rFonts w:ascii="宋体" w:hAnsi="宋体" w:eastAsia="宋体" w:cs="宋体"/>
          <w:color w:val="auto"/>
          <w:spacing w:val="7"/>
          <w:sz w:val="20"/>
          <w:szCs w:val="20"/>
          <w:highlight w:val="none"/>
        </w:rPr>
        <w:t>留联系方式或预留联系方式无效，导</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致代理机构无法联系到供应商进行解密的，</w:t>
      </w:r>
      <w:r>
        <w:rPr>
          <w:rFonts w:ascii="宋体" w:hAnsi="宋体" w:eastAsia="宋体" w:cs="宋体"/>
          <w:b/>
          <w:bCs/>
          <w:color w:val="auto"/>
          <w:spacing w:val="7"/>
          <w:sz w:val="20"/>
          <w:szCs w:val="20"/>
          <w:highlight w:val="none"/>
        </w:rPr>
        <w:t>视为响应文件无效。</w:t>
      </w:r>
      <w:r>
        <w:rPr>
          <w:rFonts w:ascii="宋体" w:hAnsi="宋体" w:eastAsia="宋体" w:cs="宋体"/>
          <w:color w:val="auto"/>
          <w:spacing w:val="7"/>
          <w:sz w:val="20"/>
          <w:szCs w:val="20"/>
          <w:highlight w:val="none"/>
        </w:rPr>
        <w:t>（解密异常情况处理：详见本章</w:t>
      </w:r>
      <w:r>
        <w:rPr>
          <w:rFonts w:ascii="宋体" w:hAnsi="宋体" w:eastAsia="宋体" w:cs="宋体"/>
          <w:color w:val="auto"/>
          <w:spacing w:val="10"/>
          <w:sz w:val="20"/>
          <w:szCs w:val="20"/>
          <w:highlight w:val="none"/>
        </w:rPr>
        <w:t xml:space="preserve"> </w:t>
      </w:r>
      <w:r>
        <w:rPr>
          <w:rFonts w:ascii="宋体" w:hAnsi="宋体" w:eastAsia="宋体" w:cs="宋体"/>
          <w:color w:val="auto"/>
          <w:spacing w:val="4"/>
          <w:sz w:val="20"/>
          <w:szCs w:val="20"/>
          <w:highlight w:val="none"/>
        </w:rPr>
        <w:t>26.3</w:t>
      </w:r>
      <w:r>
        <w:rPr>
          <w:rFonts w:ascii="宋体" w:hAnsi="宋体" w:eastAsia="宋体" w:cs="宋体"/>
          <w:color w:val="auto"/>
          <w:spacing w:val="49"/>
          <w:sz w:val="20"/>
          <w:szCs w:val="20"/>
          <w:highlight w:val="none"/>
        </w:rPr>
        <w:t xml:space="preserve"> </w:t>
      </w:r>
      <w:r>
        <w:rPr>
          <w:rFonts w:ascii="宋体" w:hAnsi="宋体" w:eastAsia="宋体" w:cs="宋体"/>
          <w:color w:val="auto"/>
          <w:spacing w:val="4"/>
          <w:sz w:val="20"/>
          <w:szCs w:val="20"/>
          <w:highlight w:val="none"/>
        </w:rPr>
        <w:t>电子交易活动的中止。）</w:t>
      </w:r>
    </w:p>
    <w:p w14:paraId="35FA2BA1">
      <w:pPr>
        <w:spacing w:before="2" w:line="451" w:lineRule="auto"/>
        <w:ind w:right="69" w:firstLine="42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如供应商成功解密响应文件，但未在“政采云</w:t>
      </w:r>
      <w:r>
        <w:rPr>
          <w:rFonts w:ascii="宋体" w:hAnsi="宋体" w:eastAsia="宋体" w:cs="宋体"/>
          <w:color w:val="auto"/>
          <w:spacing w:val="-73"/>
          <w:sz w:val="20"/>
          <w:szCs w:val="20"/>
          <w:highlight w:val="none"/>
        </w:rPr>
        <w:t xml:space="preserve"> </w:t>
      </w:r>
      <w:r>
        <w:rPr>
          <w:rFonts w:ascii="宋体" w:hAnsi="宋体" w:eastAsia="宋体" w:cs="宋体"/>
          <w:color w:val="auto"/>
          <w:spacing w:val="7"/>
          <w:sz w:val="20"/>
          <w:szCs w:val="20"/>
          <w:highlight w:val="none"/>
        </w:rPr>
        <w:t>”电子开标大厅参加磋商</w:t>
      </w:r>
      <w:r>
        <w:rPr>
          <w:rFonts w:ascii="宋体" w:hAnsi="宋体" w:eastAsia="宋体" w:cs="宋体"/>
          <w:color w:val="auto"/>
          <w:spacing w:val="6"/>
          <w:sz w:val="20"/>
          <w:szCs w:val="20"/>
          <w:highlight w:val="none"/>
        </w:rPr>
        <w:t>的，视同认可磋商过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程和结果，</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由此产生的后果由供应商自行负责。 参与磋商的</w:t>
      </w:r>
      <w:r>
        <w:rPr>
          <w:rFonts w:ascii="宋体" w:hAnsi="宋体" w:eastAsia="宋体" w:cs="宋体"/>
          <w:color w:val="auto"/>
          <w:spacing w:val="7"/>
          <w:sz w:val="20"/>
          <w:szCs w:val="20"/>
          <w:highlight w:val="none"/>
        </w:rPr>
        <w:t>供应商不足</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家的，不得磋商。</w:t>
      </w:r>
    </w:p>
    <w:p w14:paraId="6C5EC6EB">
      <w:pPr>
        <w:spacing w:before="1" w:line="220" w:lineRule="auto"/>
        <w:ind w:left="425"/>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26.评审程序、评审方法和评审标准</w:t>
      </w:r>
    </w:p>
    <w:p w14:paraId="683C40CF">
      <w:pPr>
        <w:spacing w:before="221" w:line="344" w:lineRule="auto"/>
        <w:ind w:left="3" w:right="69"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26.1</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磋商小组按照“第四章 评审程序</w:t>
      </w:r>
      <w:r>
        <w:rPr>
          <w:rFonts w:ascii="宋体" w:hAnsi="宋体" w:eastAsia="宋体" w:cs="宋体"/>
          <w:color w:val="auto"/>
          <w:spacing w:val="7"/>
          <w:sz w:val="20"/>
          <w:szCs w:val="20"/>
          <w:highlight w:val="none"/>
        </w:rPr>
        <w:t>、评审方法和评审标准</w:t>
      </w:r>
      <w:r>
        <w:rPr>
          <w:rFonts w:ascii="宋体" w:hAnsi="宋体" w:eastAsia="宋体" w:cs="宋体"/>
          <w:color w:val="auto"/>
          <w:spacing w:val="-73"/>
          <w:sz w:val="20"/>
          <w:szCs w:val="20"/>
          <w:highlight w:val="none"/>
        </w:rPr>
        <w:t xml:space="preserve"> </w:t>
      </w:r>
      <w:r>
        <w:rPr>
          <w:rFonts w:ascii="宋体" w:hAnsi="宋体" w:eastAsia="宋体" w:cs="宋体"/>
          <w:color w:val="auto"/>
          <w:spacing w:val="7"/>
          <w:sz w:val="20"/>
          <w:szCs w:val="20"/>
          <w:highlight w:val="none"/>
        </w:rPr>
        <w:t>”规定的方法、评审因素、标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准和程序对响应文件进行评审。</w:t>
      </w:r>
    </w:p>
    <w:p w14:paraId="3A693A82">
      <w:pPr>
        <w:spacing w:before="249" w:line="343" w:lineRule="auto"/>
        <w:ind w:right="71"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26.2 磋商文件内容违反国家有关强制</w:t>
      </w:r>
      <w:r>
        <w:rPr>
          <w:rFonts w:ascii="宋体" w:hAnsi="宋体" w:eastAsia="宋体" w:cs="宋体"/>
          <w:color w:val="auto"/>
          <w:spacing w:val="9"/>
          <w:sz w:val="20"/>
          <w:szCs w:val="20"/>
          <w:highlight w:val="none"/>
        </w:rPr>
        <w:t>性规定的，磋商小组应当停止评审并向采购人或者采</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购代理机构说明情况，并在评审报告中书面体现。</w:t>
      </w:r>
    </w:p>
    <w:p w14:paraId="0510B9DB">
      <w:pPr>
        <w:spacing w:before="251" w:line="228" w:lineRule="auto"/>
        <w:ind w:left="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26.3 采购需求负偏离要求及磋商顺序详见“ 供应商须知前附表</w:t>
      </w:r>
      <w:r>
        <w:rPr>
          <w:rFonts w:ascii="宋体" w:hAnsi="宋体" w:eastAsia="宋体" w:cs="宋体"/>
          <w:color w:val="auto"/>
          <w:spacing w:val="-56"/>
          <w:sz w:val="20"/>
          <w:szCs w:val="20"/>
          <w:highlight w:val="none"/>
        </w:rPr>
        <w:t xml:space="preserve"> </w:t>
      </w:r>
      <w:r>
        <w:rPr>
          <w:rFonts w:ascii="宋体" w:hAnsi="宋体" w:eastAsia="宋体" w:cs="宋体"/>
          <w:color w:val="auto"/>
          <w:spacing w:val="8"/>
          <w:sz w:val="20"/>
          <w:szCs w:val="20"/>
          <w:highlight w:val="none"/>
        </w:rPr>
        <w:t>”。</w:t>
      </w:r>
    </w:p>
    <w:p w14:paraId="703D08BD">
      <w:pPr>
        <w:spacing w:before="250" w:line="343" w:lineRule="auto"/>
        <w:ind w:left="4" w:right="119"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26.4</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电子交易活动的中止。采购过程中出现以下情形，导致电子交易平台无</w:t>
      </w:r>
      <w:r>
        <w:rPr>
          <w:rFonts w:ascii="宋体" w:hAnsi="宋体" w:eastAsia="宋体" w:cs="宋体"/>
          <w:color w:val="auto"/>
          <w:spacing w:val="8"/>
          <w:sz w:val="20"/>
          <w:szCs w:val="20"/>
          <w:highlight w:val="none"/>
        </w:rPr>
        <w:t>法正常运行，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或者无法保证电子交易的公平、公正和安全时，采购机构可中止电子交易活动：</w:t>
      </w:r>
    </w:p>
    <w:p w14:paraId="1E68DEEE">
      <w:pPr>
        <w:spacing w:before="251" w:line="228"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w:t>
      </w:r>
      <w:r>
        <w:rPr>
          <w:rFonts w:ascii="宋体" w:hAnsi="宋体" w:eastAsia="宋体" w:cs="宋体"/>
          <w:color w:val="auto"/>
          <w:spacing w:val="-49"/>
          <w:sz w:val="20"/>
          <w:szCs w:val="20"/>
          <w:highlight w:val="none"/>
        </w:rPr>
        <w:t xml:space="preserve"> </w:t>
      </w:r>
      <w:r>
        <w:rPr>
          <w:rFonts w:ascii="宋体" w:hAnsi="宋体" w:eastAsia="宋体" w:cs="宋体"/>
          <w:color w:val="auto"/>
          <w:spacing w:val="6"/>
          <w:sz w:val="20"/>
          <w:szCs w:val="20"/>
          <w:highlight w:val="none"/>
        </w:rPr>
        <w:t>电子交易平台发生故障而无法登录访问的；</w:t>
      </w:r>
    </w:p>
    <w:p w14:paraId="5F1FDE19">
      <w:pPr>
        <w:spacing w:before="247"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w:t>
      </w:r>
      <w:r>
        <w:rPr>
          <w:rFonts w:ascii="宋体" w:hAnsi="宋体" w:eastAsia="宋体" w:cs="宋体"/>
          <w:color w:val="auto"/>
          <w:spacing w:val="-47"/>
          <w:sz w:val="20"/>
          <w:szCs w:val="20"/>
          <w:highlight w:val="none"/>
        </w:rPr>
        <w:t xml:space="preserve"> </w:t>
      </w:r>
      <w:r>
        <w:rPr>
          <w:rFonts w:ascii="宋体" w:hAnsi="宋体" w:eastAsia="宋体" w:cs="宋体"/>
          <w:color w:val="auto"/>
          <w:spacing w:val="7"/>
          <w:sz w:val="20"/>
          <w:szCs w:val="20"/>
          <w:highlight w:val="none"/>
        </w:rPr>
        <w:t>电子交易平台应用或数据库出现错误，不能进行正常操作的；</w:t>
      </w:r>
    </w:p>
    <w:p w14:paraId="4345FD8C">
      <w:pPr>
        <w:spacing w:before="249" w:line="229"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w:t>
      </w:r>
      <w:r>
        <w:rPr>
          <w:rFonts w:ascii="宋体" w:hAnsi="宋体" w:eastAsia="宋体" w:cs="宋体"/>
          <w:color w:val="auto"/>
          <w:spacing w:val="-57"/>
          <w:sz w:val="20"/>
          <w:szCs w:val="20"/>
          <w:highlight w:val="none"/>
        </w:rPr>
        <w:t xml:space="preserve"> </w:t>
      </w:r>
      <w:r>
        <w:rPr>
          <w:rFonts w:ascii="宋体" w:hAnsi="宋体" w:eastAsia="宋体" w:cs="宋体"/>
          <w:color w:val="auto"/>
          <w:spacing w:val="7"/>
          <w:sz w:val="20"/>
          <w:szCs w:val="20"/>
          <w:highlight w:val="none"/>
        </w:rPr>
        <w:t>电子交易平台发现严重安全漏洞，有潜在泄密危险的；</w:t>
      </w:r>
    </w:p>
    <w:p w14:paraId="51127239">
      <w:pPr>
        <w:spacing w:before="249"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（4）病毒发作导致不能进行正常操作的；</w:t>
      </w:r>
    </w:p>
    <w:p w14:paraId="6703ADD6">
      <w:pPr>
        <w:spacing w:before="250" w:line="229"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（5）其他无法保证电子交易的公平、公正和安全的情况。</w:t>
      </w:r>
    </w:p>
    <w:p w14:paraId="705C8F61">
      <w:pPr>
        <w:spacing w:line="229" w:lineRule="auto"/>
        <w:rPr>
          <w:rFonts w:ascii="宋体" w:hAnsi="宋体" w:eastAsia="宋体" w:cs="宋体"/>
          <w:color w:val="auto"/>
          <w:sz w:val="20"/>
          <w:szCs w:val="20"/>
          <w:highlight w:val="none"/>
        </w:rPr>
        <w:sectPr>
          <w:footerReference r:id="rId30" w:type="default"/>
          <w:pgSz w:w="11905" w:h="16839"/>
          <w:pgMar w:top="400" w:right="1517" w:bottom="1149" w:left="1592" w:header="0" w:footer="913" w:gutter="0"/>
          <w:cols w:space="720" w:num="1"/>
        </w:sectPr>
      </w:pPr>
    </w:p>
    <w:p w14:paraId="162959D1">
      <w:pPr>
        <w:pStyle w:val="2"/>
        <w:spacing w:line="269" w:lineRule="auto"/>
        <w:rPr>
          <w:color w:val="auto"/>
          <w:highlight w:val="none"/>
        </w:rPr>
      </w:pPr>
    </w:p>
    <w:p w14:paraId="614144A7">
      <w:pPr>
        <w:pStyle w:val="2"/>
        <w:spacing w:line="269" w:lineRule="auto"/>
        <w:rPr>
          <w:color w:val="auto"/>
          <w:highlight w:val="none"/>
        </w:rPr>
      </w:pPr>
    </w:p>
    <w:p w14:paraId="0C80C835">
      <w:pPr>
        <w:pStyle w:val="2"/>
        <w:spacing w:line="270" w:lineRule="auto"/>
        <w:rPr>
          <w:color w:val="auto"/>
          <w:highlight w:val="none"/>
        </w:rPr>
      </w:pPr>
    </w:p>
    <w:p w14:paraId="06006158">
      <w:pPr>
        <w:spacing w:before="65" w:line="458" w:lineRule="auto"/>
        <w:ind w:firstLine="423"/>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26.5</w:t>
      </w:r>
      <w:r>
        <w:rPr>
          <w:rFonts w:ascii="宋体" w:hAnsi="宋体" w:eastAsia="宋体" w:cs="宋体"/>
          <w:color w:val="auto"/>
          <w:spacing w:val="-11"/>
          <w:sz w:val="20"/>
          <w:szCs w:val="20"/>
          <w:highlight w:val="none"/>
        </w:rPr>
        <w:t xml:space="preserve"> </w:t>
      </w:r>
      <w:r>
        <w:rPr>
          <w:rFonts w:ascii="宋体" w:hAnsi="宋体" w:eastAsia="宋体" w:cs="宋体"/>
          <w:color w:val="auto"/>
          <w:spacing w:val="10"/>
          <w:sz w:val="20"/>
          <w:szCs w:val="20"/>
          <w:highlight w:val="none"/>
        </w:rPr>
        <w:t>出现以上情形，不影响采购公平、公正性的，采购组织机构可以待上述情形消除后继</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续组织电子交易活动；影响或可能影响采购公平、公正性的</w:t>
      </w:r>
      <w:r>
        <w:rPr>
          <w:rFonts w:ascii="宋体" w:hAnsi="宋体" w:eastAsia="宋体" w:cs="宋体"/>
          <w:color w:val="auto"/>
          <w:spacing w:val="7"/>
          <w:sz w:val="20"/>
          <w:szCs w:val="20"/>
          <w:highlight w:val="none"/>
        </w:rPr>
        <w:t>，经采购代理机构确认后，应当重新</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采购。采购代理机构必须对原有的资料及信息作出妥善保密处理，并报财政部门备案。</w:t>
      </w:r>
    </w:p>
    <w:p w14:paraId="28BD0C06">
      <w:pPr>
        <w:spacing w:before="29" w:line="227" w:lineRule="auto"/>
        <w:ind w:left="3571"/>
        <w:outlineLvl w:val="2"/>
        <w:rPr>
          <w:rFonts w:ascii="宋体" w:hAnsi="宋体" w:eastAsia="宋体" w:cs="宋体"/>
          <w:color w:val="auto"/>
          <w:sz w:val="31"/>
          <w:szCs w:val="31"/>
          <w:highlight w:val="none"/>
        </w:rPr>
      </w:pPr>
      <w:bookmarkStart w:id="10" w:name="_Toc27033"/>
      <w:r>
        <w:rPr>
          <w:rFonts w:ascii="宋体" w:hAnsi="宋体" w:eastAsia="宋体" w:cs="宋体"/>
          <w:b/>
          <w:bCs/>
          <w:color w:val="auto"/>
          <w:spacing w:val="5"/>
          <w:sz w:val="31"/>
          <w:szCs w:val="31"/>
          <w:highlight w:val="none"/>
        </w:rPr>
        <w:t>五、成交及合同</w:t>
      </w:r>
      <w:bookmarkEnd w:id="10"/>
    </w:p>
    <w:p w14:paraId="062F6CD6">
      <w:pPr>
        <w:spacing w:before="235" w:line="219" w:lineRule="auto"/>
        <w:ind w:left="42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27.确定成交供应商及结果公告</w:t>
      </w:r>
    </w:p>
    <w:p w14:paraId="2FB69DBB">
      <w:pPr>
        <w:spacing w:before="227" w:line="343" w:lineRule="auto"/>
        <w:ind w:left="5" w:right="2" w:firstLine="4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27.1</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确定成交供应商。</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7"/>
          <w:sz w:val="20"/>
          <w:szCs w:val="20"/>
          <w:highlight w:val="none"/>
          <w:u w:val="single" w:color="auto"/>
        </w:rPr>
        <w:t>由采购人直接委托评审专家确定，评审报告提出的排序第一的供应</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商为成交供应商。</w:t>
      </w:r>
    </w:p>
    <w:p w14:paraId="02CB886E">
      <w:pPr>
        <w:spacing w:before="250" w:line="412" w:lineRule="auto"/>
        <w:ind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27.2</w:t>
      </w:r>
      <w:r>
        <w:rPr>
          <w:rFonts w:ascii="宋体" w:hAnsi="宋体" w:eastAsia="宋体" w:cs="宋体"/>
          <w:color w:val="auto"/>
          <w:spacing w:val="-36"/>
          <w:sz w:val="20"/>
          <w:szCs w:val="20"/>
          <w:highlight w:val="none"/>
        </w:rPr>
        <w:t xml:space="preserve"> </w:t>
      </w:r>
      <w:r>
        <w:rPr>
          <w:rFonts w:ascii="宋体" w:hAnsi="宋体" w:eastAsia="宋体" w:cs="宋体"/>
          <w:color w:val="auto"/>
          <w:spacing w:val="10"/>
          <w:sz w:val="20"/>
          <w:szCs w:val="20"/>
          <w:highlight w:val="none"/>
        </w:rPr>
        <w:t>成交通知及成交结果公告。成交供应商确定后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10"/>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10"/>
          <w:sz w:val="20"/>
          <w:szCs w:val="20"/>
          <w:highlight w:val="none"/>
        </w:rPr>
        <w:t>个工作日内，在省级以上</w:t>
      </w:r>
      <w:r>
        <w:rPr>
          <w:rFonts w:ascii="宋体" w:hAnsi="宋体" w:eastAsia="宋体" w:cs="宋体"/>
          <w:color w:val="auto"/>
          <w:spacing w:val="9"/>
          <w:sz w:val="20"/>
          <w:szCs w:val="20"/>
          <w:highlight w:val="none"/>
        </w:rPr>
        <w:t>财政部门指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定的媒体上公告成交结果（成交通知及成交结果公告应使</w:t>
      </w:r>
      <w:r>
        <w:rPr>
          <w:rFonts w:ascii="宋体" w:hAnsi="宋体" w:eastAsia="宋体" w:cs="宋体"/>
          <w:color w:val="auto"/>
          <w:spacing w:val="7"/>
          <w:sz w:val="20"/>
          <w:szCs w:val="20"/>
          <w:highlight w:val="none"/>
        </w:rPr>
        <w:t>用南宁市模板进行公告，公告内容除包</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含《政府采购公告和公示信息格式规范（2020</w:t>
      </w:r>
      <w:r>
        <w:rPr>
          <w:rFonts w:ascii="宋体" w:hAnsi="宋体" w:eastAsia="宋体" w:cs="宋体"/>
          <w:color w:val="auto"/>
          <w:spacing w:val="-37"/>
          <w:sz w:val="20"/>
          <w:szCs w:val="20"/>
          <w:highlight w:val="none"/>
        </w:rPr>
        <w:t xml:space="preserve"> </w:t>
      </w:r>
      <w:r>
        <w:rPr>
          <w:rFonts w:ascii="宋体" w:hAnsi="宋体" w:eastAsia="宋体" w:cs="宋体"/>
          <w:color w:val="auto"/>
          <w:spacing w:val="11"/>
          <w:sz w:val="20"/>
          <w:szCs w:val="20"/>
          <w:highlight w:val="none"/>
        </w:rPr>
        <w:t>年版）》要求内</w:t>
      </w:r>
      <w:r>
        <w:rPr>
          <w:rFonts w:ascii="宋体" w:hAnsi="宋体" w:eastAsia="宋体" w:cs="宋体"/>
          <w:color w:val="auto"/>
          <w:spacing w:val="10"/>
          <w:sz w:val="20"/>
          <w:szCs w:val="20"/>
          <w:highlight w:val="none"/>
        </w:rPr>
        <w:t>容外，还应包含采购人专门面向</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中小企业预留份额情况及成交供应商评审价格、优惠率等内容</w:t>
      </w:r>
      <w:r>
        <w:rPr>
          <w:rFonts w:ascii="宋体" w:hAnsi="宋体" w:eastAsia="宋体" w:cs="宋体"/>
          <w:color w:val="auto"/>
          <w:spacing w:val="1"/>
          <w:sz w:val="20"/>
          <w:szCs w:val="20"/>
          <w:highlight w:val="none"/>
        </w:rPr>
        <w:t>），</w:t>
      </w:r>
      <w:r>
        <w:rPr>
          <w:rFonts w:ascii="宋体" w:hAnsi="宋体" w:eastAsia="宋体" w:cs="宋体"/>
          <w:color w:val="auto"/>
          <w:spacing w:val="8"/>
          <w:sz w:val="20"/>
          <w:szCs w:val="20"/>
          <w:highlight w:val="none"/>
        </w:rPr>
        <w:t>同时向成交供应商发出成交通</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知书，成交通知书规定签订合同的时间不得超过</w:t>
      </w:r>
      <w:r>
        <w:rPr>
          <w:rFonts w:ascii="宋体" w:hAnsi="宋体" w:eastAsia="宋体" w:cs="宋体"/>
          <w:color w:val="auto"/>
          <w:spacing w:val="-31"/>
          <w:sz w:val="20"/>
          <w:szCs w:val="20"/>
          <w:highlight w:val="none"/>
        </w:rPr>
        <w:t xml:space="preserve"> </w:t>
      </w:r>
      <w:r>
        <w:rPr>
          <w:rFonts w:ascii="宋体" w:hAnsi="宋体" w:eastAsia="宋体" w:cs="宋体"/>
          <w:color w:val="auto"/>
          <w:spacing w:val="6"/>
          <w:sz w:val="20"/>
          <w:szCs w:val="20"/>
          <w:highlight w:val="none"/>
        </w:rPr>
        <w:t>25 日。</w:t>
      </w:r>
    </w:p>
    <w:p w14:paraId="3ABCBA01">
      <w:pPr>
        <w:spacing w:before="254" w:line="429" w:lineRule="auto"/>
        <w:ind w:firstLine="42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27.3</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采购人或者采购代理机构发出成交通知书前，应当对成</w:t>
      </w:r>
      <w:r>
        <w:rPr>
          <w:rFonts w:ascii="宋体" w:hAnsi="宋体" w:eastAsia="宋体" w:cs="宋体"/>
          <w:color w:val="auto"/>
          <w:spacing w:val="10"/>
          <w:sz w:val="20"/>
          <w:szCs w:val="20"/>
          <w:highlight w:val="none"/>
        </w:rPr>
        <w:t>交供应商信用进行查询核实，</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对列入失信被执行人、重大税收违法案件当事人名单、政府</w:t>
      </w:r>
      <w:r>
        <w:rPr>
          <w:rFonts w:ascii="宋体" w:hAnsi="宋体" w:eastAsia="宋体" w:cs="宋体"/>
          <w:color w:val="auto"/>
          <w:spacing w:val="7"/>
          <w:sz w:val="20"/>
          <w:szCs w:val="20"/>
          <w:highlight w:val="none"/>
        </w:rPr>
        <w:t>采购严重违法失信行为记录名单及其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他不符合《中华人民共和国政府采购法》第二十二条规定条</w:t>
      </w:r>
      <w:r>
        <w:rPr>
          <w:rFonts w:ascii="宋体" w:hAnsi="宋体" w:eastAsia="宋体" w:cs="宋体"/>
          <w:color w:val="auto"/>
          <w:spacing w:val="7"/>
          <w:sz w:val="20"/>
          <w:szCs w:val="20"/>
          <w:highlight w:val="none"/>
        </w:rPr>
        <w:t>件的供应商，取消其成交资格，并确</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定排名第二的成交候选人为成交供应商。排名第二的成交候</w:t>
      </w:r>
      <w:r>
        <w:rPr>
          <w:rFonts w:ascii="宋体" w:hAnsi="宋体" w:eastAsia="宋体" w:cs="宋体"/>
          <w:color w:val="auto"/>
          <w:spacing w:val="7"/>
          <w:sz w:val="20"/>
          <w:szCs w:val="20"/>
          <w:highlight w:val="none"/>
        </w:rPr>
        <w:t>选人因上述规定的同样原因被取消成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交资格的，采购人可以确定排名第三的成交候选人为成交供</w:t>
      </w:r>
      <w:r>
        <w:rPr>
          <w:rFonts w:ascii="宋体" w:hAnsi="宋体" w:eastAsia="宋体" w:cs="宋体"/>
          <w:color w:val="auto"/>
          <w:spacing w:val="7"/>
          <w:sz w:val="20"/>
          <w:szCs w:val="20"/>
          <w:highlight w:val="none"/>
        </w:rPr>
        <w:t>应商，以此类推。以上信息查询记录</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及相关证据与竞磋文件一并保存。成交供应商享受《政府采购促进</w:t>
      </w:r>
      <w:r>
        <w:rPr>
          <w:rFonts w:ascii="宋体" w:hAnsi="宋体" w:eastAsia="宋体" w:cs="宋体"/>
          <w:color w:val="auto"/>
          <w:spacing w:val="7"/>
          <w:sz w:val="20"/>
          <w:szCs w:val="20"/>
          <w:highlight w:val="none"/>
        </w:rPr>
        <w:t>中小企业发展管理办法》（财</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库〔2020〕46</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号）规定的中小企业扶持政策的，采购人、采购代理机构应当随成交结果公开成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交供应商的《中小企业声明函》。</w:t>
      </w:r>
    </w:p>
    <w:p w14:paraId="32504451">
      <w:pPr>
        <w:spacing w:before="249" w:line="382" w:lineRule="auto"/>
        <w:ind w:firstLine="42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27.4</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采购人、采购代理机构认为供应商对采购过程、成交结</w:t>
      </w:r>
      <w:r>
        <w:rPr>
          <w:rFonts w:ascii="宋体" w:hAnsi="宋体" w:eastAsia="宋体" w:cs="宋体"/>
          <w:color w:val="auto"/>
          <w:spacing w:val="10"/>
          <w:sz w:val="20"/>
          <w:szCs w:val="20"/>
          <w:highlight w:val="none"/>
        </w:rPr>
        <w:t>果提出的质疑成立且影响或者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可能影响成交结果的，合格供应商符合法定数量时，可以从合格</w:t>
      </w:r>
      <w:r>
        <w:rPr>
          <w:rFonts w:ascii="宋体" w:hAnsi="宋体" w:eastAsia="宋体" w:cs="宋体"/>
          <w:color w:val="auto"/>
          <w:spacing w:val="7"/>
          <w:sz w:val="20"/>
          <w:szCs w:val="20"/>
          <w:highlight w:val="none"/>
        </w:rPr>
        <w:t>的成交候选人中另行确定成交供</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应商的，应当依法另行确定成交供应商；否则应当重新开展采购活动。</w:t>
      </w:r>
    </w:p>
    <w:p w14:paraId="7FCB2D7E">
      <w:pPr>
        <w:spacing w:before="249" w:line="381" w:lineRule="auto"/>
        <w:ind w:left="3" w:firstLine="42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27.5</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排名第一的成交候选人放弃成交、因不可抗力提出不</w:t>
      </w:r>
      <w:r>
        <w:rPr>
          <w:rFonts w:ascii="宋体" w:hAnsi="宋体" w:eastAsia="宋体" w:cs="宋体"/>
          <w:color w:val="auto"/>
          <w:spacing w:val="10"/>
          <w:sz w:val="20"/>
          <w:szCs w:val="20"/>
          <w:highlight w:val="none"/>
        </w:rPr>
        <w:t>能履行合同，采购人可以确定排</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名第二的成交候选人为成交供应商。排名第二的成交</w:t>
      </w:r>
      <w:r>
        <w:rPr>
          <w:rFonts w:ascii="宋体" w:hAnsi="宋体" w:eastAsia="宋体" w:cs="宋体"/>
          <w:color w:val="auto"/>
          <w:spacing w:val="7"/>
          <w:sz w:val="20"/>
          <w:szCs w:val="20"/>
          <w:highlight w:val="none"/>
        </w:rPr>
        <w:t>候选人因前款规定的同样原因不能签订合同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的，采购人可以确定排名第三的成交候选人为成交供应商。</w:t>
      </w:r>
    </w:p>
    <w:p w14:paraId="3D4089E2">
      <w:pPr>
        <w:spacing w:before="236" w:line="221" w:lineRule="auto"/>
        <w:ind w:left="42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28.履约保证金</w:t>
      </w:r>
    </w:p>
    <w:p w14:paraId="3FC459C7">
      <w:pPr>
        <w:spacing w:before="224" w:line="228" w:lineRule="auto"/>
        <w:ind w:left="423"/>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详见 “供应商须知前附表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14"/>
          <w:sz w:val="20"/>
          <w:szCs w:val="20"/>
          <w:highlight w:val="none"/>
        </w:rPr>
        <w:t>”</w:t>
      </w:r>
    </w:p>
    <w:p w14:paraId="4C6B4B5F">
      <w:pPr>
        <w:spacing w:before="236" w:line="222" w:lineRule="auto"/>
        <w:ind w:left="424"/>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29.签订合同</w:t>
      </w:r>
    </w:p>
    <w:p w14:paraId="0744B53F">
      <w:pPr>
        <w:spacing w:line="222" w:lineRule="auto"/>
        <w:rPr>
          <w:rFonts w:ascii="宋体" w:hAnsi="宋体" w:eastAsia="宋体" w:cs="宋体"/>
          <w:color w:val="auto"/>
          <w:sz w:val="24"/>
          <w:szCs w:val="24"/>
          <w:highlight w:val="none"/>
        </w:rPr>
        <w:sectPr>
          <w:footerReference r:id="rId31" w:type="default"/>
          <w:pgSz w:w="11905" w:h="16839"/>
          <w:pgMar w:top="400" w:right="1587" w:bottom="1149" w:left="1593" w:header="0" w:footer="913" w:gutter="0"/>
          <w:cols w:space="720" w:num="1"/>
        </w:sectPr>
      </w:pPr>
    </w:p>
    <w:p w14:paraId="54202480">
      <w:pPr>
        <w:pStyle w:val="2"/>
        <w:spacing w:line="348" w:lineRule="auto"/>
        <w:rPr>
          <w:color w:val="auto"/>
          <w:highlight w:val="none"/>
        </w:rPr>
      </w:pPr>
    </w:p>
    <w:p w14:paraId="04336C6F">
      <w:pPr>
        <w:pStyle w:val="2"/>
        <w:spacing w:line="348" w:lineRule="auto"/>
        <w:rPr>
          <w:color w:val="auto"/>
          <w:highlight w:val="none"/>
        </w:rPr>
      </w:pPr>
    </w:p>
    <w:p w14:paraId="21EA99EB">
      <w:pPr>
        <w:spacing w:before="65" w:line="327" w:lineRule="auto"/>
        <w:ind w:left="2" w:right="36" w:firstLine="42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29.1</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采购人与成交供应商应当在成交通知书规定的时间内，</w:t>
      </w:r>
      <w:r>
        <w:rPr>
          <w:rFonts w:ascii="宋体" w:hAnsi="宋体" w:eastAsia="宋体" w:cs="宋体"/>
          <w:color w:val="auto"/>
          <w:spacing w:val="10"/>
          <w:sz w:val="20"/>
          <w:szCs w:val="20"/>
          <w:highlight w:val="none"/>
        </w:rPr>
        <w:t>按照磋商文件确定的合同文本</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以及采购标的、服务技术、采购金额、采购数量、技术和服</w:t>
      </w:r>
      <w:r>
        <w:rPr>
          <w:rFonts w:ascii="宋体" w:hAnsi="宋体" w:eastAsia="宋体" w:cs="宋体"/>
          <w:color w:val="auto"/>
          <w:spacing w:val="7"/>
          <w:sz w:val="20"/>
          <w:szCs w:val="20"/>
          <w:highlight w:val="none"/>
        </w:rPr>
        <w:t>务要求等事项签订政府采购合同。如</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成交供应商为联合体的，由联合体成员各方法定代表人或其授权代表与采购人代表签订合同。</w:t>
      </w:r>
    </w:p>
    <w:p w14:paraId="7FB9364B">
      <w:pPr>
        <w:spacing w:before="273" w:line="382" w:lineRule="auto"/>
        <w:ind w:right="36" w:firstLine="42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29.2</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采购人不得向成交供应商提出超出磋商文件以外的任何</w:t>
      </w:r>
      <w:r>
        <w:rPr>
          <w:rFonts w:ascii="宋体" w:hAnsi="宋体" w:eastAsia="宋体" w:cs="宋体"/>
          <w:color w:val="auto"/>
          <w:spacing w:val="10"/>
          <w:sz w:val="20"/>
          <w:szCs w:val="20"/>
          <w:highlight w:val="none"/>
        </w:rPr>
        <w:t>要求作为签订合同的条件，不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得与成交供应商订立背离磋商文件确定的合同文本以及采购标的</w:t>
      </w:r>
      <w:r>
        <w:rPr>
          <w:rFonts w:ascii="宋体" w:hAnsi="宋体" w:eastAsia="宋体" w:cs="宋体"/>
          <w:color w:val="auto"/>
          <w:spacing w:val="7"/>
          <w:sz w:val="20"/>
          <w:szCs w:val="20"/>
          <w:highlight w:val="none"/>
        </w:rPr>
        <w:t>、服务技术、采购金额、采购数</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量、技术和服务要求等实质性内容的协议。</w:t>
      </w:r>
    </w:p>
    <w:p w14:paraId="5FCE48DA">
      <w:pPr>
        <w:spacing w:before="248" w:line="382" w:lineRule="auto"/>
        <w:ind w:left="2" w:right="36" w:firstLine="42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29.3</w:t>
      </w:r>
      <w:r>
        <w:rPr>
          <w:rFonts w:ascii="宋体" w:hAnsi="宋体" w:eastAsia="宋体" w:cs="宋体"/>
          <w:color w:val="auto"/>
          <w:spacing w:val="-36"/>
          <w:sz w:val="20"/>
          <w:szCs w:val="20"/>
          <w:highlight w:val="none"/>
        </w:rPr>
        <w:t xml:space="preserve"> </w:t>
      </w:r>
      <w:r>
        <w:rPr>
          <w:rFonts w:ascii="宋体" w:hAnsi="宋体" w:eastAsia="宋体" w:cs="宋体"/>
          <w:color w:val="auto"/>
          <w:spacing w:val="11"/>
          <w:sz w:val="20"/>
          <w:szCs w:val="20"/>
          <w:highlight w:val="none"/>
        </w:rPr>
        <w:t>成交供应商拒绝签订政府采购合同的，采购人可</w:t>
      </w:r>
      <w:r>
        <w:rPr>
          <w:rFonts w:ascii="宋体" w:hAnsi="宋体" w:eastAsia="宋体" w:cs="宋体"/>
          <w:color w:val="auto"/>
          <w:spacing w:val="10"/>
          <w:sz w:val="20"/>
          <w:szCs w:val="20"/>
          <w:highlight w:val="none"/>
        </w:rPr>
        <w:t>以按照评审报告推荐的成交候选人名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单排序，确定下一候选人为成交供应商，也可以重新开</w:t>
      </w:r>
      <w:r>
        <w:rPr>
          <w:rFonts w:ascii="宋体" w:hAnsi="宋体" w:eastAsia="宋体" w:cs="宋体"/>
          <w:color w:val="auto"/>
          <w:spacing w:val="7"/>
          <w:sz w:val="20"/>
          <w:szCs w:val="20"/>
          <w:highlight w:val="none"/>
        </w:rPr>
        <w:t>展采购活动。拒绝签订政府采购合同的成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交供应商不得参加对该项目重新开展的采购活动。</w:t>
      </w:r>
    </w:p>
    <w:p w14:paraId="4C98E17C">
      <w:pPr>
        <w:spacing w:before="246" w:line="344" w:lineRule="auto"/>
        <w:ind w:left="3" w:right="36" w:firstLine="42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29.4</w:t>
      </w:r>
      <w:r>
        <w:rPr>
          <w:rFonts w:ascii="宋体" w:hAnsi="宋体" w:eastAsia="宋体" w:cs="宋体"/>
          <w:color w:val="auto"/>
          <w:spacing w:val="-34"/>
          <w:sz w:val="20"/>
          <w:szCs w:val="20"/>
          <w:highlight w:val="none"/>
        </w:rPr>
        <w:t xml:space="preserve"> </w:t>
      </w:r>
      <w:r>
        <w:rPr>
          <w:rFonts w:ascii="宋体" w:hAnsi="宋体" w:eastAsia="宋体" w:cs="宋体"/>
          <w:color w:val="auto"/>
          <w:spacing w:val="11"/>
          <w:sz w:val="20"/>
          <w:szCs w:val="20"/>
          <w:highlight w:val="none"/>
        </w:rPr>
        <w:t>如签订合同并生效后，供应商无故拒绝或延</w:t>
      </w:r>
      <w:r>
        <w:rPr>
          <w:rFonts w:ascii="宋体" w:hAnsi="宋体" w:eastAsia="宋体" w:cs="宋体"/>
          <w:color w:val="auto"/>
          <w:spacing w:val="10"/>
          <w:sz w:val="20"/>
          <w:szCs w:val="20"/>
          <w:highlight w:val="none"/>
        </w:rPr>
        <w:t>期，除按照合同条款处理外，列入不良行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为记录，并给予通报。</w:t>
      </w:r>
    </w:p>
    <w:p w14:paraId="38DD1000">
      <w:pPr>
        <w:spacing w:before="249" w:line="343" w:lineRule="auto"/>
        <w:ind w:left="14" w:right="36" w:firstLine="408"/>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29.5</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采购合同由采购人与成交供应商根据磋商文件、响应文</w:t>
      </w:r>
      <w:r>
        <w:rPr>
          <w:rFonts w:ascii="宋体" w:hAnsi="宋体" w:eastAsia="宋体" w:cs="宋体"/>
          <w:color w:val="auto"/>
          <w:spacing w:val="10"/>
          <w:sz w:val="20"/>
          <w:szCs w:val="20"/>
          <w:highlight w:val="none"/>
        </w:rPr>
        <w:t>件等内容通过政府采购电子交</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易平台在线签订，</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自动备案，在线签订须携带的材料见“</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w:t>
      </w:r>
    </w:p>
    <w:p w14:paraId="56EFDEB6">
      <w:pPr>
        <w:spacing w:before="235" w:line="219" w:lineRule="auto"/>
        <w:ind w:left="42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30.政府采购合同公告</w:t>
      </w:r>
    </w:p>
    <w:p w14:paraId="3A3EBD2B">
      <w:pPr>
        <w:spacing w:before="228" w:line="453" w:lineRule="auto"/>
        <w:ind w:left="21" w:right="38" w:firstLine="398"/>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采购人或者受托采购代理机构应当自政府采购合同签订之日起</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个工作日内，将</w:t>
      </w:r>
      <w:r>
        <w:rPr>
          <w:rFonts w:ascii="宋体" w:hAnsi="宋体" w:eastAsia="宋体" w:cs="宋体"/>
          <w:color w:val="auto"/>
          <w:spacing w:val="6"/>
          <w:sz w:val="20"/>
          <w:szCs w:val="20"/>
          <w:highlight w:val="none"/>
        </w:rPr>
        <w:t>政府采购合</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同在以下媒体上发布“广西政府采购网”（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zfcg</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gxzf</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1"/>
          <w:sz w:val="20"/>
          <w:szCs w:val="20"/>
          <w:highlight w:val="none"/>
        </w:rPr>
        <w:t>）上公告，但政府采购合</w:t>
      </w:r>
      <w:r>
        <w:rPr>
          <w:rFonts w:ascii="宋体" w:hAnsi="宋体" w:eastAsia="宋体" w:cs="宋体"/>
          <w:color w:val="auto"/>
          <w:spacing w:val="3"/>
          <w:sz w:val="20"/>
          <w:szCs w:val="20"/>
          <w:highlight w:val="none"/>
        </w:rPr>
        <w:t xml:space="preserve"> </w:t>
      </w:r>
      <w:r>
        <w:rPr>
          <w:rFonts w:ascii="宋体" w:hAnsi="宋体" w:eastAsia="宋体" w:cs="宋体"/>
          <w:color w:val="auto"/>
          <w:spacing w:val="7"/>
          <w:sz w:val="20"/>
          <w:szCs w:val="20"/>
          <w:highlight w:val="none"/>
        </w:rPr>
        <w:t>同中涉及国家秘密、商业秘密的内容除外。</w:t>
      </w:r>
    </w:p>
    <w:p w14:paraId="74E2F0E5">
      <w:pPr>
        <w:spacing w:before="1" w:line="220" w:lineRule="auto"/>
        <w:ind w:left="42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31.询问、质疑和投诉</w:t>
      </w:r>
    </w:p>
    <w:p w14:paraId="3B5E0C4E">
      <w:pPr>
        <w:spacing w:before="225" w:line="343" w:lineRule="auto"/>
        <w:ind w:left="2" w:right="36" w:firstLine="42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31.1</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供应商对政府采购活动事项有疑问的，可以向采</w:t>
      </w:r>
      <w:r>
        <w:rPr>
          <w:rFonts w:ascii="宋体" w:hAnsi="宋体" w:eastAsia="宋体" w:cs="宋体"/>
          <w:color w:val="auto"/>
          <w:spacing w:val="10"/>
          <w:sz w:val="20"/>
          <w:szCs w:val="20"/>
          <w:highlight w:val="none"/>
        </w:rPr>
        <w:t>购人、采购代理机构提出询问，采购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人或者采购代理机构应当在</w:t>
      </w:r>
      <w:r>
        <w:rPr>
          <w:rFonts w:ascii="宋体" w:hAnsi="宋体" w:eastAsia="宋体" w:cs="宋体"/>
          <w:color w:val="auto"/>
          <w:spacing w:val="-17"/>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个工作日内对供应商依法提出的询问作出答复。</w:t>
      </w:r>
    </w:p>
    <w:p w14:paraId="384A5A79">
      <w:pPr>
        <w:spacing w:before="250" w:line="401" w:lineRule="auto"/>
        <w:ind w:right="36" w:firstLine="424"/>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31.2</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供应商认为磋商文件、采购过程或者成交结果使</w:t>
      </w:r>
      <w:r>
        <w:rPr>
          <w:rFonts w:ascii="宋体" w:hAnsi="宋体" w:eastAsia="宋体" w:cs="宋体"/>
          <w:color w:val="auto"/>
          <w:spacing w:val="10"/>
          <w:sz w:val="20"/>
          <w:szCs w:val="20"/>
          <w:highlight w:val="none"/>
        </w:rPr>
        <w:t>自己的合法权益受到损害的，应当在</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知道或者应知其权益受到损害之日起</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个工作日内，以书面形式向采购人、采购代理机构</w:t>
      </w:r>
      <w:r>
        <w:rPr>
          <w:rFonts w:ascii="宋体" w:hAnsi="宋体" w:eastAsia="宋体" w:cs="宋体"/>
          <w:color w:val="auto"/>
          <w:spacing w:val="6"/>
          <w:sz w:val="20"/>
          <w:szCs w:val="20"/>
          <w:highlight w:val="none"/>
        </w:rPr>
        <w:t>提出质</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疑，接收质疑函的方式、联系部门、联系电话和通讯地址等信息详见“供应商须</w:t>
      </w:r>
      <w:r>
        <w:rPr>
          <w:rFonts w:ascii="宋体" w:hAnsi="宋体" w:eastAsia="宋体" w:cs="宋体"/>
          <w:color w:val="auto"/>
          <w:spacing w:val="6"/>
          <w:sz w:val="20"/>
          <w:szCs w:val="20"/>
          <w:highlight w:val="none"/>
        </w:rPr>
        <w:t>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b/>
          <w:bCs/>
          <w:color w:val="auto"/>
          <w:spacing w:val="6"/>
          <w:sz w:val="20"/>
          <w:szCs w:val="20"/>
          <w:highlight w:val="none"/>
        </w:rPr>
        <w:t>具</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体质疑起算时间及处理方式如下：</w:t>
      </w:r>
    </w:p>
    <w:p w14:paraId="2AFB551A">
      <w:pPr>
        <w:spacing w:before="251" w:line="400" w:lineRule="auto"/>
        <w:ind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（1）潜在供应商依法获取采购文件后，认为采购文件使自己的权</w:t>
      </w:r>
      <w:r>
        <w:rPr>
          <w:rFonts w:ascii="宋体" w:hAnsi="宋体" w:eastAsia="宋体" w:cs="宋体"/>
          <w:color w:val="auto"/>
          <w:spacing w:val="9"/>
          <w:sz w:val="20"/>
          <w:szCs w:val="20"/>
          <w:highlight w:val="none"/>
        </w:rPr>
        <w:t>益受到损害的，应当在竞</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争性磋商文件公告期限届满之日起</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个工作日内提出质疑。委托代理协议无特殊约定的，对竞争</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性磋商文件中采购需求（含资格要求、采购预算和评</w:t>
      </w:r>
      <w:r>
        <w:rPr>
          <w:rFonts w:ascii="宋体" w:hAnsi="宋体" w:eastAsia="宋体" w:cs="宋体"/>
          <w:color w:val="auto"/>
          <w:spacing w:val="8"/>
          <w:sz w:val="20"/>
          <w:szCs w:val="20"/>
          <w:highlight w:val="none"/>
        </w:rPr>
        <w:t>分办法）的质疑由采购人受理并负责答复；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对竞争性磋商文件中的采购执行程序的质疑由采购代理机构受理并负责答复。</w:t>
      </w:r>
    </w:p>
    <w:p w14:paraId="5613AEC1">
      <w:pPr>
        <w:spacing w:before="250" w:line="343" w:lineRule="auto"/>
        <w:ind w:right="36" w:firstLine="43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（2）供应商认为采购过程使自己的权益受到损害</w:t>
      </w:r>
      <w:r>
        <w:rPr>
          <w:rFonts w:ascii="宋体" w:hAnsi="宋体" w:eastAsia="宋体" w:cs="宋体"/>
          <w:color w:val="auto"/>
          <w:spacing w:val="10"/>
          <w:sz w:val="20"/>
          <w:szCs w:val="20"/>
          <w:highlight w:val="none"/>
        </w:rPr>
        <w:t>的，应当在各采购程序环节结束之日起</w:t>
      </w:r>
      <w:r>
        <w:rPr>
          <w:rFonts w:ascii="宋体" w:hAnsi="宋体" w:eastAsia="宋体" w:cs="宋体"/>
          <w:color w:val="auto"/>
          <w:spacing w:val="-32"/>
          <w:sz w:val="20"/>
          <w:szCs w:val="20"/>
          <w:highlight w:val="none"/>
        </w:rPr>
        <w:t xml:space="preserve"> </w:t>
      </w:r>
      <w:r>
        <w:rPr>
          <w:rFonts w:ascii="宋体" w:hAnsi="宋体" w:eastAsia="宋体" w:cs="宋体"/>
          <w:color w:val="auto"/>
          <w:spacing w:val="10"/>
          <w:sz w:val="20"/>
          <w:szCs w:val="20"/>
          <w:highlight w:val="none"/>
        </w:rPr>
        <w:t>7</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个工作日内提出质疑。对采购过程中资格审查、符合性审查等具</w:t>
      </w:r>
      <w:r>
        <w:rPr>
          <w:rFonts w:ascii="宋体" w:hAnsi="宋体" w:eastAsia="宋体" w:cs="宋体"/>
          <w:color w:val="auto"/>
          <w:spacing w:val="7"/>
          <w:sz w:val="20"/>
          <w:szCs w:val="20"/>
          <w:highlight w:val="none"/>
        </w:rPr>
        <w:t>体评审情况的质疑应向采购人或</w:t>
      </w:r>
    </w:p>
    <w:p w14:paraId="3C0A3048">
      <w:pPr>
        <w:spacing w:line="343" w:lineRule="auto"/>
        <w:rPr>
          <w:rFonts w:ascii="宋体" w:hAnsi="宋体" w:eastAsia="宋体" w:cs="宋体"/>
          <w:color w:val="auto"/>
          <w:sz w:val="20"/>
          <w:szCs w:val="20"/>
          <w:highlight w:val="none"/>
        </w:rPr>
        <w:sectPr>
          <w:footerReference r:id="rId32" w:type="default"/>
          <w:pgSz w:w="11905" w:h="16839"/>
          <w:pgMar w:top="400" w:right="1550" w:bottom="1149" w:left="1593" w:header="0" w:footer="913" w:gutter="0"/>
          <w:cols w:space="720" w:num="1"/>
        </w:sectPr>
      </w:pPr>
    </w:p>
    <w:p w14:paraId="5904526E">
      <w:pPr>
        <w:pStyle w:val="2"/>
        <w:spacing w:line="269" w:lineRule="auto"/>
        <w:rPr>
          <w:color w:val="auto"/>
          <w:highlight w:val="none"/>
        </w:rPr>
      </w:pPr>
    </w:p>
    <w:p w14:paraId="1C1BCB50">
      <w:pPr>
        <w:pStyle w:val="2"/>
        <w:spacing w:line="269" w:lineRule="auto"/>
        <w:rPr>
          <w:color w:val="auto"/>
          <w:highlight w:val="none"/>
        </w:rPr>
      </w:pPr>
    </w:p>
    <w:p w14:paraId="4A3262F8">
      <w:pPr>
        <w:pStyle w:val="2"/>
        <w:spacing w:line="270" w:lineRule="auto"/>
        <w:rPr>
          <w:color w:val="auto"/>
          <w:highlight w:val="none"/>
        </w:rPr>
      </w:pPr>
    </w:p>
    <w:p w14:paraId="27202F9B">
      <w:pPr>
        <w:spacing w:before="65" w:line="457" w:lineRule="auto"/>
        <w:ind w:right="7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代理机构提出，由采购人或代理机构受理并负责答复；对采</w:t>
      </w:r>
      <w:r>
        <w:rPr>
          <w:rFonts w:ascii="宋体" w:hAnsi="宋体" w:eastAsia="宋体" w:cs="宋体"/>
          <w:color w:val="auto"/>
          <w:spacing w:val="7"/>
          <w:sz w:val="20"/>
          <w:szCs w:val="20"/>
          <w:highlight w:val="none"/>
        </w:rPr>
        <w:t>购过程中采购执行程序的质疑由采购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代理机构受理并负责答复。</w:t>
      </w:r>
    </w:p>
    <w:p w14:paraId="3A5D7333">
      <w:pPr>
        <w:spacing w:before="1" w:line="458" w:lineRule="auto"/>
        <w:ind w:left="5" w:right="86"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（3）供应商认为成交结果使自己的权益受到损害的，应当在成交结果公告期限届满之日起</w:t>
      </w:r>
      <w:r>
        <w:rPr>
          <w:rFonts w:ascii="宋体" w:hAnsi="宋体" w:eastAsia="宋体" w:cs="宋体"/>
          <w:color w:val="auto"/>
          <w:spacing w:val="15"/>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26"/>
          <w:sz w:val="20"/>
          <w:szCs w:val="20"/>
          <w:highlight w:val="none"/>
        </w:rPr>
        <w:t xml:space="preserve"> </w:t>
      </w:r>
      <w:r>
        <w:rPr>
          <w:rFonts w:ascii="宋体" w:hAnsi="宋体" w:eastAsia="宋体" w:cs="宋体"/>
          <w:color w:val="auto"/>
          <w:spacing w:val="6"/>
          <w:sz w:val="20"/>
          <w:szCs w:val="20"/>
          <w:highlight w:val="none"/>
        </w:rPr>
        <w:t>个工作日内提出质疑，</w:t>
      </w:r>
      <w:r>
        <w:rPr>
          <w:rFonts w:ascii="宋体" w:hAnsi="宋体" w:eastAsia="宋体" w:cs="宋体"/>
          <w:color w:val="auto"/>
          <w:spacing w:val="-59"/>
          <w:sz w:val="20"/>
          <w:szCs w:val="20"/>
          <w:highlight w:val="none"/>
        </w:rPr>
        <w:t xml:space="preserve"> </w:t>
      </w:r>
      <w:r>
        <w:rPr>
          <w:rFonts w:ascii="宋体" w:hAnsi="宋体" w:eastAsia="宋体" w:cs="宋体"/>
          <w:color w:val="auto"/>
          <w:spacing w:val="6"/>
          <w:sz w:val="20"/>
          <w:szCs w:val="20"/>
          <w:highlight w:val="none"/>
        </w:rPr>
        <w:t>由采购人受理并负责答复。</w:t>
      </w:r>
    </w:p>
    <w:p w14:paraId="34D77079">
      <w:pPr>
        <w:spacing w:line="382" w:lineRule="auto"/>
        <w:ind w:left="3" w:right="69" w:firstLine="421"/>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31.3</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供应商提出的询问或者质疑超出采购人对采购代</w:t>
      </w:r>
      <w:r>
        <w:rPr>
          <w:rFonts w:ascii="宋体" w:hAnsi="宋体" w:eastAsia="宋体" w:cs="宋体"/>
          <w:color w:val="auto"/>
          <w:spacing w:val="10"/>
          <w:sz w:val="20"/>
          <w:szCs w:val="20"/>
          <w:highlight w:val="none"/>
        </w:rPr>
        <w:t>理机构委托授权范围的，采购代理机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构应当告知供应商向采购人提出。政府采购评审专家应当</w:t>
      </w:r>
      <w:r>
        <w:rPr>
          <w:rFonts w:ascii="宋体" w:hAnsi="宋体" w:eastAsia="宋体" w:cs="宋体"/>
          <w:color w:val="auto"/>
          <w:spacing w:val="7"/>
          <w:sz w:val="20"/>
          <w:szCs w:val="20"/>
          <w:highlight w:val="none"/>
        </w:rPr>
        <w:t>配合采购人或者采购代理机构答复供应</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商的询问和质疑。</w:t>
      </w:r>
    </w:p>
    <w:p w14:paraId="1362C6A7">
      <w:pPr>
        <w:spacing w:before="248" w:line="343" w:lineRule="auto"/>
        <w:ind w:left="4" w:right="7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31.4 供应商提出质疑应当提交质疑函和必要的证明材料，针对同一采购程序环节的质疑必</w:t>
      </w:r>
      <w:r>
        <w:rPr>
          <w:rFonts w:ascii="宋体" w:hAnsi="宋体" w:eastAsia="宋体" w:cs="宋体"/>
          <w:color w:val="auto"/>
          <w:spacing w:val="17"/>
          <w:sz w:val="20"/>
          <w:szCs w:val="20"/>
          <w:highlight w:val="none"/>
        </w:rPr>
        <w:t xml:space="preserve"> </w:t>
      </w:r>
      <w:r>
        <w:rPr>
          <w:rFonts w:ascii="宋体" w:hAnsi="宋体" w:eastAsia="宋体" w:cs="宋体"/>
          <w:color w:val="auto"/>
          <w:spacing w:val="10"/>
          <w:sz w:val="20"/>
          <w:szCs w:val="20"/>
          <w:highlight w:val="none"/>
        </w:rPr>
        <w:t>须在法定质疑期内一次性提出。质疑函应当</w:t>
      </w:r>
      <w:r>
        <w:rPr>
          <w:rFonts w:ascii="宋体" w:hAnsi="宋体" w:eastAsia="宋体" w:cs="宋体"/>
          <w:color w:val="auto"/>
          <w:spacing w:val="9"/>
          <w:sz w:val="20"/>
          <w:szCs w:val="20"/>
          <w:highlight w:val="none"/>
        </w:rPr>
        <w:t>包括下列内容（质疑函格式后附</w:t>
      </w:r>
      <w:r>
        <w:rPr>
          <w:rFonts w:ascii="宋体" w:hAnsi="宋体" w:eastAsia="宋体" w:cs="宋体"/>
          <w:color w:val="auto"/>
          <w:sz w:val="20"/>
          <w:szCs w:val="20"/>
          <w:highlight w:val="none"/>
        </w:rPr>
        <w:t>）：</w:t>
      </w:r>
    </w:p>
    <w:p w14:paraId="24A767C6">
      <w:pPr>
        <w:spacing w:before="248"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（1）供应商的姓名或者名称、地址、邮编、</w:t>
      </w:r>
      <w:r>
        <w:rPr>
          <w:rFonts w:ascii="宋体" w:hAnsi="宋体" w:eastAsia="宋体" w:cs="宋体"/>
          <w:color w:val="auto"/>
          <w:spacing w:val="8"/>
          <w:sz w:val="20"/>
          <w:szCs w:val="20"/>
          <w:highlight w:val="none"/>
        </w:rPr>
        <w:t>联系人及联系电话；</w:t>
      </w:r>
    </w:p>
    <w:p w14:paraId="56FD65B1">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（2）质疑项目的名称、编号；</w:t>
      </w:r>
    </w:p>
    <w:p w14:paraId="28A39A8A">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（3）具体、明确的质疑事项和与质疑事项相关的请求；</w:t>
      </w:r>
    </w:p>
    <w:p w14:paraId="61300A45">
      <w:pPr>
        <w:spacing w:before="249"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（4）事实依据；</w:t>
      </w:r>
    </w:p>
    <w:p w14:paraId="326EF59A">
      <w:pPr>
        <w:spacing w:before="250"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（5）必要的法律依据；</w:t>
      </w:r>
    </w:p>
    <w:p w14:paraId="639BC1C1">
      <w:pPr>
        <w:spacing w:before="250" w:line="229"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（6）提出质疑的日期。</w:t>
      </w:r>
    </w:p>
    <w:p w14:paraId="4E5E67B5">
      <w:pPr>
        <w:spacing w:before="250" w:line="457" w:lineRule="auto"/>
        <w:ind w:left="2" w:right="15"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供应商为自然人的，应当由本人签字；供应商为法人或者其他组织的，应当由法定</w:t>
      </w:r>
      <w:r>
        <w:rPr>
          <w:rFonts w:ascii="宋体" w:hAnsi="宋体" w:eastAsia="宋体" w:cs="宋体"/>
          <w:color w:val="auto"/>
          <w:spacing w:val="8"/>
          <w:sz w:val="20"/>
          <w:szCs w:val="20"/>
          <w:highlight w:val="none"/>
        </w:rPr>
        <w:t>代表人、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主要负责人，或者其委托代理人签字或者盖章，并加盖公章。</w:t>
      </w:r>
    </w:p>
    <w:p w14:paraId="257EF276">
      <w:pPr>
        <w:spacing w:before="1" w:line="458" w:lineRule="auto"/>
        <w:ind w:left="5" w:right="15"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31.5</w:t>
      </w:r>
      <w:r>
        <w:rPr>
          <w:rFonts w:ascii="宋体" w:hAnsi="宋体" w:eastAsia="宋体" w:cs="宋体"/>
          <w:color w:val="auto"/>
          <w:spacing w:val="-42"/>
          <w:sz w:val="20"/>
          <w:szCs w:val="20"/>
          <w:highlight w:val="none"/>
        </w:rPr>
        <w:t xml:space="preserve"> </w:t>
      </w:r>
      <w:r>
        <w:rPr>
          <w:rFonts w:ascii="宋体" w:hAnsi="宋体" w:eastAsia="宋体" w:cs="宋体"/>
          <w:color w:val="auto"/>
          <w:spacing w:val="7"/>
          <w:sz w:val="20"/>
          <w:szCs w:val="20"/>
          <w:highlight w:val="none"/>
        </w:rPr>
        <w:t>采购人、采购代理机构认为供应商质疑不成立，或者成立但未对成交结果构成影响的，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继续开展采购活动；认为供应商质疑成立且影响或者可能影响成交结果的，按照下列情况处理：</w:t>
      </w:r>
    </w:p>
    <w:p w14:paraId="6AFCEE96">
      <w:pPr>
        <w:spacing w:line="343" w:lineRule="auto"/>
        <w:ind w:right="71"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（一）对采购文件提出的质疑，依法通过澄清或者修改可以继续开展采购活动的，澄清或者</w:t>
      </w:r>
      <w:r>
        <w:rPr>
          <w:rFonts w:ascii="宋体" w:hAnsi="宋体" w:eastAsia="宋体" w:cs="宋体"/>
          <w:color w:val="auto"/>
          <w:spacing w:val="9"/>
          <w:sz w:val="20"/>
          <w:szCs w:val="20"/>
          <w:highlight w:val="none"/>
        </w:rPr>
        <w:t xml:space="preserve"> 修改采购文件后继续开展采购活动；否则应当修改采购文件后重新开展采购活动。</w:t>
      </w:r>
    </w:p>
    <w:p w14:paraId="09EDA04A">
      <w:pPr>
        <w:spacing w:before="251" w:line="343" w:lineRule="auto"/>
        <w:ind w:left="5" w:firstLine="4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（二）对采购过程或者成交结果提出的质疑，合格供应商符合法定数量时，可以从合格的成</w:t>
      </w:r>
      <w:r>
        <w:rPr>
          <w:rFonts w:ascii="宋体" w:hAnsi="宋体" w:eastAsia="宋体" w:cs="宋体"/>
          <w:color w:val="auto"/>
          <w:spacing w:val="9"/>
          <w:sz w:val="20"/>
          <w:szCs w:val="20"/>
          <w:highlight w:val="none"/>
        </w:rPr>
        <w:t xml:space="preserve"> </w:t>
      </w:r>
      <w:r>
        <w:rPr>
          <w:rFonts w:ascii="宋体" w:hAnsi="宋体" w:eastAsia="宋体" w:cs="宋体"/>
          <w:color w:val="auto"/>
          <w:spacing w:val="4"/>
          <w:sz w:val="20"/>
          <w:szCs w:val="20"/>
          <w:highlight w:val="none"/>
        </w:rPr>
        <w:t>交候选人中另行确定成交供应商的，应当依法另行确定成交供应商；否则应当重新开展采购活动。</w:t>
      </w:r>
    </w:p>
    <w:p w14:paraId="1D665BAC">
      <w:pPr>
        <w:spacing w:before="251" w:line="457" w:lineRule="auto"/>
        <w:ind w:left="3" w:right="71" w:firstLine="4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质疑答复导致成交结果改变的，采购人或者采购代理机构应当将有关情况书面报告本级财政</w:t>
      </w:r>
      <w:r>
        <w:rPr>
          <w:rFonts w:ascii="宋体" w:hAnsi="宋体" w:eastAsia="宋体" w:cs="宋体"/>
          <w:color w:val="auto"/>
          <w:spacing w:val="18"/>
          <w:sz w:val="20"/>
          <w:szCs w:val="20"/>
          <w:highlight w:val="none"/>
        </w:rPr>
        <w:t xml:space="preserve"> </w:t>
      </w:r>
      <w:r>
        <w:rPr>
          <w:rFonts w:ascii="宋体" w:hAnsi="宋体" w:eastAsia="宋体" w:cs="宋体"/>
          <w:color w:val="auto"/>
          <w:spacing w:val="2"/>
          <w:sz w:val="20"/>
          <w:szCs w:val="20"/>
          <w:highlight w:val="none"/>
        </w:rPr>
        <w:t>部门。</w:t>
      </w:r>
    </w:p>
    <w:p w14:paraId="3259DDE4">
      <w:pPr>
        <w:spacing w:line="459" w:lineRule="auto"/>
        <w:ind w:right="69" w:firstLine="425"/>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31.6</w:t>
      </w:r>
      <w:r>
        <w:rPr>
          <w:rFonts w:ascii="宋体" w:hAnsi="宋体" w:eastAsia="宋体" w:cs="宋体"/>
          <w:color w:val="auto"/>
          <w:spacing w:val="-36"/>
          <w:sz w:val="20"/>
          <w:szCs w:val="20"/>
          <w:highlight w:val="none"/>
        </w:rPr>
        <w:t xml:space="preserve"> </w:t>
      </w:r>
      <w:r>
        <w:rPr>
          <w:rFonts w:ascii="宋体" w:hAnsi="宋体" w:eastAsia="宋体" w:cs="宋体"/>
          <w:color w:val="auto"/>
          <w:spacing w:val="11"/>
          <w:sz w:val="20"/>
          <w:szCs w:val="20"/>
          <w:highlight w:val="none"/>
        </w:rPr>
        <w:t>投诉的权利。质疑供应商对采购人、采购代</w:t>
      </w:r>
      <w:r>
        <w:rPr>
          <w:rFonts w:ascii="宋体" w:hAnsi="宋体" w:eastAsia="宋体" w:cs="宋体"/>
          <w:color w:val="auto"/>
          <w:spacing w:val="10"/>
          <w:sz w:val="20"/>
          <w:szCs w:val="20"/>
          <w:highlight w:val="none"/>
        </w:rPr>
        <w:t>理机构的答复不满意，或者采购人、采购</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代理机构未在规定时间内作出答复的，可以在答复期满后</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15</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个工作日内向《政府采购质疑和投</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诉办法》（财政部令第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94</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号）第六条规定的财政部门提起投诉（投诉书格式后附</w:t>
      </w:r>
      <w:r>
        <w:rPr>
          <w:rFonts w:ascii="宋体" w:hAnsi="宋体" w:eastAsia="宋体" w:cs="宋体"/>
          <w:color w:val="auto"/>
          <w:spacing w:val="17"/>
          <w:sz w:val="20"/>
          <w:szCs w:val="20"/>
          <w:highlight w:val="none"/>
        </w:rPr>
        <w:t>），</w:t>
      </w:r>
      <w:r>
        <w:rPr>
          <w:rFonts w:ascii="宋体" w:hAnsi="宋体" w:eastAsia="宋体" w:cs="宋体"/>
          <w:color w:val="auto"/>
          <w:spacing w:val="9"/>
          <w:sz w:val="20"/>
          <w:szCs w:val="20"/>
          <w:highlight w:val="none"/>
        </w:rPr>
        <w:t>受</w:t>
      </w:r>
      <w:r>
        <w:rPr>
          <w:rFonts w:ascii="宋体" w:hAnsi="宋体" w:eastAsia="宋体" w:cs="宋体"/>
          <w:color w:val="auto"/>
          <w:spacing w:val="8"/>
          <w:sz w:val="20"/>
          <w:szCs w:val="20"/>
          <w:highlight w:val="none"/>
        </w:rPr>
        <w:t>理投诉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方式见“供应商须知前附表</w:t>
      </w:r>
      <w:r>
        <w:rPr>
          <w:rFonts w:ascii="宋体" w:hAnsi="宋体" w:eastAsia="宋体" w:cs="宋体"/>
          <w:color w:val="auto"/>
          <w:spacing w:val="-61"/>
          <w:sz w:val="20"/>
          <w:szCs w:val="20"/>
          <w:highlight w:val="none"/>
        </w:rPr>
        <w:t xml:space="preserve"> </w:t>
      </w:r>
      <w:r>
        <w:rPr>
          <w:rFonts w:ascii="宋体" w:hAnsi="宋体" w:eastAsia="宋体" w:cs="宋体"/>
          <w:color w:val="auto"/>
          <w:spacing w:val="8"/>
          <w:sz w:val="20"/>
          <w:szCs w:val="20"/>
          <w:highlight w:val="none"/>
        </w:rPr>
        <w:t>”。</w:t>
      </w:r>
    </w:p>
    <w:p w14:paraId="7BA21445">
      <w:pPr>
        <w:spacing w:line="459" w:lineRule="auto"/>
        <w:rPr>
          <w:rFonts w:ascii="宋体" w:hAnsi="宋体" w:eastAsia="宋体" w:cs="宋体"/>
          <w:color w:val="auto"/>
          <w:sz w:val="20"/>
          <w:szCs w:val="20"/>
          <w:highlight w:val="none"/>
        </w:rPr>
        <w:sectPr>
          <w:footerReference r:id="rId33" w:type="default"/>
          <w:pgSz w:w="11905" w:h="16839"/>
          <w:pgMar w:top="400" w:right="1517" w:bottom="1149" w:left="1593" w:header="0" w:footer="913" w:gutter="0"/>
          <w:cols w:space="720" w:num="1"/>
        </w:sectPr>
      </w:pPr>
    </w:p>
    <w:p w14:paraId="48AFFA8E">
      <w:pPr>
        <w:spacing w:before="100" w:line="225" w:lineRule="auto"/>
        <w:ind w:left="3730"/>
        <w:outlineLvl w:val="2"/>
        <w:rPr>
          <w:rFonts w:ascii="宋体" w:hAnsi="宋体" w:eastAsia="宋体" w:cs="宋体"/>
          <w:color w:val="auto"/>
          <w:sz w:val="31"/>
          <w:szCs w:val="31"/>
          <w:highlight w:val="none"/>
        </w:rPr>
      </w:pPr>
      <w:bookmarkStart w:id="11" w:name="_Toc13966"/>
      <w:r>
        <w:rPr>
          <w:rFonts w:ascii="宋体" w:hAnsi="宋体" w:eastAsia="宋体" w:cs="宋体"/>
          <w:b/>
          <w:bCs/>
          <w:color w:val="auto"/>
          <w:spacing w:val="3"/>
          <w:sz w:val="31"/>
          <w:szCs w:val="31"/>
          <w:highlight w:val="none"/>
        </w:rPr>
        <w:t>六、验收</w:t>
      </w:r>
      <w:bookmarkEnd w:id="11"/>
    </w:p>
    <w:p w14:paraId="0FED2D3C">
      <w:pPr>
        <w:spacing w:before="239" w:line="220" w:lineRule="auto"/>
        <w:ind w:left="42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32.验收</w:t>
      </w:r>
    </w:p>
    <w:p w14:paraId="6B30D147">
      <w:pPr>
        <w:spacing w:before="224" w:line="402" w:lineRule="auto"/>
        <w:ind w:left="2" w:right="39" w:firstLine="42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32.1</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采购人会同实际使用人组织对供应商履约的验收。</w:t>
      </w:r>
      <w:r>
        <w:rPr>
          <w:rFonts w:ascii="宋体" w:hAnsi="宋体" w:eastAsia="宋体" w:cs="宋体"/>
          <w:color w:val="auto"/>
          <w:spacing w:val="10"/>
          <w:sz w:val="20"/>
          <w:szCs w:val="20"/>
          <w:highlight w:val="none"/>
        </w:rPr>
        <w:t>大型或者复杂的政府采购项目，应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当邀请国家认可的质量检测机构参加验收工作。验收方</w:t>
      </w:r>
      <w:r>
        <w:rPr>
          <w:rFonts w:ascii="宋体" w:hAnsi="宋体" w:eastAsia="宋体" w:cs="宋体"/>
          <w:color w:val="auto"/>
          <w:spacing w:val="7"/>
          <w:sz w:val="20"/>
          <w:szCs w:val="20"/>
          <w:highlight w:val="none"/>
        </w:rPr>
        <w:t>成员应当在验收书上签字，并承担相应的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法律责任。如果发现与合同中要求不符，供应商须承担</w:t>
      </w:r>
      <w:r>
        <w:rPr>
          <w:rFonts w:ascii="宋体" w:hAnsi="宋体" w:eastAsia="宋体" w:cs="宋体"/>
          <w:color w:val="auto"/>
          <w:spacing w:val="7"/>
          <w:sz w:val="20"/>
          <w:szCs w:val="20"/>
          <w:highlight w:val="none"/>
        </w:rPr>
        <w:t>由此发生的一切损失和费用，并接受相应</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的处理。</w:t>
      </w:r>
    </w:p>
    <w:p w14:paraId="4841161A">
      <w:pPr>
        <w:spacing w:before="246" w:line="343" w:lineRule="auto"/>
        <w:ind w:left="5" w:right="39" w:firstLine="42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32.2</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采购人可以邀请参加本项目的其他供应商或者第三</w:t>
      </w:r>
      <w:r>
        <w:rPr>
          <w:rFonts w:ascii="宋体" w:hAnsi="宋体" w:eastAsia="宋体" w:cs="宋体"/>
          <w:color w:val="auto"/>
          <w:spacing w:val="10"/>
          <w:sz w:val="20"/>
          <w:szCs w:val="20"/>
          <w:highlight w:val="none"/>
        </w:rPr>
        <w:t>方机构参与验收。参与验收的供应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商或者第三方机构的意见作为验收书的参考资料一并存档。</w:t>
      </w:r>
    </w:p>
    <w:p w14:paraId="6D0EB31F">
      <w:pPr>
        <w:spacing w:before="245" w:line="413" w:lineRule="auto"/>
        <w:ind w:right="39" w:firstLine="42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32.3</w:t>
      </w:r>
      <w:r>
        <w:rPr>
          <w:rFonts w:ascii="宋体" w:hAnsi="宋体" w:eastAsia="宋体" w:cs="宋体"/>
          <w:color w:val="auto"/>
          <w:spacing w:val="-37"/>
          <w:sz w:val="20"/>
          <w:szCs w:val="20"/>
          <w:highlight w:val="none"/>
        </w:rPr>
        <w:t xml:space="preserve"> </w:t>
      </w:r>
      <w:r>
        <w:rPr>
          <w:rFonts w:ascii="宋体" w:hAnsi="宋体" w:eastAsia="宋体" w:cs="宋体"/>
          <w:color w:val="auto"/>
          <w:spacing w:val="11"/>
          <w:sz w:val="20"/>
          <w:szCs w:val="20"/>
          <w:highlight w:val="none"/>
        </w:rPr>
        <w:t>严格按照采购合同开展履约验收。采购人成立</w:t>
      </w:r>
      <w:r>
        <w:rPr>
          <w:rFonts w:ascii="宋体" w:hAnsi="宋体" w:eastAsia="宋体" w:cs="宋体"/>
          <w:color w:val="auto"/>
          <w:spacing w:val="10"/>
          <w:sz w:val="20"/>
          <w:szCs w:val="20"/>
          <w:highlight w:val="none"/>
        </w:rPr>
        <w:t>验收小组，按照采购合同的约定对供应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商履约情况进行验收。验收时，按照采购合同的约定对每一项技术</w:t>
      </w:r>
      <w:r>
        <w:rPr>
          <w:rFonts w:ascii="宋体" w:hAnsi="宋体" w:eastAsia="宋体" w:cs="宋体"/>
          <w:color w:val="auto"/>
          <w:spacing w:val="7"/>
          <w:sz w:val="20"/>
          <w:szCs w:val="20"/>
          <w:highlight w:val="none"/>
        </w:rPr>
        <w:t>、服务、安全标准的履约情况</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进行确认。验收结束后，应当出具验收书，列明各项标准的验</w:t>
      </w:r>
      <w:r>
        <w:rPr>
          <w:rFonts w:ascii="宋体" w:hAnsi="宋体" w:eastAsia="宋体" w:cs="宋体"/>
          <w:color w:val="auto"/>
          <w:spacing w:val="7"/>
          <w:sz w:val="20"/>
          <w:szCs w:val="20"/>
          <w:highlight w:val="none"/>
        </w:rPr>
        <w:t>收情况及项目总体评价，由验收双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方共同签署。验收结果与采购合同约定的资金支付及履约保证金返</w:t>
      </w:r>
      <w:r>
        <w:rPr>
          <w:rFonts w:ascii="宋体" w:hAnsi="宋体" w:eastAsia="宋体" w:cs="宋体"/>
          <w:color w:val="auto"/>
          <w:spacing w:val="7"/>
          <w:sz w:val="20"/>
          <w:szCs w:val="20"/>
          <w:highlight w:val="none"/>
        </w:rPr>
        <w:t>还条件挂钩。履约验收的各项</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资料应当存档备查。</w:t>
      </w:r>
    </w:p>
    <w:p w14:paraId="2BA641F8">
      <w:pPr>
        <w:spacing w:before="250" w:line="400" w:lineRule="auto"/>
        <w:ind w:firstLine="42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32.4</w:t>
      </w:r>
      <w:r>
        <w:rPr>
          <w:rFonts w:ascii="宋体" w:hAnsi="宋体" w:eastAsia="宋体" w:cs="宋体"/>
          <w:color w:val="auto"/>
          <w:spacing w:val="-39"/>
          <w:sz w:val="20"/>
          <w:szCs w:val="20"/>
          <w:highlight w:val="none"/>
        </w:rPr>
        <w:t xml:space="preserve"> </w:t>
      </w:r>
      <w:r>
        <w:rPr>
          <w:rFonts w:ascii="宋体" w:hAnsi="宋体" w:eastAsia="宋体" w:cs="宋体"/>
          <w:color w:val="auto"/>
          <w:spacing w:val="11"/>
          <w:sz w:val="20"/>
          <w:szCs w:val="20"/>
          <w:highlight w:val="none"/>
        </w:rPr>
        <w:t>验收合格的项目，实际使用人将根据采购合同的约</w:t>
      </w:r>
      <w:r>
        <w:rPr>
          <w:rFonts w:ascii="宋体" w:hAnsi="宋体" w:eastAsia="宋体" w:cs="宋体"/>
          <w:color w:val="auto"/>
          <w:spacing w:val="10"/>
          <w:sz w:val="20"/>
          <w:szCs w:val="20"/>
          <w:highlight w:val="none"/>
        </w:rPr>
        <w:t>定及时向供应商支付采购资金。验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收不合格的项目，采购人将依法及时处理。采购合同的履行、违</w:t>
      </w:r>
      <w:r>
        <w:rPr>
          <w:rFonts w:ascii="宋体" w:hAnsi="宋体" w:eastAsia="宋体" w:cs="宋体"/>
          <w:color w:val="auto"/>
          <w:spacing w:val="7"/>
          <w:sz w:val="20"/>
          <w:szCs w:val="20"/>
          <w:highlight w:val="none"/>
        </w:rPr>
        <w:t>约责任和解决争议的方式等适用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《中华人民共和国民法典》。供应商在履约过程中有政府采</w:t>
      </w:r>
      <w:r>
        <w:rPr>
          <w:rFonts w:ascii="宋体" w:hAnsi="宋体" w:eastAsia="宋体" w:cs="宋体"/>
          <w:color w:val="auto"/>
          <w:spacing w:val="8"/>
          <w:sz w:val="20"/>
          <w:szCs w:val="20"/>
          <w:highlight w:val="none"/>
        </w:rPr>
        <w:t>购法律法规规定的违法违规情形的，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采购人应当及时报告本级财政部门。</w:t>
      </w:r>
    </w:p>
    <w:p w14:paraId="540FDF25">
      <w:pPr>
        <w:spacing w:before="281" w:line="226" w:lineRule="auto"/>
        <w:ind w:left="3727"/>
        <w:outlineLvl w:val="2"/>
        <w:rPr>
          <w:rFonts w:ascii="宋体" w:hAnsi="宋体" w:eastAsia="宋体" w:cs="宋体"/>
          <w:color w:val="auto"/>
          <w:sz w:val="31"/>
          <w:szCs w:val="31"/>
          <w:highlight w:val="none"/>
        </w:rPr>
      </w:pPr>
      <w:bookmarkStart w:id="12" w:name="_Toc5618"/>
      <w:r>
        <w:rPr>
          <w:rFonts w:ascii="宋体" w:hAnsi="宋体" w:eastAsia="宋体" w:cs="宋体"/>
          <w:b/>
          <w:bCs/>
          <w:color w:val="auto"/>
          <w:spacing w:val="5"/>
          <w:sz w:val="31"/>
          <w:szCs w:val="31"/>
          <w:highlight w:val="none"/>
        </w:rPr>
        <w:t>七、其他事项</w:t>
      </w:r>
      <w:bookmarkEnd w:id="12"/>
    </w:p>
    <w:p w14:paraId="46629BEC">
      <w:pPr>
        <w:spacing w:before="271" w:line="220" w:lineRule="auto"/>
        <w:ind w:left="42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33.代理服务费</w:t>
      </w:r>
    </w:p>
    <w:p w14:paraId="4E2C0B9B">
      <w:pPr>
        <w:spacing w:before="201" w:line="228"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33.1</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代理服务收费标准及缴费账户详见“供应商须知前附表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w:t>
      </w:r>
    </w:p>
    <w:p w14:paraId="1730DD9E">
      <w:pPr>
        <w:spacing w:before="212" w:line="228" w:lineRule="auto"/>
        <w:ind w:left="437"/>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附件：</w:t>
      </w:r>
    </w:p>
    <w:p w14:paraId="3F913734">
      <w:pPr>
        <w:spacing w:before="151"/>
        <w:rPr>
          <w:color w:val="auto"/>
          <w:highlight w:val="none"/>
        </w:rPr>
      </w:pPr>
    </w:p>
    <w:tbl>
      <w:tblPr>
        <w:tblStyle w:val="8"/>
        <w:tblW w:w="8269" w:type="dxa"/>
        <w:tblInd w:w="1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7"/>
        <w:gridCol w:w="1598"/>
        <w:gridCol w:w="1703"/>
        <w:gridCol w:w="1541"/>
      </w:tblGrid>
      <w:tr w14:paraId="0AB55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2" w:hRule="atLeast"/>
        </w:trPr>
        <w:tc>
          <w:tcPr>
            <w:tcW w:w="3427" w:type="dxa"/>
            <w:tcBorders>
              <w:tl2br w:val="single" w:color="000000" w:sz="4" w:space="0"/>
            </w:tcBorders>
            <w:vAlign w:val="top"/>
          </w:tcPr>
          <w:p w14:paraId="6767D52C">
            <w:pPr>
              <w:spacing w:line="292" w:lineRule="auto"/>
              <w:rPr>
                <w:rFonts w:ascii="Arial"/>
                <w:color w:val="auto"/>
                <w:sz w:val="21"/>
                <w:highlight w:val="none"/>
              </w:rPr>
            </w:pPr>
          </w:p>
          <w:p w14:paraId="2E1B76B5">
            <w:pPr>
              <w:spacing w:line="293" w:lineRule="auto"/>
              <w:rPr>
                <w:rFonts w:ascii="Arial"/>
                <w:color w:val="auto"/>
                <w:sz w:val="21"/>
                <w:highlight w:val="none"/>
              </w:rPr>
            </w:pPr>
          </w:p>
          <w:p w14:paraId="08CDDA47">
            <w:pPr>
              <w:pStyle w:val="9"/>
              <w:spacing w:before="65" w:line="334" w:lineRule="auto"/>
              <w:ind w:left="555" w:right="902" w:firstLine="1566"/>
              <w:rPr>
                <w:color w:val="auto"/>
                <w:highlight w:val="none"/>
              </w:rPr>
            </w:pPr>
            <w:r>
              <w:rPr>
                <w:color w:val="auto"/>
                <w:spacing w:val="-1"/>
                <w:highlight w:val="none"/>
              </w:rPr>
              <w:t>费率</w:t>
            </w:r>
            <w:r>
              <w:rPr>
                <w:color w:val="auto"/>
                <w:highlight w:val="none"/>
              </w:rPr>
              <w:t xml:space="preserve"> </w:t>
            </w:r>
            <w:r>
              <w:rPr>
                <w:color w:val="auto"/>
                <w:spacing w:val="2"/>
                <w:highlight w:val="none"/>
              </w:rPr>
              <w:t>中标金额</w:t>
            </w:r>
          </w:p>
        </w:tc>
        <w:tc>
          <w:tcPr>
            <w:tcW w:w="1598" w:type="dxa"/>
            <w:vAlign w:val="top"/>
          </w:tcPr>
          <w:p w14:paraId="1C47E5FF">
            <w:pPr>
              <w:spacing w:line="292" w:lineRule="auto"/>
              <w:rPr>
                <w:rFonts w:ascii="Arial"/>
                <w:color w:val="auto"/>
                <w:sz w:val="21"/>
                <w:highlight w:val="none"/>
              </w:rPr>
            </w:pPr>
          </w:p>
          <w:p w14:paraId="1AEE8FF8">
            <w:pPr>
              <w:spacing w:line="292" w:lineRule="auto"/>
              <w:rPr>
                <w:rFonts w:ascii="Arial"/>
                <w:color w:val="auto"/>
                <w:sz w:val="21"/>
                <w:highlight w:val="none"/>
              </w:rPr>
            </w:pPr>
          </w:p>
          <w:p w14:paraId="40F769FF">
            <w:pPr>
              <w:pStyle w:val="9"/>
              <w:spacing w:before="65" w:line="228" w:lineRule="auto"/>
              <w:ind w:left="538"/>
              <w:rPr>
                <w:color w:val="auto"/>
                <w:highlight w:val="none"/>
              </w:rPr>
            </w:pPr>
            <w:r>
              <w:rPr>
                <w:color w:val="auto"/>
                <w:spacing w:val="6"/>
                <w:highlight w:val="none"/>
              </w:rPr>
              <w:t>货物招标</w:t>
            </w:r>
          </w:p>
        </w:tc>
        <w:tc>
          <w:tcPr>
            <w:tcW w:w="1703" w:type="dxa"/>
            <w:vAlign w:val="top"/>
          </w:tcPr>
          <w:p w14:paraId="73E13938">
            <w:pPr>
              <w:spacing w:line="292" w:lineRule="auto"/>
              <w:rPr>
                <w:rFonts w:ascii="Arial"/>
                <w:color w:val="auto"/>
                <w:sz w:val="21"/>
                <w:highlight w:val="none"/>
              </w:rPr>
            </w:pPr>
          </w:p>
          <w:p w14:paraId="114F6E4B">
            <w:pPr>
              <w:spacing w:line="293" w:lineRule="auto"/>
              <w:rPr>
                <w:rFonts w:ascii="Arial"/>
                <w:color w:val="auto"/>
                <w:sz w:val="21"/>
                <w:highlight w:val="none"/>
              </w:rPr>
            </w:pPr>
          </w:p>
          <w:p w14:paraId="0591F16C">
            <w:pPr>
              <w:pStyle w:val="9"/>
              <w:spacing w:before="65" w:line="228" w:lineRule="auto"/>
              <w:ind w:left="533"/>
              <w:rPr>
                <w:color w:val="auto"/>
                <w:highlight w:val="none"/>
              </w:rPr>
            </w:pPr>
            <w:r>
              <w:rPr>
                <w:color w:val="auto"/>
                <w:spacing w:val="7"/>
                <w:highlight w:val="none"/>
              </w:rPr>
              <w:t>服务招标</w:t>
            </w:r>
          </w:p>
        </w:tc>
        <w:tc>
          <w:tcPr>
            <w:tcW w:w="1541" w:type="dxa"/>
            <w:vAlign w:val="top"/>
          </w:tcPr>
          <w:p w14:paraId="4962E147">
            <w:pPr>
              <w:spacing w:line="292" w:lineRule="auto"/>
              <w:rPr>
                <w:rFonts w:ascii="Arial"/>
                <w:color w:val="auto"/>
                <w:sz w:val="21"/>
                <w:highlight w:val="none"/>
              </w:rPr>
            </w:pPr>
          </w:p>
          <w:p w14:paraId="39344F21">
            <w:pPr>
              <w:spacing w:line="293" w:lineRule="auto"/>
              <w:rPr>
                <w:rFonts w:ascii="Arial"/>
                <w:color w:val="auto"/>
                <w:sz w:val="21"/>
                <w:highlight w:val="none"/>
              </w:rPr>
            </w:pPr>
          </w:p>
          <w:p w14:paraId="5A4FE6A5">
            <w:pPr>
              <w:pStyle w:val="9"/>
              <w:spacing w:before="65" w:line="229" w:lineRule="auto"/>
              <w:ind w:left="537"/>
              <w:rPr>
                <w:color w:val="auto"/>
                <w:highlight w:val="none"/>
              </w:rPr>
            </w:pPr>
            <w:r>
              <w:rPr>
                <w:color w:val="auto"/>
                <w:spacing w:val="6"/>
                <w:highlight w:val="none"/>
              </w:rPr>
              <w:t>工程招标</w:t>
            </w:r>
          </w:p>
        </w:tc>
      </w:tr>
      <w:tr w14:paraId="66958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427" w:type="dxa"/>
            <w:vAlign w:val="top"/>
          </w:tcPr>
          <w:p w14:paraId="51CD3CB7">
            <w:pPr>
              <w:pStyle w:val="9"/>
              <w:spacing w:before="189" w:line="229" w:lineRule="auto"/>
              <w:ind w:left="551"/>
              <w:rPr>
                <w:color w:val="auto"/>
                <w:highlight w:val="none"/>
              </w:rPr>
            </w:pPr>
            <w:r>
              <w:rPr>
                <w:color w:val="auto"/>
                <w:spacing w:val="2"/>
                <w:highlight w:val="none"/>
              </w:rPr>
              <w:t>100</w:t>
            </w:r>
            <w:r>
              <w:rPr>
                <w:color w:val="auto"/>
                <w:spacing w:val="-34"/>
                <w:highlight w:val="none"/>
              </w:rPr>
              <w:t xml:space="preserve"> </w:t>
            </w:r>
            <w:r>
              <w:rPr>
                <w:color w:val="auto"/>
                <w:spacing w:val="2"/>
                <w:highlight w:val="none"/>
              </w:rPr>
              <w:t>万元以下</w:t>
            </w:r>
          </w:p>
        </w:tc>
        <w:tc>
          <w:tcPr>
            <w:tcW w:w="1598" w:type="dxa"/>
            <w:vAlign w:val="top"/>
          </w:tcPr>
          <w:p w14:paraId="59C2D71C">
            <w:pPr>
              <w:pStyle w:val="9"/>
              <w:spacing w:before="189" w:line="264" w:lineRule="exact"/>
              <w:ind w:left="549"/>
              <w:rPr>
                <w:color w:val="auto"/>
                <w:highlight w:val="none"/>
              </w:rPr>
            </w:pPr>
            <w:r>
              <w:rPr>
                <w:color w:val="auto"/>
                <w:spacing w:val="-1"/>
                <w:position w:val="1"/>
                <w:highlight w:val="none"/>
              </w:rPr>
              <w:t>1.5%</w:t>
            </w:r>
          </w:p>
        </w:tc>
        <w:tc>
          <w:tcPr>
            <w:tcW w:w="1703" w:type="dxa"/>
            <w:vAlign w:val="top"/>
          </w:tcPr>
          <w:p w14:paraId="2FA2248E">
            <w:pPr>
              <w:pStyle w:val="9"/>
              <w:spacing w:before="189" w:line="264" w:lineRule="exact"/>
              <w:ind w:left="549"/>
              <w:rPr>
                <w:color w:val="auto"/>
                <w:highlight w:val="none"/>
              </w:rPr>
            </w:pPr>
            <w:r>
              <w:rPr>
                <w:color w:val="auto"/>
                <w:spacing w:val="-1"/>
                <w:position w:val="1"/>
                <w:highlight w:val="none"/>
              </w:rPr>
              <w:t>1.5%</w:t>
            </w:r>
          </w:p>
        </w:tc>
        <w:tc>
          <w:tcPr>
            <w:tcW w:w="1541" w:type="dxa"/>
            <w:vAlign w:val="top"/>
          </w:tcPr>
          <w:p w14:paraId="0A496497">
            <w:pPr>
              <w:pStyle w:val="9"/>
              <w:spacing w:before="189" w:line="264" w:lineRule="exact"/>
              <w:ind w:left="550"/>
              <w:rPr>
                <w:color w:val="auto"/>
                <w:highlight w:val="none"/>
              </w:rPr>
            </w:pPr>
            <w:r>
              <w:rPr>
                <w:color w:val="auto"/>
                <w:spacing w:val="-1"/>
                <w:position w:val="1"/>
                <w:highlight w:val="none"/>
              </w:rPr>
              <w:t>1.0%</w:t>
            </w:r>
          </w:p>
        </w:tc>
      </w:tr>
      <w:tr w14:paraId="6A958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427" w:type="dxa"/>
            <w:vAlign w:val="top"/>
          </w:tcPr>
          <w:p w14:paraId="59D26D86">
            <w:pPr>
              <w:pStyle w:val="9"/>
              <w:spacing w:before="191" w:line="229" w:lineRule="auto"/>
              <w:ind w:left="551"/>
              <w:rPr>
                <w:color w:val="auto"/>
                <w:highlight w:val="none"/>
              </w:rPr>
            </w:pPr>
            <w:r>
              <w:rPr>
                <w:color w:val="auto"/>
                <w:spacing w:val="2"/>
                <w:highlight w:val="none"/>
              </w:rPr>
              <w:t>100～500</w:t>
            </w:r>
            <w:r>
              <w:rPr>
                <w:color w:val="auto"/>
                <w:spacing w:val="-33"/>
                <w:highlight w:val="none"/>
              </w:rPr>
              <w:t xml:space="preserve"> </w:t>
            </w:r>
            <w:r>
              <w:rPr>
                <w:color w:val="auto"/>
                <w:spacing w:val="2"/>
                <w:highlight w:val="none"/>
              </w:rPr>
              <w:t>万元</w:t>
            </w:r>
          </w:p>
        </w:tc>
        <w:tc>
          <w:tcPr>
            <w:tcW w:w="1598" w:type="dxa"/>
            <w:vAlign w:val="top"/>
          </w:tcPr>
          <w:p w14:paraId="21298C24">
            <w:pPr>
              <w:pStyle w:val="9"/>
              <w:spacing w:before="191" w:line="262" w:lineRule="exact"/>
              <w:ind w:left="549"/>
              <w:rPr>
                <w:color w:val="auto"/>
                <w:highlight w:val="none"/>
              </w:rPr>
            </w:pPr>
            <w:r>
              <w:rPr>
                <w:color w:val="auto"/>
                <w:spacing w:val="-1"/>
                <w:position w:val="1"/>
                <w:highlight w:val="none"/>
              </w:rPr>
              <w:t>1.1%</w:t>
            </w:r>
          </w:p>
        </w:tc>
        <w:tc>
          <w:tcPr>
            <w:tcW w:w="1703" w:type="dxa"/>
            <w:vAlign w:val="top"/>
          </w:tcPr>
          <w:p w14:paraId="3A08AE76">
            <w:pPr>
              <w:pStyle w:val="9"/>
              <w:spacing w:before="191" w:line="262" w:lineRule="exact"/>
              <w:ind w:left="535"/>
              <w:rPr>
                <w:color w:val="auto"/>
                <w:highlight w:val="none"/>
              </w:rPr>
            </w:pPr>
            <w:r>
              <w:rPr>
                <w:color w:val="auto"/>
                <w:spacing w:val="2"/>
                <w:position w:val="1"/>
                <w:highlight w:val="none"/>
              </w:rPr>
              <w:t>0.8%</w:t>
            </w:r>
          </w:p>
        </w:tc>
        <w:tc>
          <w:tcPr>
            <w:tcW w:w="1541" w:type="dxa"/>
            <w:vAlign w:val="top"/>
          </w:tcPr>
          <w:p w14:paraId="70C25C7D">
            <w:pPr>
              <w:pStyle w:val="9"/>
              <w:spacing w:before="191" w:line="262" w:lineRule="exact"/>
              <w:ind w:left="536"/>
              <w:rPr>
                <w:color w:val="auto"/>
                <w:highlight w:val="none"/>
              </w:rPr>
            </w:pPr>
            <w:r>
              <w:rPr>
                <w:color w:val="auto"/>
                <w:spacing w:val="2"/>
                <w:position w:val="1"/>
                <w:highlight w:val="none"/>
              </w:rPr>
              <w:t>0.7%</w:t>
            </w:r>
          </w:p>
        </w:tc>
      </w:tr>
      <w:tr w14:paraId="32F8E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427" w:type="dxa"/>
            <w:vAlign w:val="top"/>
          </w:tcPr>
          <w:p w14:paraId="7AF76E84">
            <w:pPr>
              <w:pStyle w:val="9"/>
              <w:spacing w:before="192" w:line="229" w:lineRule="auto"/>
              <w:ind w:left="539"/>
              <w:rPr>
                <w:color w:val="auto"/>
                <w:highlight w:val="none"/>
              </w:rPr>
            </w:pPr>
            <w:r>
              <w:rPr>
                <w:color w:val="auto"/>
                <w:spacing w:val="3"/>
                <w:highlight w:val="none"/>
              </w:rPr>
              <w:t>500～1000</w:t>
            </w:r>
            <w:r>
              <w:rPr>
                <w:color w:val="auto"/>
                <w:spacing w:val="-30"/>
                <w:highlight w:val="none"/>
              </w:rPr>
              <w:t xml:space="preserve"> </w:t>
            </w:r>
            <w:r>
              <w:rPr>
                <w:color w:val="auto"/>
                <w:spacing w:val="3"/>
                <w:highlight w:val="none"/>
              </w:rPr>
              <w:t>万元</w:t>
            </w:r>
          </w:p>
        </w:tc>
        <w:tc>
          <w:tcPr>
            <w:tcW w:w="1598" w:type="dxa"/>
            <w:vAlign w:val="top"/>
          </w:tcPr>
          <w:p w14:paraId="159BA80E">
            <w:pPr>
              <w:pStyle w:val="9"/>
              <w:spacing w:before="192" w:line="241" w:lineRule="auto"/>
              <w:ind w:left="535"/>
              <w:rPr>
                <w:color w:val="auto"/>
                <w:highlight w:val="none"/>
              </w:rPr>
            </w:pPr>
            <w:r>
              <w:rPr>
                <w:color w:val="auto"/>
                <w:spacing w:val="2"/>
                <w:highlight w:val="none"/>
              </w:rPr>
              <w:t>0.8%</w:t>
            </w:r>
          </w:p>
        </w:tc>
        <w:tc>
          <w:tcPr>
            <w:tcW w:w="1703" w:type="dxa"/>
            <w:vAlign w:val="top"/>
          </w:tcPr>
          <w:p w14:paraId="683905F2">
            <w:pPr>
              <w:pStyle w:val="9"/>
              <w:spacing w:before="192" w:line="241" w:lineRule="auto"/>
              <w:ind w:left="535"/>
              <w:rPr>
                <w:color w:val="auto"/>
                <w:highlight w:val="none"/>
              </w:rPr>
            </w:pPr>
            <w:r>
              <w:rPr>
                <w:color w:val="auto"/>
                <w:spacing w:val="2"/>
                <w:highlight w:val="none"/>
              </w:rPr>
              <w:t>0.45%</w:t>
            </w:r>
          </w:p>
        </w:tc>
        <w:tc>
          <w:tcPr>
            <w:tcW w:w="1541" w:type="dxa"/>
            <w:vAlign w:val="top"/>
          </w:tcPr>
          <w:p w14:paraId="3EA0B38C">
            <w:pPr>
              <w:pStyle w:val="9"/>
              <w:spacing w:before="192" w:line="241" w:lineRule="auto"/>
              <w:ind w:left="536"/>
              <w:rPr>
                <w:color w:val="auto"/>
                <w:highlight w:val="none"/>
              </w:rPr>
            </w:pPr>
            <w:r>
              <w:rPr>
                <w:color w:val="auto"/>
                <w:spacing w:val="2"/>
                <w:highlight w:val="none"/>
              </w:rPr>
              <w:t>0.55%</w:t>
            </w:r>
          </w:p>
        </w:tc>
      </w:tr>
      <w:tr w14:paraId="0E4AA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3427" w:type="dxa"/>
            <w:vAlign w:val="top"/>
          </w:tcPr>
          <w:p w14:paraId="772BB624">
            <w:pPr>
              <w:pStyle w:val="9"/>
              <w:spacing w:before="193" w:line="229" w:lineRule="auto"/>
              <w:ind w:left="551"/>
              <w:rPr>
                <w:color w:val="auto"/>
                <w:highlight w:val="none"/>
              </w:rPr>
            </w:pPr>
            <w:r>
              <w:rPr>
                <w:color w:val="auto"/>
                <w:spacing w:val="2"/>
                <w:highlight w:val="none"/>
              </w:rPr>
              <w:t>1000～5000</w:t>
            </w:r>
            <w:r>
              <w:rPr>
                <w:color w:val="auto"/>
                <w:spacing w:val="-28"/>
                <w:highlight w:val="none"/>
              </w:rPr>
              <w:t xml:space="preserve"> </w:t>
            </w:r>
            <w:r>
              <w:rPr>
                <w:color w:val="auto"/>
                <w:spacing w:val="2"/>
                <w:highlight w:val="none"/>
              </w:rPr>
              <w:t>万元</w:t>
            </w:r>
          </w:p>
        </w:tc>
        <w:tc>
          <w:tcPr>
            <w:tcW w:w="1598" w:type="dxa"/>
            <w:vAlign w:val="top"/>
          </w:tcPr>
          <w:p w14:paraId="364B7A1E">
            <w:pPr>
              <w:pStyle w:val="9"/>
              <w:spacing w:before="193" w:line="263" w:lineRule="exact"/>
              <w:ind w:left="535"/>
              <w:rPr>
                <w:color w:val="auto"/>
                <w:highlight w:val="none"/>
              </w:rPr>
            </w:pPr>
            <w:r>
              <w:rPr>
                <w:color w:val="auto"/>
                <w:spacing w:val="2"/>
                <w:position w:val="1"/>
                <w:highlight w:val="none"/>
              </w:rPr>
              <w:t>0.5%</w:t>
            </w:r>
          </w:p>
        </w:tc>
        <w:tc>
          <w:tcPr>
            <w:tcW w:w="1703" w:type="dxa"/>
            <w:vAlign w:val="top"/>
          </w:tcPr>
          <w:p w14:paraId="4C00E6CB">
            <w:pPr>
              <w:pStyle w:val="9"/>
              <w:spacing w:before="193" w:line="263" w:lineRule="exact"/>
              <w:ind w:left="535"/>
              <w:rPr>
                <w:color w:val="auto"/>
                <w:highlight w:val="none"/>
              </w:rPr>
            </w:pPr>
            <w:r>
              <w:rPr>
                <w:color w:val="auto"/>
                <w:spacing w:val="2"/>
                <w:position w:val="1"/>
                <w:highlight w:val="none"/>
              </w:rPr>
              <w:t>0.25%</w:t>
            </w:r>
          </w:p>
        </w:tc>
        <w:tc>
          <w:tcPr>
            <w:tcW w:w="1541" w:type="dxa"/>
            <w:vAlign w:val="top"/>
          </w:tcPr>
          <w:p w14:paraId="29FABE5E">
            <w:pPr>
              <w:pStyle w:val="9"/>
              <w:spacing w:before="193" w:line="263" w:lineRule="exact"/>
              <w:ind w:left="536"/>
              <w:rPr>
                <w:color w:val="auto"/>
                <w:highlight w:val="none"/>
              </w:rPr>
            </w:pPr>
            <w:r>
              <w:rPr>
                <w:color w:val="auto"/>
                <w:spacing w:val="2"/>
                <w:position w:val="1"/>
                <w:highlight w:val="none"/>
              </w:rPr>
              <w:t>0.35%</w:t>
            </w:r>
          </w:p>
        </w:tc>
      </w:tr>
    </w:tbl>
    <w:p w14:paraId="48CABAE0">
      <w:pPr>
        <w:pStyle w:val="2"/>
        <w:rPr>
          <w:color w:val="auto"/>
          <w:highlight w:val="none"/>
        </w:rPr>
      </w:pPr>
    </w:p>
    <w:p w14:paraId="7B0584BF">
      <w:pPr>
        <w:rPr>
          <w:color w:val="auto"/>
          <w:highlight w:val="none"/>
        </w:rPr>
        <w:sectPr>
          <w:footerReference r:id="rId34" w:type="default"/>
          <w:pgSz w:w="11905" w:h="16839"/>
          <w:pgMar w:top="400" w:right="1547" w:bottom="1149" w:left="1592" w:header="0" w:footer="913" w:gutter="0"/>
          <w:cols w:space="720" w:num="1"/>
        </w:sectPr>
      </w:pPr>
    </w:p>
    <w:p w14:paraId="3AABC7E6">
      <w:pPr>
        <w:spacing w:before="3"/>
        <w:rPr>
          <w:color w:val="auto"/>
          <w:highlight w:val="none"/>
        </w:rPr>
      </w:pPr>
    </w:p>
    <w:tbl>
      <w:tblPr>
        <w:tblStyle w:val="8"/>
        <w:tblW w:w="8269" w:type="dxa"/>
        <w:tblInd w:w="1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7"/>
        <w:gridCol w:w="1598"/>
        <w:gridCol w:w="1703"/>
        <w:gridCol w:w="1541"/>
      </w:tblGrid>
      <w:tr w14:paraId="790F0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3427" w:type="dxa"/>
            <w:vAlign w:val="top"/>
          </w:tcPr>
          <w:p w14:paraId="30E67B0D">
            <w:pPr>
              <w:pStyle w:val="9"/>
              <w:spacing w:before="194" w:line="229" w:lineRule="auto"/>
              <w:ind w:left="539"/>
              <w:rPr>
                <w:color w:val="auto"/>
                <w:highlight w:val="none"/>
              </w:rPr>
            </w:pPr>
            <w:r>
              <w:rPr>
                <w:color w:val="auto"/>
                <w:spacing w:val="3"/>
                <w:highlight w:val="none"/>
              </w:rPr>
              <w:t>5000</w:t>
            </w:r>
            <w:r>
              <w:rPr>
                <w:color w:val="auto"/>
                <w:spacing w:val="-29"/>
                <w:highlight w:val="none"/>
              </w:rPr>
              <w:t xml:space="preserve"> </w:t>
            </w:r>
            <w:r>
              <w:rPr>
                <w:color w:val="auto"/>
                <w:spacing w:val="3"/>
                <w:highlight w:val="none"/>
              </w:rPr>
              <w:t>万元～1</w:t>
            </w:r>
            <w:r>
              <w:rPr>
                <w:color w:val="auto"/>
                <w:spacing w:val="-37"/>
                <w:highlight w:val="none"/>
              </w:rPr>
              <w:t xml:space="preserve"> </w:t>
            </w:r>
            <w:r>
              <w:rPr>
                <w:color w:val="auto"/>
                <w:spacing w:val="3"/>
                <w:highlight w:val="none"/>
              </w:rPr>
              <w:t>亿元</w:t>
            </w:r>
          </w:p>
        </w:tc>
        <w:tc>
          <w:tcPr>
            <w:tcW w:w="1598" w:type="dxa"/>
            <w:vAlign w:val="top"/>
          </w:tcPr>
          <w:p w14:paraId="32927F33">
            <w:pPr>
              <w:pStyle w:val="9"/>
              <w:spacing w:before="194" w:line="265" w:lineRule="exact"/>
              <w:ind w:left="535"/>
              <w:rPr>
                <w:color w:val="auto"/>
                <w:highlight w:val="none"/>
              </w:rPr>
            </w:pPr>
            <w:r>
              <w:rPr>
                <w:color w:val="auto"/>
                <w:spacing w:val="2"/>
                <w:position w:val="1"/>
                <w:highlight w:val="none"/>
              </w:rPr>
              <w:t>0.25%</w:t>
            </w:r>
          </w:p>
        </w:tc>
        <w:tc>
          <w:tcPr>
            <w:tcW w:w="1703" w:type="dxa"/>
            <w:vAlign w:val="top"/>
          </w:tcPr>
          <w:p w14:paraId="3551D934">
            <w:pPr>
              <w:pStyle w:val="9"/>
              <w:spacing w:before="194" w:line="265" w:lineRule="exact"/>
              <w:ind w:left="535"/>
              <w:rPr>
                <w:color w:val="auto"/>
                <w:highlight w:val="none"/>
              </w:rPr>
            </w:pPr>
            <w:r>
              <w:rPr>
                <w:color w:val="auto"/>
                <w:spacing w:val="2"/>
                <w:position w:val="1"/>
                <w:highlight w:val="none"/>
              </w:rPr>
              <w:t>0.1%</w:t>
            </w:r>
          </w:p>
        </w:tc>
        <w:tc>
          <w:tcPr>
            <w:tcW w:w="1541" w:type="dxa"/>
            <w:vAlign w:val="top"/>
          </w:tcPr>
          <w:p w14:paraId="76B5955E">
            <w:pPr>
              <w:pStyle w:val="9"/>
              <w:spacing w:before="194" w:line="265" w:lineRule="exact"/>
              <w:ind w:left="536"/>
              <w:rPr>
                <w:color w:val="auto"/>
                <w:highlight w:val="none"/>
              </w:rPr>
            </w:pPr>
            <w:r>
              <w:rPr>
                <w:color w:val="auto"/>
                <w:spacing w:val="2"/>
                <w:position w:val="1"/>
                <w:highlight w:val="none"/>
              </w:rPr>
              <w:t>0.2%</w:t>
            </w:r>
          </w:p>
        </w:tc>
      </w:tr>
      <w:tr w14:paraId="44AB5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3427" w:type="dxa"/>
            <w:vAlign w:val="top"/>
          </w:tcPr>
          <w:p w14:paraId="1553E5C4">
            <w:pPr>
              <w:pStyle w:val="9"/>
              <w:spacing w:before="188" w:line="229" w:lineRule="auto"/>
              <w:ind w:left="551"/>
              <w:rPr>
                <w:color w:val="auto"/>
                <w:highlight w:val="none"/>
              </w:rPr>
            </w:pPr>
            <w:r>
              <w:rPr>
                <w:color w:val="auto"/>
                <w:highlight w:val="none"/>
              </w:rPr>
              <w:t>1～5</w:t>
            </w:r>
            <w:r>
              <w:rPr>
                <w:color w:val="auto"/>
                <w:spacing w:val="-35"/>
                <w:highlight w:val="none"/>
              </w:rPr>
              <w:t xml:space="preserve"> </w:t>
            </w:r>
            <w:r>
              <w:rPr>
                <w:color w:val="auto"/>
                <w:highlight w:val="none"/>
              </w:rPr>
              <w:t>亿元</w:t>
            </w:r>
          </w:p>
        </w:tc>
        <w:tc>
          <w:tcPr>
            <w:tcW w:w="1598" w:type="dxa"/>
            <w:vAlign w:val="top"/>
          </w:tcPr>
          <w:p w14:paraId="638A1DE3">
            <w:pPr>
              <w:pStyle w:val="9"/>
              <w:spacing w:before="188" w:line="266" w:lineRule="exact"/>
              <w:ind w:left="535"/>
              <w:rPr>
                <w:color w:val="auto"/>
                <w:highlight w:val="none"/>
              </w:rPr>
            </w:pPr>
            <w:r>
              <w:rPr>
                <w:color w:val="auto"/>
                <w:spacing w:val="2"/>
                <w:position w:val="1"/>
                <w:highlight w:val="none"/>
              </w:rPr>
              <w:t>0.05%</w:t>
            </w:r>
          </w:p>
        </w:tc>
        <w:tc>
          <w:tcPr>
            <w:tcW w:w="1703" w:type="dxa"/>
            <w:vAlign w:val="top"/>
          </w:tcPr>
          <w:p w14:paraId="3589A4B2">
            <w:pPr>
              <w:pStyle w:val="9"/>
              <w:spacing w:before="188" w:line="266" w:lineRule="exact"/>
              <w:ind w:left="535"/>
              <w:rPr>
                <w:color w:val="auto"/>
                <w:highlight w:val="none"/>
              </w:rPr>
            </w:pPr>
            <w:r>
              <w:rPr>
                <w:color w:val="auto"/>
                <w:spacing w:val="2"/>
                <w:position w:val="1"/>
                <w:highlight w:val="none"/>
              </w:rPr>
              <w:t>0.05%</w:t>
            </w:r>
          </w:p>
        </w:tc>
        <w:tc>
          <w:tcPr>
            <w:tcW w:w="1541" w:type="dxa"/>
            <w:vAlign w:val="top"/>
          </w:tcPr>
          <w:p w14:paraId="0E034ED3">
            <w:pPr>
              <w:pStyle w:val="9"/>
              <w:spacing w:before="188" w:line="266" w:lineRule="exact"/>
              <w:ind w:left="536"/>
              <w:rPr>
                <w:color w:val="auto"/>
                <w:highlight w:val="none"/>
              </w:rPr>
            </w:pPr>
            <w:r>
              <w:rPr>
                <w:color w:val="auto"/>
                <w:spacing w:val="2"/>
                <w:position w:val="1"/>
                <w:highlight w:val="none"/>
              </w:rPr>
              <w:t>0.05%</w:t>
            </w:r>
          </w:p>
        </w:tc>
      </w:tr>
      <w:tr w14:paraId="7FAF3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27" w:type="dxa"/>
            <w:vAlign w:val="top"/>
          </w:tcPr>
          <w:p w14:paraId="5F86C63D">
            <w:pPr>
              <w:pStyle w:val="9"/>
              <w:spacing w:before="190" w:line="229" w:lineRule="auto"/>
              <w:ind w:left="539"/>
              <w:rPr>
                <w:color w:val="auto"/>
                <w:highlight w:val="none"/>
              </w:rPr>
            </w:pPr>
            <w:r>
              <w:rPr>
                <w:color w:val="auto"/>
                <w:spacing w:val="3"/>
                <w:highlight w:val="none"/>
              </w:rPr>
              <w:t>5～10</w:t>
            </w:r>
            <w:r>
              <w:rPr>
                <w:color w:val="auto"/>
                <w:spacing w:val="-38"/>
                <w:highlight w:val="none"/>
              </w:rPr>
              <w:t xml:space="preserve"> </w:t>
            </w:r>
            <w:r>
              <w:rPr>
                <w:color w:val="auto"/>
                <w:spacing w:val="3"/>
                <w:highlight w:val="none"/>
              </w:rPr>
              <w:t>亿元</w:t>
            </w:r>
          </w:p>
        </w:tc>
        <w:tc>
          <w:tcPr>
            <w:tcW w:w="1598" w:type="dxa"/>
            <w:vAlign w:val="top"/>
          </w:tcPr>
          <w:p w14:paraId="041AE569">
            <w:pPr>
              <w:pStyle w:val="9"/>
              <w:spacing w:before="189" w:line="265" w:lineRule="exact"/>
              <w:ind w:left="535"/>
              <w:rPr>
                <w:color w:val="auto"/>
                <w:highlight w:val="none"/>
              </w:rPr>
            </w:pPr>
            <w:r>
              <w:rPr>
                <w:color w:val="auto"/>
                <w:spacing w:val="3"/>
                <w:position w:val="1"/>
                <w:highlight w:val="none"/>
              </w:rPr>
              <w:t>0.035%</w:t>
            </w:r>
          </w:p>
        </w:tc>
        <w:tc>
          <w:tcPr>
            <w:tcW w:w="1703" w:type="dxa"/>
            <w:vAlign w:val="top"/>
          </w:tcPr>
          <w:p w14:paraId="74480FDD">
            <w:pPr>
              <w:pStyle w:val="9"/>
              <w:spacing w:before="189" w:line="265" w:lineRule="exact"/>
              <w:ind w:left="535"/>
              <w:rPr>
                <w:color w:val="auto"/>
                <w:highlight w:val="none"/>
              </w:rPr>
            </w:pPr>
            <w:r>
              <w:rPr>
                <w:color w:val="auto"/>
                <w:spacing w:val="3"/>
                <w:position w:val="1"/>
                <w:highlight w:val="none"/>
              </w:rPr>
              <w:t>0.035%</w:t>
            </w:r>
          </w:p>
        </w:tc>
        <w:tc>
          <w:tcPr>
            <w:tcW w:w="1541" w:type="dxa"/>
            <w:vAlign w:val="top"/>
          </w:tcPr>
          <w:p w14:paraId="62059A0C">
            <w:pPr>
              <w:pStyle w:val="9"/>
              <w:spacing w:before="189" w:line="265" w:lineRule="exact"/>
              <w:ind w:left="536"/>
              <w:rPr>
                <w:color w:val="auto"/>
                <w:highlight w:val="none"/>
              </w:rPr>
            </w:pPr>
            <w:r>
              <w:rPr>
                <w:color w:val="auto"/>
                <w:spacing w:val="3"/>
                <w:position w:val="1"/>
                <w:highlight w:val="none"/>
              </w:rPr>
              <w:t>0.035%</w:t>
            </w:r>
          </w:p>
        </w:tc>
      </w:tr>
      <w:tr w14:paraId="07DA9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3427" w:type="dxa"/>
            <w:vAlign w:val="top"/>
          </w:tcPr>
          <w:p w14:paraId="0092089D">
            <w:pPr>
              <w:pStyle w:val="9"/>
              <w:spacing w:before="191" w:line="229" w:lineRule="auto"/>
              <w:ind w:left="551"/>
              <w:rPr>
                <w:color w:val="auto"/>
                <w:highlight w:val="none"/>
              </w:rPr>
            </w:pPr>
            <w:r>
              <w:rPr>
                <w:color w:val="auto"/>
                <w:spacing w:val="2"/>
                <w:highlight w:val="none"/>
              </w:rPr>
              <w:t>10～50</w:t>
            </w:r>
            <w:r>
              <w:rPr>
                <w:color w:val="auto"/>
                <w:spacing w:val="-40"/>
                <w:highlight w:val="none"/>
              </w:rPr>
              <w:t xml:space="preserve"> </w:t>
            </w:r>
            <w:r>
              <w:rPr>
                <w:color w:val="auto"/>
                <w:spacing w:val="2"/>
                <w:highlight w:val="none"/>
              </w:rPr>
              <w:t>亿元</w:t>
            </w:r>
          </w:p>
        </w:tc>
        <w:tc>
          <w:tcPr>
            <w:tcW w:w="1598" w:type="dxa"/>
            <w:vAlign w:val="top"/>
          </w:tcPr>
          <w:p w14:paraId="19FF3C3C">
            <w:pPr>
              <w:pStyle w:val="9"/>
              <w:spacing w:before="191" w:line="263" w:lineRule="exact"/>
              <w:ind w:left="535"/>
              <w:rPr>
                <w:color w:val="auto"/>
                <w:highlight w:val="none"/>
              </w:rPr>
            </w:pPr>
            <w:r>
              <w:rPr>
                <w:color w:val="auto"/>
                <w:spacing w:val="3"/>
                <w:position w:val="1"/>
                <w:highlight w:val="none"/>
              </w:rPr>
              <w:t>0.008%</w:t>
            </w:r>
          </w:p>
        </w:tc>
        <w:tc>
          <w:tcPr>
            <w:tcW w:w="1703" w:type="dxa"/>
            <w:vAlign w:val="top"/>
          </w:tcPr>
          <w:p w14:paraId="49F7F9D9">
            <w:pPr>
              <w:pStyle w:val="9"/>
              <w:spacing w:before="191" w:line="263" w:lineRule="exact"/>
              <w:ind w:left="535"/>
              <w:rPr>
                <w:color w:val="auto"/>
                <w:highlight w:val="none"/>
              </w:rPr>
            </w:pPr>
            <w:r>
              <w:rPr>
                <w:color w:val="auto"/>
                <w:spacing w:val="3"/>
                <w:position w:val="1"/>
                <w:highlight w:val="none"/>
              </w:rPr>
              <w:t>0.008%</w:t>
            </w:r>
          </w:p>
        </w:tc>
        <w:tc>
          <w:tcPr>
            <w:tcW w:w="1541" w:type="dxa"/>
            <w:vAlign w:val="top"/>
          </w:tcPr>
          <w:p w14:paraId="2EFDFDAB">
            <w:pPr>
              <w:pStyle w:val="9"/>
              <w:spacing w:before="191" w:line="263" w:lineRule="exact"/>
              <w:ind w:left="536"/>
              <w:rPr>
                <w:color w:val="auto"/>
                <w:highlight w:val="none"/>
              </w:rPr>
            </w:pPr>
            <w:r>
              <w:rPr>
                <w:color w:val="auto"/>
                <w:spacing w:val="3"/>
                <w:position w:val="1"/>
                <w:highlight w:val="none"/>
              </w:rPr>
              <w:t>0.008%</w:t>
            </w:r>
          </w:p>
        </w:tc>
      </w:tr>
      <w:tr w14:paraId="626EC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3427" w:type="dxa"/>
            <w:vAlign w:val="top"/>
          </w:tcPr>
          <w:p w14:paraId="4C7F56B6">
            <w:pPr>
              <w:pStyle w:val="9"/>
              <w:spacing w:before="192" w:line="229" w:lineRule="auto"/>
              <w:ind w:left="539"/>
              <w:rPr>
                <w:color w:val="auto"/>
                <w:highlight w:val="none"/>
              </w:rPr>
            </w:pPr>
            <w:r>
              <w:rPr>
                <w:color w:val="auto"/>
                <w:spacing w:val="4"/>
                <w:highlight w:val="none"/>
              </w:rPr>
              <w:t>50～100</w:t>
            </w:r>
            <w:r>
              <w:rPr>
                <w:color w:val="auto"/>
                <w:spacing w:val="-40"/>
                <w:highlight w:val="none"/>
              </w:rPr>
              <w:t xml:space="preserve"> </w:t>
            </w:r>
            <w:r>
              <w:rPr>
                <w:color w:val="auto"/>
                <w:spacing w:val="4"/>
                <w:highlight w:val="none"/>
              </w:rPr>
              <w:t>亿元</w:t>
            </w:r>
          </w:p>
        </w:tc>
        <w:tc>
          <w:tcPr>
            <w:tcW w:w="1598" w:type="dxa"/>
            <w:vAlign w:val="top"/>
          </w:tcPr>
          <w:p w14:paraId="10F01FD3">
            <w:pPr>
              <w:pStyle w:val="9"/>
              <w:spacing w:before="192" w:line="241" w:lineRule="auto"/>
              <w:ind w:left="535"/>
              <w:rPr>
                <w:color w:val="auto"/>
                <w:highlight w:val="none"/>
              </w:rPr>
            </w:pPr>
            <w:r>
              <w:rPr>
                <w:color w:val="auto"/>
                <w:spacing w:val="3"/>
                <w:highlight w:val="none"/>
              </w:rPr>
              <w:t>0.006%</w:t>
            </w:r>
          </w:p>
        </w:tc>
        <w:tc>
          <w:tcPr>
            <w:tcW w:w="1703" w:type="dxa"/>
            <w:vAlign w:val="top"/>
          </w:tcPr>
          <w:p w14:paraId="672AB38F">
            <w:pPr>
              <w:pStyle w:val="9"/>
              <w:spacing w:before="192" w:line="241" w:lineRule="auto"/>
              <w:ind w:left="535"/>
              <w:rPr>
                <w:color w:val="auto"/>
                <w:highlight w:val="none"/>
              </w:rPr>
            </w:pPr>
            <w:r>
              <w:rPr>
                <w:color w:val="auto"/>
                <w:spacing w:val="3"/>
                <w:highlight w:val="none"/>
              </w:rPr>
              <w:t>0.006%</w:t>
            </w:r>
          </w:p>
        </w:tc>
        <w:tc>
          <w:tcPr>
            <w:tcW w:w="1541" w:type="dxa"/>
            <w:vAlign w:val="top"/>
          </w:tcPr>
          <w:p w14:paraId="700490DD">
            <w:pPr>
              <w:pStyle w:val="9"/>
              <w:spacing w:before="192" w:line="241" w:lineRule="auto"/>
              <w:ind w:left="536"/>
              <w:rPr>
                <w:color w:val="auto"/>
                <w:highlight w:val="none"/>
              </w:rPr>
            </w:pPr>
            <w:r>
              <w:rPr>
                <w:color w:val="auto"/>
                <w:spacing w:val="3"/>
                <w:highlight w:val="none"/>
              </w:rPr>
              <w:t>0.006%</w:t>
            </w:r>
          </w:p>
        </w:tc>
      </w:tr>
      <w:tr w14:paraId="58F7D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3427" w:type="dxa"/>
            <w:vAlign w:val="top"/>
          </w:tcPr>
          <w:p w14:paraId="395D0CD0">
            <w:pPr>
              <w:pStyle w:val="9"/>
              <w:spacing w:before="193" w:line="230" w:lineRule="auto"/>
              <w:ind w:left="551"/>
              <w:rPr>
                <w:color w:val="auto"/>
                <w:highlight w:val="none"/>
              </w:rPr>
            </w:pPr>
            <w:r>
              <w:rPr>
                <w:color w:val="auto"/>
                <w:spacing w:val="2"/>
                <w:highlight w:val="none"/>
              </w:rPr>
              <w:t>100</w:t>
            </w:r>
            <w:r>
              <w:rPr>
                <w:color w:val="auto"/>
                <w:spacing w:val="-40"/>
                <w:highlight w:val="none"/>
              </w:rPr>
              <w:t xml:space="preserve"> </w:t>
            </w:r>
            <w:r>
              <w:rPr>
                <w:color w:val="auto"/>
                <w:spacing w:val="2"/>
                <w:highlight w:val="none"/>
              </w:rPr>
              <w:t>亿以上</w:t>
            </w:r>
          </w:p>
        </w:tc>
        <w:tc>
          <w:tcPr>
            <w:tcW w:w="1598" w:type="dxa"/>
            <w:vAlign w:val="top"/>
          </w:tcPr>
          <w:p w14:paraId="1EE29530">
            <w:pPr>
              <w:pStyle w:val="9"/>
              <w:spacing w:before="194" w:line="265" w:lineRule="exact"/>
              <w:ind w:left="535"/>
              <w:rPr>
                <w:color w:val="auto"/>
                <w:highlight w:val="none"/>
              </w:rPr>
            </w:pPr>
            <w:r>
              <w:rPr>
                <w:color w:val="auto"/>
                <w:spacing w:val="3"/>
                <w:position w:val="1"/>
                <w:highlight w:val="none"/>
              </w:rPr>
              <w:t>0.004%</w:t>
            </w:r>
          </w:p>
        </w:tc>
        <w:tc>
          <w:tcPr>
            <w:tcW w:w="1703" w:type="dxa"/>
            <w:vAlign w:val="top"/>
          </w:tcPr>
          <w:p w14:paraId="7162EB46">
            <w:pPr>
              <w:pStyle w:val="9"/>
              <w:spacing w:before="194" w:line="265" w:lineRule="exact"/>
              <w:ind w:left="535"/>
              <w:rPr>
                <w:color w:val="auto"/>
                <w:highlight w:val="none"/>
              </w:rPr>
            </w:pPr>
            <w:r>
              <w:rPr>
                <w:color w:val="auto"/>
                <w:spacing w:val="3"/>
                <w:position w:val="1"/>
                <w:highlight w:val="none"/>
              </w:rPr>
              <w:t>0.004%</w:t>
            </w:r>
          </w:p>
        </w:tc>
        <w:tc>
          <w:tcPr>
            <w:tcW w:w="1541" w:type="dxa"/>
            <w:vAlign w:val="top"/>
          </w:tcPr>
          <w:p w14:paraId="6A8698E5">
            <w:pPr>
              <w:pStyle w:val="9"/>
              <w:spacing w:before="194" w:line="265" w:lineRule="exact"/>
              <w:ind w:left="536"/>
              <w:rPr>
                <w:color w:val="auto"/>
                <w:highlight w:val="none"/>
              </w:rPr>
            </w:pPr>
            <w:r>
              <w:rPr>
                <w:color w:val="auto"/>
                <w:spacing w:val="3"/>
                <w:position w:val="1"/>
                <w:highlight w:val="none"/>
              </w:rPr>
              <w:t>0.004%</w:t>
            </w:r>
          </w:p>
        </w:tc>
      </w:tr>
    </w:tbl>
    <w:p w14:paraId="3DD2E4C7">
      <w:pPr>
        <w:pStyle w:val="2"/>
        <w:spacing w:line="271" w:lineRule="auto"/>
        <w:rPr>
          <w:color w:val="auto"/>
          <w:highlight w:val="none"/>
        </w:rPr>
      </w:pPr>
    </w:p>
    <w:p w14:paraId="5392F84E">
      <w:pPr>
        <w:spacing w:before="78" w:line="220" w:lineRule="auto"/>
        <w:ind w:left="426"/>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34.需要补充的其他内容</w:t>
      </w:r>
    </w:p>
    <w:p w14:paraId="717C214A">
      <w:pPr>
        <w:spacing w:before="136" w:line="228"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34.1</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本磋商文件解释规则详见“供应商须知前附表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w:t>
      </w:r>
    </w:p>
    <w:p w14:paraId="3B100A28">
      <w:pPr>
        <w:spacing w:before="213" w:line="228" w:lineRule="auto"/>
        <w:ind w:left="4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34.2 其他事项详见“供应商须知前附表</w:t>
      </w:r>
      <w:r>
        <w:rPr>
          <w:rFonts w:ascii="宋体" w:hAnsi="宋体" w:eastAsia="宋体" w:cs="宋体"/>
          <w:color w:val="auto"/>
          <w:spacing w:val="-54"/>
          <w:sz w:val="20"/>
          <w:szCs w:val="20"/>
          <w:highlight w:val="none"/>
        </w:rPr>
        <w:t xml:space="preserve"> </w:t>
      </w:r>
      <w:r>
        <w:rPr>
          <w:rFonts w:ascii="宋体" w:hAnsi="宋体" w:eastAsia="宋体" w:cs="宋体"/>
          <w:color w:val="auto"/>
          <w:spacing w:val="7"/>
          <w:sz w:val="20"/>
          <w:szCs w:val="20"/>
          <w:highlight w:val="none"/>
        </w:rPr>
        <w:t>”。</w:t>
      </w:r>
    </w:p>
    <w:p w14:paraId="2EDDE840">
      <w:pPr>
        <w:spacing w:before="229" w:line="420" w:lineRule="auto"/>
        <w:ind w:right="76" w:firstLine="42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34.3</w:t>
      </w:r>
      <w:r>
        <w:rPr>
          <w:rFonts w:ascii="宋体" w:hAnsi="宋体" w:eastAsia="宋体" w:cs="宋体"/>
          <w:color w:val="auto"/>
          <w:spacing w:val="-37"/>
          <w:sz w:val="20"/>
          <w:szCs w:val="20"/>
          <w:highlight w:val="none"/>
        </w:rPr>
        <w:t xml:space="preserve"> </w:t>
      </w:r>
      <w:r>
        <w:rPr>
          <w:rFonts w:ascii="宋体" w:hAnsi="宋体" w:eastAsia="宋体" w:cs="宋体"/>
          <w:color w:val="auto"/>
          <w:spacing w:val="11"/>
          <w:sz w:val="20"/>
          <w:szCs w:val="20"/>
          <w:highlight w:val="none"/>
        </w:rPr>
        <w:t>本文件所称中小企业，是指在中华人民共和国</w:t>
      </w:r>
      <w:r>
        <w:rPr>
          <w:rFonts w:ascii="宋体" w:hAnsi="宋体" w:eastAsia="宋体" w:cs="宋体"/>
          <w:color w:val="auto"/>
          <w:spacing w:val="10"/>
          <w:sz w:val="20"/>
          <w:szCs w:val="20"/>
          <w:highlight w:val="none"/>
        </w:rPr>
        <w:t>境内依法设立，依据国务院批准的中小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企业划分标准确定的中型企业、小型企业和微型企业，但与</w:t>
      </w:r>
      <w:r>
        <w:rPr>
          <w:rFonts w:ascii="宋体" w:hAnsi="宋体" w:eastAsia="宋体" w:cs="宋体"/>
          <w:color w:val="auto"/>
          <w:spacing w:val="7"/>
          <w:sz w:val="20"/>
          <w:szCs w:val="20"/>
          <w:highlight w:val="none"/>
        </w:rPr>
        <w:t>大企业的负责人为同一人，或者与大</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企业存在直接控股、管理关系的除外。符合中小企业划分标</w:t>
      </w:r>
      <w:r>
        <w:rPr>
          <w:rFonts w:ascii="宋体" w:hAnsi="宋体" w:eastAsia="宋体" w:cs="宋体"/>
          <w:color w:val="auto"/>
          <w:spacing w:val="7"/>
          <w:sz w:val="20"/>
          <w:szCs w:val="20"/>
          <w:highlight w:val="none"/>
        </w:rPr>
        <w:t>准的个体工商户，在政府采购活动中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视同中小企业。在政府采购活动中，供应商提供的服务由中</w:t>
      </w:r>
      <w:r>
        <w:rPr>
          <w:rFonts w:ascii="宋体" w:hAnsi="宋体" w:eastAsia="宋体" w:cs="宋体"/>
          <w:color w:val="auto"/>
          <w:spacing w:val="7"/>
          <w:sz w:val="20"/>
          <w:szCs w:val="20"/>
          <w:highlight w:val="none"/>
        </w:rPr>
        <w:t>小企业承接，即提供服务的人员为中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小企业依照《中华人民共和国劳动合同法》订立劳动合同的从业人</w:t>
      </w:r>
      <w:r>
        <w:rPr>
          <w:rFonts w:ascii="宋体" w:hAnsi="宋体" w:eastAsia="宋体" w:cs="宋体"/>
          <w:color w:val="auto"/>
          <w:spacing w:val="7"/>
          <w:sz w:val="20"/>
          <w:szCs w:val="20"/>
          <w:highlight w:val="none"/>
        </w:rPr>
        <w:t>员，不对其中涉及的货物的制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造商和工程承建商作出要求的，享受本文件规定的中小企业扶持政策。</w:t>
      </w:r>
    </w:p>
    <w:p w14:paraId="71979E15">
      <w:pPr>
        <w:spacing w:before="249" w:line="459" w:lineRule="auto"/>
        <w:ind w:left="1" w:right="22" w:firstLine="44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以联合体形式参加政府采购活动，联合体各方均为中小企业的，联合体视同中小企业。其中，</w:t>
      </w:r>
      <w:r>
        <w:rPr>
          <w:rFonts w:ascii="宋体" w:hAnsi="宋体" w:eastAsia="宋体" w:cs="宋体"/>
          <w:color w:val="auto"/>
          <w:spacing w:val="9"/>
          <w:sz w:val="20"/>
          <w:szCs w:val="20"/>
          <w:highlight w:val="none"/>
        </w:rPr>
        <w:t xml:space="preserve"> 联合体各方均为小微企业的，联合体视同小微企业。</w:t>
      </w:r>
    </w:p>
    <w:p w14:paraId="6B65CB1D">
      <w:pPr>
        <w:spacing w:before="2" w:line="459" w:lineRule="auto"/>
        <w:ind w:right="78" w:firstLine="422"/>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依据本文件规定享受扶持政策获得政府采购合同的，小微企业不得</w:t>
      </w:r>
      <w:r>
        <w:rPr>
          <w:rFonts w:ascii="宋体" w:hAnsi="宋体" w:eastAsia="宋体" w:cs="宋体"/>
          <w:color w:val="auto"/>
          <w:spacing w:val="12"/>
          <w:sz w:val="20"/>
          <w:szCs w:val="20"/>
          <w:highlight w:val="none"/>
        </w:rPr>
        <w:t>将合同分包给大中型企</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业，中型企业不得将合同分包给大型企业。</w:t>
      </w:r>
    </w:p>
    <w:p w14:paraId="75D7625D">
      <w:pPr>
        <w:spacing w:before="17" w:line="219" w:lineRule="auto"/>
        <w:ind w:left="42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35.政采贷相关说明</w:t>
      </w:r>
    </w:p>
    <w:p w14:paraId="2F545FBB">
      <w:pPr>
        <w:spacing w:before="155" w:line="392" w:lineRule="auto"/>
        <w:ind w:right="78"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为优化政府采购营商环境，缓解供应商资金难题，南宁市政府采购试行政府采购信用融资制</w:t>
      </w:r>
      <w:r>
        <w:rPr>
          <w:rFonts w:ascii="宋体" w:hAnsi="宋体" w:eastAsia="宋体" w:cs="宋体"/>
          <w:color w:val="auto"/>
          <w:spacing w:val="17"/>
          <w:sz w:val="20"/>
          <w:szCs w:val="20"/>
          <w:highlight w:val="none"/>
        </w:rPr>
        <w:t xml:space="preserve"> </w:t>
      </w:r>
      <w:r>
        <w:rPr>
          <w:rFonts w:ascii="宋体" w:hAnsi="宋体" w:eastAsia="宋体" w:cs="宋体"/>
          <w:color w:val="auto"/>
          <w:spacing w:val="10"/>
          <w:sz w:val="20"/>
          <w:szCs w:val="20"/>
          <w:highlight w:val="none"/>
        </w:rPr>
        <w:t>度，中标供应商如有融资需求，可凭政府采购</w:t>
      </w:r>
      <w:r>
        <w:rPr>
          <w:rFonts w:ascii="宋体" w:hAnsi="宋体" w:eastAsia="宋体" w:cs="宋体"/>
          <w:color w:val="auto"/>
          <w:spacing w:val="9"/>
          <w:sz w:val="20"/>
          <w:szCs w:val="20"/>
          <w:highlight w:val="none"/>
        </w:rPr>
        <w:t>合同通过以下方式申请政府采购信用融资贷款：</w:t>
      </w:r>
    </w:p>
    <w:p w14:paraId="4718988C">
      <w:pPr>
        <w:spacing w:before="1" w:line="486" w:lineRule="auto"/>
        <w:ind w:right="76" w:firstLine="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线下渠道：在“南宁市公共资源交易中心</w:t>
      </w:r>
      <w:r>
        <w:rPr>
          <w:rFonts w:ascii="宋体" w:hAnsi="宋体" w:eastAsia="宋体" w:cs="宋体"/>
          <w:color w:val="auto"/>
          <w:spacing w:val="-73"/>
          <w:sz w:val="20"/>
          <w:szCs w:val="20"/>
          <w:highlight w:val="none"/>
        </w:rPr>
        <w:t xml:space="preserve"> </w:t>
      </w:r>
      <w:r>
        <w:rPr>
          <w:rFonts w:ascii="宋体" w:hAnsi="宋体" w:eastAsia="宋体" w:cs="宋体"/>
          <w:color w:val="auto"/>
          <w:spacing w:val="8"/>
          <w:sz w:val="20"/>
          <w:szCs w:val="20"/>
          <w:highlight w:val="none"/>
        </w:rPr>
        <w:t>”官网（网址：</w:t>
      </w:r>
      <w:r>
        <w:rPr>
          <w:color w:val="auto"/>
          <w:highlight w:val="none"/>
        </w:rPr>
        <w:fldChar w:fldCharType="begin"/>
      </w:r>
      <w:r>
        <w:rPr>
          <w:color w:val="auto"/>
          <w:highlight w:val="none"/>
        </w:rPr>
        <w:instrText xml:space="preserve"> HYPERLINK "http://www.nnggzy.org.cn）“交易信息-政府采购-政府采购信用融资”中融资银行和南宁市企业融资服务中心专栏信息申请政府采购信用融资。"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nnggzy</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org</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8"/>
          <w:sz w:val="20"/>
          <w:szCs w:val="20"/>
          <w:highlight w:val="none"/>
        </w:rPr>
        <w:t>）“交</w:t>
      </w:r>
      <w:r>
        <w:rPr>
          <w:rFonts w:ascii="宋体" w:hAnsi="宋体" w:eastAsia="宋体" w:cs="宋体"/>
          <w:color w:val="auto"/>
          <w:spacing w:val="8"/>
          <w:sz w:val="20"/>
          <w:szCs w:val="20"/>
          <w:highlight w:val="none"/>
        </w:rPr>
        <w:fldChar w:fldCharType="end"/>
      </w:r>
      <w:r>
        <w:rPr>
          <w:rFonts w:ascii="宋体" w:hAnsi="宋体" w:eastAsia="宋体" w:cs="宋体"/>
          <w:color w:val="auto"/>
          <w:sz w:val="20"/>
          <w:szCs w:val="20"/>
          <w:highlight w:val="none"/>
        </w:rPr>
        <w:t xml:space="preserve"> </w:t>
      </w:r>
      <w:r>
        <w:rPr>
          <w:color w:val="auto"/>
          <w:highlight w:val="none"/>
        </w:rPr>
        <w:fldChar w:fldCharType="begin"/>
      </w:r>
      <w:r>
        <w:rPr>
          <w:color w:val="auto"/>
          <w:highlight w:val="none"/>
        </w:rPr>
        <w:instrText xml:space="preserve"> HYPERLINK "http://www.nnggzy.org.cn）“交易信息-政府采购-政府采购信用融资”中融资银行和南宁市企业融资服务中心专栏信息申请政府采购信用融资。" </w:instrText>
      </w:r>
      <w:r>
        <w:rPr>
          <w:color w:val="auto"/>
          <w:highlight w:val="none"/>
        </w:rPr>
        <w:fldChar w:fldCharType="separate"/>
      </w:r>
      <w:r>
        <w:rPr>
          <w:rFonts w:ascii="宋体" w:hAnsi="宋体" w:eastAsia="宋体" w:cs="宋体"/>
          <w:color w:val="auto"/>
          <w:spacing w:val="8"/>
          <w:sz w:val="20"/>
          <w:szCs w:val="20"/>
          <w:highlight w:val="none"/>
        </w:rPr>
        <w:t>易信息-政府采购-政府采购信用融资”中融资</w:t>
      </w:r>
      <w:r>
        <w:rPr>
          <w:rFonts w:ascii="宋体" w:hAnsi="宋体" w:eastAsia="宋体" w:cs="宋体"/>
          <w:color w:val="auto"/>
          <w:spacing w:val="7"/>
          <w:sz w:val="20"/>
          <w:szCs w:val="20"/>
          <w:highlight w:val="none"/>
        </w:rPr>
        <w:t>银行和南宁市企业融资服务中心专栏信息申请政府</w:t>
      </w:r>
      <w:r>
        <w:rPr>
          <w:rFonts w:ascii="宋体" w:hAnsi="宋体" w:eastAsia="宋体" w:cs="宋体"/>
          <w:color w:val="auto"/>
          <w:spacing w:val="7"/>
          <w:sz w:val="20"/>
          <w:szCs w:val="20"/>
          <w:highlight w:val="none"/>
        </w:rPr>
        <w:fldChar w:fldCharType="end"/>
      </w:r>
      <w:r>
        <w:rPr>
          <w:rFonts w:ascii="宋体" w:hAnsi="宋体" w:eastAsia="宋体" w:cs="宋体"/>
          <w:color w:val="auto"/>
          <w:sz w:val="20"/>
          <w:szCs w:val="20"/>
          <w:highlight w:val="none"/>
        </w:rPr>
        <w:t xml:space="preserve"> </w:t>
      </w:r>
      <w:r>
        <w:rPr>
          <w:color w:val="auto"/>
          <w:highlight w:val="none"/>
        </w:rPr>
        <w:fldChar w:fldCharType="begin"/>
      </w:r>
      <w:r>
        <w:rPr>
          <w:color w:val="auto"/>
          <w:highlight w:val="none"/>
        </w:rPr>
        <w:instrText xml:space="preserve"> HYPERLINK "http://www.nnggzy.org.cn）“交易信息-政府采购-政府采购信用融资”中融资银行和南宁市企业融资服务中心专栏信息申请政府采购信用融资。" </w:instrText>
      </w:r>
      <w:r>
        <w:rPr>
          <w:color w:val="auto"/>
          <w:highlight w:val="none"/>
        </w:rPr>
        <w:fldChar w:fldCharType="separate"/>
      </w:r>
      <w:r>
        <w:rPr>
          <w:rFonts w:ascii="宋体" w:hAnsi="宋体" w:eastAsia="宋体" w:cs="宋体"/>
          <w:color w:val="auto"/>
          <w:spacing w:val="7"/>
          <w:sz w:val="20"/>
          <w:szCs w:val="20"/>
          <w:highlight w:val="none"/>
        </w:rPr>
        <w:t>采购信用融资。</w:t>
      </w:r>
      <w:r>
        <w:rPr>
          <w:rFonts w:ascii="宋体" w:hAnsi="宋体" w:eastAsia="宋体" w:cs="宋体"/>
          <w:color w:val="auto"/>
          <w:spacing w:val="7"/>
          <w:sz w:val="20"/>
          <w:szCs w:val="20"/>
          <w:highlight w:val="none"/>
        </w:rPr>
        <w:fldChar w:fldCharType="end"/>
      </w:r>
    </w:p>
    <w:p w14:paraId="3CFA2965">
      <w:pPr>
        <w:spacing w:before="51" w:line="223"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（2）线上渠道：登录中征营应收账款融资服</w:t>
      </w:r>
      <w:r>
        <w:rPr>
          <w:rFonts w:ascii="宋体" w:hAnsi="宋体" w:eastAsia="宋体" w:cs="宋体"/>
          <w:color w:val="auto"/>
          <w:spacing w:val="8"/>
          <w:sz w:val="20"/>
          <w:szCs w:val="20"/>
          <w:highlight w:val="none"/>
        </w:rPr>
        <w:t>务平台（网址：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ascii="宋体" w:hAnsi="宋体" w:eastAsia="宋体" w:cs="宋体"/>
          <w:color w:val="auto"/>
          <w:sz w:val="20"/>
          <w:szCs w:val="20"/>
          <w:highlight w:val="none"/>
        </w:rPr>
        <w:t>https</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crcrfsp</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com</w:t>
      </w:r>
      <w:r>
        <w:rPr>
          <w:rFonts w:ascii="宋体" w:hAnsi="宋体" w:eastAsia="宋体" w:cs="宋体"/>
          <w:color w:val="auto"/>
          <w:sz w:val="20"/>
          <w:szCs w:val="20"/>
          <w:highlight w:val="none"/>
        </w:rPr>
        <w:fldChar w:fldCharType="end"/>
      </w:r>
      <w:r>
        <w:rPr>
          <w:rFonts w:ascii="宋体" w:hAnsi="宋体" w:eastAsia="宋体" w:cs="宋体"/>
          <w:color w:val="auto"/>
          <w:spacing w:val="8"/>
          <w:sz w:val="20"/>
          <w:szCs w:val="20"/>
          <w:highlight w:val="none"/>
        </w:rPr>
        <w:t>，客</w:t>
      </w:r>
    </w:p>
    <w:p w14:paraId="549711EB">
      <w:pPr>
        <w:spacing w:before="257" w:line="228" w:lineRule="auto"/>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服电话：400-009-0001</w:t>
      </w:r>
      <w:r>
        <w:rPr>
          <w:rFonts w:ascii="宋体" w:hAnsi="宋体" w:eastAsia="宋体" w:cs="宋体"/>
          <w:color w:val="auto"/>
          <w:sz w:val="20"/>
          <w:szCs w:val="20"/>
          <w:highlight w:val="none"/>
        </w:rPr>
        <w:t>），</w:t>
      </w:r>
      <w:r>
        <w:rPr>
          <w:rFonts w:ascii="宋体" w:hAnsi="宋体" w:eastAsia="宋体" w:cs="宋体"/>
          <w:color w:val="auto"/>
          <w:spacing w:val="7"/>
          <w:sz w:val="20"/>
          <w:szCs w:val="20"/>
          <w:highlight w:val="none"/>
        </w:rPr>
        <w:t>选择相关金融产品和银行业金融机构金融融资贷款。具体操作方式见</w:t>
      </w:r>
    </w:p>
    <w:p w14:paraId="793E7C5B">
      <w:pPr>
        <w:spacing w:before="249" w:line="383" w:lineRule="auto"/>
        <w:ind w:left="10" w:hanging="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《中国人民银行南宁中心支行广西壮族自治区财政厅关于推广</w:t>
      </w:r>
      <w:r>
        <w:rPr>
          <w:rFonts w:ascii="宋体" w:hAnsi="宋体" w:eastAsia="宋体" w:cs="宋体"/>
          <w:color w:val="auto"/>
          <w:spacing w:val="8"/>
          <w:sz w:val="20"/>
          <w:szCs w:val="20"/>
          <w:highlight w:val="none"/>
        </w:rPr>
        <w:t>线上“政采贷</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”融资模式的通知》</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45"/>
          <w:sz w:val="20"/>
          <w:szCs w:val="20"/>
          <w:highlight w:val="none"/>
        </w:rPr>
        <w:t xml:space="preserve"> </w:t>
      </w:r>
      <w:r>
        <w:rPr>
          <w:rFonts w:ascii="宋体" w:hAnsi="宋体" w:eastAsia="宋体" w:cs="宋体"/>
          <w:color w:val="auto"/>
          <w:spacing w:val="-3"/>
          <w:sz w:val="20"/>
          <w:szCs w:val="20"/>
          <w:highlight w:val="none"/>
        </w:rPr>
        <w:t>南</w:t>
      </w:r>
      <w:r>
        <w:rPr>
          <w:rFonts w:ascii="宋体" w:hAnsi="宋体" w:eastAsia="宋体" w:cs="宋体"/>
          <w:color w:val="auto"/>
          <w:spacing w:val="-47"/>
          <w:sz w:val="20"/>
          <w:szCs w:val="20"/>
          <w:highlight w:val="none"/>
        </w:rPr>
        <w:t xml:space="preserve"> </w:t>
      </w:r>
      <w:r>
        <w:rPr>
          <w:rFonts w:ascii="宋体" w:hAnsi="宋体" w:eastAsia="宋体" w:cs="宋体"/>
          <w:color w:val="auto"/>
          <w:spacing w:val="-3"/>
          <w:sz w:val="20"/>
          <w:szCs w:val="20"/>
          <w:highlight w:val="none"/>
        </w:rPr>
        <w:t>宁</w:t>
      </w:r>
      <w:r>
        <w:rPr>
          <w:rFonts w:ascii="宋体" w:hAnsi="宋体" w:eastAsia="宋体" w:cs="宋体"/>
          <w:color w:val="auto"/>
          <w:spacing w:val="-53"/>
          <w:sz w:val="20"/>
          <w:szCs w:val="20"/>
          <w:highlight w:val="none"/>
        </w:rPr>
        <w:t xml:space="preserve"> </w:t>
      </w:r>
      <w:r>
        <w:rPr>
          <w:rFonts w:ascii="宋体" w:hAnsi="宋体" w:eastAsia="宋体" w:cs="宋体"/>
          <w:color w:val="auto"/>
          <w:spacing w:val="-3"/>
          <w:sz w:val="20"/>
          <w:szCs w:val="20"/>
          <w:highlight w:val="none"/>
        </w:rPr>
        <w:t>银</w:t>
      </w:r>
      <w:r>
        <w:rPr>
          <w:rFonts w:ascii="宋体" w:hAnsi="宋体" w:eastAsia="宋体" w:cs="宋体"/>
          <w:color w:val="auto"/>
          <w:spacing w:val="-50"/>
          <w:sz w:val="20"/>
          <w:szCs w:val="20"/>
          <w:highlight w:val="none"/>
        </w:rPr>
        <w:t xml:space="preserve"> </w:t>
      </w:r>
      <w:r>
        <w:rPr>
          <w:rFonts w:ascii="宋体" w:hAnsi="宋体" w:eastAsia="宋体" w:cs="宋体"/>
          <w:color w:val="auto"/>
          <w:spacing w:val="-3"/>
          <w:sz w:val="20"/>
          <w:szCs w:val="20"/>
          <w:highlight w:val="none"/>
        </w:rPr>
        <w:t>发</w:t>
      </w:r>
      <w:r>
        <w:rPr>
          <w:rFonts w:ascii="宋体" w:hAnsi="宋体" w:eastAsia="宋体" w:cs="宋体"/>
          <w:color w:val="auto"/>
          <w:spacing w:val="-56"/>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48"/>
          <w:sz w:val="20"/>
          <w:szCs w:val="20"/>
          <w:highlight w:val="none"/>
        </w:rPr>
        <w:t xml:space="preserve"> </w:t>
      </w:r>
      <w:r>
        <w:rPr>
          <w:rFonts w:ascii="宋体" w:hAnsi="宋体" w:eastAsia="宋体" w:cs="宋体"/>
          <w:color w:val="auto"/>
          <w:spacing w:val="-3"/>
          <w:sz w:val="20"/>
          <w:szCs w:val="20"/>
          <w:highlight w:val="none"/>
        </w:rPr>
        <w:t>2021</w:t>
      </w:r>
      <w:r>
        <w:rPr>
          <w:rFonts w:ascii="宋体" w:hAnsi="宋体" w:eastAsia="宋体" w:cs="宋体"/>
          <w:color w:val="auto"/>
          <w:spacing w:val="-60"/>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45"/>
          <w:sz w:val="20"/>
          <w:szCs w:val="20"/>
          <w:highlight w:val="none"/>
        </w:rPr>
        <w:t xml:space="preserve"> </w:t>
      </w:r>
      <w:r>
        <w:rPr>
          <w:rFonts w:ascii="宋体" w:hAnsi="宋体" w:eastAsia="宋体" w:cs="宋体"/>
          <w:color w:val="auto"/>
          <w:spacing w:val="-3"/>
          <w:sz w:val="20"/>
          <w:szCs w:val="20"/>
          <w:highlight w:val="none"/>
        </w:rPr>
        <w:t>258 号</w:t>
      </w:r>
      <w:r>
        <w:rPr>
          <w:rFonts w:ascii="宋体" w:hAnsi="宋体" w:eastAsia="宋体" w:cs="宋体"/>
          <w:color w:val="auto"/>
          <w:spacing w:val="-31"/>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47"/>
          <w:sz w:val="20"/>
          <w:szCs w:val="20"/>
          <w:highlight w:val="none"/>
        </w:rPr>
        <w:t xml:space="preserve"> </w:t>
      </w:r>
      <w:r>
        <w:rPr>
          <w:rFonts w:ascii="宋体" w:hAnsi="宋体" w:eastAsia="宋体" w:cs="宋体"/>
          <w:color w:val="auto"/>
          <w:spacing w:val="-3"/>
          <w:sz w:val="20"/>
          <w:szCs w:val="20"/>
          <w:highlight w:val="none"/>
        </w:rPr>
        <w:t>文</w:t>
      </w:r>
      <w:r>
        <w:rPr>
          <w:rFonts w:ascii="宋体" w:hAnsi="宋体" w:eastAsia="宋体" w:cs="宋体"/>
          <w:color w:val="auto"/>
          <w:spacing w:val="-57"/>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22"/>
          <w:sz w:val="20"/>
          <w:szCs w:val="20"/>
          <w:highlight w:val="none"/>
        </w:rPr>
        <w:t xml:space="preserve"> </w:t>
      </w:r>
      <w:r>
        <w:rPr>
          <w:rFonts w:ascii="宋体" w:hAnsi="宋体" w:eastAsia="宋体" w:cs="宋体"/>
          <w:color w:val="auto"/>
          <w:spacing w:val="-3"/>
          <w:sz w:val="20"/>
          <w:szCs w:val="20"/>
          <w:highlight w:val="none"/>
        </w:rPr>
        <w:t>文</w:t>
      </w:r>
      <w:r>
        <w:rPr>
          <w:rFonts w:ascii="宋体" w:hAnsi="宋体" w:eastAsia="宋体" w:cs="宋体"/>
          <w:color w:val="auto"/>
          <w:spacing w:val="-54"/>
          <w:sz w:val="20"/>
          <w:szCs w:val="20"/>
          <w:highlight w:val="none"/>
        </w:rPr>
        <w:t xml:space="preserve"> </w:t>
      </w:r>
      <w:r>
        <w:rPr>
          <w:rFonts w:ascii="宋体" w:hAnsi="宋体" w:eastAsia="宋体" w:cs="宋体"/>
          <w:color w:val="auto"/>
          <w:spacing w:val="-3"/>
          <w:sz w:val="20"/>
          <w:szCs w:val="20"/>
          <w:highlight w:val="none"/>
        </w:rPr>
        <w:t>件</w:t>
      </w:r>
      <w:r>
        <w:rPr>
          <w:rFonts w:ascii="宋体" w:hAnsi="宋体" w:eastAsia="宋体" w:cs="宋体"/>
          <w:color w:val="auto"/>
          <w:spacing w:val="-47"/>
          <w:sz w:val="20"/>
          <w:szCs w:val="20"/>
          <w:highlight w:val="none"/>
        </w:rPr>
        <w:t xml:space="preserve"> </w:t>
      </w:r>
      <w:r>
        <w:rPr>
          <w:rFonts w:ascii="宋体" w:hAnsi="宋体" w:eastAsia="宋体" w:cs="宋体"/>
          <w:color w:val="auto"/>
          <w:spacing w:val="-3"/>
          <w:sz w:val="20"/>
          <w:szCs w:val="20"/>
          <w:highlight w:val="none"/>
        </w:rPr>
        <w:t>公</w:t>
      </w:r>
      <w:r>
        <w:rPr>
          <w:rFonts w:ascii="宋体" w:hAnsi="宋体" w:eastAsia="宋体" w:cs="宋体"/>
          <w:color w:val="auto"/>
          <w:spacing w:val="-53"/>
          <w:sz w:val="20"/>
          <w:szCs w:val="20"/>
          <w:highlight w:val="none"/>
        </w:rPr>
        <w:t xml:space="preserve"> </w:t>
      </w:r>
      <w:r>
        <w:rPr>
          <w:rFonts w:ascii="宋体" w:hAnsi="宋体" w:eastAsia="宋体" w:cs="宋体"/>
          <w:color w:val="auto"/>
          <w:spacing w:val="-3"/>
          <w:sz w:val="20"/>
          <w:szCs w:val="20"/>
          <w:highlight w:val="none"/>
        </w:rPr>
        <w:t>开</w:t>
      </w:r>
      <w:r>
        <w:rPr>
          <w:rFonts w:ascii="宋体" w:hAnsi="宋体" w:eastAsia="宋体" w:cs="宋体"/>
          <w:color w:val="auto"/>
          <w:spacing w:val="-38"/>
          <w:sz w:val="20"/>
          <w:szCs w:val="20"/>
          <w:highlight w:val="none"/>
        </w:rPr>
        <w:t xml:space="preserve"> </w:t>
      </w:r>
      <w:r>
        <w:rPr>
          <w:rFonts w:ascii="宋体" w:hAnsi="宋体" w:eastAsia="宋体" w:cs="宋体"/>
          <w:color w:val="auto"/>
          <w:spacing w:val="-3"/>
          <w:sz w:val="20"/>
          <w:szCs w:val="20"/>
          <w:highlight w:val="none"/>
        </w:rPr>
        <w:t>网</w:t>
      </w:r>
      <w:r>
        <w:rPr>
          <w:rFonts w:ascii="宋体" w:hAnsi="宋体" w:eastAsia="宋体" w:cs="宋体"/>
          <w:color w:val="auto"/>
          <w:spacing w:val="-55"/>
          <w:sz w:val="20"/>
          <w:szCs w:val="20"/>
          <w:highlight w:val="none"/>
        </w:rPr>
        <w:t xml:space="preserve"> </w:t>
      </w:r>
      <w:r>
        <w:rPr>
          <w:rFonts w:ascii="宋体" w:hAnsi="宋体" w:eastAsia="宋体" w:cs="宋体"/>
          <w:color w:val="auto"/>
          <w:spacing w:val="-3"/>
          <w:sz w:val="20"/>
          <w:szCs w:val="20"/>
          <w:highlight w:val="none"/>
        </w:rPr>
        <w:t>址</w:t>
      </w:r>
      <w:r>
        <w:rPr>
          <w:rFonts w:ascii="宋体" w:hAnsi="宋体" w:eastAsia="宋体" w:cs="宋体"/>
          <w:color w:val="auto"/>
          <w:spacing w:val="-51"/>
          <w:sz w:val="20"/>
          <w:szCs w:val="20"/>
          <w:highlight w:val="none"/>
        </w:rPr>
        <w:t xml:space="preserve"> </w:t>
      </w:r>
      <w:r>
        <w:rPr>
          <w:rFonts w:ascii="宋体" w:hAnsi="宋体" w:eastAsia="宋体" w:cs="宋体"/>
          <w:color w:val="auto"/>
          <w:spacing w:val="-3"/>
          <w:sz w:val="20"/>
          <w:szCs w:val="20"/>
          <w:highlight w:val="none"/>
        </w:rPr>
        <w:t>详</w:t>
      </w:r>
      <w:r>
        <w:rPr>
          <w:rFonts w:ascii="宋体" w:hAnsi="宋体" w:eastAsia="宋体" w:cs="宋体"/>
          <w:color w:val="auto"/>
          <w:spacing w:val="-55"/>
          <w:sz w:val="20"/>
          <w:szCs w:val="20"/>
          <w:highlight w:val="none"/>
        </w:rPr>
        <w:t xml:space="preserve"> </w:t>
      </w:r>
      <w:r>
        <w:rPr>
          <w:rFonts w:ascii="宋体" w:hAnsi="宋体" w:eastAsia="宋体" w:cs="宋体"/>
          <w:color w:val="auto"/>
          <w:spacing w:val="-3"/>
          <w:sz w:val="20"/>
          <w:szCs w:val="20"/>
          <w:highlight w:val="none"/>
        </w:rPr>
        <w:t>情</w:t>
      </w:r>
      <w:r>
        <w:rPr>
          <w:rFonts w:ascii="宋体" w:hAnsi="宋体" w:eastAsia="宋体" w:cs="宋体"/>
          <w:color w:val="auto"/>
          <w:spacing w:val="-51"/>
          <w:sz w:val="20"/>
          <w:szCs w:val="20"/>
          <w:highlight w:val="none"/>
        </w:rPr>
        <w:t xml:space="preserve"> </w:t>
      </w:r>
      <w:r>
        <w:rPr>
          <w:rFonts w:ascii="宋体" w:hAnsi="宋体" w:eastAsia="宋体" w:cs="宋体"/>
          <w:color w:val="auto"/>
          <w:spacing w:val="-3"/>
          <w:sz w:val="20"/>
          <w:szCs w:val="20"/>
          <w:highlight w:val="none"/>
        </w:rPr>
        <w:t>见</w:t>
      </w:r>
      <w:r>
        <w:rPr>
          <w:rFonts w:ascii="宋体" w:hAnsi="宋体" w:eastAsia="宋体" w:cs="宋体"/>
          <w:color w:val="auto"/>
          <w:spacing w:val="-35"/>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47"/>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53"/>
          <w:sz w:val="20"/>
          <w:szCs w:val="20"/>
          <w:highlight w:val="none"/>
        </w:rPr>
        <w:t xml:space="preserve"> </w:t>
      </w:r>
      <w:r>
        <w:rPr>
          <w:rFonts w:ascii="宋体" w:hAnsi="宋体" w:eastAsia="宋体" w:cs="宋体"/>
          <w:color w:val="auto"/>
          <w:spacing w:val="-3"/>
          <w:sz w:val="20"/>
          <w:szCs w:val="20"/>
          <w:highlight w:val="none"/>
        </w:rPr>
        <w:t>广</w:t>
      </w:r>
      <w:r>
        <w:rPr>
          <w:rFonts w:ascii="宋体" w:hAnsi="宋体" w:eastAsia="宋体" w:cs="宋体"/>
          <w:color w:val="auto"/>
          <w:spacing w:val="-49"/>
          <w:sz w:val="20"/>
          <w:szCs w:val="20"/>
          <w:highlight w:val="none"/>
        </w:rPr>
        <w:t xml:space="preserve"> </w:t>
      </w:r>
      <w:r>
        <w:rPr>
          <w:rFonts w:ascii="宋体" w:hAnsi="宋体" w:eastAsia="宋体" w:cs="宋体"/>
          <w:color w:val="auto"/>
          <w:spacing w:val="-3"/>
          <w:sz w:val="20"/>
          <w:szCs w:val="20"/>
          <w:highlight w:val="none"/>
        </w:rPr>
        <w:t>西</w:t>
      </w:r>
      <w:r>
        <w:rPr>
          <w:rFonts w:ascii="宋体" w:hAnsi="宋体" w:eastAsia="宋体" w:cs="宋体"/>
          <w:color w:val="auto"/>
          <w:spacing w:val="-54"/>
          <w:sz w:val="20"/>
          <w:szCs w:val="20"/>
          <w:highlight w:val="none"/>
        </w:rPr>
        <w:t xml:space="preserve"> </w:t>
      </w:r>
      <w:r>
        <w:rPr>
          <w:rFonts w:ascii="宋体" w:hAnsi="宋体" w:eastAsia="宋体" w:cs="宋体"/>
          <w:color w:val="auto"/>
          <w:spacing w:val="-3"/>
          <w:sz w:val="20"/>
          <w:szCs w:val="20"/>
          <w:highlight w:val="none"/>
        </w:rPr>
        <w:t>政</w:t>
      </w:r>
      <w:r>
        <w:rPr>
          <w:rFonts w:ascii="宋体" w:hAnsi="宋体" w:eastAsia="宋体" w:cs="宋体"/>
          <w:color w:val="auto"/>
          <w:spacing w:val="-55"/>
          <w:sz w:val="20"/>
          <w:szCs w:val="20"/>
          <w:highlight w:val="none"/>
        </w:rPr>
        <w:t xml:space="preserve"> </w:t>
      </w:r>
      <w:r>
        <w:rPr>
          <w:rFonts w:ascii="宋体" w:hAnsi="宋体" w:eastAsia="宋体" w:cs="宋体"/>
          <w:color w:val="auto"/>
          <w:spacing w:val="-3"/>
          <w:sz w:val="20"/>
          <w:szCs w:val="20"/>
          <w:highlight w:val="none"/>
        </w:rPr>
        <w:t>府</w:t>
      </w:r>
      <w:r>
        <w:rPr>
          <w:rFonts w:ascii="宋体" w:hAnsi="宋体" w:eastAsia="宋体" w:cs="宋体"/>
          <w:color w:val="auto"/>
          <w:spacing w:val="-54"/>
          <w:sz w:val="20"/>
          <w:szCs w:val="20"/>
          <w:highlight w:val="none"/>
        </w:rPr>
        <w:t xml:space="preserve"> </w:t>
      </w:r>
      <w:r>
        <w:rPr>
          <w:rFonts w:ascii="宋体" w:hAnsi="宋体" w:eastAsia="宋体" w:cs="宋体"/>
          <w:color w:val="auto"/>
          <w:spacing w:val="-3"/>
          <w:sz w:val="20"/>
          <w:szCs w:val="20"/>
          <w:highlight w:val="none"/>
        </w:rPr>
        <w:t>采</w:t>
      </w:r>
      <w:r>
        <w:rPr>
          <w:rFonts w:ascii="宋体" w:hAnsi="宋体" w:eastAsia="宋体" w:cs="宋体"/>
          <w:color w:val="auto"/>
          <w:spacing w:val="-56"/>
          <w:sz w:val="20"/>
          <w:szCs w:val="20"/>
          <w:highlight w:val="none"/>
        </w:rPr>
        <w:t xml:space="preserve"> </w:t>
      </w:r>
      <w:r>
        <w:rPr>
          <w:rFonts w:ascii="宋体" w:hAnsi="宋体" w:eastAsia="宋体" w:cs="宋体"/>
          <w:color w:val="auto"/>
          <w:spacing w:val="-3"/>
          <w:sz w:val="20"/>
          <w:szCs w:val="20"/>
          <w:highlight w:val="none"/>
        </w:rPr>
        <w:t>购</w:t>
      </w:r>
      <w:r>
        <w:rPr>
          <w:rFonts w:ascii="宋体" w:hAnsi="宋体" w:eastAsia="宋体" w:cs="宋体"/>
          <w:color w:val="auto"/>
          <w:spacing w:val="-37"/>
          <w:sz w:val="20"/>
          <w:szCs w:val="20"/>
          <w:highlight w:val="none"/>
        </w:rPr>
        <w:t xml:space="preserve"> </w:t>
      </w:r>
      <w:r>
        <w:rPr>
          <w:rFonts w:ascii="宋体" w:hAnsi="宋体" w:eastAsia="宋体" w:cs="宋体"/>
          <w:color w:val="auto"/>
          <w:spacing w:val="-3"/>
          <w:sz w:val="20"/>
          <w:szCs w:val="20"/>
          <w:highlight w:val="none"/>
        </w:rPr>
        <w:t>网</w:t>
      </w:r>
      <w:r>
        <w:rPr>
          <w:rFonts w:ascii="宋体" w:hAnsi="宋体" w:eastAsia="宋体" w:cs="宋体"/>
          <w:color w:val="auto"/>
          <w:spacing w:val="-36"/>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74"/>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56"/>
          <w:sz w:val="20"/>
          <w:szCs w:val="20"/>
          <w:highlight w:val="none"/>
        </w:rPr>
        <w:t xml:space="preserve"> </w:t>
      </w:r>
      <w:r>
        <w:rPr>
          <w:rFonts w:ascii="宋体" w:hAnsi="宋体" w:eastAsia="宋体" w:cs="宋体"/>
          <w:color w:val="auto"/>
          <w:spacing w:val="-3"/>
          <w:sz w:val="20"/>
          <w:szCs w:val="20"/>
          <w:highlight w:val="none"/>
        </w:rPr>
        <w:t>—</w:t>
      </w:r>
    </w:p>
    <w:p w14:paraId="392ABF90">
      <w:pPr>
        <w:spacing w:line="383" w:lineRule="auto"/>
        <w:rPr>
          <w:rFonts w:ascii="宋体" w:hAnsi="宋体" w:eastAsia="宋体" w:cs="宋体"/>
          <w:color w:val="auto"/>
          <w:sz w:val="20"/>
          <w:szCs w:val="20"/>
          <w:highlight w:val="none"/>
        </w:rPr>
        <w:sectPr>
          <w:footerReference r:id="rId35" w:type="default"/>
          <w:pgSz w:w="11905" w:h="16839"/>
          <w:pgMar w:top="400" w:right="1511" w:bottom="1149" w:left="1593" w:header="0" w:footer="913" w:gutter="0"/>
          <w:cols w:space="720" w:num="1"/>
        </w:sectPr>
      </w:pPr>
      <w:r>
        <w:rPr>
          <w:color w:val="auto"/>
          <w:highlight w:val="none"/>
        </w:rPr>
        <w:fldChar w:fldCharType="begin"/>
      </w:r>
      <w:r>
        <w:rPr>
          <w:color w:val="auto"/>
          <w:highlight w:val="none"/>
        </w:rPr>
        <w:instrText xml:space="preserve"> HYPERLINK "http://www.ccgp-guangxi.gov.cn/AdministrativeRegulations/AutonomousRegion/9830442.html"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www</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guangxi</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AdministrativeRegulations</w:t>
      </w:r>
      <w:r>
        <w:rPr>
          <w:rFonts w:ascii="宋体" w:hAnsi="宋体" w:eastAsia="宋体" w:cs="宋体"/>
          <w:color w:val="auto"/>
          <w:spacing w:val="21"/>
          <w:sz w:val="20"/>
          <w:szCs w:val="20"/>
          <w:highlight w:val="none"/>
        </w:rPr>
        <w:t>/</w:t>
      </w:r>
      <w:r>
        <w:rPr>
          <w:rFonts w:ascii="宋体" w:hAnsi="宋体" w:eastAsia="宋体" w:cs="宋体"/>
          <w:color w:val="auto"/>
          <w:sz w:val="20"/>
          <w:szCs w:val="20"/>
          <w:highlight w:val="none"/>
        </w:rPr>
        <w:t>AutonomousRegion</w:t>
      </w:r>
      <w:r>
        <w:rPr>
          <w:rFonts w:ascii="宋体" w:hAnsi="宋体" w:eastAsia="宋体" w:cs="宋体"/>
          <w:color w:val="auto"/>
          <w:spacing w:val="21"/>
          <w:sz w:val="20"/>
          <w:szCs w:val="20"/>
          <w:highlight w:val="none"/>
        </w:rPr>
        <w:t>/9830442.h</w:t>
      </w:r>
      <w:r>
        <w:rPr>
          <w:rFonts w:ascii="宋体" w:hAnsi="宋体" w:eastAsia="宋体" w:cs="宋体"/>
          <w:color w:val="auto"/>
          <w:spacing w:val="21"/>
          <w:sz w:val="20"/>
          <w:szCs w:val="20"/>
          <w:highlight w:val="none"/>
        </w:rPr>
        <w:fldChar w:fldCharType="end"/>
      </w:r>
      <w:r>
        <w:rPr>
          <w:rFonts w:ascii="宋体" w:hAnsi="宋体" w:eastAsia="宋体" w:cs="宋体"/>
          <w:color w:val="auto"/>
          <w:spacing w:val="9"/>
          <w:sz w:val="20"/>
          <w:szCs w:val="20"/>
          <w:highlight w:val="none"/>
        </w:rPr>
        <w:t xml:space="preserve"> </w:t>
      </w:r>
      <w:r>
        <w:rPr>
          <w:color w:val="auto"/>
          <w:highlight w:val="none"/>
        </w:rPr>
        <w:fldChar w:fldCharType="begin"/>
      </w:r>
      <w:r>
        <w:rPr>
          <w:color w:val="auto"/>
          <w:highlight w:val="none"/>
        </w:rPr>
        <w:instrText xml:space="preserve"> HYPERLINK "http://www.ccgp-guangxi.gov.cn/AdministrativeRegulations/AutonomousRegion/9830442.html" </w:instrText>
      </w:r>
      <w:r>
        <w:rPr>
          <w:color w:val="auto"/>
          <w:highlight w:val="none"/>
        </w:rPr>
        <w:fldChar w:fldCharType="separate"/>
      </w:r>
      <w:r>
        <w:rPr>
          <w:rFonts w:ascii="宋体" w:hAnsi="宋体" w:eastAsia="宋体" w:cs="宋体"/>
          <w:color w:val="auto"/>
          <w:sz w:val="20"/>
          <w:szCs w:val="20"/>
          <w:highlight w:val="none"/>
        </w:rPr>
        <w:t>tml</w:t>
      </w:r>
      <w:r>
        <w:rPr>
          <w:rFonts w:ascii="宋体" w:hAnsi="宋体" w:eastAsia="宋体" w:cs="宋体"/>
          <w:color w:val="auto"/>
          <w:sz w:val="20"/>
          <w:szCs w:val="20"/>
          <w:highlight w:val="none"/>
        </w:rPr>
        <w:fldChar w:fldCharType="end"/>
      </w:r>
      <w:r>
        <w:rPr>
          <w:rFonts w:ascii="宋体" w:hAnsi="宋体" w:eastAsia="宋体" w:cs="宋体"/>
          <w:color w:val="auto"/>
          <w:spacing w:val="2"/>
          <w:sz w:val="20"/>
          <w:szCs w:val="20"/>
          <w:highlight w:val="none"/>
        </w:rPr>
        <w:t>）</w:t>
      </w:r>
    </w:p>
    <w:p w14:paraId="21D92E09">
      <w:pPr>
        <w:spacing w:before="140" w:line="223" w:lineRule="auto"/>
        <w:ind w:left="512"/>
        <w:outlineLvl w:val="0"/>
        <w:rPr>
          <w:rFonts w:ascii="宋体" w:hAnsi="宋体" w:eastAsia="宋体" w:cs="宋体"/>
          <w:b/>
          <w:bCs/>
          <w:color w:val="auto"/>
          <w:spacing w:val="6"/>
          <w:sz w:val="43"/>
          <w:szCs w:val="43"/>
          <w:highlight w:val="none"/>
        </w:rPr>
      </w:pPr>
      <w:bookmarkStart w:id="13" w:name="_Toc15533"/>
    </w:p>
    <w:p w14:paraId="63F1D492">
      <w:pPr>
        <w:spacing w:before="140" w:line="223" w:lineRule="auto"/>
        <w:ind w:left="512"/>
        <w:outlineLvl w:val="0"/>
        <w:rPr>
          <w:rFonts w:ascii="宋体" w:hAnsi="宋体" w:eastAsia="宋体" w:cs="宋体"/>
          <w:color w:val="auto"/>
          <w:sz w:val="43"/>
          <w:szCs w:val="43"/>
          <w:highlight w:val="none"/>
        </w:rPr>
      </w:pPr>
      <w:r>
        <w:rPr>
          <w:rFonts w:ascii="宋体" w:hAnsi="宋体" w:eastAsia="宋体" w:cs="宋体"/>
          <w:b/>
          <w:bCs/>
          <w:color w:val="auto"/>
          <w:spacing w:val="6"/>
          <w:sz w:val="43"/>
          <w:szCs w:val="43"/>
          <w:highlight w:val="none"/>
        </w:rPr>
        <w:t>第四章</w:t>
      </w:r>
      <w:r>
        <w:rPr>
          <w:rFonts w:ascii="宋体" w:hAnsi="宋体" w:eastAsia="宋体" w:cs="宋体"/>
          <w:color w:val="auto"/>
          <w:spacing w:val="6"/>
          <w:sz w:val="43"/>
          <w:szCs w:val="43"/>
          <w:highlight w:val="none"/>
        </w:rPr>
        <w:t xml:space="preserve"> </w:t>
      </w:r>
      <w:r>
        <w:rPr>
          <w:rFonts w:ascii="宋体" w:hAnsi="宋体" w:eastAsia="宋体" w:cs="宋体"/>
          <w:b/>
          <w:bCs/>
          <w:color w:val="auto"/>
          <w:spacing w:val="6"/>
          <w:sz w:val="43"/>
          <w:szCs w:val="43"/>
          <w:highlight w:val="none"/>
        </w:rPr>
        <w:t>评审程序、评审方法和评审标准</w:t>
      </w:r>
      <w:bookmarkEnd w:id="13"/>
    </w:p>
    <w:p w14:paraId="3BF87301">
      <w:pPr>
        <w:spacing w:before="339" w:line="225" w:lineRule="auto"/>
        <w:ind w:left="2372"/>
        <w:outlineLvl w:val="1"/>
        <w:rPr>
          <w:rFonts w:ascii="宋体" w:hAnsi="宋体" w:eastAsia="宋体" w:cs="宋体"/>
          <w:color w:val="auto"/>
          <w:sz w:val="31"/>
          <w:szCs w:val="31"/>
          <w:highlight w:val="none"/>
        </w:rPr>
      </w:pPr>
      <w:bookmarkStart w:id="14" w:name="_Toc29360"/>
      <w:r>
        <w:rPr>
          <w:rFonts w:ascii="宋体" w:hAnsi="宋体" w:eastAsia="宋体" w:cs="宋体"/>
          <w:color w:val="auto"/>
          <w:spacing w:val="8"/>
          <w:sz w:val="31"/>
          <w:szCs w:val="31"/>
          <w:highlight w:val="none"/>
        </w:rPr>
        <w:t>第一节 评审程序和评审方法</w:t>
      </w:r>
      <w:bookmarkEnd w:id="14"/>
    </w:p>
    <w:p w14:paraId="5D75C9B7">
      <w:pPr>
        <w:spacing w:before="282" w:line="220" w:lineRule="auto"/>
        <w:ind w:left="44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1.确认磋商文件</w:t>
      </w:r>
    </w:p>
    <w:p w14:paraId="4C5AE53C">
      <w:pPr>
        <w:spacing w:before="177" w:line="228" w:lineRule="auto"/>
        <w:ind w:left="44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由磋商小组确认磋商文件。</w:t>
      </w:r>
    </w:p>
    <w:p w14:paraId="331ACD38">
      <w:pPr>
        <w:spacing w:before="165" w:line="220" w:lineRule="auto"/>
        <w:ind w:left="42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2.资格审查</w:t>
      </w:r>
    </w:p>
    <w:p w14:paraId="0DC6803C">
      <w:pPr>
        <w:spacing w:before="177" w:line="228" w:lineRule="auto"/>
        <w:ind w:left="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2.1</w:t>
      </w:r>
      <w:r>
        <w:rPr>
          <w:rFonts w:ascii="宋体" w:hAnsi="宋体" w:eastAsia="宋体" w:cs="宋体"/>
          <w:color w:val="auto"/>
          <w:spacing w:val="-20"/>
          <w:sz w:val="20"/>
          <w:szCs w:val="20"/>
          <w:highlight w:val="none"/>
        </w:rPr>
        <w:t xml:space="preserve"> </w:t>
      </w:r>
      <w:r>
        <w:rPr>
          <w:rFonts w:ascii="宋体" w:hAnsi="宋体" w:eastAsia="宋体" w:cs="宋体"/>
          <w:color w:val="auto"/>
          <w:spacing w:val="8"/>
          <w:sz w:val="20"/>
          <w:szCs w:val="20"/>
          <w:highlight w:val="none"/>
        </w:rPr>
        <w:t>响应文件开启后，磋商小组依法对供应商的资格证明文件进行审查。</w:t>
      </w:r>
    </w:p>
    <w:p w14:paraId="60152535">
      <w:pPr>
        <w:spacing w:before="161" w:line="228" w:lineRule="auto"/>
        <w:ind w:left="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注：采购人代表或者采购代理机构在资格审查结束前，对供应商进行信用查询。</w:t>
      </w:r>
    </w:p>
    <w:p w14:paraId="4BB0DA06">
      <w:pPr>
        <w:spacing w:before="161" w:line="300" w:lineRule="auto"/>
        <w:ind w:right="70" w:firstLine="43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（1）查询渠道：广西政府采购云平台“信用中国”网站(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0"/>
          <w:szCs w:val="20"/>
          <w:highlight w:val="none"/>
        </w:rPr>
        <w:t>www</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creditchina</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1"/>
          <w:sz w:val="20"/>
          <w:szCs w:val="20"/>
          <w:highlight w:val="none"/>
        </w:rPr>
        <w:t>)、中国</w:t>
      </w:r>
      <w:r>
        <w:rPr>
          <w:rFonts w:ascii="宋体" w:hAnsi="宋体" w:eastAsia="宋体" w:cs="宋体"/>
          <w:color w:val="auto"/>
          <w:spacing w:val="12"/>
          <w:sz w:val="20"/>
          <w:szCs w:val="20"/>
          <w:highlight w:val="none"/>
        </w:rPr>
        <w:t xml:space="preserve"> </w:t>
      </w:r>
      <w:r>
        <w:rPr>
          <w:rFonts w:ascii="宋体" w:hAnsi="宋体" w:eastAsia="宋体" w:cs="宋体"/>
          <w:color w:val="auto"/>
          <w:spacing w:val="10"/>
          <w:sz w:val="20"/>
          <w:szCs w:val="20"/>
          <w:highlight w:val="none"/>
        </w:rPr>
        <w:t>政府采购网(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0"/>
          <w:szCs w:val="20"/>
          <w:highlight w:val="none"/>
        </w:rPr>
        <w:t>www</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0"/>
          <w:sz w:val="20"/>
          <w:szCs w:val="20"/>
          <w:highlight w:val="none"/>
        </w:rPr>
        <w:t>)链接入口。</w:t>
      </w:r>
    </w:p>
    <w:p w14:paraId="1A3CA9D5">
      <w:pPr>
        <w:spacing w:before="167"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（2）信用查询截止时点：资格审查结束前。</w:t>
      </w:r>
    </w:p>
    <w:p w14:paraId="6D5FF922">
      <w:pPr>
        <w:spacing w:before="160" w:line="378" w:lineRule="auto"/>
        <w:ind w:left="10" w:right="53" w:firstLine="41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查询记录和证据留存方式：在查询网站中直</w:t>
      </w:r>
      <w:r>
        <w:rPr>
          <w:rFonts w:ascii="宋体" w:hAnsi="宋体" w:eastAsia="宋体" w:cs="宋体"/>
          <w:color w:val="auto"/>
          <w:spacing w:val="7"/>
          <w:sz w:val="20"/>
          <w:szCs w:val="20"/>
          <w:highlight w:val="none"/>
        </w:rPr>
        <w:t>接打印查询记录，截图另存为电子文档作为评审</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资料保存。</w:t>
      </w:r>
    </w:p>
    <w:p w14:paraId="4923B9BF">
      <w:pPr>
        <w:spacing w:before="6" w:line="376" w:lineRule="auto"/>
        <w:ind w:firstLine="431"/>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（3）信用信息使用规则：对在“信用中国”</w:t>
      </w:r>
      <w:r>
        <w:rPr>
          <w:rFonts w:ascii="宋体" w:hAnsi="宋体" w:eastAsia="宋体" w:cs="宋体"/>
          <w:color w:val="auto"/>
          <w:spacing w:val="8"/>
          <w:sz w:val="20"/>
          <w:szCs w:val="20"/>
          <w:highlight w:val="none"/>
        </w:rPr>
        <w:t>网站(</w:t>
      </w:r>
      <w:r>
        <w:rPr>
          <w:color w:val="auto"/>
          <w:highlight w:val="none"/>
        </w:rPr>
        <w:fldChar w:fldCharType="begin"/>
      </w:r>
      <w:r>
        <w:rPr>
          <w:color w:val="auto"/>
          <w:highlight w:val="none"/>
        </w:rPr>
        <w:instrText xml:space="preserve"> HYPERLINK "https://www.creditchina.gov.cn" </w:instrText>
      </w:r>
      <w:r>
        <w:rPr>
          <w:color w:val="auto"/>
          <w:highlight w:val="none"/>
        </w:rPr>
        <w:fldChar w:fldCharType="separate"/>
      </w:r>
      <w:r>
        <w:rPr>
          <w:rFonts w:ascii="宋体" w:hAnsi="宋体" w:eastAsia="宋体" w:cs="宋体"/>
          <w:color w:val="auto"/>
          <w:sz w:val="20"/>
          <w:szCs w:val="20"/>
          <w:highlight w:val="none"/>
        </w:rPr>
        <w:t>www</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creditchina</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8"/>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8"/>
          <w:sz w:val="20"/>
          <w:szCs w:val="20"/>
          <w:highlight w:val="none"/>
        </w:rPr>
        <w:t>) 、中国政府采</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购网(</w:t>
      </w:r>
      <w:r>
        <w:rPr>
          <w:color w:val="auto"/>
          <w:highlight w:val="none"/>
        </w:rPr>
        <w:fldChar w:fldCharType="begin"/>
      </w:r>
      <w:r>
        <w:rPr>
          <w:color w:val="auto"/>
          <w:highlight w:val="none"/>
        </w:rPr>
        <w:instrText xml:space="preserve"> HYPERLINK "https://www.ccgp.gov.cn" </w:instrText>
      </w:r>
      <w:r>
        <w:rPr>
          <w:color w:val="auto"/>
          <w:highlight w:val="none"/>
        </w:rPr>
        <w:fldChar w:fldCharType="separate"/>
      </w:r>
      <w:r>
        <w:rPr>
          <w:rFonts w:ascii="宋体" w:hAnsi="宋体" w:eastAsia="宋体" w:cs="宋体"/>
          <w:color w:val="auto"/>
          <w:sz w:val="20"/>
          <w:szCs w:val="20"/>
          <w:highlight w:val="none"/>
        </w:rPr>
        <w:t>www</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ccgp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gov</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cn</w:t>
      </w:r>
      <w:r>
        <w:rPr>
          <w:rFonts w:ascii="宋体" w:hAnsi="宋体" w:eastAsia="宋体" w:cs="宋体"/>
          <w:color w:val="auto"/>
          <w:sz w:val="20"/>
          <w:szCs w:val="20"/>
          <w:highlight w:val="none"/>
        </w:rPr>
        <w:fldChar w:fldCharType="end"/>
      </w:r>
      <w:r>
        <w:rPr>
          <w:rFonts w:ascii="宋体" w:hAnsi="宋体" w:eastAsia="宋体" w:cs="宋体"/>
          <w:color w:val="auto"/>
          <w:spacing w:val="11"/>
          <w:sz w:val="20"/>
          <w:szCs w:val="20"/>
          <w:highlight w:val="none"/>
        </w:rPr>
        <w:t>)被列入失信被执行人、重大税收违法案件当事人名单、政府采购严重违</w:t>
      </w:r>
      <w:r>
        <w:rPr>
          <w:rFonts w:ascii="宋体" w:hAnsi="宋体" w:eastAsia="宋体" w:cs="宋体"/>
          <w:color w:val="auto"/>
          <w:spacing w:val="3"/>
          <w:sz w:val="20"/>
          <w:szCs w:val="20"/>
          <w:highlight w:val="none"/>
        </w:rPr>
        <w:t xml:space="preserve"> </w:t>
      </w:r>
      <w:r>
        <w:rPr>
          <w:rFonts w:ascii="宋体" w:hAnsi="宋体" w:eastAsia="宋体" w:cs="宋体"/>
          <w:color w:val="auto"/>
          <w:spacing w:val="4"/>
          <w:sz w:val="20"/>
          <w:szCs w:val="20"/>
          <w:highlight w:val="none"/>
        </w:rPr>
        <w:t>法失信行为记录名单及其他不符合《中华人民共和国政府采购法》第二十二条规定条件的供应商，</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资格审查不通过，不得参与政府采购活动。两个以上的自然人</w:t>
      </w:r>
      <w:r>
        <w:rPr>
          <w:rFonts w:ascii="宋体" w:hAnsi="宋体" w:eastAsia="宋体" w:cs="宋体"/>
          <w:color w:val="auto"/>
          <w:spacing w:val="7"/>
          <w:sz w:val="20"/>
          <w:szCs w:val="20"/>
          <w:highlight w:val="none"/>
        </w:rPr>
        <w:t>、法人或者其他组织组成一个联合</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体，以一个供应商的身份共同参加政府采购活动的，应当对所有联合体成员进行信用记录查询，</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联合体成员存在不良信用记录的，视同联合体存在不良信用记录。</w:t>
      </w:r>
    </w:p>
    <w:p w14:paraId="2C46A4FD">
      <w:pPr>
        <w:spacing w:before="1" w:line="302" w:lineRule="auto"/>
        <w:ind w:left="3" w:right="53"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2.2</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资格审查标准为本磋商文件中载明对供应商资格要求的条件。资格审查采用合格制，凡</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符合磋商文件规定的供应商资格要求的响应文件均通过资格审查。</w:t>
      </w:r>
    </w:p>
    <w:p w14:paraId="38422168">
      <w:pPr>
        <w:spacing w:before="163" w:line="228" w:lineRule="auto"/>
        <w:ind w:left="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2.3</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供应商有下列情形之一的，资格审查不通过，其响</w:t>
      </w:r>
      <w:r>
        <w:rPr>
          <w:rFonts w:ascii="宋体" w:hAnsi="宋体" w:eastAsia="宋体" w:cs="宋体"/>
          <w:color w:val="auto"/>
          <w:spacing w:val="8"/>
          <w:sz w:val="20"/>
          <w:szCs w:val="20"/>
          <w:highlight w:val="none"/>
        </w:rPr>
        <w:t>应文件按无效响应处理：</w:t>
      </w:r>
    </w:p>
    <w:p w14:paraId="5B34D9CB">
      <w:pPr>
        <w:spacing w:before="162"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（1）不具备磋商文件中规定的资格要求的；</w:t>
      </w:r>
    </w:p>
    <w:p w14:paraId="078B28E5">
      <w:pPr>
        <w:spacing w:before="159" w:line="303" w:lineRule="auto"/>
        <w:ind w:right="53" w:firstLine="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（2）响应文件未提供任一项“供应商须知前附表</w:t>
      </w:r>
      <w:r>
        <w:rPr>
          <w:rFonts w:ascii="宋体" w:hAnsi="宋体" w:eastAsia="宋体" w:cs="宋体"/>
          <w:color w:val="auto"/>
          <w:spacing w:val="-58"/>
          <w:sz w:val="20"/>
          <w:szCs w:val="20"/>
          <w:highlight w:val="none"/>
        </w:rPr>
        <w:t xml:space="preserve"> </w:t>
      </w:r>
      <w:r>
        <w:rPr>
          <w:rFonts w:ascii="宋体" w:hAnsi="宋体" w:eastAsia="宋体" w:cs="宋体"/>
          <w:color w:val="auto"/>
          <w:spacing w:val="8"/>
          <w:sz w:val="20"/>
          <w:szCs w:val="20"/>
          <w:highlight w:val="none"/>
        </w:rPr>
        <w:t>”资格证明文件规定的“必须提供</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”的文</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件资料的；</w:t>
      </w:r>
    </w:p>
    <w:p w14:paraId="48F2D29C">
      <w:pPr>
        <w:spacing w:before="164" w:line="302" w:lineRule="auto"/>
        <w:ind w:left="2" w:right="56" w:firstLine="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（3）响应文件提供的资格证明文件出现任一项不符合“供应商须知前附表</w:t>
      </w:r>
      <w:r>
        <w:rPr>
          <w:rFonts w:ascii="宋体" w:hAnsi="宋体" w:eastAsia="宋体" w:cs="宋体"/>
          <w:color w:val="auto"/>
          <w:spacing w:val="-71"/>
          <w:sz w:val="20"/>
          <w:szCs w:val="20"/>
          <w:highlight w:val="none"/>
        </w:rPr>
        <w:t xml:space="preserve"> </w:t>
      </w:r>
      <w:r>
        <w:rPr>
          <w:rFonts w:ascii="宋体" w:hAnsi="宋体" w:eastAsia="宋体" w:cs="宋体"/>
          <w:color w:val="auto"/>
          <w:spacing w:val="9"/>
          <w:sz w:val="20"/>
          <w:szCs w:val="20"/>
          <w:highlight w:val="none"/>
        </w:rPr>
        <w:t>”资格证明文件</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规定的“必须提供</w:t>
      </w:r>
      <w:r>
        <w:rPr>
          <w:rFonts w:ascii="宋体" w:hAnsi="宋体" w:eastAsia="宋体" w:cs="宋体"/>
          <w:color w:val="auto"/>
          <w:spacing w:val="-56"/>
          <w:sz w:val="20"/>
          <w:szCs w:val="20"/>
          <w:highlight w:val="none"/>
        </w:rPr>
        <w:t xml:space="preserve"> </w:t>
      </w:r>
      <w:r>
        <w:rPr>
          <w:rFonts w:ascii="宋体" w:hAnsi="宋体" w:eastAsia="宋体" w:cs="宋体"/>
          <w:color w:val="auto"/>
          <w:spacing w:val="7"/>
          <w:sz w:val="20"/>
          <w:szCs w:val="20"/>
          <w:highlight w:val="none"/>
        </w:rPr>
        <w:t>”的文件资料要求或者无效的。</w:t>
      </w:r>
    </w:p>
    <w:p w14:paraId="7CA931E0">
      <w:pPr>
        <w:spacing w:before="161" w:line="302" w:lineRule="auto"/>
        <w:ind w:left="4" w:right="109" w:firstLine="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（4）同一合同项下的不同供应商，单位负责人为同一人或者存在直接控股、管理关系的；</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为本项目提供过整体设计、规范编制或者项目管理、监理、检测等服务的。</w:t>
      </w:r>
    </w:p>
    <w:p w14:paraId="4564C580">
      <w:pPr>
        <w:spacing w:before="163" w:line="378" w:lineRule="auto"/>
        <w:ind w:left="4" w:right="56"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2.4</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通过资格审查的合格供应商不足</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家</w:t>
      </w:r>
      <w:r>
        <w:rPr>
          <w:rFonts w:ascii="宋体" w:hAnsi="宋体" w:eastAsia="宋体" w:cs="宋体"/>
          <w:color w:val="auto"/>
          <w:spacing w:val="7"/>
          <w:sz w:val="20"/>
          <w:szCs w:val="20"/>
          <w:highlight w:val="none"/>
        </w:rPr>
        <w:t>的，不得进入符合性审查环节，采购人或者采购代</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理机构应当重新开展采购活动。</w:t>
      </w:r>
    </w:p>
    <w:p w14:paraId="381C2EEC">
      <w:pPr>
        <w:spacing w:before="3" w:line="220" w:lineRule="auto"/>
        <w:ind w:left="427"/>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3.符合性审查</w:t>
      </w:r>
    </w:p>
    <w:p w14:paraId="1953135D">
      <w:pPr>
        <w:spacing w:before="177" w:line="378" w:lineRule="auto"/>
        <w:ind w:left="2" w:right="56" w:firstLine="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3.1</w:t>
      </w:r>
      <w:r>
        <w:rPr>
          <w:rFonts w:ascii="宋体" w:hAnsi="宋体" w:eastAsia="宋体" w:cs="宋体"/>
          <w:color w:val="auto"/>
          <w:spacing w:val="-15"/>
          <w:sz w:val="20"/>
          <w:szCs w:val="20"/>
          <w:highlight w:val="none"/>
        </w:rPr>
        <w:t xml:space="preserve"> </w:t>
      </w:r>
      <w:r>
        <w:rPr>
          <w:rFonts w:ascii="宋体" w:hAnsi="宋体" w:eastAsia="宋体" w:cs="宋体"/>
          <w:color w:val="auto"/>
          <w:spacing w:val="8"/>
          <w:sz w:val="20"/>
          <w:szCs w:val="20"/>
          <w:highlight w:val="none"/>
        </w:rPr>
        <w:t>由磋商小组对通过资格审查的合格供应商的响</w:t>
      </w:r>
      <w:r>
        <w:rPr>
          <w:rFonts w:ascii="宋体" w:hAnsi="宋体" w:eastAsia="宋体" w:cs="宋体"/>
          <w:color w:val="auto"/>
          <w:spacing w:val="7"/>
          <w:sz w:val="20"/>
          <w:szCs w:val="20"/>
          <w:highlight w:val="none"/>
        </w:rPr>
        <w:t>应文件的响应报价、商务、技术等实质性</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要求进行符合性审查，以确定其是否满足磋商文件的实质性要求。</w:t>
      </w:r>
    </w:p>
    <w:p w14:paraId="430002B3">
      <w:pPr>
        <w:spacing w:line="378" w:lineRule="auto"/>
        <w:rPr>
          <w:rFonts w:ascii="宋体" w:hAnsi="宋体" w:eastAsia="宋体" w:cs="宋体"/>
          <w:color w:val="auto"/>
          <w:sz w:val="20"/>
          <w:szCs w:val="20"/>
          <w:highlight w:val="none"/>
        </w:rPr>
        <w:sectPr>
          <w:footerReference r:id="rId36" w:type="default"/>
          <w:pgSz w:w="11905" w:h="16839"/>
          <w:pgMar w:top="400" w:right="1533" w:bottom="1079" w:left="1592" w:header="0" w:footer="843" w:gutter="0"/>
          <w:cols w:space="720" w:num="1"/>
        </w:sectPr>
      </w:pPr>
    </w:p>
    <w:p w14:paraId="06E8B8B8">
      <w:pPr>
        <w:pStyle w:val="2"/>
        <w:spacing w:line="348" w:lineRule="auto"/>
        <w:rPr>
          <w:color w:val="auto"/>
          <w:highlight w:val="none"/>
        </w:rPr>
      </w:pPr>
    </w:p>
    <w:p w14:paraId="1DFAE44F">
      <w:pPr>
        <w:pStyle w:val="2"/>
        <w:spacing w:line="348" w:lineRule="auto"/>
        <w:rPr>
          <w:color w:val="auto"/>
          <w:highlight w:val="none"/>
        </w:rPr>
      </w:pPr>
    </w:p>
    <w:p w14:paraId="7490A66F">
      <w:pPr>
        <w:spacing w:before="65" w:line="327" w:lineRule="auto"/>
        <w:ind w:left="5" w:right="83"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3.2</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磋商小组在对响应文件进行符合性审查时，可以要求供应商对响应文件中含义不明确、</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同类问题表述不一致或者有明显文字和计算错误</w:t>
      </w:r>
      <w:r>
        <w:rPr>
          <w:rFonts w:ascii="宋体" w:hAnsi="宋体" w:eastAsia="宋体" w:cs="宋体"/>
          <w:color w:val="auto"/>
          <w:spacing w:val="7"/>
          <w:sz w:val="20"/>
          <w:szCs w:val="20"/>
          <w:highlight w:val="none"/>
        </w:rPr>
        <w:t>的内容等作出必要的澄清、说明或者更正。供应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商的澄清、说明或者更正不得超出响应文件的范围或者改变响应文件的实质性内容。</w:t>
      </w:r>
    </w:p>
    <w:p w14:paraId="3FBA45CB">
      <w:pPr>
        <w:spacing w:before="162" w:line="347" w:lineRule="auto"/>
        <w:ind w:left="4" w:right="31"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3.3</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磋商小组要求供应商澄清、说明或者更正响应文件应当以电子澄清函形式作出。供应商</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的澄清、说明或者更正应当已电子回函形式按照磋商小组的要求作出明确的澄清、说明或者更正，</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未按磋商小组的要求作出明确澄清、说明或者更正</w:t>
      </w:r>
      <w:r>
        <w:rPr>
          <w:rFonts w:ascii="宋体" w:hAnsi="宋体" w:eastAsia="宋体" w:cs="宋体"/>
          <w:color w:val="auto"/>
          <w:spacing w:val="7"/>
          <w:sz w:val="20"/>
          <w:szCs w:val="20"/>
          <w:highlight w:val="none"/>
        </w:rPr>
        <w:t>的供应商的响应文件将按照有利于采购人的原</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则由磋商小组进行判定。供应商的澄清、说明或者更正必须加盖电子公章。供应商为</w:t>
      </w:r>
      <w:r>
        <w:rPr>
          <w:rFonts w:ascii="宋体" w:hAnsi="宋体" w:eastAsia="宋体" w:cs="宋体"/>
          <w:color w:val="auto"/>
          <w:spacing w:val="7"/>
          <w:sz w:val="20"/>
          <w:szCs w:val="20"/>
          <w:highlight w:val="none"/>
        </w:rPr>
        <w:t>自然人的，</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必须由本人签字并附身份证明。</w:t>
      </w:r>
    </w:p>
    <w:p w14:paraId="7CA8CB37">
      <w:pPr>
        <w:spacing w:before="163" w:line="227" w:lineRule="auto"/>
        <w:ind w:left="40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3.4</w:t>
      </w:r>
      <w:r>
        <w:rPr>
          <w:rFonts w:ascii="宋体" w:hAnsi="宋体" w:eastAsia="宋体" w:cs="宋体"/>
          <w:color w:val="auto"/>
          <w:spacing w:val="-49"/>
          <w:sz w:val="20"/>
          <w:szCs w:val="20"/>
          <w:highlight w:val="none"/>
        </w:rPr>
        <w:t xml:space="preserve"> </w:t>
      </w:r>
      <w:r>
        <w:rPr>
          <w:rFonts w:ascii="宋体" w:hAnsi="宋体" w:eastAsia="宋体" w:cs="宋体"/>
          <w:color w:val="auto"/>
          <w:spacing w:val="8"/>
          <w:sz w:val="20"/>
          <w:szCs w:val="20"/>
          <w:highlight w:val="none"/>
        </w:rPr>
        <w:t>首次响应文件报价出现前后不一致的，按照下列规定修</w:t>
      </w:r>
      <w:r>
        <w:rPr>
          <w:rFonts w:ascii="宋体" w:hAnsi="宋体" w:eastAsia="宋体" w:cs="宋体"/>
          <w:color w:val="auto"/>
          <w:spacing w:val="7"/>
          <w:sz w:val="20"/>
          <w:szCs w:val="20"/>
          <w:highlight w:val="none"/>
        </w:rPr>
        <w:t>正：</w:t>
      </w:r>
    </w:p>
    <w:p w14:paraId="1C0AE6C8">
      <w:pPr>
        <w:spacing w:before="162" w:line="227"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（1）响应文件中报价表内容与响应文件中相应内容不一致的，以报价表</w:t>
      </w:r>
      <w:r>
        <w:rPr>
          <w:rFonts w:ascii="宋体" w:hAnsi="宋体" w:eastAsia="宋体" w:cs="宋体"/>
          <w:color w:val="auto"/>
          <w:spacing w:val="8"/>
          <w:sz w:val="20"/>
          <w:szCs w:val="20"/>
          <w:highlight w:val="none"/>
        </w:rPr>
        <w:t>为准；</w:t>
      </w:r>
    </w:p>
    <w:p w14:paraId="5DFBE526">
      <w:pPr>
        <w:spacing w:before="162"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（2）大写金额和小写金额不一致的，以大写金额为准；</w:t>
      </w:r>
    </w:p>
    <w:p w14:paraId="5E3D7CFF">
      <w:pPr>
        <w:spacing w:before="160" w:line="227"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（3）单价金额小数点或者百分比有明显错位的，以报价表的总价为准，并修改单价；</w:t>
      </w:r>
    </w:p>
    <w:p w14:paraId="5619D109">
      <w:pPr>
        <w:spacing w:before="162" w:line="227"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（4）总价金额与按单价汇总金额不一致的，以单价金额计算</w:t>
      </w:r>
      <w:r>
        <w:rPr>
          <w:rFonts w:ascii="宋体" w:hAnsi="宋体" w:eastAsia="宋体" w:cs="宋体"/>
          <w:color w:val="auto"/>
          <w:spacing w:val="8"/>
          <w:sz w:val="20"/>
          <w:szCs w:val="20"/>
          <w:highlight w:val="none"/>
        </w:rPr>
        <w:t>结果为准。</w:t>
      </w:r>
    </w:p>
    <w:p w14:paraId="36400584">
      <w:pPr>
        <w:spacing w:before="162" w:line="378" w:lineRule="auto"/>
        <w:ind w:left="1" w:right="87" w:firstLine="43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同时出现两种以上不一致的，按照以上（1）-（4）规定的顺序逐条进行修正。修正后的报</w:t>
      </w:r>
      <w:r>
        <w:rPr>
          <w:rFonts w:ascii="宋体" w:hAnsi="宋体" w:eastAsia="宋体" w:cs="宋体"/>
          <w:color w:val="auto"/>
          <w:spacing w:val="10"/>
          <w:sz w:val="20"/>
          <w:szCs w:val="20"/>
          <w:highlight w:val="none"/>
        </w:rPr>
        <w:t xml:space="preserve"> </w:t>
      </w:r>
      <w:r>
        <w:rPr>
          <w:rFonts w:ascii="宋体" w:hAnsi="宋体" w:eastAsia="宋体" w:cs="宋体"/>
          <w:color w:val="auto"/>
          <w:spacing w:val="9"/>
          <w:sz w:val="20"/>
          <w:szCs w:val="20"/>
          <w:highlight w:val="none"/>
        </w:rPr>
        <w:t>价经供应商确认后产生约束力，供应商不确认的，其响应文件按无效响应处理。</w:t>
      </w:r>
    </w:p>
    <w:p w14:paraId="56F0EB42">
      <w:pPr>
        <w:spacing w:before="1" w:line="226" w:lineRule="auto"/>
        <w:ind w:left="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3.5</w:t>
      </w:r>
      <w:r>
        <w:rPr>
          <w:rFonts w:ascii="宋体" w:hAnsi="宋体" w:eastAsia="宋体" w:cs="宋体"/>
          <w:color w:val="auto"/>
          <w:spacing w:val="-30"/>
          <w:sz w:val="20"/>
          <w:szCs w:val="20"/>
          <w:highlight w:val="none"/>
        </w:rPr>
        <w:t xml:space="preserve"> </w:t>
      </w:r>
      <w:r>
        <w:rPr>
          <w:rFonts w:ascii="宋体" w:hAnsi="宋体" w:eastAsia="宋体" w:cs="宋体"/>
          <w:color w:val="auto"/>
          <w:spacing w:val="6"/>
          <w:sz w:val="20"/>
          <w:szCs w:val="20"/>
          <w:highlight w:val="none"/>
        </w:rPr>
        <w:t>商务技术、报价评审</w:t>
      </w:r>
    </w:p>
    <w:p w14:paraId="5FAD3340">
      <w:pPr>
        <w:spacing w:before="162" w:line="228" w:lineRule="auto"/>
        <w:ind w:left="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在评审时，如发现下列情形之一的，将被视为响应文件无效处理：</w:t>
      </w:r>
    </w:p>
    <w:p w14:paraId="6D766DBB">
      <w:pPr>
        <w:spacing w:before="161"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（1）商务技术评审</w:t>
      </w:r>
    </w:p>
    <w:p w14:paraId="473CB6E0">
      <w:pPr>
        <w:spacing w:before="163" w:line="228" w:lineRule="auto"/>
        <w:ind w:left="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1）响应文件未按磋商文件要求签署、盖章；</w:t>
      </w:r>
    </w:p>
    <w:p w14:paraId="285D08DE">
      <w:pPr>
        <w:spacing w:before="161" w:line="228" w:lineRule="auto"/>
        <w:ind w:left="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2）委托代理人未能出具有效身份证明或者出具的身份证明与授权委托书中的信息不符；</w:t>
      </w:r>
    </w:p>
    <w:p w14:paraId="69F4A50D">
      <w:pPr>
        <w:spacing w:before="162" w:line="340" w:lineRule="auto"/>
        <w:ind w:right="84"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3）响应文件未提供任一项“供应商须知前附表</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 商务技术文件中 “必须提供</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”或者“委</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托时必须提供</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”的文件资料；响应文件提供的商务技术文件出现任一项不符合“供应商</w:t>
      </w:r>
      <w:r>
        <w:rPr>
          <w:rFonts w:ascii="宋体" w:hAnsi="宋体" w:eastAsia="宋体" w:cs="宋体"/>
          <w:color w:val="auto"/>
          <w:spacing w:val="6"/>
          <w:sz w:val="20"/>
          <w:szCs w:val="20"/>
          <w:highlight w:val="none"/>
        </w:rPr>
        <w:t>须知前附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”商务技术文件中 “必须提供</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”或者“委托时必须提供</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”文件资料要求的规定或者</w:t>
      </w:r>
      <w:r>
        <w:rPr>
          <w:rFonts w:ascii="宋体" w:hAnsi="宋体" w:eastAsia="宋体" w:cs="宋体"/>
          <w:color w:val="auto"/>
          <w:spacing w:val="7"/>
          <w:sz w:val="20"/>
          <w:szCs w:val="20"/>
          <w:highlight w:val="none"/>
        </w:rPr>
        <w:t>提供的商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务技术文件无效。</w:t>
      </w:r>
    </w:p>
    <w:p w14:paraId="7371C1BC">
      <w:pPr>
        <w:spacing w:before="161" w:line="302" w:lineRule="auto"/>
        <w:ind w:left="17" w:right="87" w:firstLine="40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4）商务条款中标“▲</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”的条款发生负偏离的或者允许负偏离的条款数超过“供应商须知前</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附表</w:t>
      </w:r>
      <w:r>
        <w:rPr>
          <w:rFonts w:ascii="宋体" w:hAnsi="宋体" w:eastAsia="宋体" w:cs="宋体"/>
          <w:color w:val="auto"/>
          <w:spacing w:val="-65"/>
          <w:sz w:val="20"/>
          <w:szCs w:val="20"/>
          <w:highlight w:val="none"/>
        </w:rPr>
        <w:t xml:space="preserve"> </w:t>
      </w:r>
      <w:r>
        <w:rPr>
          <w:rFonts w:ascii="宋体" w:hAnsi="宋体" w:eastAsia="宋体" w:cs="宋体"/>
          <w:color w:val="auto"/>
          <w:spacing w:val="7"/>
          <w:sz w:val="20"/>
          <w:szCs w:val="20"/>
          <w:highlight w:val="none"/>
        </w:rPr>
        <w:t>”规定项数的或者标明实质性的要求发生负偏离；</w:t>
      </w:r>
    </w:p>
    <w:p w14:paraId="4F007278">
      <w:pPr>
        <w:spacing w:before="162" w:line="228" w:lineRule="auto"/>
        <w:ind w:left="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5）未对竞标有效期作出响应或者响应文件承诺的竞标有效期不满足磋商文件要求；</w:t>
      </w:r>
    </w:p>
    <w:p w14:paraId="2876E319">
      <w:pPr>
        <w:spacing w:before="161" w:line="228" w:lineRule="auto"/>
        <w:ind w:left="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6）响应文件的实质性内容未使用中文表述、使用计量单位不符合磋商文件要求；</w:t>
      </w:r>
    </w:p>
    <w:p w14:paraId="178DFB36">
      <w:pPr>
        <w:spacing w:before="162" w:line="303" w:lineRule="auto"/>
        <w:ind w:right="87" w:firstLine="4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7）响应文件中的文件资料因填写不齐全或者内容虚假或者出现其他情形而导</w:t>
      </w:r>
      <w:r>
        <w:rPr>
          <w:rFonts w:ascii="宋体" w:hAnsi="宋体" w:eastAsia="宋体" w:cs="宋体"/>
          <w:color w:val="auto"/>
          <w:spacing w:val="9"/>
          <w:sz w:val="20"/>
          <w:szCs w:val="20"/>
          <w:highlight w:val="none"/>
        </w:rPr>
        <w:t>致被磋商小组</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认定无效；</w:t>
      </w:r>
    </w:p>
    <w:p w14:paraId="78E64274">
      <w:pPr>
        <w:spacing w:before="160" w:line="228" w:lineRule="auto"/>
        <w:ind w:left="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8）响应文件含有采购人不能接受的附加条件；</w:t>
      </w:r>
    </w:p>
    <w:p w14:paraId="788B9BE6">
      <w:pPr>
        <w:spacing w:before="161" w:line="228" w:lineRule="auto"/>
        <w:ind w:left="421"/>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9）属于“供应商须知正文</w:t>
      </w:r>
      <w:r>
        <w:rPr>
          <w:rFonts w:ascii="宋体" w:hAnsi="宋体" w:eastAsia="宋体" w:cs="宋体"/>
          <w:color w:val="auto"/>
          <w:spacing w:val="-59"/>
          <w:sz w:val="20"/>
          <w:szCs w:val="20"/>
          <w:highlight w:val="none"/>
        </w:rPr>
        <w:t xml:space="preserve"> </w:t>
      </w:r>
      <w:r>
        <w:rPr>
          <w:rFonts w:ascii="宋体" w:hAnsi="宋体" w:eastAsia="宋体" w:cs="宋体"/>
          <w:color w:val="auto"/>
          <w:spacing w:val="5"/>
          <w:sz w:val="20"/>
          <w:szCs w:val="20"/>
          <w:highlight w:val="none"/>
        </w:rPr>
        <w:t>”第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7.5</w:t>
      </w:r>
      <w:r>
        <w:rPr>
          <w:rFonts w:ascii="宋体" w:hAnsi="宋体" w:eastAsia="宋体" w:cs="宋体"/>
          <w:color w:val="auto"/>
          <w:spacing w:val="-39"/>
          <w:sz w:val="20"/>
          <w:szCs w:val="20"/>
          <w:highlight w:val="none"/>
        </w:rPr>
        <w:t xml:space="preserve"> </w:t>
      </w:r>
      <w:r>
        <w:rPr>
          <w:rFonts w:ascii="宋体" w:hAnsi="宋体" w:eastAsia="宋体" w:cs="宋体"/>
          <w:color w:val="auto"/>
          <w:spacing w:val="5"/>
          <w:sz w:val="20"/>
          <w:szCs w:val="20"/>
          <w:highlight w:val="none"/>
        </w:rPr>
        <w:t>条情形；</w:t>
      </w:r>
    </w:p>
    <w:p w14:paraId="3ADAD54C">
      <w:pPr>
        <w:spacing w:before="163" w:line="228" w:lineRule="auto"/>
        <w:ind w:left="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10）技术需求允许负偏离的条款数超过“供应商须</w:t>
      </w:r>
      <w:r>
        <w:rPr>
          <w:rFonts w:ascii="宋体" w:hAnsi="宋体" w:eastAsia="宋体" w:cs="宋体"/>
          <w:color w:val="auto"/>
          <w:spacing w:val="7"/>
          <w:sz w:val="20"/>
          <w:szCs w:val="20"/>
          <w:highlight w:val="none"/>
        </w:rPr>
        <w:t>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”规定项数；</w:t>
      </w:r>
    </w:p>
    <w:p w14:paraId="0267A97E">
      <w:pPr>
        <w:spacing w:before="161" w:line="228" w:lineRule="auto"/>
        <w:ind w:left="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11）虚假竞标，或者出现其他情形而导致被磋商小组认定无效；</w:t>
      </w:r>
    </w:p>
    <w:p w14:paraId="5557AC17">
      <w:pPr>
        <w:spacing w:before="162" w:line="228" w:lineRule="auto"/>
        <w:jc w:val="right"/>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12）竞标技术方案不明确，磋商文件未允许但响应文件中存在一个或者一个以上备选（替代）</w:t>
      </w:r>
    </w:p>
    <w:p w14:paraId="7B1D82FF">
      <w:pPr>
        <w:spacing w:line="228" w:lineRule="auto"/>
        <w:rPr>
          <w:rFonts w:ascii="宋体" w:hAnsi="宋体" w:eastAsia="宋体" w:cs="宋体"/>
          <w:color w:val="auto"/>
          <w:sz w:val="20"/>
          <w:szCs w:val="20"/>
          <w:highlight w:val="none"/>
        </w:rPr>
        <w:sectPr>
          <w:footerReference r:id="rId37" w:type="default"/>
          <w:pgSz w:w="11905" w:h="16839"/>
          <w:pgMar w:top="400" w:right="1502" w:bottom="1079" w:left="1593" w:header="0" w:footer="843" w:gutter="0"/>
          <w:cols w:space="720" w:num="1"/>
        </w:sectPr>
      </w:pPr>
    </w:p>
    <w:p w14:paraId="661691C8">
      <w:pPr>
        <w:pStyle w:val="2"/>
        <w:spacing w:line="348" w:lineRule="auto"/>
        <w:rPr>
          <w:color w:val="auto"/>
          <w:highlight w:val="none"/>
        </w:rPr>
      </w:pPr>
    </w:p>
    <w:p w14:paraId="5C24927A">
      <w:pPr>
        <w:pStyle w:val="2"/>
        <w:spacing w:line="348" w:lineRule="auto"/>
        <w:rPr>
          <w:color w:val="auto"/>
          <w:highlight w:val="none"/>
        </w:rPr>
      </w:pPr>
    </w:p>
    <w:p w14:paraId="70CDD0D4">
      <w:pPr>
        <w:spacing w:before="65" w:line="229" w:lineRule="auto"/>
        <w:ind w:left="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竞标方案；</w:t>
      </w:r>
    </w:p>
    <w:p w14:paraId="310A7470">
      <w:pPr>
        <w:spacing w:before="159" w:line="303" w:lineRule="auto"/>
        <w:ind w:left="5" w:right="71" w:firstLine="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13）响应文件标注的项目名称或者项目编号与竞争性磋商文件标注的项目名称或者项</w:t>
      </w:r>
      <w:r>
        <w:rPr>
          <w:rFonts w:ascii="宋体" w:hAnsi="宋体" w:eastAsia="宋体" w:cs="宋体"/>
          <w:color w:val="auto"/>
          <w:spacing w:val="6"/>
          <w:sz w:val="20"/>
          <w:szCs w:val="20"/>
          <w:highlight w:val="none"/>
        </w:rPr>
        <w:t>目编号</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不一致的；</w:t>
      </w:r>
    </w:p>
    <w:p w14:paraId="7490E2FB">
      <w:pPr>
        <w:spacing w:before="160" w:line="228" w:lineRule="auto"/>
        <w:ind w:left="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14）未响应磋商文件实质性要求；</w:t>
      </w:r>
    </w:p>
    <w:p w14:paraId="1EEF7AE5">
      <w:pPr>
        <w:spacing w:before="163" w:line="228" w:lineRule="auto"/>
        <w:ind w:left="43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15）法律、法规和磋商文件规定的其他无效情形。</w:t>
      </w:r>
    </w:p>
    <w:p w14:paraId="36654558">
      <w:pPr>
        <w:spacing w:before="160" w:line="227"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（2）报价评审</w:t>
      </w:r>
    </w:p>
    <w:p w14:paraId="36918D26">
      <w:pPr>
        <w:spacing w:before="161" w:line="303" w:lineRule="auto"/>
        <w:ind w:left="1" w:right="70" w:firstLine="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 响应文件未提供“供应商须知前附表</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w:t>
      </w:r>
      <w:r>
        <w:rPr>
          <w:rFonts w:ascii="宋体" w:hAnsi="宋体" w:eastAsia="宋体" w:cs="宋体"/>
          <w:color w:val="auto"/>
          <w:spacing w:val="-28"/>
          <w:sz w:val="20"/>
          <w:szCs w:val="20"/>
          <w:highlight w:val="none"/>
        </w:rPr>
        <w:t xml:space="preserve"> </w:t>
      </w:r>
      <w:r>
        <w:rPr>
          <w:rFonts w:ascii="宋体" w:hAnsi="宋体" w:eastAsia="宋体" w:cs="宋体"/>
          <w:color w:val="auto"/>
          <w:spacing w:val="7"/>
          <w:sz w:val="20"/>
          <w:szCs w:val="20"/>
          <w:highlight w:val="none"/>
        </w:rPr>
        <w:t>报价文件中规定的“响应报价表、已</w:t>
      </w:r>
      <w:r>
        <w:rPr>
          <w:rFonts w:ascii="宋体" w:hAnsi="宋体" w:eastAsia="宋体" w:cs="宋体"/>
          <w:color w:val="auto"/>
          <w:spacing w:val="6"/>
          <w:sz w:val="20"/>
          <w:szCs w:val="20"/>
          <w:highlight w:val="none"/>
        </w:rPr>
        <w:t>标价工程量</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清单</w:t>
      </w:r>
      <w:r>
        <w:rPr>
          <w:rFonts w:ascii="宋体" w:hAnsi="宋体" w:eastAsia="宋体" w:cs="宋体"/>
          <w:color w:val="auto"/>
          <w:spacing w:val="-68"/>
          <w:sz w:val="20"/>
          <w:szCs w:val="20"/>
          <w:highlight w:val="none"/>
        </w:rPr>
        <w:t xml:space="preserve"> </w:t>
      </w:r>
      <w:r>
        <w:rPr>
          <w:rFonts w:ascii="宋体" w:hAnsi="宋体" w:eastAsia="宋体" w:cs="宋体"/>
          <w:color w:val="auto"/>
          <w:spacing w:val="4"/>
          <w:sz w:val="20"/>
          <w:szCs w:val="20"/>
          <w:highlight w:val="none"/>
        </w:rPr>
        <w:t>”；</w:t>
      </w:r>
    </w:p>
    <w:p w14:paraId="498685E6">
      <w:pPr>
        <w:spacing w:before="164" w:line="327" w:lineRule="auto"/>
        <w:ind w:left="1" w:right="70" w:firstLine="422"/>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2）未采用人民币报价或者未按照谈判文件标明的币种报价；供应商已标价</w:t>
      </w:r>
      <w:r>
        <w:rPr>
          <w:rFonts w:ascii="宋体" w:hAnsi="宋体" w:eastAsia="宋体" w:cs="宋体"/>
          <w:b/>
          <w:bCs/>
          <w:color w:val="auto"/>
          <w:spacing w:val="7"/>
          <w:sz w:val="20"/>
          <w:szCs w:val="20"/>
          <w:highlight w:val="none"/>
        </w:rPr>
        <w:t>工程量清单（包</w:t>
      </w:r>
      <w:r>
        <w:rPr>
          <w:rFonts w:ascii="宋体" w:hAnsi="宋体" w:eastAsia="宋体" w:cs="宋体"/>
          <w:color w:val="auto"/>
          <w:sz w:val="20"/>
          <w:szCs w:val="20"/>
          <w:highlight w:val="none"/>
        </w:rPr>
        <w:t xml:space="preserve"> </w:t>
      </w:r>
      <w:r>
        <w:rPr>
          <w:rFonts w:ascii="宋体" w:hAnsi="宋体" w:eastAsia="宋体" w:cs="宋体"/>
          <w:b/>
          <w:bCs/>
          <w:color w:val="auto"/>
          <w:spacing w:val="10"/>
          <w:sz w:val="20"/>
          <w:szCs w:val="20"/>
          <w:highlight w:val="none"/>
        </w:rPr>
        <w:t>含首次报价、最后报价）</w:t>
      </w:r>
      <w:r>
        <w:rPr>
          <w:rFonts w:ascii="宋体" w:hAnsi="宋体" w:eastAsia="宋体" w:cs="宋体"/>
          <w:color w:val="auto"/>
          <w:spacing w:val="-59"/>
          <w:sz w:val="20"/>
          <w:szCs w:val="20"/>
          <w:highlight w:val="none"/>
        </w:rPr>
        <w:t xml:space="preserve"> </w:t>
      </w:r>
      <w:r>
        <w:rPr>
          <w:rFonts w:ascii="宋体" w:hAnsi="宋体" w:eastAsia="宋体" w:cs="宋体"/>
          <w:b/>
          <w:bCs/>
          <w:color w:val="auto"/>
          <w:spacing w:val="10"/>
          <w:sz w:val="20"/>
          <w:szCs w:val="20"/>
          <w:highlight w:val="none"/>
        </w:rPr>
        <w:t>的项目编码、项目名称及项</w:t>
      </w:r>
      <w:r>
        <w:rPr>
          <w:rFonts w:ascii="宋体" w:hAnsi="宋体" w:eastAsia="宋体" w:cs="宋体"/>
          <w:b/>
          <w:bCs/>
          <w:color w:val="auto"/>
          <w:spacing w:val="9"/>
          <w:sz w:val="20"/>
          <w:szCs w:val="20"/>
          <w:highlight w:val="none"/>
        </w:rPr>
        <w:t>目特征描述、计量单位、工程量任何一处</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与招标工程量清单不一致的；</w:t>
      </w:r>
    </w:p>
    <w:p w14:paraId="26758880">
      <w:pPr>
        <w:spacing w:before="160" w:line="340" w:lineRule="auto"/>
        <w:ind w:right="70" w:firstLine="425"/>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3）供应商在进行工程量清单报价（包含首次报价、最后报价）时，应</w:t>
      </w:r>
      <w:r>
        <w:rPr>
          <w:rFonts w:ascii="宋体" w:hAnsi="宋体" w:eastAsia="宋体" w:cs="宋体"/>
          <w:b/>
          <w:bCs/>
          <w:color w:val="auto"/>
          <w:spacing w:val="7"/>
          <w:sz w:val="20"/>
          <w:szCs w:val="20"/>
          <w:highlight w:val="none"/>
        </w:rPr>
        <w:t>按照采购人提供的工</w:t>
      </w:r>
      <w:r>
        <w:rPr>
          <w:rFonts w:ascii="宋体" w:hAnsi="宋体" w:eastAsia="宋体" w:cs="宋体"/>
          <w:color w:val="auto"/>
          <w:sz w:val="20"/>
          <w:szCs w:val="20"/>
          <w:highlight w:val="none"/>
        </w:rPr>
        <w:t xml:space="preserve"> </w:t>
      </w:r>
      <w:r>
        <w:rPr>
          <w:rFonts w:ascii="宋体" w:hAnsi="宋体" w:eastAsia="宋体" w:cs="宋体"/>
          <w:b/>
          <w:bCs/>
          <w:color w:val="auto"/>
          <w:spacing w:val="11"/>
          <w:sz w:val="20"/>
          <w:szCs w:val="20"/>
          <w:highlight w:val="none"/>
        </w:rPr>
        <w:t>程量清单进行报价。供应商对自己所填写的项目编码、</w:t>
      </w:r>
      <w:r>
        <w:rPr>
          <w:rFonts w:ascii="宋体" w:hAnsi="宋体" w:eastAsia="宋体" w:cs="宋体"/>
          <w:b/>
          <w:bCs/>
          <w:color w:val="auto"/>
          <w:spacing w:val="10"/>
          <w:sz w:val="20"/>
          <w:szCs w:val="20"/>
          <w:highlight w:val="none"/>
        </w:rPr>
        <w:t>项目名称及项目特征描述、计量单位、</w:t>
      </w:r>
      <w:r>
        <w:rPr>
          <w:rFonts w:ascii="宋体" w:hAnsi="宋体" w:eastAsia="宋体" w:cs="宋体"/>
          <w:color w:val="auto"/>
          <w:sz w:val="20"/>
          <w:szCs w:val="20"/>
          <w:highlight w:val="none"/>
        </w:rPr>
        <w:t xml:space="preserve"> </w:t>
      </w:r>
      <w:r>
        <w:rPr>
          <w:rFonts w:ascii="宋体" w:hAnsi="宋体" w:eastAsia="宋体" w:cs="宋体"/>
          <w:b/>
          <w:bCs/>
          <w:color w:val="auto"/>
          <w:spacing w:val="11"/>
          <w:sz w:val="20"/>
          <w:szCs w:val="20"/>
          <w:highlight w:val="none"/>
        </w:rPr>
        <w:t>工程量负责。如项目编码、项目名称及项目特征描述、</w:t>
      </w:r>
      <w:r>
        <w:rPr>
          <w:rFonts w:ascii="宋体" w:hAnsi="宋体" w:eastAsia="宋体" w:cs="宋体"/>
          <w:b/>
          <w:bCs/>
          <w:color w:val="auto"/>
          <w:spacing w:val="10"/>
          <w:sz w:val="20"/>
          <w:szCs w:val="20"/>
          <w:highlight w:val="none"/>
        </w:rPr>
        <w:t>计量单位、工程量任何一处与招标工程</w:t>
      </w:r>
      <w:r>
        <w:rPr>
          <w:rFonts w:ascii="宋体" w:hAnsi="宋体" w:eastAsia="宋体" w:cs="宋体"/>
          <w:color w:val="auto"/>
          <w:sz w:val="20"/>
          <w:szCs w:val="20"/>
          <w:highlight w:val="none"/>
        </w:rPr>
        <w:t xml:space="preserve"> </w:t>
      </w:r>
      <w:r>
        <w:rPr>
          <w:rFonts w:ascii="宋体" w:hAnsi="宋体" w:eastAsia="宋体" w:cs="宋体"/>
          <w:b/>
          <w:bCs/>
          <w:color w:val="auto"/>
          <w:spacing w:val="8"/>
          <w:sz w:val="20"/>
          <w:szCs w:val="20"/>
          <w:highlight w:val="none"/>
        </w:rPr>
        <w:t>量清单不一致的，视为不响应竞争性磋商文件实质性内容，将作无效标处理；</w:t>
      </w:r>
    </w:p>
    <w:p w14:paraId="7AB0844B">
      <w:pPr>
        <w:spacing w:before="160" w:line="302" w:lineRule="auto"/>
        <w:ind w:left="3" w:right="71"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4）供应商未就所竞标分标的全部内容作唯一总价报价；供应商响应文件中存在有选择、有</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条件报价的（磋商文件允许有备选方案或者其他约定的除外</w:t>
      </w:r>
      <w:r>
        <w:rPr>
          <w:rFonts w:ascii="宋体" w:hAnsi="宋体" w:eastAsia="宋体" w:cs="宋体"/>
          <w:color w:val="auto"/>
          <w:spacing w:val="6"/>
          <w:sz w:val="20"/>
          <w:szCs w:val="20"/>
          <w:highlight w:val="none"/>
        </w:rPr>
        <w:t>）；</w:t>
      </w:r>
    </w:p>
    <w:p w14:paraId="0DC1DE1F">
      <w:pPr>
        <w:spacing w:before="164" w:line="327" w:lineRule="auto"/>
        <w:ind w:left="2"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5）供应商未就所竞标分标进行报价或者存在漏项报价；供应商未就所竞标分标</w:t>
      </w:r>
      <w:r>
        <w:rPr>
          <w:rFonts w:ascii="宋体" w:hAnsi="宋体" w:eastAsia="宋体" w:cs="宋体"/>
          <w:color w:val="auto"/>
          <w:spacing w:val="9"/>
          <w:sz w:val="20"/>
          <w:szCs w:val="20"/>
          <w:highlight w:val="none"/>
        </w:rPr>
        <w:t>的单项内容</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作唯一报价；供应商未就所竞标分标的全部内容作唯一总价报价；供应商响应文件中存在有选择、</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有条件报价的（磋商文件允许有备选方案或者其他约定的除外</w:t>
      </w:r>
      <w:r>
        <w:rPr>
          <w:rFonts w:ascii="宋体" w:hAnsi="宋体" w:eastAsia="宋体" w:cs="宋体"/>
          <w:color w:val="auto"/>
          <w:spacing w:val="7"/>
          <w:sz w:val="20"/>
          <w:szCs w:val="20"/>
          <w:highlight w:val="none"/>
        </w:rPr>
        <w:t>）；</w:t>
      </w:r>
    </w:p>
    <w:p w14:paraId="445A140B">
      <w:pPr>
        <w:spacing w:before="164" w:line="327" w:lineRule="auto"/>
        <w:ind w:right="68"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6）响应报价（包含首次报价、最后报价）超过所竞标分标规定的采购预算金额或者</w:t>
      </w:r>
      <w:r>
        <w:rPr>
          <w:rFonts w:ascii="宋体" w:hAnsi="宋体" w:eastAsia="宋体" w:cs="宋体"/>
          <w:color w:val="auto"/>
          <w:spacing w:val="9"/>
          <w:sz w:val="20"/>
          <w:szCs w:val="20"/>
          <w:highlight w:val="none"/>
        </w:rPr>
        <w:t>最高限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价的（如本项目公布了最高限价</w:t>
      </w:r>
      <w:r>
        <w:rPr>
          <w:rFonts w:ascii="宋体" w:hAnsi="宋体" w:eastAsia="宋体" w:cs="宋体"/>
          <w:color w:val="auto"/>
          <w:spacing w:val="5"/>
          <w:sz w:val="20"/>
          <w:szCs w:val="20"/>
          <w:highlight w:val="none"/>
        </w:rPr>
        <w:t>）；</w:t>
      </w:r>
      <w:r>
        <w:rPr>
          <w:rFonts w:ascii="宋体" w:hAnsi="宋体" w:eastAsia="宋体" w:cs="宋体"/>
          <w:color w:val="auto"/>
          <w:spacing w:val="8"/>
          <w:sz w:val="20"/>
          <w:szCs w:val="20"/>
          <w:highlight w:val="none"/>
        </w:rPr>
        <w:t>响应报价（包含首次报价、最后报价）超过</w:t>
      </w:r>
      <w:r>
        <w:rPr>
          <w:rFonts w:ascii="宋体" w:hAnsi="宋体" w:eastAsia="宋体" w:cs="宋体"/>
          <w:color w:val="auto"/>
          <w:spacing w:val="7"/>
          <w:sz w:val="20"/>
          <w:szCs w:val="20"/>
          <w:highlight w:val="none"/>
        </w:rPr>
        <w:t>磋商文件分项采</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购预算金额或者最高限价的（如本项目公布了最高限价</w:t>
      </w:r>
      <w:r>
        <w:rPr>
          <w:rFonts w:ascii="宋体" w:hAnsi="宋体" w:eastAsia="宋体" w:cs="宋体"/>
          <w:color w:val="auto"/>
          <w:spacing w:val="7"/>
          <w:sz w:val="20"/>
          <w:szCs w:val="20"/>
          <w:highlight w:val="none"/>
        </w:rPr>
        <w:t>）；</w:t>
      </w:r>
    </w:p>
    <w:p w14:paraId="1744E73D">
      <w:pPr>
        <w:spacing w:before="163" w:line="339" w:lineRule="auto"/>
        <w:ind w:left="3"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7）修正后的报价，供应商不确认的；或者</w:t>
      </w:r>
      <w:r>
        <w:rPr>
          <w:rFonts w:ascii="宋体" w:hAnsi="宋体" w:eastAsia="宋体" w:cs="宋体"/>
          <w:color w:val="auto"/>
          <w:spacing w:val="6"/>
          <w:sz w:val="20"/>
          <w:szCs w:val="20"/>
          <w:highlight w:val="none"/>
        </w:rPr>
        <w:t>经供应商确认修正后的响应报价（包含首次报价、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最后报价）超过所竞标分标规定的采购预算金额或者最高限价（如本项目公布了最高限价</w:t>
      </w:r>
      <w:r>
        <w:rPr>
          <w:rFonts w:ascii="宋体" w:hAnsi="宋体" w:eastAsia="宋体" w:cs="宋体"/>
          <w:color w:val="auto"/>
          <w:sz w:val="20"/>
          <w:szCs w:val="20"/>
          <w:highlight w:val="none"/>
        </w:rPr>
        <w:t>）；</w:t>
      </w:r>
      <w:r>
        <w:rPr>
          <w:rFonts w:ascii="宋体" w:hAnsi="宋体" w:eastAsia="宋体" w:cs="宋体"/>
          <w:color w:val="auto"/>
          <w:spacing w:val="8"/>
          <w:sz w:val="20"/>
          <w:szCs w:val="20"/>
          <w:highlight w:val="none"/>
        </w:rPr>
        <w:t>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者经供应商确认修正后响应报价（包含首次报价、最后报价</w:t>
      </w:r>
      <w:r>
        <w:rPr>
          <w:rFonts w:ascii="宋体" w:hAnsi="宋体" w:eastAsia="宋体" w:cs="宋体"/>
          <w:color w:val="auto"/>
          <w:spacing w:val="7"/>
          <w:sz w:val="20"/>
          <w:szCs w:val="20"/>
          <w:highlight w:val="none"/>
        </w:rPr>
        <w:t>）超过磋商文件分项采购预算金额或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者最高限价的（如本项目公布了最高限价）。</w:t>
      </w:r>
    </w:p>
    <w:p w14:paraId="7F4E96E5">
      <w:pPr>
        <w:spacing w:before="161" w:line="228" w:lineRule="auto"/>
        <w:ind w:left="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8）响应文件响应的标的数量及单位与竞争性磋商采购文件要求实质性不一致的。</w:t>
      </w:r>
    </w:p>
    <w:p w14:paraId="52816697">
      <w:pPr>
        <w:spacing w:before="164" w:line="327" w:lineRule="auto"/>
        <w:ind w:left="3" w:right="68" w:firstLine="4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3.6</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磋商小组对响应文件进行评审，未实质性响应磋商文件的响应文件按无效处理，磋商小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组应当将资格和符合性不通过的情况告知有关供应商。</w:t>
      </w:r>
      <w:r>
        <w:rPr>
          <w:rFonts w:ascii="宋体" w:hAnsi="宋体" w:eastAsia="宋体" w:cs="宋体"/>
          <w:color w:val="auto"/>
          <w:spacing w:val="7"/>
          <w:sz w:val="20"/>
          <w:szCs w:val="20"/>
          <w:highlight w:val="none"/>
        </w:rPr>
        <w:t>磋商小组从符合磋商文件规定的相应资格</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条件的供应商名单中确定不少于</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家的供应商参加磋</w:t>
      </w:r>
      <w:r>
        <w:rPr>
          <w:rFonts w:ascii="宋体" w:hAnsi="宋体" w:eastAsia="宋体" w:cs="宋体"/>
          <w:color w:val="auto"/>
          <w:spacing w:val="7"/>
          <w:sz w:val="20"/>
          <w:szCs w:val="20"/>
          <w:highlight w:val="none"/>
        </w:rPr>
        <w:t>商。</w:t>
      </w:r>
    </w:p>
    <w:p w14:paraId="2F4A7B49">
      <w:pPr>
        <w:spacing w:before="161" w:line="340" w:lineRule="auto"/>
        <w:ind w:right="68"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3.7</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非政府购买服务项目，通过符合性审</w:t>
      </w:r>
      <w:r>
        <w:rPr>
          <w:rFonts w:ascii="宋体" w:hAnsi="宋体" w:eastAsia="宋体" w:cs="宋体"/>
          <w:color w:val="auto"/>
          <w:spacing w:val="7"/>
          <w:sz w:val="20"/>
          <w:szCs w:val="20"/>
          <w:highlight w:val="none"/>
        </w:rPr>
        <w:t>查的合格供应商不足</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家的，不得进入磋商环节，</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采购人或者采购代理机构应当重新开展采购活动。政府购买服务项</w:t>
      </w:r>
      <w:r>
        <w:rPr>
          <w:rFonts w:ascii="宋体" w:hAnsi="宋体" w:eastAsia="宋体" w:cs="宋体"/>
          <w:color w:val="auto"/>
          <w:spacing w:val="7"/>
          <w:sz w:val="20"/>
          <w:szCs w:val="20"/>
          <w:highlight w:val="none"/>
        </w:rPr>
        <w:t>目，按《财政部关于政府采购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竞争性磋商采购方式管理暂行办法有关问题的补充通知》（财库〔2015〕124</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号）规定，采</w:t>
      </w:r>
      <w:r>
        <w:rPr>
          <w:rFonts w:ascii="宋体" w:hAnsi="宋体" w:eastAsia="宋体" w:cs="宋体"/>
          <w:color w:val="auto"/>
          <w:spacing w:val="7"/>
          <w:sz w:val="20"/>
          <w:szCs w:val="20"/>
          <w:highlight w:val="none"/>
        </w:rPr>
        <w:t>购过</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程中通过符合性审查的供应商（社会资本）只有</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2</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家的，磋商采购</w:t>
      </w:r>
      <w:r>
        <w:rPr>
          <w:rFonts w:ascii="宋体" w:hAnsi="宋体" w:eastAsia="宋体" w:cs="宋体"/>
          <w:color w:val="auto"/>
          <w:spacing w:val="8"/>
          <w:sz w:val="20"/>
          <w:szCs w:val="20"/>
          <w:highlight w:val="none"/>
        </w:rPr>
        <w:t>活动可以继续进行。</w:t>
      </w:r>
    </w:p>
    <w:p w14:paraId="254D4157">
      <w:pPr>
        <w:spacing w:line="340" w:lineRule="auto"/>
        <w:rPr>
          <w:rFonts w:ascii="宋体" w:hAnsi="宋体" w:eastAsia="宋体" w:cs="宋体"/>
          <w:color w:val="auto"/>
          <w:sz w:val="20"/>
          <w:szCs w:val="20"/>
          <w:highlight w:val="none"/>
        </w:rPr>
        <w:sectPr>
          <w:footerReference r:id="rId38" w:type="default"/>
          <w:pgSz w:w="11905" w:h="16839"/>
          <w:pgMar w:top="400" w:right="1518" w:bottom="1079" w:left="1592" w:header="0" w:footer="843" w:gutter="0"/>
          <w:cols w:space="720" w:num="1"/>
        </w:sectPr>
      </w:pPr>
    </w:p>
    <w:p w14:paraId="6606EB49">
      <w:pPr>
        <w:pStyle w:val="2"/>
        <w:spacing w:line="343" w:lineRule="auto"/>
        <w:rPr>
          <w:color w:val="auto"/>
          <w:highlight w:val="none"/>
        </w:rPr>
      </w:pPr>
    </w:p>
    <w:p w14:paraId="5438914F">
      <w:pPr>
        <w:pStyle w:val="2"/>
        <w:spacing w:line="344" w:lineRule="auto"/>
        <w:rPr>
          <w:color w:val="auto"/>
          <w:highlight w:val="none"/>
        </w:rPr>
      </w:pPr>
    </w:p>
    <w:p w14:paraId="5E5DF55B">
      <w:pPr>
        <w:spacing w:before="78" w:line="221" w:lineRule="auto"/>
        <w:ind w:left="42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4.磋商程序</w:t>
      </w:r>
    </w:p>
    <w:p w14:paraId="424345E2">
      <w:pPr>
        <w:spacing w:before="174" w:line="341" w:lineRule="auto"/>
        <w:ind w:left="5" w:right="2" w:firstLine="41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4.1</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磋商小组按照“供应商须知前附表</w:t>
      </w:r>
      <w:r>
        <w:rPr>
          <w:rFonts w:ascii="宋体" w:hAnsi="宋体" w:eastAsia="宋体" w:cs="宋体"/>
          <w:color w:val="auto"/>
          <w:spacing w:val="-68"/>
          <w:sz w:val="20"/>
          <w:szCs w:val="20"/>
          <w:highlight w:val="none"/>
        </w:rPr>
        <w:t xml:space="preserve"> </w:t>
      </w:r>
      <w:r>
        <w:rPr>
          <w:rFonts w:ascii="宋体" w:hAnsi="宋体" w:eastAsia="宋体" w:cs="宋体"/>
          <w:color w:val="auto"/>
          <w:spacing w:val="10"/>
          <w:sz w:val="20"/>
          <w:szCs w:val="20"/>
          <w:highlight w:val="none"/>
        </w:rPr>
        <w:t>” 确定的顺序，集中与单一供应商分别进行磋商，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并给予所有参加磋商的供应商平等的磋商机会。符合</w:t>
      </w:r>
      <w:r>
        <w:rPr>
          <w:rFonts w:ascii="宋体" w:hAnsi="宋体" w:eastAsia="宋体" w:cs="宋体"/>
          <w:color w:val="auto"/>
          <w:spacing w:val="7"/>
          <w:sz w:val="20"/>
          <w:szCs w:val="20"/>
          <w:highlight w:val="none"/>
        </w:rPr>
        <w:t>磋商资格的供应商必须在接到磋商通知后规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定时间内参加磋商，未在规定时间内参加磋商的</w:t>
      </w:r>
      <w:r>
        <w:rPr>
          <w:rFonts w:ascii="宋体" w:hAnsi="宋体" w:eastAsia="宋体" w:cs="宋体"/>
          <w:color w:val="auto"/>
          <w:spacing w:val="7"/>
          <w:sz w:val="20"/>
          <w:szCs w:val="20"/>
          <w:highlight w:val="none"/>
        </w:rPr>
        <w:t>视同放弃参加磋商权利，其响应文件按无效响应</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处理。</w:t>
      </w:r>
    </w:p>
    <w:p w14:paraId="56F3F177">
      <w:pPr>
        <w:spacing w:before="155" w:line="327" w:lineRule="auto"/>
        <w:ind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4.2</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在磋商过程中，磋商小组可以根据磋商文件和磋商情况实质性变动采购需求中的技术、</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服务要求以及合同草案条款，但不得变动磋商文件中的其</w:t>
      </w:r>
      <w:r>
        <w:rPr>
          <w:rFonts w:ascii="宋体" w:hAnsi="宋体" w:eastAsia="宋体" w:cs="宋体"/>
          <w:color w:val="auto"/>
          <w:spacing w:val="7"/>
          <w:sz w:val="20"/>
          <w:szCs w:val="20"/>
          <w:highlight w:val="none"/>
        </w:rPr>
        <w:t>他内容。实质性变动的内容，须经采购</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人代表确认。可能实质性变动的内容为采购需求中的技术、服务要求以及合同草案条款。</w:t>
      </w:r>
    </w:p>
    <w:p w14:paraId="30C0557D">
      <w:pPr>
        <w:spacing w:before="164" w:line="302" w:lineRule="auto"/>
        <w:ind w:left="14" w:right="4" w:firstLine="40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4.3</w:t>
      </w:r>
      <w:r>
        <w:rPr>
          <w:rFonts w:ascii="宋体" w:hAnsi="宋体" w:eastAsia="宋体" w:cs="宋体"/>
          <w:color w:val="auto"/>
          <w:spacing w:val="-28"/>
          <w:sz w:val="20"/>
          <w:szCs w:val="20"/>
          <w:highlight w:val="none"/>
        </w:rPr>
        <w:t xml:space="preserve"> </w:t>
      </w:r>
      <w:r>
        <w:rPr>
          <w:rFonts w:ascii="宋体" w:hAnsi="宋体" w:eastAsia="宋体" w:cs="宋体"/>
          <w:color w:val="auto"/>
          <w:spacing w:val="8"/>
          <w:sz w:val="20"/>
          <w:szCs w:val="20"/>
          <w:highlight w:val="none"/>
        </w:rPr>
        <w:t>对磋商文件作出的实质性变动是磋商文件的有效组成部分，由磋商小组及时以电子澄清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函形式同时通知所有参加磋商的供应商。</w:t>
      </w:r>
    </w:p>
    <w:p w14:paraId="3B172F85">
      <w:pPr>
        <w:spacing w:before="161" w:line="328" w:lineRule="auto"/>
        <w:ind w:right="2" w:firstLine="420"/>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4.4</w:t>
      </w:r>
      <w:r>
        <w:rPr>
          <w:rFonts w:ascii="宋体" w:hAnsi="宋体" w:eastAsia="宋体" w:cs="宋体"/>
          <w:color w:val="auto"/>
          <w:spacing w:val="-20"/>
          <w:sz w:val="20"/>
          <w:szCs w:val="20"/>
          <w:highlight w:val="none"/>
        </w:rPr>
        <w:t xml:space="preserve"> </w:t>
      </w:r>
      <w:r>
        <w:rPr>
          <w:rFonts w:ascii="宋体" w:hAnsi="宋体" w:eastAsia="宋体" w:cs="宋体"/>
          <w:color w:val="auto"/>
          <w:spacing w:val="13"/>
          <w:sz w:val="20"/>
          <w:szCs w:val="20"/>
          <w:highlight w:val="none"/>
        </w:rPr>
        <w:t>供应商必须按照磋商文件的变动情况和磋商小组的要求以回函的形式重新提交响应文</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件，并加盖电子公章。供应商为自然人的，必须由本人签字并附身</w:t>
      </w:r>
      <w:r>
        <w:rPr>
          <w:rFonts w:ascii="宋体" w:hAnsi="宋体" w:eastAsia="宋体" w:cs="宋体"/>
          <w:color w:val="auto"/>
          <w:spacing w:val="7"/>
          <w:sz w:val="20"/>
          <w:szCs w:val="20"/>
          <w:highlight w:val="none"/>
        </w:rPr>
        <w:t>份证明。参加磋商的供应商未</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在规定时间内重新提交响应文件的，视同退出磋商。</w:t>
      </w:r>
    </w:p>
    <w:p w14:paraId="79080646">
      <w:pPr>
        <w:spacing w:before="160" w:line="227" w:lineRule="auto"/>
        <w:jc w:val="right"/>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4.5</w:t>
      </w:r>
      <w:r>
        <w:rPr>
          <w:rFonts w:ascii="宋体" w:hAnsi="宋体" w:eastAsia="宋体" w:cs="宋体"/>
          <w:color w:val="auto"/>
          <w:spacing w:val="-41"/>
          <w:sz w:val="20"/>
          <w:szCs w:val="20"/>
          <w:highlight w:val="none"/>
        </w:rPr>
        <w:t xml:space="preserve"> </w:t>
      </w:r>
      <w:r>
        <w:rPr>
          <w:rFonts w:ascii="宋体" w:hAnsi="宋体" w:eastAsia="宋体" w:cs="宋体"/>
          <w:color w:val="auto"/>
          <w:spacing w:val="-1"/>
          <w:sz w:val="20"/>
          <w:szCs w:val="20"/>
          <w:highlight w:val="none"/>
        </w:rPr>
        <w:t>磋商中，磋商的任何一方不得透露与磋商有关的其他供应商的技术</w:t>
      </w:r>
      <w:r>
        <w:rPr>
          <w:rFonts w:ascii="宋体" w:hAnsi="宋体" w:eastAsia="宋体" w:cs="宋体"/>
          <w:color w:val="auto"/>
          <w:spacing w:val="-2"/>
          <w:sz w:val="20"/>
          <w:szCs w:val="20"/>
          <w:highlight w:val="none"/>
        </w:rPr>
        <w:t>资料、价格和其他信息。</w:t>
      </w:r>
    </w:p>
    <w:p w14:paraId="4444BCFD">
      <w:pPr>
        <w:spacing w:before="162" w:line="303" w:lineRule="auto"/>
        <w:ind w:left="1" w:right="4" w:firstLine="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4.6</w:t>
      </w:r>
      <w:r>
        <w:rPr>
          <w:rFonts w:ascii="宋体" w:hAnsi="宋体" w:eastAsia="宋体" w:cs="宋体"/>
          <w:color w:val="auto"/>
          <w:spacing w:val="-28"/>
          <w:sz w:val="20"/>
          <w:szCs w:val="20"/>
          <w:highlight w:val="none"/>
        </w:rPr>
        <w:t xml:space="preserve"> </w:t>
      </w:r>
      <w:r>
        <w:rPr>
          <w:rFonts w:ascii="宋体" w:hAnsi="宋体" w:eastAsia="宋体" w:cs="宋体"/>
          <w:color w:val="auto"/>
          <w:spacing w:val="8"/>
          <w:sz w:val="20"/>
          <w:szCs w:val="20"/>
          <w:highlight w:val="none"/>
        </w:rPr>
        <w:t>磋商小组应对磋商过程和重要磋商内容进行记录，作为评标报告一部分，磋商小组在记</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录上签字确认。</w:t>
      </w:r>
      <w:r>
        <w:rPr>
          <w:rFonts w:ascii="宋体" w:hAnsi="宋体" w:eastAsia="宋体" w:cs="宋体"/>
          <w:b/>
          <w:bCs/>
          <w:color w:val="auto"/>
          <w:spacing w:val="7"/>
          <w:sz w:val="20"/>
          <w:szCs w:val="20"/>
          <w:highlight w:val="none"/>
        </w:rPr>
        <w:t>主要内容包括：</w:t>
      </w:r>
    </w:p>
    <w:p w14:paraId="5000DEDF">
      <w:pPr>
        <w:spacing w:before="161" w:line="228" w:lineRule="auto"/>
        <w:ind w:left="40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（1）按照相关规定进行公示的，公示情况说明；</w:t>
      </w:r>
    </w:p>
    <w:p w14:paraId="20CC0ACA">
      <w:pPr>
        <w:spacing w:before="163" w:line="229" w:lineRule="auto"/>
        <w:ind w:left="40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（2）磋商日期和地点，磋商人员名单；</w:t>
      </w:r>
    </w:p>
    <w:p w14:paraId="60018E0E">
      <w:pPr>
        <w:spacing w:before="159" w:line="227" w:lineRule="auto"/>
        <w:ind w:left="40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（3）合同主要条款及价格商定情况。</w:t>
      </w:r>
    </w:p>
    <w:p w14:paraId="52AF51C5">
      <w:pPr>
        <w:spacing w:before="162" w:line="228" w:lineRule="auto"/>
        <w:ind w:left="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4.7</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磋商过程中重新提交的响应文件，供应商可以在</w:t>
      </w:r>
      <w:r>
        <w:rPr>
          <w:rFonts w:ascii="宋体" w:hAnsi="宋体" w:eastAsia="宋体" w:cs="宋体"/>
          <w:color w:val="auto"/>
          <w:spacing w:val="8"/>
          <w:sz w:val="20"/>
          <w:szCs w:val="20"/>
          <w:highlight w:val="none"/>
        </w:rPr>
        <w:t>开启前补充、修改。</w:t>
      </w:r>
    </w:p>
    <w:p w14:paraId="0D4D617D">
      <w:pPr>
        <w:spacing w:before="162" w:line="303" w:lineRule="auto"/>
        <w:ind w:left="5" w:right="2" w:firstLine="41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4.8</w:t>
      </w:r>
      <w:r>
        <w:rPr>
          <w:rFonts w:ascii="宋体" w:hAnsi="宋体" w:eastAsia="宋体" w:cs="宋体"/>
          <w:color w:val="auto"/>
          <w:spacing w:val="-25"/>
          <w:sz w:val="20"/>
          <w:szCs w:val="20"/>
          <w:highlight w:val="none"/>
        </w:rPr>
        <w:t xml:space="preserve"> </w:t>
      </w:r>
      <w:r>
        <w:rPr>
          <w:rFonts w:ascii="宋体" w:hAnsi="宋体" w:eastAsia="宋体" w:cs="宋体"/>
          <w:color w:val="auto"/>
          <w:spacing w:val="8"/>
          <w:sz w:val="20"/>
          <w:szCs w:val="20"/>
          <w:highlight w:val="none"/>
        </w:rPr>
        <w:t>对磋商过程提交的响应文件进行有效性、完整性和响应程度审查，通过审查的合格供应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商不足</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家的，采购人或者采购代理机构应当重新开展采购活动。</w:t>
      </w:r>
    </w:p>
    <w:p w14:paraId="5178A5EF">
      <w:pPr>
        <w:spacing w:before="165" w:line="219" w:lineRule="auto"/>
        <w:ind w:left="42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5.最后报价</w:t>
      </w:r>
    </w:p>
    <w:p w14:paraId="2F4DF1C6">
      <w:pPr>
        <w:spacing w:before="176" w:line="328" w:lineRule="auto"/>
        <w:ind w:right="2" w:firstLine="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5.1</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磋商文件能够详细列明采购标的的技术、服务要求的，磋商结束后，由磋商小组要求所</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有继续参加磋商的供应商在规定时间内密封提交最后报价，除本章第</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5.3</w:t>
      </w:r>
      <w:r>
        <w:rPr>
          <w:rFonts w:ascii="宋体" w:hAnsi="宋体" w:eastAsia="宋体" w:cs="宋体"/>
          <w:color w:val="auto"/>
          <w:spacing w:val="-41"/>
          <w:sz w:val="20"/>
          <w:szCs w:val="20"/>
          <w:highlight w:val="none"/>
        </w:rPr>
        <w:t xml:space="preserve"> </w:t>
      </w:r>
      <w:r>
        <w:rPr>
          <w:rFonts w:ascii="宋体" w:hAnsi="宋体" w:eastAsia="宋体" w:cs="宋体"/>
          <w:color w:val="auto"/>
          <w:spacing w:val="7"/>
          <w:sz w:val="20"/>
          <w:szCs w:val="20"/>
          <w:highlight w:val="none"/>
        </w:rPr>
        <w:t>条外</w:t>
      </w:r>
      <w:r>
        <w:rPr>
          <w:rFonts w:ascii="宋体" w:hAnsi="宋体" w:eastAsia="宋体" w:cs="宋体"/>
          <w:color w:val="auto"/>
          <w:spacing w:val="6"/>
          <w:sz w:val="20"/>
          <w:szCs w:val="20"/>
          <w:highlight w:val="none"/>
        </w:rPr>
        <w:t>，提交最后报价的</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供应商不得少于</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家，否则必须重新采购。</w:t>
      </w:r>
    </w:p>
    <w:p w14:paraId="34C0F575">
      <w:pPr>
        <w:spacing w:before="163" w:line="327" w:lineRule="auto"/>
        <w:ind w:left="2" w:right="2" w:firstLine="42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5.2</w:t>
      </w:r>
      <w:r>
        <w:rPr>
          <w:rFonts w:ascii="宋体" w:hAnsi="宋体" w:eastAsia="宋体" w:cs="宋体"/>
          <w:color w:val="auto"/>
          <w:spacing w:val="-31"/>
          <w:sz w:val="20"/>
          <w:szCs w:val="20"/>
          <w:highlight w:val="none"/>
        </w:rPr>
        <w:t xml:space="preserve"> </w:t>
      </w:r>
      <w:r>
        <w:rPr>
          <w:rFonts w:ascii="宋体" w:hAnsi="宋体" w:eastAsia="宋体" w:cs="宋体"/>
          <w:color w:val="auto"/>
          <w:spacing w:val="8"/>
          <w:sz w:val="20"/>
          <w:szCs w:val="20"/>
          <w:highlight w:val="none"/>
        </w:rPr>
        <w:t>磋商文件不能详细列明采购标的的技术、服务要求，需经磋商由供应商提供最后设计方</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案或者解决方案的，磋商结束后，由磋商小组按照少数服从多数的原则投票推荐</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家</w:t>
      </w:r>
      <w:r>
        <w:rPr>
          <w:rFonts w:ascii="宋体" w:hAnsi="宋体" w:eastAsia="宋体" w:cs="宋体"/>
          <w:color w:val="auto"/>
          <w:spacing w:val="6"/>
          <w:sz w:val="20"/>
          <w:szCs w:val="20"/>
          <w:highlight w:val="none"/>
        </w:rPr>
        <w:t>以上供应商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的设计方案或者解决方案，并要求其在规定时间内密封提交最后报价。</w:t>
      </w:r>
    </w:p>
    <w:p w14:paraId="6C9BC383">
      <w:pPr>
        <w:spacing w:before="161" w:line="327" w:lineRule="auto"/>
        <w:ind w:left="7" w:right="2" w:firstLine="4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5.3 最后报价是供应商响应文件的有效组成部分。符合《政府采购竞争性磋商采购方式管理</w:t>
      </w:r>
      <w:r>
        <w:rPr>
          <w:rFonts w:ascii="宋体" w:hAnsi="宋体" w:eastAsia="宋体" w:cs="宋体"/>
          <w:color w:val="auto"/>
          <w:spacing w:val="3"/>
          <w:sz w:val="20"/>
          <w:szCs w:val="20"/>
          <w:highlight w:val="none"/>
        </w:rPr>
        <w:t xml:space="preserve"> </w:t>
      </w:r>
      <w:r>
        <w:rPr>
          <w:rFonts w:ascii="宋体" w:hAnsi="宋体" w:eastAsia="宋体" w:cs="宋体"/>
          <w:color w:val="auto"/>
          <w:spacing w:val="8"/>
          <w:sz w:val="20"/>
          <w:szCs w:val="20"/>
          <w:highlight w:val="none"/>
        </w:rPr>
        <w:t>暂行办法》（财库〔2014〕214</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号）第三条第四项“市场竞争不充分</w:t>
      </w:r>
      <w:r>
        <w:rPr>
          <w:rFonts w:ascii="宋体" w:hAnsi="宋体" w:eastAsia="宋体" w:cs="宋体"/>
          <w:color w:val="auto"/>
          <w:spacing w:val="7"/>
          <w:sz w:val="20"/>
          <w:szCs w:val="20"/>
          <w:highlight w:val="none"/>
        </w:rPr>
        <w:t>的科研项目，以及需要扶持</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的科技成果转化项目</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”的，提交最后报价的供应商可以为</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家。</w:t>
      </w:r>
    </w:p>
    <w:p w14:paraId="3F85F1F4">
      <w:pPr>
        <w:spacing w:before="163" w:line="302" w:lineRule="auto"/>
        <w:ind w:right="4"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5.4</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已经提交响应文件的供应商，在提交最后报价之前，</w:t>
      </w:r>
      <w:r>
        <w:rPr>
          <w:rFonts w:ascii="宋体" w:hAnsi="宋体" w:eastAsia="宋体" w:cs="宋体"/>
          <w:color w:val="auto"/>
          <w:spacing w:val="7"/>
          <w:sz w:val="20"/>
          <w:szCs w:val="20"/>
          <w:highlight w:val="none"/>
        </w:rPr>
        <w:t>可以根据磋商情况退出磋商，退出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磋商的供应商的响应文件按无效响应处理。</w:t>
      </w:r>
    </w:p>
    <w:p w14:paraId="192A00BC">
      <w:pPr>
        <w:spacing w:before="164" w:line="227"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5.5</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供应商未在规定时间内提交最后报价的，视同退出磋商。</w:t>
      </w:r>
    </w:p>
    <w:p w14:paraId="0E4B6716">
      <w:pPr>
        <w:spacing w:line="227" w:lineRule="auto"/>
        <w:rPr>
          <w:rFonts w:ascii="宋体" w:hAnsi="宋体" w:eastAsia="宋体" w:cs="宋体"/>
          <w:color w:val="auto"/>
          <w:sz w:val="20"/>
          <w:szCs w:val="20"/>
          <w:highlight w:val="none"/>
        </w:rPr>
        <w:sectPr>
          <w:footerReference r:id="rId39" w:type="default"/>
          <w:pgSz w:w="11905" w:h="16839"/>
          <w:pgMar w:top="400" w:right="1585" w:bottom="1079" w:left="1593" w:header="0" w:footer="843" w:gutter="0"/>
          <w:cols w:space="720" w:num="1"/>
        </w:sectPr>
      </w:pPr>
    </w:p>
    <w:p w14:paraId="0E4619DC">
      <w:pPr>
        <w:pStyle w:val="2"/>
        <w:spacing w:line="347" w:lineRule="auto"/>
        <w:rPr>
          <w:color w:val="auto"/>
          <w:highlight w:val="none"/>
        </w:rPr>
      </w:pPr>
    </w:p>
    <w:p w14:paraId="76A147A2">
      <w:pPr>
        <w:pStyle w:val="2"/>
        <w:spacing w:line="348" w:lineRule="auto"/>
        <w:rPr>
          <w:color w:val="auto"/>
          <w:highlight w:val="none"/>
        </w:rPr>
      </w:pPr>
    </w:p>
    <w:p w14:paraId="692D315E">
      <w:pPr>
        <w:spacing w:before="65" w:line="303" w:lineRule="auto"/>
        <w:ind w:left="1" w:right="53" w:firstLine="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5.6</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磋商小组收齐某一分标最后报价后统一开启，磋商小组对最后报价进行有效性、完整性</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和响应程度的审查。</w:t>
      </w:r>
    </w:p>
    <w:p w14:paraId="7C472C4E">
      <w:pPr>
        <w:spacing w:before="159" w:line="227"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5.7</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最终响应文件的报价出现前后不一致</w:t>
      </w:r>
      <w:r>
        <w:rPr>
          <w:rFonts w:ascii="宋体" w:hAnsi="宋体" w:eastAsia="宋体" w:cs="宋体"/>
          <w:color w:val="auto"/>
          <w:spacing w:val="7"/>
          <w:sz w:val="20"/>
          <w:szCs w:val="20"/>
          <w:highlight w:val="none"/>
        </w:rPr>
        <w:t>的，按照本章第</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3.4</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条的规定修正。</w:t>
      </w:r>
    </w:p>
    <w:p w14:paraId="350C5F09">
      <w:pPr>
        <w:spacing w:before="162" w:line="227"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5.8</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修正后的最终报价出现下列情形的，按无效响应处理：</w:t>
      </w:r>
    </w:p>
    <w:p w14:paraId="4645A1CB">
      <w:pPr>
        <w:spacing w:before="164"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（1）供应商不确认的（全流程电子化评标采取在线</w:t>
      </w:r>
      <w:r>
        <w:rPr>
          <w:rFonts w:ascii="宋体" w:hAnsi="宋体" w:eastAsia="宋体" w:cs="宋体"/>
          <w:color w:val="auto"/>
          <w:spacing w:val="8"/>
          <w:sz w:val="20"/>
          <w:szCs w:val="20"/>
          <w:highlight w:val="none"/>
        </w:rPr>
        <w:t>确认</w:t>
      </w:r>
      <w:r>
        <w:rPr>
          <w:rFonts w:ascii="宋体" w:hAnsi="宋体" w:eastAsia="宋体" w:cs="宋体"/>
          <w:color w:val="auto"/>
          <w:sz w:val="20"/>
          <w:szCs w:val="20"/>
          <w:highlight w:val="none"/>
        </w:rPr>
        <w:t>）；</w:t>
      </w:r>
    </w:p>
    <w:p w14:paraId="455E8BD1">
      <w:pPr>
        <w:spacing w:before="160" w:line="302" w:lineRule="auto"/>
        <w:ind w:right="56"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（2）经供应商确认修正后的响应报价（包含首次报价、最后报价</w:t>
      </w:r>
      <w:r>
        <w:rPr>
          <w:rFonts w:ascii="宋体" w:hAnsi="宋体" w:eastAsia="宋体" w:cs="宋体"/>
          <w:color w:val="auto"/>
          <w:spacing w:val="9"/>
          <w:sz w:val="20"/>
          <w:szCs w:val="20"/>
          <w:highlight w:val="none"/>
        </w:rPr>
        <w:t>）超过所竞标分标规定的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采购预算金额或者最高限价的（如本项目公布了最高限价</w:t>
      </w:r>
      <w:r>
        <w:rPr>
          <w:rFonts w:ascii="宋体" w:hAnsi="宋体" w:eastAsia="宋体" w:cs="宋体"/>
          <w:color w:val="auto"/>
          <w:spacing w:val="7"/>
          <w:sz w:val="20"/>
          <w:szCs w:val="20"/>
          <w:highlight w:val="none"/>
        </w:rPr>
        <w:t>）；</w:t>
      </w:r>
    </w:p>
    <w:p w14:paraId="687A8845">
      <w:pPr>
        <w:spacing w:before="162" w:line="303" w:lineRule="auto"/>
        <w:ind w:left="3" w:right="56" w:firstLine="42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（3）经供应商确认修正后的响应报价（包含首次报价、最后报价</w:t>
      </w:r>
      <w:r>
        <w:rPr>
          <w:rFonts w:ascii="宋体" w:hAnsi="宋体" w:eastAsia="宋体" w:cs="宋体"/>
          <w:color w:val="auto"/>
          <w:spacing w:val="9"/>
          <w:sz w:val="20"/>
          <w:szCs w:val="20"/>
          <w:highlight w:val="none"/>
        </w:rPr>
        <w:t>）超过分项采购预算金额</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或者最高限价的（如本项目公布了最高限价）。</w:t>
      </w:r>
    </w:p>
    <w:p w14:paraId="1C058FE5">
      <w:pPr>
        <w:spacing w:before="162" w:line="227" w:lineRule="auto"/>
        <w:ind w:left="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5.9</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经供应商确认修正后的最后报价作为评审及签订合同的依据。</w:t>
      </w:r>
    </w:p>
    <w:p w14:paraId="4EBA6DB6">
      <w:pPr>
        <w:spacing w:before="163" w:line="302" w:lineRule="auto"/>
        <w:ind w:left="1" w:right="54" w:firstLine="42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5.10</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供应商出现最后报价按无效响应处理或者响应文</w:t>
      </w:r>
      <w:r>
        <w:rPr>
          <w:rFonts w:ascii="宋体" w:hAnsi="宋体" w:eastAsia="宋体" w:cs="宋体"/>
          <w:color w:val="auto"/>
          <w:spacing w:val="10"/>
          <w:sz w:val="20"/>
          <w:szCs w:val="20"/>
          <w:highlight w:val="none"/>
        </w:rPr>
        <w:t>件按无效处理时，磋商小组应当告知</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有关供应商。</w:t>
      </w:r>
    </w:p>
    <w:p w14:paraId="62A4A08D">
      <w:pPr>
        <w:spacing w:before="274" w:line="227" w:lineRule="auto"/>
        <w:ind w:left="4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5.11最后报价结束后，磋商小组不得再与供应商进行任何形式的商谈。</w:t>
      </w:r>
    </w:p>
    <w:p w14:paraId="5F3989F9">
      <w:pPr>
        <w:spacing w:before="138" w:line="303" w:lineRule="auto"/>
        <w:ind w:left="1" w:right="56" w:firstLine="423"/>
        <w:rPr>
          <w:rFonts w:ascii="宋体" w:hAnsi="宋体" w:eastAsia="宋体" w:cs="宋体"/>
          <w:color w:val="auto"/>
          <w:sz w:val="20"/>
          <w:szCs w:val="20"/>
          <w:highlight w:val="none"/>
        </w:rPr>
      </w:pPr>
      <w:r>
        <w:rPr>
          <w:rFonts w:ascii="宋体" w:hAnsi="宋体" w:eastAsia="宋体" w:cs="宋体"/>
          <w:b/>
          <w:bCs/>
          <w:color w:val="auto"/>
          <w:spacing w:val="9"/>
          <w:sz w:val="20"/>
          <w:szCs w:val="20"/>
          <w:highlight w:val="none"/>
        </w:rPr>
        <w:t>5.12</w:t>
      </w:r>
      <w:r>
        <w:rPr>
          <w:rFonts w:ascii="宋体" w:hAnsi="宋体" w:eastAsia="宋体" w:cs="宋体"/>
          <w:color w:val="auto"/>
          <w:spacing w:val="-38"/>
          <w:sz w:val="20"/>
          <w:szCs w:val="20"/>
          <w:highlight w:val="none"/>
        </w:rPr>
        <w:t xml:space="preserve"> </w:t>
      </w:r>
      <w:r>
        <w:rPr>
          <w:rFonts w:ascii="宋体" w:hAnsi="宋体" w:eastAsia="宋体" w:cs="宋体"/>
          <w:b/>
          <w:bCs/>
          <w:color w:val="auto"/>
          <w:spacing w:val="9"/>
          <w:sz w:val="20"/>
          <w:szCs w:val="20"/>
          <w:highlight w:val="none"/>
        </w:rPr>
        <w:t>供应商的最终竞标报价总额与首次</w:t>
      </w:r>
      <w:r>
        <w:rPr>
          <w:rFonts w:ascii="宋体" w:hAnsi="宋体" w:eastAsia="宋体" w:cs="宋体"/>
          <w:b/>
          <w:bCs/>
          <w:color w:val="auto"/>
          <w:spacing w:val="8"/>
          <w:sz w:val="20"/>
          <w:szCs w:val="20"/>
          <w:highlight w:val="none"/>
        </w:rPr>
        <w:t>递交响应文件中竞标报价总额不一致，须在二次报</w:t>
      </w:r>
      <w:r>
        <w:rPr>
          <w:rFonts w:ascii="宋体" w:hAnsi="宋体" w:eastAsia="宋体" w:cs="宋体"/>
          <w:color w:val="auto"/>
          <w:sz w:val="20"/>
          <w:szCs w:val="20"/>
          <w:highlight w:val="none"/>
        </w:rPr>
        <w:t xml:space="preserve"> </w:t>
      </w:r>
      <w:r>
        <w:rPr>
          <w:rFonts w:ascii="宋体" w:hAnsi="宋体" w:eastAsia="宋体" w:cs="宋体"/>
          <w:b/>
          <w:bCs/>
          <w:color w:val="auto"/>
          <w:spacing w:val="7"/>
          <w:sz w:val="20"/>
          <w:szCs w:val="20"/>
          <w:highlight w:val="none"/>
        </w:rPr>
        <w:t>价时提交一份已标价工程量清单。</w:t>
      </w:r>
    </w:p>
    <w:p w14:paraId="6F961FCF">
      <w:pPr>
        <w:spacing w:before="164" w:line="219" w:lineRule="auto"/>
        <w:ind w:left="42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6.比较与评价</w:t>
      </w:r>
    </w:p>
    <w:p w14:paraId="08E0C50E">
      <w:pPr>
        <w:spacing w:before="179" w:line="229" w:lineRule="auto"/>
        <w:ind w:left="42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w:t>
      </w:r>
      <w:r>
        <w:rPr>
          <w:rFonts w:ascii="宋体" w:hAnsi="宋体" w:eastAsia="宋体" w:cs="宋体"/>
          <w:color w:val="auto"/>
          <w:spacing w:val="-30"/>
          <w:sz w:val="20"/>
          <w:szCs w:val="20"/>
          <w:highlight w:val="none"/>
        </w:rPr>
        <w:t xml:space="preserve"> </w:t>
      </w:r>
      <w:r>
        <w:rPr>
          <w:rFonts w:ascii="宋体" w:hAnsi="宋体" w:eastAsia="宋体" w:cs="宋体"/>
          <w:color w:val="auto"/>
          <w:spacing w:val="6"/>
          <w:sz w:val="20"/>
          <w:szCs w:val="20"/>
          <w:highlight w:val="none"/>
        </w:rPr>
        <w:t>评审方法：综合评分法。</w:t>
      </w:r>
    </w:p>
    <w:p w14:paraId="66B709FD">
      <w:pPr>
        <w:spacing w:before="162" w:line="302" w:lineRule="auto"/>
        <w:ind w:left="5" w:right="56" w:firstLine="4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6.2</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经磋商确定最终采购需求和提交最后报价的供应商后，由磋商小组采用综合评分法对提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交最后报价的供应商的响应文件和最后报价进行综合评分。</w:t>
      </w:r>
    </w:p>
    <w:p w14:paraId="3CA365D5">
      <w:pPr>
        <w:spacing w:before="162" w:line="302" w:lineRule="auto"/>
        <w:ind w:right="56" w:firstLine="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6.3</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评审时，磋商小组各成员应当独立对每个有效响应的文件进行评价、打分，然后汇总每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个供应商每项评分因素的得分。</w:t>
      </w:r>
    </w:p>
    <w:p w14:paraId="709C2716">
      <w:pPr>
        <w:spacing w:before="161" w:line="328" w:lineRule="auto"/>
        <w:ind w:left="4" w:right="56" w:firstLine="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（1）评审委员会成员要根据政府采购法律法规和采购文件所载明</w:t>
      </w:r>
      <w:r>
        <w:rPr>
          <w:rFonts w:ascii="宋体" w:hAnsi="宋体" w:eastAsia="宋体" w:cs="宋体"/>
          <w:color w:val="auto"/>
          <w:spacing w:val="9"/>
          <w:sz w:val="20"/>
          <w:szCs w:val="20"/>
          <w:highlight w:val="none"/>
        </w:rPr>
        <w:t>的评审方法、标准进行评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审。对供应商的价格分等客观评分项的评分应当一</w:t>
      </w:r>
      <w:r>
        <w:rPr>
          <w:rFonts w:ascii="宋体" w:hAnsi="宋体" w:eastAsia="宋体" w:cs="宋体"/>
          <w:color w:val="auto"/>
          <w:spacing w:val="7"/>
          <w:sz w:val="20"/>
          <w:szCs w:val="20"/>
          <w:highlight w:val="none"/>
        </w:rPr>
        <w:t>致，对其他需要借助专业知识评判的主观评分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项，应当严格按照评分细则公正评分。</w:t>
      </w:r>
    </w:p>
    <w:p w14:paraId="23C271FA">
      <w:pPr>
        <w:spacing w:before="160" w:line="302" w:lineRule="auto"/>
        <w:ind w:left="4" w:firstLine="42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（2）磋商小组按照磋商文件中规定的评审标准计算各供应商的报价得分。项目评审过程中，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不得去掉最后报价中的最高报价和最低报价。</w:t>
      </w:r>
    </w:p>
    <w:p w14:paraId="4EA1905E">
      <w:pPr>
        <w:spacing w:before="162"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（3）各供应商的得分为磋商小组所有成员的有效评分</w:t>
      </w:r>
      <w:r>
        <w:rPr>
          <w:rFonts w:ascii="宋体" w:hAnsi="宋体" w:eastAsia="宋体" w:cs="宋体"/>
          <w:color w:val="auto"/>
          <w:spacing w:val="8"/>
          <w:sz w:val="20"/>
          <w:szCs w:val="20"/>
          <w:highlight w:val="none"/>
        </w:rPr>
        <w:t>的算术平均数。</w:t>
      </w:r>
    </w:p>
    <w:p w14:paraId="5D8D1F64">
      <w:pPr>
        <w:spacing w:before="163" w:line="302" w:lineRule="auto"/>
        <w:ind w:left="4" w:right="53" w:firstLine="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6.4</w:t>
      </w:r>
      <w:r>
        <w:rPr>
          <w:rFonts w:ascii="宋体" w:hAnsi="宋体" w:eastAsia="宋体" w:cs="宋体"/>
          <w:color w:val="auto"/>
          <w:spacing w:val="-28"/>
          <w:sz w:val="20"/>
          <w:szCs w:val="20"/>
          <w:highlight w:val="none"/>
        </w:rPr>
        <w:t xml:space="preserve"> </w:t>
      </w:r>
      <w:r>
        <w:rPr>
          <w:rFonts w:ascii="宋体" w:hAnsi="宋体" w:eastAsia="宋体" w:cs="宋体"/>
          <w:color w:val="auto"/>
          <w:spacing w:val="8"/>
          <w:sz w:val="20"/>
          <w:szCs w:val="20"/>
          <w:highlight w:val="none"/>
        </w:rPr>
        <w:t>评审价为供应商的最后报价进行政策性扣除后的价格，评审价只是作为评审时使用。最</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终成交供应商的成交金额等于最后报价（如有修正，以确认修正后的最后报价为准）。</w:t>
      </w:r>
    </w:p>
    <w:p w14:paraId="094CB56D">
      <w:pPr>
        <w:spacing w:before="164" w:line="339" w:lineRule="auto"/>
        <w:ind w:left="1" w:right="53"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6.5</w:t>
      </w:r>
      <w:r>
        <w:rPr>
          <w:rFonts w:ascii="宋体" w:hAnsi="宋体" w:eastAsia="宋体" w:cs="宋体"/>
          <w:color w:val="auto"/>
          <w:spacing w:val="-15"/>
          <w:sz w:val="20"/>
          <w:szCs w:val="20"/>
          <w:highlight w:val="none"/>
        </w:rPr>
        <w:t xml:space="preserve"> </w:t>
      </w:r>
      <w:r>
        <w:rPr>
          <w:rFonts w:ascii="宋体" w:hAnsi="宋体" w:eastAsia="宋体" w:cs="宋体"/>
          <w:color w:val="auto"/>
          <w:spacing w:val="7"/>
          <w:sz w:val="20"/>
          <w:szCs w:val="20"/>
          <w:highlight w:val="none"/>
        </w:rPr>
        <w:t>由磋商小组根据综合评分情况，按照评审得分由高到低顺序推荐</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名以上成交</w:t>
      </w:r>
      <w:r>
        <w:rPr>
          <w:rFonts w:ascii="宋体" w:hAnsi="宋体" w:eastAsia="宋体" w:cs="宋体"/>
          <w:color w:val="auto"/>
          <w:spacing w:val="6"/>
          <w:sz w:val="20"/>
          <w:szCs w:val="20"/>
          <w:highlight w:val="none"/>
        </w:rPr>
        <w:t>候选供应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商，并编写评审报告。符合本章第4.3</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条情形的，可以推荐</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家成交候选供应商。评审得分相同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的，按照最后报价由低到高的顺序推荐。评审得分且最后报价</w:t>
      </w:r>
      <w:r>
        <w:rPr>
          <w:rFonts w:ascii="宋体" w:hAnsi="宋体" w:eastAsia="宋体" w:cs="宋体"/>
          <w:color w:val="auto"/>
          <w:spacing w:val="7"/>
          <w:sz w:val="20"/>
          <w:szCs w:val="20"/>
          <w:highlight w:val="none"/>
        </w:rPr>
        <w:t>相同的，按照技术指标优劣顺序推</w:t>
      </w:r>
      <w:r>
        <w:rPr>
          <w:rFonts w:ascii="宋体" w:hAnsi="宋体" w:eastAsia="宋体" w:cs="宋体"/>
          <w:color w:val="auto"/>
          <w:sz w:val="20"/>
          <w:szCs w:val="20"/>
          <w:highlight w:val="none"/>
        </w:rPr>
        <w:t xml:space="preserve"> 荐。</w:t>
      </w:r>
    </w:p>
    <w:p w14:paraId="0FC6BDE7">
      <w:pPr>
        <w:spacing w:before="163" w:line="302" w:lineRule="auto"/>
        <w:ind w:left="6" w:right="56" w:firstLine="41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6.6</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评审报告应当由磋商小组全体人员签字认可。磋商小组成员对评审报告有异议的，磋商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小组按照少数服从多数的原则推荐成交候选供</w:t>
      </w:r>
      <w:r>
        <w:rPr>
          <w:rFonts w:ascii="宋体" w:hAnsi="宋体" w:eastAsia="宋体" w:cs="宋体"/>
          <w:color w:val="auto"/>
          <w:spacing w:val="7"/>
          <w:sz w:val="20"/>
          <w:szCs w:val="20"/>
          <w:highlight w:val="none"/>
        </w:rPr>
        <w:t>应商，采购程序继续进行。对评审报告有异议的磋</w:t>
      </w:r>
    </w:p>
    <w:p w14:paraId="17DA6F7B">
      <w:pPr>
        <w:spacing w:line="302" w:lineRule="auto"/>
        <w:rPr>
          <w:rFonts w:ascii="宋体" w:hAnsi="宋体" w:eastAsia="宋体" w:cs="宋体"/>
          <w:color w:val="auto"/>
          <w:sz w:val="20"/>
          <w:szCs w:val="20"/>
          <w:highlight w:val="none"/>
        </w:rPr>
        <w:sectPr>
          <w:footerReference r:id="rId40" w:type="default"/>
          <w:pgSz w:w="11905" w:h="16839"/>
          <w:pgMar w:top="400" w:right="1533" w:bottom="1079" w:left="1593" w:header="0" w:footer="843" w:gutter="0"/>
          <w:cols w:space="720" w:num="1"/>
        </w:sectPr>
      </w:pPr>
    </w:p>
    <w:p w14:paraId="55BD7B60">
      <w:pPr>
        <w:pStyle w:val="2"/>
        <w:spacing w:line="348" w:lineRule="auto"/>
        <w:rPr>
          <w:color w:val="auto"/>
          <w:highlight w:val="none"/>
        </w:rPr>
      </w:pPr>
    </w:p>
    <w:p w14:paraId="0B744471">
      <w:pPr>
        <w:pStyle w:val="2"/>
        <w:spacing w:line="348" w:lineRule="auto"/>
        <w:rPr>
          <w:color w:val="auto"/>
          <w:highlight w:val="none"/>
        </w:rPr>
      </w:pPr>
    </w:p>
    <w:p w14:paraId="7DC0B31C">
      <w:pPr>
        <w:spacing w:before="65" w:line="377" w:lineRule="auto"/>
        <w:ind w:left="251" w:right="244" w:firstLine="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商小组成员，应当在报告上签署不同意见并说明</w:t>
      </w:r>
      <w:r>
        <w:rPr>
          <w:rFonts w:ascii="宋体" w:hAnsi="宋体" w:eastAsia="宋体" w:cs="宋体"/>
          <w:color w:val="auto"/>
          <w:spacing w:val="7"/>
          <w:sz w:val="20"/>
          <w:szCs w:val="20"/>
          <w:highlight w:val="none"/>
        </w:rPr>
        <w:t>理由，由磋商小组书面记录相关情况。磋商小组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成员拒绝在报告上签字又不书面说明其不同意见和理由的，视为同意评审报告。</w:t>
      </w:r>
    </w:p>
    <w:p w14:paraId="77BDDC53">
      <w:pPr>
        <w:spacing w:before="2" w:line="221" w:lineRule="auto"/>
        <w:ind w:left="676"/>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7.评审复核</w:t>
      </w:r>
    </w:p>
    <w:p w14:paraId="68B9A660">
      <w:pPr>
        <w:spacing w:before="176" w:line="227" w:lineRule="auto"/>
        <w:ind w:left="67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7.1</w:t>
      </w:r>
      <w:r>
        <w:rPr>
          <w:rFonts w:ascii="宋体" w:hAnsi="宋体" w:eastAsia="宋体" w:cs="宋体"/>
          <w:color w:val="auto"/>
          <w:spacing w:val="-41"/>
          <w:sz w:val="20"/>
          <w:szCs w:val="20"/>
          <w:highlight w:val="none"/>
        </w:rPr>
        <w:t xml:space="preserve"> </w:t>
      </w:r>
      <w:r>
        <w:rPr>
          <w:rFonts w:ascii="宋体" w:hAnsi="宋体" w:eastAsia="宋体" w:cs="宋体"/>
          <w:color w:val="auto"/>
          <w:spacing w:val="9"/>
          <w:sz w:val="20"/>
          <w:szCs w:val="20"/>
          <w:highlight w:val="none"/>
        </w:rPr>
        <w:t>评审报告签署前，评审委员会要对评审结果进行复核，复核意见要体现</w:t>
      </w:r>
      <w:r>
        <w:rPr>
          <w:rFonts w:ascii="宋体" w:hAnsi="宋体" w:eastAsia="宋体" w:cs="宋体"/>
          <w:color w:val="auto"/>
          <w:spacing w:val="8"/>
          <w:sz w:val="20"/>
          <w:szCs w:val="20"/>
          <w:highlight w:val="none"/>
        </w:rPr>
        <w:t>在评审报告中。</w:t>
      </w:r>
    </w:p>
    <w:p w14:paraId="1BE2019D">
      <w:pPr>
        <w:spacing w:before="163" w:line="339" w:lineRule="auto"/>
        <w:ind w:left="248" w:right="242"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7.2</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评审结果汇总完成后，采购人、采购代理机构和评审委员会均不得修改评审结果或者要</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求重新评审，但资格性检查认定错误、分值汇总计算错误、分项评</w:t>
      </w:r>
      <w:r>
        <w:rPr>
          <w:rFonts w:ascii="宋体" w:hAnsi="宋体" w:eastAsia="宋体" w:cs="宋体"/>
          <w:color w:val="auto"/>
          <w:spacing w:val="7"/>
          <w:sz w:val="20"/>
          <w:szCs w:val="20"/>
          <w:highlight w:val="none"/>
        </w:rPr>
        <w:t>分超出评分标准范围、客观分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评分不一致、经评审委员会一致认定评分畸高、畸低的情形除外。</w:t>
      </w:r>
      <w:r>
        <w:rPr>
          <w:rFonts w:ascii="宋体" w:hAnsi="宋体" w:eastAsia="宋体" w:cs="宋体"/>
          <w:color w:val="auto"/>
          <w:spacing w:val="7"/>
          <w:sz w:val="20"/>
          <w:szCs w:val="20"/>
          <w:highlight w:val="none"/>
        </w:rPr>
        <w:t>出现上述除外情形的，评审委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员会应当现场修改评审结果，并在评审报告中明确记载。</w:t>
      </w:r>
    </w:p>
    <w:p w14:paraId="5A09CBBF">
      <w:pPr>
        <w:spacing w:before="168" w:line="221" w:lineRule="auto"/>
        <w:ind w:left="671"/>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8.评审标准</w:t>
      </w:r>
    </w:p>
    <w:p w14:paraId="60A908C3">
      <w:pPr>
        <w:spacing w:before="174" w:line="363" w:lineRule="auto"/>
        <w:ind w:left="250" w:right="244"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8.1</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评审依据：磋商小组将以磋商响应文件为评审依据，对供应商的报价、技术、商务等方</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面内容按百分制打分。（计分方法按四舍五入取至百分位）</w:t>
      </w:r>
    </w:p>
    <w:tbl>
      <w:tblPr>
        <w:tblStyle w:val="8"/>
        <w:tblW w:w="9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306"/>
        <w:gridCol w:w="6351"/>
        <w:gridCol w:w="855"/>
      </w:tblGrid>
      <w:tr w14:paraId="540F1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97" w:type="dxa"/>
            <w:vAlign w:val="top"/>
          </w:tcPr>
          <w:p w14:paraId="7BE92EB5">
            <w:pPr>
              <w:pStyle w:val="9"/>
              <w:spacing w:before="209" w:line="230" w:lineRule="auto"/>
              <w:ind w:left="142"/>
              <w:rPr>
                <w:color w:val="auto"/>
                <w:highlight w:val="none"/>
              </w:rPr>
            </w:pPr>
            <w:r>
              <w:rPr>
                <w:b/>
                <w:bCs/>
                <w:color w:val="auto"/>
                <w:spacing w:val="4"/>
                <w:highlight w:val="none"/>
              </w:rPr>
              <w:t>序号</w:t>
            </w:r>
          </w:p>
        </w:tc>
        <w:tc>
          <w:tcPr>
            <w:tcW w:w="1306" w:type="dxa"/>
            <w:vAlign w:val="top"/>
          </w:tcPr>
          <w:p w14:paraId="6726505C">
            <w:pPr>
              <w:pStyle w:val="9"/>
              <w:spacing w:before="209" w:line="228" w:lineRule="auto"/>
              <w:ind w:left="235"/>
              <w:rPr>
                <w:color w:val="auto"/>
                <w:highlight w:val="none"/>
              </w:rPr>
            </w:pPr>
            <w:r>
              <w:rPr>
                <w:b/>
                <w:bCs/>
                <w:color w:val="auto"/>
                <w:spacing w:val="6"/>
                <w:highlight w:val="none"/>
              </w:rPr>
              <w:t>评审因素</w:t>
            </w:r>
          </w:p>
        </w:tc>
        <w:tc>
          <w:tcPr>
            <w:tcW w:w="6351" w:type="dxa"/>
            <w:vAlign w:val="top"/>
          </w:tcPr>
          <w:p w14:paraId="3935F592">
            <w:pPr>
              <w:pStyle w:val="9"/>
              <w:spacing w:before="209" w:line="228" w:lineRule="auto"/>
              <w:ind w:left="2337"/>
              <w:rPr>
                <w:color w:val="auto"/>
                <w:highlight w:val="none"/>
              </w:rPr>
            </w:pPr>
            <w:r>
              <w:rPr>
                <w:b/>
                <w:bCs/>
                <w:color w:val="auto"/>
                <w:spacing w:val="7"/>
                <w:highlight w:val="none"/>
              </w:rPr>
              <w:t>评审因素具体内容</w:t>
            </w:r>
          </w:p>
        </w:tc>
        <w:tc>
          <w:tcPr>
            <w:tcW w:w="855" w:type="dxa"/>
            <w:vAlign w:val="top"/>
          </w:tcPr>
          <w:p w14:paraId="585CE189">
            <w:pPr>
              <w:pStyle w:val="9"/>
              <w:spacing w:before="209" w:line="228" w:lineRule="auto"/>
              <w:ind w:left="223"/>
              <w:rPr>
                <w:color w:val="auto"/>
                <w:highlight w:val="none"/>
              </w:rPr>
            </w:pPr>
            <w:r>
              <w:rPr>
                <w:b/>
                <w:bCs/>
                <w:color w:val="auto"/>
                <w:spacing w:val="2"/>
                <w:highlight w:val="none"/>
              </w:rPr>
              <w:t>分值</w:t>
            </w:r>
          </w:p>
        </w:tc>
      </w:tr>
      <w:tr w14:paraId="7A07E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0" w:hRule="atLeast"/>
        </w:trPr>
        <w:tc>
          <w:tcPr>
            <w:tcW w:w="697" w:type="dxa"/>
            <w:vAlign w:val="top"/>
          </w:tcPr>
          <w:p w14:paraId="5EDD8A6B">
            <w:pPr>
              <w:spacing w:line="246" w:lineRule="auto"/>
              <w:rPr>
                <w:rFonts w:ascii="Arial"/>
                <w:color w:val="auto"/>
                <w:sz w:val="21"/>
                <w:highlight w:val="none"/>
              </w:rPr>
            </w:pPr>
          </w:p>
          <w:p w14:paraId="2F2C6F0B">
            <w:pPr>
              <w:spacing w:line="246" w:lineRule="auto"/>
              <w:rPr>
                <w:rFonts w:ascii="Arial"/>
                <w:color w:val="auto"/>
                <w:sz w:val="21"/>
                <w:highlight w:val="none"/>
              </w:rPr>
            </w:pPr>
          </w:p>
          <w:p w14:paraId="1DBC8018">
            <w:pPr>
              <w:spacing w:line="246" w:lineRule="auto"/>
              <w:rPr>
                <w:rFonts w:ascii="Arial"/>
                <w:color w:val="auto"/>
                <w:sz w:val="21"/>
                <w:highlight w:val="none"/>
              </w:rPr>
            </w:pPr>
          </w:p>
          <w:p w14:paraId="0865C915">
            <w:pPr>
              <w:spacing w:line="246" w:lineRule="auto"/>
              <w:rPr>
                <w:rFonts w:ascii="Arial"/>
                <w:color w:val="auto"/>
                <w:sz w:val="21"/>
                <w:highlight w:val="none"/>
              </w:rPr>
            </w:pPr>
          </w:p>
          <w:p w14:paraId="00E83DBD">
            <w:pPr>
              <w:spacing w:line="246" w:lineRule="auto"/>
              <w:rPr>
                <w:rFonts w:ascii="Arial"/>
                <w:color w:val="auto"/>
                <w:sz w:val="21"/>
                <w:highlight w:val="none"/>
              </w:rPr>
            </w:pPr>
          </w:p>
          <w:p w14:paraId="0DE2FB9C">
            <w:pPr>
              <w:spacing w:line="247" w:lineRule="auto"/>
              <w:rPr>
                <w:rFonts w:ascii="Arial"/>
                <w:color w:val="auto"/>
                <w:sz w:val="21"/>
                <w:highlight w:val="none"/>
              </w:rPr>
            </w:pPr>
          </w:p>
          <w:p w14:paraId="0E8515CB">
            <w:pPr>
              <w:spacing w:line="247" w:lineRule="auto"/>
              <w:rPr>
                <w:rFonts w:ascii="Arial"/>
                <w:color w:val="auto"/>
                <w:sz w:val="21"/>
                <w:highlight w:val="none"/>
              </w:rPr>
            </w:pPr>
          </w:p>
          <w:p w14:paraId="3E2897ED">
            <w:pPr>
              <w:spacing w:line="247" w:lineRule="auto"/>
              <w:rPr>
                <w:rFonts w:ascii="Arial"/>
                <w:color w:val="auto"/>
                <w:sz w:val="21"/>
                <w:highlight w:val="none"/>
              </w:rPr>
            </w:pPr>
          </w:p>
          <w:p w14:paraId="409BE732">
            <w:pPr>
              <w:spacing w:line="247" w:lineRule="auto"/>
              <w:rPr>
                <w:rFonts w:ascii="Arial"/>
                <w:color w:val="auto"/>
                <w:sz w:val="21"/>
                <w:highlight w:val="none"/>
              </w:rPr>
            </w:pPr>
          </w:p>
          <w:p w14:paraId="70F49BCB">
            <w:pPr>
              <w:spacing w:line="247" w:lineRule="auto"/>
              <w:rPr>
                <w:rFonts w:ascii="Arial"/>
                <w:color w:val="auto"/>
                <w:sz w:val="21"/>
                <w:highlight w:val="none"/>
              </w:rPr>
            </w:pPr>
          </w:p>
          <w:p w14:paraId="365A7E3E">
            <w:pPr>
              <w:spacing w:line="247" w:lineRule="auto"/>
              <w:rPr>
                <w:rFonts w:ascii="Arial"/>
                <w:color w:val="auto"/>
                <w:sz w:val="21"/>
                <w:highlight w:val="none"/>
              </w:rPr>
            </w:pPr>
          </w:p>
          <w:p w14:paraId="3D027626">
            <w:pPr>
              <w:spacing w:line="247" w:lineRule="auto"/>
              <w:rPr>
                <w:rFonts w:ascii="Arial"/>
                <w:color w:val="auto"/>
                <w:sz w:val="21"/>
                <w:highlight w:val="none"/>
              </w:rPr>
            </w:pPr>
          </w:p>
          <w:p w14:paraId="52F02A2E">
            <w:pPr>
              <w:spacing w:line="247" w:lineRule="auto"/>
              <w:rPr>
                <w:rFonts w:ascii="Arial"/>
                <w:color w:val="auto"/>
                <w:sz w:val="21"/>
                <w:highlight w:val="none"/>
              </w:rPr>
            </w:pPr>
          </w:p>
          <w:p w14:paraId="5C4080CD">
            <w:pPr>
              <w:spacing w:line="247" w:lineRule="auto"/>
              <w:rPr>
                <w:rFonts w:ascii="Arial"/>
                <w:color w:val="auto"/>
                <w:sz w:val="21"/>
                <w:highlight w:val="none"/>
              </w:rPr>
            </w:pPr>
          </w:p>
          <w:p w14:paraId="6499D1F8">
            <w:pPr>
              <w:spacing w:line="247" w:lineRule="auto"/>
              <w:rPr>
                <w:rFonts w:ascii="Arial"/>
                <w:color w:val="auto"/>
                <w:sz w:val="21"/>
                <w:highlight w:val="none"/>
              </w:rPr>
            </w:pPr>
          </w:p>
          <w:p w14:paraId="175BC394">
            <w:pPr>
              <w:spacing w:line="247" w:lineRule="auto"/>
              <w:rPr>
                <w:rFonts w:ascii="Arial"/>
                <w:color w:val="auto"/>
                <w:sz w:val="21"/>
                <w:highlight w:val="none"/>
              </w:rPr>
            </w:pPr>
          </w:p>
          <w:p w14:paraId="35E1BD7C">
            <w:pPr>
              <w:spacing w:line="247" w:lineRule="auto"/>
              <w:rPr>
                <w:rFonts w:ascii="Arial"/>
                <w:color w:val="auto"/>
                <w:sz w:val="21"/>
                <w:highlight w:val="none"/>
              </w:rPr>
            </w:pPr>
          </w:p>
          <w:p w14:paraId="335629D1">
            <w:pPr>
              <w:pStyle w:val="9"/>
              <w:spacing w:before="65" w:line="270" w:lineRule="exact"/>
              <w:ind w:left="317"/>
              <w:rPr>
                <w:color w:val="auto"/>
                <w:highlight w:val="none"/>
              </w:rPr>
            </w:pPr>
            <w:r>
              <w:rPr>
                <w:color w:val="auto"/>
                <w:position w:val="1"/>
                <w:highlight w:val="none"/>
              </w:rPr>
              <w:t>1</w:t>
            </w:r>
          </w:p>
        </w:tc>
        <w:tc>
          <w:tcPr>
            <w:tcW w:w="1306" w:type="dxa"/>
            <w:vAlign w:val="top"/>
          </w:tcPr>
          <w:p w14:paraId="71663A46">
            <w:pPr>
              <w:spacing w:line="246" w:lineRule="auto"/>
              <w:rPr>
                <w:rFonts w:ascii="Arial"/>
                <w:color w:val="auto"/>
                <w:sz w:val="21"/>
                <w:highlight w:val="none"/>
              </w:rPr>
            </w:pPr>
          </w:p>
          <w:p w14:paraId="6605CD98">
            <w:pPr>
              <w:spacing w:line="246" w:lineRule="auto"/>
              <w:rPr>
                <w:rFonts w:ascii="Arial"/>
                <w:color w:val="auto"/>
                <w:sz w:val="21"/>
                <w:highlight w:val="none"/>
              </w:rPr>
            </w:pPr>
          </w:p>
          <w:p w14:paraId="5123E691">
            <w:pPr>
              <w:spacing w:line="246" w:lineRule="auto"/>
              <w:rPr>
                <w:rFonts w:ascii="Arial"/>
                <w:color w:val="auto"/>
                <w:sz w:val="21"/>
                <w:highlight w:val="none"/>
              </w:rPr>
            </w:pPr>
          </w:p>
          <w:p w14:paraId="2D2CBADC">
            <w:pPr>
              <w:spacing w:line="246" w:lineRule="auto"/>
              <w:rPr>
                <w:rFonts w:ascii="Arial"/>
                <w:color w:val="auto"/>
                <w:sz w:val="21"/>
                <w:highlight w:val="none"/>
              </w:rPr>
            </w:pPr>
          </w:p>
          <w:p w14:paraId="3F9DC64B">
            <w:pPr>
              <w:spacing w:line="246" w:lineRule="auto"/>
              <w:rPr>
                <w:rFonts w:ascii="Arial"/>
                <w:color w:val="auto"/>
                <w:sz w:val="21"/>
                <w:highlight w:val="none"/>
              </w:rPr>
            </w:pPr>
          </w:p>
          <w:p w14:paraId="112F85D7">
            <w:pPr>
              <w:spacing w:line="246" w:lineRule="auto"/>
              <w:rPr>
                <w:rFonts w:ascii="Arial"/>
                <w:color w:val="auto"/>
                <w:sz w:val="21"/>
                <w:highlight w:val="none"/>
              </w:rPr>
            </w:pPr>
          </w:p>
          <w:p w14:paraId="0BC58B65">
            <w:pPr>
              <w:spacing w:line="247" w:lineRule="auto"/>
              <w:rPr>
                <w:rFonts w:ascii="Arial"/>
                <w:color w:val="auto"/>
                <w:sz w:val="21"/>
                <w:highlight w:val="none"/>
              </w:rPr>
            </w:pPr>
          </w:p>
          <w:p w14:paraId="31AEEE59">
            <w:pPr>
              <w:spacing w:line="247" w:lineRule="auto"/>
              <w:rPr>
                <w:rFonts w:ascii="Arial"/>
                <w:color w:val="auto"/>
                <w:sz w:val="21"/>
                <w:highlight w:val="none"/>
              </w:rPr>
            </w:pPr>
          </w:p>
          <w:p w14:paraId="5F8B4AFF">
            <w:pPr>
              <w:spacing w:line="247" w:lineRule="auto"/>
              <w:rPr>
                <w:rFonts w:ascii="Arial"/>
                <w:color w:val="auto"/>
                <w:sz w:val="21"/>
                <w:highlight w:val="none"/>
              </w:rPr>
            </w:pPr>
          </w:p>
          <w:p w14:paraId="23827096">
            <w:pPr>
              <w:spacing w:line="247" w:lineRule="auto"/>
              <w:rPr>
                <w:rFonts w:ascii="Arial"/>
                <w:color w:val="auto"/>
                <w:sz w:val="21"/>
                <w:highlight w:val="none"/>
              </w:rPr>
            </w:pPr>
          </w:p>
          <w:p w14:paraId="0156B842">
            <w:pPr>
              <w:spacing w:line="247" w:lineRule="auto"/>
              <w:rPr>
                <w:rFonts w:ascii="Arial"/>
                <w:color w:val="auto"/>
                <w:sz w:val="21"/>
                <w:highlight w:val="none"/>
              </w:rPr>
            </w:pPr>
          </w:p>
          <w:p w14:paraId="1E8E56B7">
            <w:pPr>
              <w:spacing w:line="247" w:lineRule="auto"/>
              <w:rPr>
                <w:rFonts w:ascii="Arial"/>
                <w:color w:val="auto"/>
                <w:sz w:val="21"/>
                <w:highlight w:val="none"/>
              </w:rPr>
            </w:pPr>
          </w:p>
          <w:p w14:paraId="5F1AE234">
            <w:pPr>
              <w:spacing w:line="247" w:lineRule="auto"/>
              <w:rPr>
                <w:rFonts w:ascii="Arial"/>
                <w:color w:val="auto"/>
                <w:sz w:val="21"/>
                <w:highlight w:val="none"/>
              </w:rPr>
            </w:pPr>
          </w:p>
          <w:p w14:paraId="12B0D618">
            <w:pPr>
              <w:spacing w:line="247" w:lineRule="auto"/>
              <w:rPr>
                <w:rFonts w:ascii="Arial"/>
                <w:color w:val="auto"/>
                <w:sz w:val="21"/>
                <w:highlight w:val="none"/>
              </w:rPr>
            </w:pPr>
          </w:p>
          <w:p w14:paraId="43C8FFB8">
            <w:pPr>
              <w:spacing w:line="247" w:lineRule="auto"/>
              <w:rPr>
                <w:rFonts w:ascii="Arial"/>
                <w:color w:val="auto"/>
                <w:sz w:val="21"/>
                <w:highlight w:val="none"/>
              </w:rPr>
            </w:pPr>
          </w:p>
          <w:p w14:paraId="3B652210">
            <w:pPr>
              <w:spacing w:line="247" w:lineRule="auto"/>
              <w:rPr>
                <w:rFonts w:ascii="Arial"/>
                <w:color w:val="auto"/>
                <w:sz w:val="21"/>
                <w:highlight w:val="none"/>
              </w:rPr>
            </w:pPr>
          </w:p>
          <w:p w14:paraId="4A04214A">
            <w:pPr>
              <w:spacing w:line="247" w:lineRule="auto"/>
              <w:rPr>
                <w:rFonts w:ascii="Arial"/>
                <w:color w:val="auto"/>
                <w:sz w:val="21"/>
                <w:highlight w:val="none"/>
              </w:rPr>
            </w:pPr>
          </w:p>
          <w:p w14:paraId="2915BAC4">
            <w:pPr>
              <w:pStyle w:val="9"/>
              <w:spacing w:before="65" w:line="227" w:lineRule="auto"/>
              <w:ind w:left="342"/>
              <w:rPr>
                <w:color w:val="auto"/>
                <w:highlight w:val="none"/>
              </w:rPr>
            </w:pPr>
            <w:r>
              <w:rPr>
                <w:color w:val="auto"/>
                <w:spacing w:val="6"/>
                <w:highlight w:val="none"/>
              </w:rPr>
              <w:t>价格分</w:t>
            </w:r>
          </w:p>
        </w:tc>
        <w:tc>
          <w:tcPr>
            <w:tcW w:w="6351" w:type="dxa"/>
            <w:vAlign w:val="top"/>
          </w:tcPr>
          <w:p w14:paraId="5BA5A6B9">
            <w:pPr>
              <w:pStyle w:val="9"/>
              <w:spacing w:before="204" w:line="335" w:lineRule="auto"/>
              <w:ind w:left="119" w:right="106" w:firstLine="423"/>
              <w:rPr>
                <w:color w:val="auto"/>
                <w:highlight w:val="none"/>
              </w:rPr>
            </w:pPr>
            <w:r>
              <w:rPr>
                <w:color w:val="auto"/>
                <w:spacing w:val="7"/>
                <w:highlight w:val="none"/>
              </w:rPr>
              <w:t>（1）本项目为专门面向小微企业采购项目，不执行价格扣除优</w:t>
            </w:r>
            <w:r>
              <w:rPr>
                <w:color w:val="auto"/>
                <w:highlight w:val="none"/>
              </w:rPr>
              <w:t xml:space="preserve"> </w:t>
            </w:r>
            <w:r>
              <w:rPr>
                <w:color w:val="auto"/>
                <w:spacing w:val="7"/>
                <w:highlight w:val="none"/>
              </w:rPr>
              <w:t>惠政策，评标价＝投标报价。</w:t>
            </w:r>
          </w:p>
          <w:p w14:paraId="21B50680">
            <w:pPr>
              <w:pStyle w:val="9"/>
              <w:spacing w:before="236" w:line="407" w:lineRule="auto"/>
              <w:ind w:left="112" w:right="33" w:firstLine="430"/>
              <w:rPr>
                <w:color w:val="auto"/>
                <w:highlight w:val="none"/>
              </w:rPr>
            </w:pPr>
            <w:r>
              <w:rPr>
                <w:color w:val="auto"/>
                <w:spacing w:val="7"/>
                <w:highlight w:val="none"/>
              </w:rPr>
              <w:t>（2）按照《财政部、司法部关于政府采购支持监狱企业发展有</w:t>
            </w:r>
            <w:r>
              <w:rPr>
                <w:color w:val="auto"/>
                <w:highlight w:val="none"/>
              </w:rPr>
              <w:t xml:space="preserve"> </w:t>
            </w:r>
            <w:r>
              <w:rPr>
                <w:color w:val="auto"/>
                <w:spacing w:val="4"/>
                <w:highlight w:val="none"/>
              </w:rPr>
              <w:t>关问题的通知》（财库〔2014〕68</w:t>
            </w:r>
            <w:r>
              <w:rPr>
                <w:color w:val="auto"/>
                <w:spacing w:val="-33"/>
                <w:highlight w:val="none"/>
              </w:rPr>
              <w:t xml:space="preserve"> </w:t>
            </w:r>
            <w:r>
              <w:rPr>
                <w:color w:val="auto"/>
                <w:spacing w:val="4"/>
                <w:highlight w:val="none"/>
              </w:rPr>
              <w:t>号）的规定，监狱企业视同小型、</w:t>
            </w:r>
            <w:r>
              <w:rPr>
                <w:color w:val="auto"/>
                <w:highlight w:val="none"/>
              </w:rPr>
              <w:t xml:space="preserve"> </w:t>
            </w:r>
            <w:r>
              <w:rPr>
                <w:color w:val="auto"/>
                <w:spacing w:val="11"/>
                <w:highlight w:val="none"/>
              </w:rPr>
              <w:t>微型企业，享受预留份额、评审中价格扣除等促进中小企业发展的</w:t>
            </w:r>
            <w:r>
              <w:rPr>
                <w:color w:val="auto"/>
                <w:spacing w:val="9"/>
                <w:highlight w:val="none"/>
              </w:rPr>
              <w:t xml:space="preserve"> </w:t>
            </w:r>
            <w:r>
              <w:rPr>
                <w:color w:val="auto"/>
                <w:spacing w:val="11"/>
                <w:highlight w:val="none"/>
              </w:rPr>
              <w:t>政府采购政策。监狱企业参加政府采购活动时，应当提供由省级以</w:t>
            </w:r>
            <w:r>
              <w:rPr>
                <w:color w:val="auto"/>
                <w:spacing w:val="9"/>
                <w:highlight w:val="none"/>
              </w:rPr>
              <w:t xml:space="preserve"> </w:t>
            </w:r>
            <w:r>
              <w:rPr>
                <w:color w:val="auto"/>
                <w:spacing w:val="11"/>
                <w:highlight w:val="none"/>
              </w:rPr>
              <w:t>上监狱管理局、戒毒管理局(含新疆生产建设兵团)出具的属于</w:t>
            </w:r>
            <w:r>
              <w:rPr>
                <w:color w:val="auto"/>
                <w:spacing w:val="10"/>
                <w:highlight w:val="none"/>
              </w:rPr>
              <w:t>监狱</w:t>
            </w:r>
            <w:r>
              <w:rPr>
                <w:color w:val="auto"/>
                <w:highlight w:val="none"/>
              </w:rPr>
              <w:t xml:space="preserve"> </w:t>
            </w:r>
            <w:r>
              <w:rPr>
                <w:color w:val="auto"/>
                <w:spacing w:val="8"/>
                <w:highlight w:val="none"/>
              </w:rPr>
              <w:t>企业的证明文件。不重复享受政策。</w:t>
            </w:r>
          </w:p>
          <w:p w14:paraId="0AD7A22B">
            <w:pPr>
              <w:pStyle w:val="9"/>
              <w:spacing w:before="234" w:line="407" w:lineRule="auto"/>
              <w:ind w:left="112" w:right="47" w:firstLine="430"/>
              <w:rPr>
                <w:color w:val="auto"/>
                <w:highlight w:val="none"/>
              </w:rPr>
            </w:pPr>
            <w:r>
              <w:rPr>
                <w:color w:val="auto"/>
                <w:spacing w:val="7"/>
                <w:highlight w:val="none"/>
              </w:rPr>
              <w:t>（3）按照《关于促进残疾人就业政府采购政策的通知》（财库</w:t>
            </w:r>
            <w:r>
              <w:rPr>
                <w:color w:val="auto"/>
                <w:highlight w:val="none"/>
              </w:rPr>
              <w:t xml:space="preserve"> </w:t>
            </w:r>
            <w:r>
              <w:rPr>
                <w:color w:val="auto"/>
                <w:spacing w:val="7"/>
                <w:highlight w:val="none"/>
              </w:rPr>
              <w:t>〔2017〕141</w:t>
            </w:r>
            <w:r>
              <w:rPr>
                <w:color w:val="auto"/>
                <w:spacing w:val="-36"/>
                <w:highlight w:val="none"/>
              </w:rPr>
              <w:t xml:space="preserve"> </w:t>
            </w:r>
            <w:r>
              <w:rPr>
                <w:color w:val="auto"/>
                <w:spacing w:val="7"/>
                <w:highlight w:val="none"/>
              </w:rPr>
              <w:t>号）的规定，残疾人福利性单</w:t>
            </w:r>
            <w:r>
              <w:rPr>
                <w:color w:val="auto"/>
                <w:spacing w:val="6"/>
                <w:highlight w:val="none"/>
              </w:rPr>
              <w:t>位视同小型、微型企业，</w:t>
            </w:r>
            <w:r>
              <w:rPr>
                <w:color w:val="auto"/>
                <w:highlight w:val="none"/>
              </w:rPr>
              <w:t xml:space="preserve"> </w:t>
            </w:r>
            <w:r>
              <w:rPr>
                <w:color w:val="auto"/>
                <w:spacing w:val="11"/>
                <w:highlight w:val="none"/>
              </w:rPr>
              <w:t>享受预留份额、评审中价格扣除等促进中小企业发展的政府采购政</w:t>
            </w:r>
            <w:r>
              <w:rPr>
                <w:color w:val="auto"/>
                <w:spacing w:val="9"/>
                <w:highlight w:val="none"/>
              </w:rPr>
              <w:t xml:space="preserve"> </w:t>
            </w:r>
            <w:r>
              <w:rPr>
                <w:color w:val="auto"/>
                <w:spacing w:val="11"/>
                <w:highlight w:val="none"/>
              </w:rPr>
              <w:t>策。残疾人福利性单位参加政府采购活动时，应当提供该通知规定</w:t>
            </w:r>
            <w:r>
              <w:rPr>
                <w:color w:val="auto"/>
                <w:spacing w:val="9"/>
                <w:highlight w:val="none"/>
              </w:rPr>
              <w:t xml:space="preserve"> </w:t>
            </w:r>
            <w:r>
              <w:rPr>
                <w:color w:val="auto"/>
                <w:spacing w:val="11"/>
                <w:highlight w:val="none"/>
              </w:rPr>
              <w:t>的《残疾人福利性单位声明函》，并对声明的真实性负责。残疾人</w:t>
            </w:r>
            <w:r>
              <w:rPr>
                <w:color w:val="auto"/>
                <w:spacing w:val="9"/>
                <w:highlight w:val="none"/>
              </w:rPr>
              <w:t xml:space="preserve"> 福利性单位属于小型、微型企业的，不重复享受政策。</w:t>
            </w:r>
          </w:p>
          <w:p w14:paraId="01CB6AA7">
            <w:pPr>
              <w:pStyle w:val="9"/>
              <w:spacing w:before="232" w:line="335" w:lineRule="auto"/>
              <w:ind w:left="114" w:right="103" w:firstLine="429"/>
              <w:rPr>
                <w:color w:val="auto"/>
                <w:highlight w:val="none"/>
              </w:rPr>
            </w:pPr>
            <w:r>
              <w:rPr>
                <w:color w:val="auto"/>
                <w:spacing w:val="7"/>
                <w:highlight w:val="none"/>
              </w:rPr>
              <w:t>（4）满足招标文件要求且评标报价最低的评标报价为评标基准</w:t>
            </w:r>
            <w:r>
              <w:rPr>
                <w:color w:val="auto"/>
                <w:spacing w:val="1"/>
                <w:highlight w:val="none"/>
              </w:rPr>
              <w:t xml:space="preserve"> </w:t>
            </w:r>
            <w:r>
              <w:rPr>
                <w:color w:val="auto"/>
                <w:spacing w:val="7"/>
                <w:highlight w:val="none"/>
              </w:rPr>
              <w:t>价，其价格分为满分。</w:t>
            </w:r>
          </w:p>
          <w:p w14:paraId="2E600A34">
            <w:pPr>
              <w:pStyle w:val="9"/>
              <w:spacing w:before="234" w:line="227" w:lineRule="auto"/>
              <w:ind w:left="543"/>
              <w:rPr>
                <w:color w:val="auto"/>
                <w:highlight w:val="none"/>
              </w:rPr>
            </w:pPr>
            <w:r>
              <w:rPr>
                <w:color w:val="auto"/>
                <w:spacing w:val="6"/>
                <w:highlight w:val="none"/>
              </w:rPr>
              <w:t>（5）价格分计算公式：</w:t>
            </w:r>
          </w:p>
          <w:p w14:paraId="4BEA2FB9">
            <w:pPr>
              <w:pStyle w:val="9"/>
              <w:spacing w:before="234" w:line="227" w:lineRule="auto"/>
              <w:ind w:left="534"/>
              <w:rPr>
                <w:color w:val="auto"/>
                <w:highlight w:val="none"/>
              </w:rPr>
            </w:pPr>
            <w:r>
              <w:rPr>
                <w:color w:val="auto"/>
                <w:spacing w:val="7"/>
                <w:highlight w:val="none"/>
              </w:rPr>
              <w:t>价格分=(评标基准价／评标报价)×30</w:t>
            </w:r>
            <w:r>
              <w:rPr>
                <w:color w:val="auto"/>
                <w:spacing w:val="-24"/>
                <w:highlight w:val="none"/>
              </w:rPr>
              <w:t xml:space="preserve"> </w:t>
            </w:r>
            <w:r>
              <w:rPr>
                <w:color w:val="auto"/>
                <w:spacing w:val="7"/>
                <w:highlight w:val="none"/>
              </w:rPr>
              <w:t>分</w:t>
            </w:r>
          </w:p>
        </w:tc>
        <w:tc>
          <w:tcPr>
            <w:tcW w:w="855" w:type="dxa"/>
            <w:vAlign w:val="top"/>
          </w:tcPr>
          <w:p w14:paraId="6D48D4FC">
            <w:pPr>
              <w:spacing w:line="246" w:lineRule="auto"/>
              <w:rPr>
                <w:rFonts w:ascii="Arial"/>
                <w:color w:val="auto"/>
                <w:sz w:val="21"/>
                <w:highlight w:val="none"/>
              </w:rPr>
            </w:pPr>
          </w:p>
          <w:p w14:paraId="7E89C8A2">
            <w:pPr>
              <w:spacing w:line="246" w:lineRule="auto"/>
              <w:rPr>
                <w:rFonts w:ascii="Arial"/>
                <w:color w:val="auto"/>
                <w:sz w:val="21"/>
                <w:highlight w:val="none"/>
              </w:rPr>
            </w:pPr>
          </w:p>
          <w:p w14:paraId="51C4BA0E">
            <w:pPr>
              <w:spacing w:line="246" w:lineRule="auto"/>
              <w:rPr>
                <w:rFonts w:ascii="Arial"/>
                <w:color w:val="auto"/>
                <w:sz w:val="21"/>
                <w:highlight w:val="none"/>
              </w:rPr>
            </w:pPr>
          </w:p>
          <w:p w14:paraId="13231598">
            <w:pPr>
              <w:spacing w:line="246" w:lineRule="auto"/>
              <w:rPr>
                <w:rFonts w:ascii="Arial"/>
                <w:color w:val="auto"/>
                <w:sz w:val="21"/>
                <w:highlight w:val="none"/>
              </w:rPr>
            </w:pPr>
          </w:p>
          <w:p w14:paraId="69115F84">
            <w:pPr>
              <w:spacing w:line="246" w:lineRule="auto"/>
              <w:rPr>
                <w:rFonts w:ascii="Arial"/>
                <w:color w:val="auto"/>
                <w:sz w:val="21"/>
                <w:highlight w:val="none"/>
              </w:rPr>
            </w:pPr>
          </w:p>
          <w:p w14:paraId="46D14D10">
            <w:pPr>
              <w:spacing w:line="247" w:lineRule="auto"/>
              <w:rPr>
                <w:rFonts w:ascii="Arial"/>
                <w:color w:val="auto"/>
                <w:sz w:val="21"/>
                <w:highlight w:val="none"/>
              </w:rPr>
            </w:pPr>
          </w:p>
          <w:p w14:paraId="52D77F31">
            <w:pPr>
              <w:spacing w:line="247" w:lineRule="auto"/>
              <w:rPr>
                <w:rFonts w:ascii="Arial"/>
                <w:color w:val="auto"/>
                <w:sz w:val="21"/>
                <w:highlight w:val="none"/>
              </w:rPr>
            </w:pPr>
          </w:p>
          <w:p w14:paraId="2DCFB7C8">
            <w:pPr>
              <w:spacing w:line="247" w:lineRule="auto"/>
              <w:rPr>
                <w:rFonts w:ascii="Arial"/>
                <w:color w:val="auto"/>
                <w:sz w:val="21"/>
                <w:highlight w:val="none"/>
              </w:rPr>
            </w:pPr>
          </w:p>
          <w:p w14:paraId="08EFB3A8">
            <w:pPr>
              <w:spacing w:line="247" w:lineRule="auto"/>
              <w:rPr>
                <w:rFonts w:ascii="Arial"/>
                <w:color w:val="auto"/>
                <w:sz w:val="21"/>
                <w:highlight w:val="none"/>
              </w:rPr>
            </w:pPr>
          </w:p>
          <w:p w14:paraId="41DA9EA7">
            <w:pPr>
              <w:spacing w:line="247" w:lineRule="auto"/>
              <w:rPr>
                <w:rFonts w:ascii="Arial"/>
                <w:color w:val="auto"/>
                <w:sz w:val="21"/>
                <w:highlight w:val="none"/>
              </w:rPr>
            </w:pPr>
          </w:p>
          <w:p w14:paraId="7B2A9FA4">
            <w:pPr>
              <w:spacing w:line="247" w:lineRule="auto"/>
              <w:rPr>
                <w:rFonts w:ascii="Arial"/>
                <w:color w:val="auto"/>
                <w:sz w:val="21"/>
                <w:highlight w:val="none"/>
              </w:rPr>
            </w:pPr>
          </w:p>
          <w:p w14:paraId="385C8808">
            <w:pPr>
              <w:spacing w:line="247" w:lineRule="auto"/>
              <w:rPr>
                <w:rFonts w:ascii="Arial"/>
                <w:color w:val="auto"/>
                <w:sz w:val="21"/>
                <w:highlight w:val="none"/>
              </w:rPr>
            </w:pPr>
          </w:p>
          <w:p w14:paraId="0ED6BEEA">
            <w:pPr>
              <w:spacing w:line="247" w:lineRule="auto"/>
              <w:rPr>
                <w:rFonts w:ascii="Arial"/>
                <w:color w:val="auto"/>
                <w:sz w:val="21"/>
                <w:highlight w:val="none"/>
              </w:rPr>
            </w:pPr>
          </w:p>
          <w:p w14:paraId="16C2D377">
            <w:pPr>
              <w:spacing w:line="247" w:lineRule="auto"/>
              <w:rPr>
                <w:rFonts w:ascii="Arial"/>
                <w:color w:val="auto"/>
                <w:sz w:val="21"/>
                <w:highlight w:val="none"/>
              </w:rPr>
            </w:pPr>
          </w:p>
          <w:p w14:paraId="781A2932">
            <w:pPr>
              <w:spacing w:line="247" w:lineRule="auto"/>
              <w:rPr>
                <w:rFonts w:ascii="Arial"/>
                <w:color w:val="auto"/>
                <w:sz w:val="21"/>
                <w:highlight w:val="none"/>
              </w:rPr>
            </w:pPr>
          </w:p>
          <w:p w14:paraId="6693782B">
            <w:pPr>
              <w:spacing w:line="247" w:lineRule="auto"/>
              <w:rPr>
                <w:rFonts w:ascii="Arial"/>
                <w:color w:val="auto"/>
                <w:sz w:val="21"/>
                <w:highlight w:val="none"/>
              </w:rPr>
            </w:pPr>
          </w:p>
          <w:p w14:paraId="61080EB0">
            <w:pPr>
              <w:spacing w:line="247" w:lineRule="auto"/>
              <w:rPr>
                <w:rFonts w:ascii="Arial"/>
                <w:color w:val="auto"/>
                <w:sz w:val="21"/>
                <w:highlight w:val="none"/>
              </w:rPr>
            </w:pPr>
          </w:p>
          <w:p w14:paraId="17F8F7FE">
            <w:pPr>
              <w:pStyle w:val="9"/>
              <w:spacing w:before="65" w:line="229" w:lineRule="auto"/>
              <w:ind w:left="200"/>
              <w:rPr>
                <w:color w:val="auto"/>
                <w:highlight w:val="none"/>
              </w:rPr>
            </w:pPr>
            <w:r>
              <w:rPr>
                <w:b/>
                <w:bCs/>
                <w:color w:val="auto"/>
                <w:spacing w:val="-3"/>
                <w:highlight w:val="none"/>
              </w:rPr>
              <w:t>30</w:t>
            </w:r>
            <w:r>
              <w:rPr>
                <w:color w:val="auto"/>
                <w:spacing w:val="-36"/>
                <w:highlight w:val="none"/>
              </w:rPr>
              <w:t xml:space="preserve"> </w:t>
            </w:r>
            <w:r>
              <w:rPr>
                <w:b/>
                <w:bCs/>
                <w:color w:val="auto"/>
                <w:spacing w:val="-3"/>
                <w:highlight w:val="none"/>
              </w:rPr>
              <w:t>分</w:t>
            </w:r>
          </w:p>
        </w:tc>
      </w:tr>
      <w:tr w14:paraId="46B6F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97" w:type="dxa"/>
            <w:vAlign w:val="top"/>
          </w:tcPr>
          <w:p w14:paraId="68F2F979">
            <w:pPr>
              <w:pStyle w:val="9"/>
              <w:spacing w:before="209" w:line="269" w:lineRule="exact"/>
              <w:ind w:left="304"/>
              <w:rPr>
                <w:color w:val="auto"/>
                <w:highlight w:val="none"/>
              </w:rPr>
            </w:pPr>
            <w:r>
              <w:rPr>
                <w:b/>
                <w:bCs/>
                <w:color w:val="auto"/>
                <w:spacing w:val="-3"/>
                <w:position w:val="1"/>
                <w:highlight w:val="none"/>
              </w:rPr>
              <w:t>2</w:t>
            </w:r>
          </w:p>
        </w:tc>
        <w:tc>
          <w:tcPr>
            <w:tcW w:w="7657" w:type="dxa"/>
            <w:gridSpan w:val="2"/>
            <w:vAlign w:val="top"/>
          </w:tcPr>
          <w:p w14:paraId="44A13C1E">
            <w:pPr>
              <w:pStyle w:val="9"/>
              <w:spacing w:before="209" w:line="228" w:lineRule="auto"/>
              <w:ind w:left="3728"/>
              <w:rPr>
                <w:color w:val="auto"/>
                <w:highlight w:val="none"/>
              </w:rPr>
            </w:pPr>
            <w:r>
              <w:rPr>
                <w:b/>
                <w:bCs/>
                <w:color w:val="auto"/>
                <w:spacing w:val="5"/>
                <w:highlight w:val="none"/>
              </w:rPr>
              <w:t>技术分</w:t>
            </w:r>
          </w:p>
        </w:tc>
        <w:tc>
          <w:tcPr>
            <w:tcW w:w="855" w:type="dxa"/>
            <w:vAlign w:val="top"/>
          </w:tcPr>
          <w:p w14:paraId="6D90A9CB">
            <w:pPr>
              <w:pStyle w:val="9"/>
              <w:spacing w:before="209" w:line="229" w:lineRule="auto"/>
              <w:ind w:left="198"/>
              <w:rPr>
                <w:color w:val="auto"/>
                <w:highlight w:val="none"/>
              </w:rPr>
            </w:pPr>
            <w:r>
              <w:rPr>
                <w:b/>
                <w:bCs/>
                <w:color w:val="auto"/>
                <w:spacing w:val="-3"/>
                <w:highlight w:val="none"/>
              </w:rPr>
              <w:t>65</w:t>
            </w:r>
            <w:r>
              <w:rPr>
                <w:color w:val="auto"/>
                <w:spacing w:val="-34"/>
                <w:highlight w:val="none"/>
              </w:rPr>
              <w:t xml:space="preserve"> </w:t>
            </w:r>
            <w:r>
              <w:rPr>
                <w:b/>
                <w:bCs/>
                <w:color w:val="auto"/>
                <w:spacing w:val="-3"/>
                <w:highlight w:val="none"/>
              </w:rPr>
              <w:t>分</w:t>
            </w:r>
          </w:p>
        </w:tc>
      </w:tr>
    </w:tbl>
    <w:p w14:paraId="0691098B">
      <w:pPr>
        <w:pStyle w:val="2"/>
        <w:rPr>
          <w:color w:val="auto"/>
          <w:highlight w:val="none"/>
        </w:rPr>
      </w:pPr>
    </w:p>
    <w:p w14:paraId="5BB29298">
      <w:pPr>
        <w:rPr>
          <w:color w:val="auto"/>
          <w:highlight w:val="none"/>
        </w:rPr>
        <w:sectPr>
          <w:footerReference r:id="rId41" w:type="default"/>
          <w:pgSz w:w="11905" w:h="16839"/>
          <w:pgMar w:top="400" w:right="1345" w:bottom="1079" w:left="1345" w:header="0" w:footer="843" w:gutter="0"/>
          <w:cols w:space="720" w:num="1"/>
        </w:sectPr>
      </w:pPr>
    </w:p>
    <w:p w14:paraId="7F0FE3FA">
      <w:pPr>
        <w:spacing w:before="3"/>
        <w:rPr>
          <w:color w:val="auto"/>
          <w:highlight w:val="none"/>
        </w:rPr>
      </w:pPr>
    </w:p>
    <w:p w14:paraId="3ABDC265">
      <w:pPr>
        <w:spacing w:before="3"/>
        <w:rPr>
          <w:color w:val="auto"/>
          <w:highlight w:val="none"/>
        </w:rPr>
      </w:pPr>
    </w:p>
    <w:p w14:paraId="04A73B26">
      <w:pPr>
        <w:spacing w:before="3"/>
        <w:rPr>
          <w:color w:val="auto"/>
          <w:highlight w:val="none"/>
        </w:rPr>
      </w:pPr>
    </w:p>
    <w:tbl>
      <w:tblPr>
        <w:tblStyle w:val="8"/>
        <w:tblW w:w="9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306"/>
        <w:gridCol w:w="6351"/>
        <w:gridCol w:w="855"/>
      </w:tblGrid>
      <w:tr w14:paraId="7F67B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8" w:hRule="atLeast"/>
        </w:trPr>
        <w:tc>
          <w:tcPr>
            <w:tcW w:w="697" w:type="dxa"/>
            <w:vAlign w:val="top"/>
          </w:tcPr>
          <w:p w14:paraId="2EE0B311">
            <w:pPr>
              <w:spacing w:line="258" w:lineRule="auto"/>
              <w:rPr>
                <w:rFonts w:ascii="Arial"/>
                <w:color w:val="auto"/>
                <w:sz w:val="21"/>
                <w:highlight w:val="none"/>
              </w:rPr>
            </w:pPr>
          </w:p>
          <w:p w14:paraId="1A53B545">
            <w:pPr>
              <w:spacing w:line="259" w:lineRule="auto"/>
              <w:rPr>
                <w:rFonts w:ascii="Arial"/>
                <w:color w:val="auto"/>
                <w:sz w:val="21"/>
                <w:highlight w:val="none"/>
              </w:rPr>
            </w:pPr>
          </w:p>
          <w:p w14:paraId="657C7BBE">
            <w:pPr>
              <w:spacing w:line="259" w:lineRule="auto"/>
              <w:rPr>
                <w:rFonts w:ascii="Arial"/>
                <w:color w:val="auto"/>
                <w:sz w:val="21"/>
                <w:highlight w:val="none"/>
              </w:rPr>
            </w:pPr>
          </w:p>
          <w:p w14:paraId="3220AFD0">
            <w:pPr>
              <w:spacing w:line="259" w:lineRule="auto"/>
              <w:rPr>
                <w:rFonts w:ascii="Arial"/>
                <w:color w:val="auto"/>
                <w:sz w:val="21"/>
                <w:highlight w:val="none"/>
              </w:rPr>
            </w:pPr>
          </w:p>
          <w:p w14:paraId="66281BBD">
            <w:pPr>
              <w:spacing w:line="259" w:lineRule="auto"/>
              <w:rPr>
                <w:rFonts w:ascii="Arial"/>
                <w:color w:val="auto"/>
                <w:sz w:val="21"/>
                <w:highlight w:val="none"/>
              </w:rPr>
            </w:pPr>
          </w:p>
          <w:p w14:paraId="62406FC1">
            <w:pPr>
              <w:spacing w:line="259" w:lineRule="auto"/>
              <w:rPr>
                <w:rFonts w:ascii="Arial"/>
                <w:color w:val="auto"/>
                <w:sz w:val="21"/>
                <w:highlight w:val="none"/>
              </w:rPr>
            </w:pPr>
          </w:p>
          <w:p w14:paraId="128CC30B">
            <w:pPr>
              <w:spacing w:line="259" w:lineRule="auto"/>
              <w:rPr>
                <w:rFonts w:ascii="Arial"/>
                <w:color w:val="auto"/>
                <w:sz w:val="21"/>
                <w:highlight w:val="none"/>
              </w:rPr>
            </w:pPr>
          </w:p>
          <w:p w14:paraId="01953A86">
            <w:pPr>
              <w:pStyle w:val="9"/>
              <w:spacing w:before="65" w:line="269" w:lineRule="exact"/>
              <w:ind w:left="198"/>
              <w:rPr>
                <w:color w:val="auto"/>
                <w:highlight w:val="none"/>
              </w:rPr>
            </w:pPr>
            <w:r>
              <w:rPr>
                <w:color w:val="auto"/>
                <w:spacing w:val="1"/>
                <w:position w:val="1"/>
                <w:highlight w:val="none"/>
              </w:rPr>
              <w:t>2.1</w:t>
            </w:r>
          </w:p>
        </w:tc>
        <w:tc>
          <w:tcPr>
            <w:tcW w:w="1306" w:type="dxa"/>
            <w:vAlign w:val="top"/>
          </w:tcPr>
          <w:p w14:paraId="38864163">
            <w:pPr>
              <w:spacing w:line="262" w:lineRule="auto"/>
              <w:rPr>
                <w:rFonts w:ascii="Arial"/>
                <w:color w:val="auto"/>
                <w:sz w:val="21"/>
                <w:highlight w:val="none"/>
              </w:rPr>
            </w:pPr>
          </w:p>
          <w:p w14:paraId="4B010729">
            <w:pPr>
              <w:spacing w:line="262" w:lineRule="auto"/>
              <w:rPr>
                <w:rFonts w:ascii="Arial"/>
                <w:color w:val="auto"/>
                <w:sz w:val="21"/>
                <w:highlight w:val="none"/>
              </w:rPr>
            </w:pPr>
          </w:p>
          <w:p w14:paraId="729BEFFF">
            <w:pPr>
              <w:spacing w:line="262" w:lineRule="auto"/>
              <w:rPr>
                <w:rFonts w:ascii="Arial"/>
                <w:color w:val="auto"/>
                <w:sz w:val="21"/>
                <w:highlight w:val="none"/>
              </w:rPr>
            </w:pPr>
          </w:p>
          <w:p w14:paraId="01F9EF3B">
            <w:pPr>
              <w:spacing w:line="262" w:lineRule="auto"/>
              <w:rPr>
                <w:rFonts w:ascii="Arial"/>
                <w:color w:val="auto"/>
                <w:sz w:val="21"/>
                <w:highlight w:val="none"/>
              </w:rPr>
            </w:pPr>
          </w:p>
          <w:p w14:paraId="7ADE939E">
            <w:pPr>
              <w:spacing w:line="262" w:lineRule="auto"/>
              <w:rPr>
                <w:rFonts w:ascii="Arial"/>
                <w:color w:val="auto"/>
                <w:sz w:val="21"/>
                <w:highlight w:val="none"/>
              </w:rPr>
            </w:pPr>
          </w:p>
          <w:p w14:paraId="4D6D476F">
            <w:pPr>
              <w:spacing w:line="263" w:lineRule="auto"/>
              <w:rPr>
                <w:rFonts w:ascii="Arial"/>
                <w:color w:val="auto"/>
                <w:sz w:val="21"/>
                <w:highlight w:val="none"/>
              </w:rPr>
            </w:pPr>
          </w:p>
          <w:p w14:paraId="3FD6DEF1">
            <w:pPr>
              <w:pStyle w:val="9"/>
              <w:spacing w:before="65" w:line="228" w:lineRule="auto"/>
              <w:ind w:left="136"/>
              <w:rPr>
                <w:color w:val="auto"/>
                <w:highlight w:val="none"/>
              </w:rPr>
            </w:pPr>
            <w:r>
              <w:rPr>
                <w:color w:val="auto"/>
                <w:spacing w:val="7"/>
                <w:highlight w:val="none"/>
              </w:rPr>
              <w:t>项目管理机</w:t>
            </w:r>
          </w:p>
          <w:p w14:paraId="77A185B1">
            <w:pPr>
              <w:pStyle w:val="9"/>
              <w:spacing w:before="233" w:line="229" w:lineRule="auto"/>
              <w:ind w:left="555"/>
              <w:rPr>
                <w:color w:val="auto"/>
                <w:highlight w:val="none"/>
              </w:rPr>
            </w:pPr>
            <w:r>
              <w:rPr>
                <w:color w:val="auto"/>
                <w:highlight w:val="none"/>
              </w:rPr>
              <w:t>构</w:t>
            </w:r>
          </w:p>
        </w:tc>
        <w:tc>
          <w:tcPr>
            <w:tcW w:w="6351" w:type="dxa"/>
            <w:vAlign w:val="top"/>
          </w:tcPr>
          <w:p w14:paraId="34DA8452">
            <w:pPr>
              <w:pStyle w:val="9"/>
              <w:spacing w:before="209" w:line="335" w:lineRule="auto"/>
              <w:ind w:left="113" w:right="106" w:firstLine="15"/>
              <w:rPr>
                <w:color w:val="auto"/>
                <w:highlight w:val="none"/>
              </w:rPr>
            </w:pPr>
            <w:r>
              <w:rPr>
                <w:color w:val="auto"/>
                <w:spacing w:val="7"/>
                <w:highlight w:val="none"/>
              </w:rPr>
              <w:t>1、项目经理：项目经理</w:t>
            </w:r>
            <w:r>
              <w:rPr>
                <w:rFonts w:ascii="宋体" w:hAnsi="宋体" w:eastAsia="宋体" w:cs="宋体"/>
                <w:color w:val="auto"/>
                <w:spacing w:val="8"/>
                <w:sz w:val="20"/>
                <w:szCs w:val="20"/>
                <w:highlight w:val="none"/>
              </w:rPr>
              <w:t>具有建筑工程专业二级及以上注册建造师证书，</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具备有效的安全生产考核合格证书（B</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类）</w:t>
            </w:r>
            <w:r>
              <w:rPr>
                <w:color w:val="auto"/>
                <w:spacing w:val="6"/>
                <w:highlight w:val="none"/>
              </w:rPr>
              <w:t>得</w:t>
            </w:r>
            <w:r>
              <w:rPr>
                <w:color w:val="auto"/>
                <w:spacing w:val="-24"/>
                <w:highlight w:val="none"/>
              </w:rPr>
              <w:t xml:space="preserve"> </w:t>
            </w:r>
            <w:r>
              <w:rPr>
                <w:color w:val="auto"/>
                <w:spacing w:val="6"/>
                <w:highlight w:val="none"/>
              </w:rPr>
              <w:t>2.5</w:t>
            </w:r>
            <w:r>
              <w:rPr>
                <w:color w:val="auto"/>
                <w:spacing w:val="-38"/>
                <w:highlight w:val="none"/>
              </w:rPr>
              <w:t xml:space="preserve"> </w:t>
            </w:r>
            <w:r>
              <w:rPr>
                <w:color w:val="auto"/>
                <w:spacing w:val="6"/>
                <w:highlight w:val="none"/>
              </w:rPr>
              <w:t>分。此项满分</w:t>
            </w:r>
            <w:r>
              <w:rPr>
                <w:color w:val="auto"/>
                <w:spacing w:val="-34"/>
                <w:highlight w:val="none"/>
              </w:rPr>
              <w:t xml:space="preserve"> </w:t>
            </w:r>
            <w:r>
              <w:rPr>
                <w:color w:val="auto"/>
                <w:spacing w:val="6"/>
                <w:highlight w:val="none"/>
              </w:rPr>
              <w:t>2.5</w:t>
            </w:r>
            <w:r>
              <w:rPr>
                <w:color w:val="auto"/>
                <w:spacing w:val="-38"/>
                <w:highlight w:val="none"/>
              </w:rPr>
              <w:t xml:space="preserve"> </w:t>
            </w:r>
            <w:r>
              <w:rPr>
                <w:color w:val="auto"/>
                <w:spacing w:val="6"/>
                <w:highlight w:val="none"/>
              </w:rPr>
              <w:t>分。</w:t>
            </w:r>
          </w:p>
          <w:p w14:paraId="0243B446">
            <w:pPr>
              <w:pStyle w:val="9"/>
              <w:spacing w:before="231" w:line="372" w:lineRule="auto"/>
              <w:ind w:left="115" w:right="102"/>
              <w:rPr>
                <w:color w:val="auto"/>
                <w:highlight w:val="none"/>
              </w:rPr>
            </w:pPr>
            <w:r>
              <w:rPr>
                <w:color w:val="auto"/>
                <w:spacing w:val="7"/>
                <w:highlight w:val="none"/>
              </w:rPr>
              <w:t>2、拟投入的本项目的技术负责人、施工员、质量员、安全员、材料</w:t>
            </w:r>
            <w:r>
              <w:rPr>
                <w:color w:val="auto"/>
                <w:spacing w:val="12"/>
                <w:highlight w:val="none"/>
              </w:rPr>
              <w:t xml:space="preserve"> </w:t>
            </w:r>
            <w:r>
              <w:rPr>
                <w:color w:val="auto"/>
                <w:spacing w:val="4"/>
                <w:highlight w:val="none"/>
              </w:rPr>
              <w:t>员等人员齐备，均具有相应岗位资格证书，得</w:t>
            </w:r>
            <w:r>
              <w:rPr>
                <w:color w:val="auto"/>
                <w:spacing w:val="-30"/>
                <w:highlight w:val="none"/>
              </w:rPr>
              <w:t xml:space="preserve"> </w:t>
            </w:r>
            <w:r>
              <w:rPr>
                <w:color w:val="auto"/>
                <w:spacing w:val="4"/>
                <w:highlight w:val="none"/>
              </w:rPr>
              <w:t>2.5</w:t>
            </w:r>
            <w:r>
              <w:rPr>
                <w:color w:val="auto"/>
                <w:spacing w:val="-38"/>
                <w:highlight w:val="none"/>
              </w:rPr>
              <w:t xml:space="preserve"> </w:t>
            </w:r>
            <w:r>
              <w:rPr>
                <w:color w:val="auto"/>
                <w:spacing w:val="4"/>
                <w:highlight w:val="none"/>
              </w:rPr>
              <w:t>分，此项满分</w:t>
            </w:r>
            <w:r>
              <w:rPr>
                <w:color w:val="auto"/>
                <w:spacing w:val="-34"/>
                <w:highlight w:val="none"/>
              </w:rPr>
              <w:t xml:space="preserve"> </w:t>
            </w:r>
            <w:r>
              <w:rPr>
                <w:color w:val="auto"/>
                <w:spacing w:val="4"/>
                <w:highlight w:val="none"/>
              </w:rPr>
              <w:t>2.5</w:t>
            </w:r>
            <w:r>
              <w:rPr>
                <w:color w:val="auto"/>
                <w:highlight w:val="none"/>
              </w:rPr>
              <w:t xml:space="preserve"> </w:t>
            </w:r>
            <w:r>
              <w:rPr>
                <w:color w:val="auto"/>
                <w:spacing w:val="7"/>
                <w:highlight w:val="none"/>
              </w:rPr>
              <w:t>分。（</w:t>
            </w:r>
            <w:r>
              <w:rPr>
                <w:rFonts w:hint="eastAsia"/>
                <w:color w:val="auto"/>
                <w:spacing w:val="7"/>
                <w:highlight w:val="none"/>
                <w:lang w:eastAsia="zh-CN"/>
              </w:rPr>
              <w:t>技术负责人具备工程类职称证书，</w:t>
            </w:r>
            <w:r>
              <w:rPr>
                <w:rFonts w:hint="eastAsia"/>
                <w:color w:val="auto"/>
                <w:spacing w:val="7"/>
                <w:highlight w:val="none"/>
              </w:rPr>
              <w:t>拟投入本工程的施工员、质量员、材料员应具有有效的相应施工现场专业人员职业培训合格证书，专职安全生产管理人员需有有效建筑施工企业三类人员C证</w:t>
            </w:r>
            <w:r>
              <w:rPr>
                <w:rFonts w:hint="eastAsia"/>
                <w:color w:val="auto"/>
                <w:spacing w:val="7"/>
                <w:highlight w:val="none"/>
                <w:lang w:eastAsia="zh-CN"/>
              </w:rPr>
              <w:t>，</w:t>
            </w:r>
            <w:r>
              <w:rPr>
                <w:color w:val="auto"/>
                <w:spacing w:val="7"/>
                <w:highlight w:val="none"/>
              </w:rPr>
              <w:t>缺一项不得分）</w:t>
            </w:r>
          </w:p>
          <w:p w14:paraId="0C8104A7">
            <w:pPr>
              <w:pStyle w:val="9"/>
              <w:spacing w:before="233" w:line="378" w:lineRule="auto"/>
              <w:ind w:left="114" w:right="103" w:hanging="1"/>
              <w:jc w:val="both"/>
              <w:rPr>
                <w:color w:val="auto"/>
                <w:highlight w:val="none"/>
              </w:rPr>
            </w:pPr>
            <w:r>
              <w:rPr>
                <w:color w:val="auto"/>
                <w:spacing w:val="12"/>
                <w:highlight w:val="none"/>
              </w:rPr>
              <w:t>注</w:t>
            </w:r>
            <w:r>
              <w:rPr>
                <w:color w:val="auto"/>
                <w:spacing w:val="-19"/>
                <w:highlight w:val="none"/>
              </w:rPr>
              <w:t>：（</w:t>
            </w:r>
            <w:r>
              <w:rPr>
                <w:color w:val="auto"/>
                <w:spacing w:val="12"/>
                <w:highlight w:val="none"/>
              </w:rPr>
              <w:t>注：项目经理及其他拟投入的本项目人员</w:t>
            </w:r>
            <w:r>
              <w:rPr>
                <w:color w:val="auto"/>
                <w:spacing w:val="11"/>
                <w:highlight w:val="none"/>
              </w:rPr>
              <w:t>需提供相关证书及</w:t>
            </w:r>
            <w:r>
              <w:rPr>
                <w:color w:val="auto"/>
                <w:spacing w:val="1"/>
                <w:highlight w:val="none"/>
              </w:rPr>
              <w:t xml:space="preserve"> </w:t>
            </w:r>
            <w:r>
              <w:rPr>
                <w:color w:val="auto"/>
                <w:spacing w:val="6"/>
                <w:highlight w:val="none"/>
              </w:rPr>
              <w:t>[</w:t>
            </w:r>
            <w:r>
              <w:rPr>
                <w:color w:val="auto"/>
                <w:spacing w:val="-37"/>
                <w:highlight w:val="none"/>
                <w:u w:val="single" w:color="auto"/>
              </w:rPr>
              <w:t xml:space="preserve"> </w:t>
            </w:r>
            <w:r>
              <w:rPr>
                <w:color w:val="auto"/>
                <w:spacing w:val="6"/>
                <w:highlight w:val="none"/>
                <w:u w:val="single" w:color="auto"/>
              </w:rPr>
              <w:t xml:space="preserve">2025 </w:t>
            </w:r>
            <w:r>
              <w:rPr>
                <w:color w:val="auto"/>
                <w:spacing w:val="6"/>
                <w:highlight w:val="none"/>
              </w:rPr>
              <w:t>年</w:t>
            </w:r>
            <w:r>
              <w:rPr>
                <w:color w:val="auto"/>
                <w:spacing w:val="6"/>
                <w:highlight w:val="none"/>
                <w:u w:val="single" w:color="auto"/>
              </w:rPr>
              <w:t xml:space="preserve"> </w:t>
            </w:r>
            <w:r>
              <w:rPr>
                <w:rFonts w:hint="eastAsia"/>
                <w:color w:val="auto"/>
                <w:spacing w:val="6"/>
                <w:highlight w:val="none"/>
                <w:u w:val="single" w:color="auto"/>
                <w:lang w:val="en-US" w:eastAsia="zh-CN"/>
              </w:rPr>
              <w:t>6</w:t>
            </w:r>
            <w:r>
              <w:rPr>
                <w:color w:val="auto"/>
                <w:spacing w:val="-35"/>
                <w:highlight w:val="none"/>
                <w:u w:val="single" w:color="auto"/>
              </w:rPr>
              <w:t xml:space="preserve"> </w:t>
            </w:r>
            <w:r>
              <w:rPr>
                <w:color w:val="auto"/>
                <w:spacing w:val="6"/>
                <w:highlight w:val="none"/>
              </w:rPr>
              <w:t>月至</w:t>
            </w:r>
            <w:r>
              <w:rPr>
                <w:color w:val="auto"/>
                <w:spacing w:val="6"/>
                <w:highlight w:val="none"/>
                <w:u w:val="single" w:color="auto"/>
              </w:rPr>
              <w:t xml:space="preserve"> 2025 </w:t>
            </w:r>
            <w:r>
              <w:rPr>
                <w:color w:val="auto"/>
                <w:spacing w:val="6"/>
                <w:highlight w:val="none"/>
              </w:rPr>
              <w:t>年</w:t>
            </w:r>
            <w:r>
              <w:rPr>
                <w:color w:val="auto"/>
                <w:spacing w:val="17"/>
                <w:highlight w:val="none"/>
                <w:u w:val="single" w:color="auto"/>
              </w:rPr>
              <w:t xml:space="preserve"> </w:t>
            </w:r>
            <w:r>
              <w:rPr>
                <w:rFonts w:hint="eastAsia"/>
                <w:color w:val="auto"/>
                <w:spacing w:val="6"/>
                <w:highlight w:val="none"/>
                <w:u w:val="single" w:color="auto"/>
                <w:lang w:val="en-US" w:eastAsia="zh-CN"/>
              </w:rPr>
              <w:t>11</w:t>
            </w:r>
            <w:r>
              <w:rPr>
                <w:color w:val="auto"/>
                <w:spacing w:val="-35"/>
                <w:highlight w:val="none"/>
                <w:u w:val="single" w:color="auto"/>
              </w:rPr>
              <w:t xml:space="preserve"> </w:t>
            </w:r>
            <w:r>
              <w:rPr>
                <w:color w:val="auto"/>
                <w:spacing w:val="6"/>
                <w:highlight w:val="none"/>
              </w:rPr>
              <w:t>月]内连续三个月供应商为其依法缴纳</w:t>
            </w:r>
            <w:r>
              <w:rPr>
                <w:color w:val="auto"/>
                <w:highlight w:val="none"/>
              </w:rPr>
              <w:t xml:space="preserve"> </w:t>
            </w:r>
            <w:r>
              <w:rPr>
                <w:color w:val="auto"/>
                <w:spacing w:val="8"/>
                <w:highlight w:val="none"/>
              </w:rPr>
              <w:t>社保的证明材料，否则不得分。）</w:t>
            </w:r>
          </w:p>
        </w:tc>
        <w:tc>
          <w:tcPr>
            <w:tcW w:w="855" w:type="dxa"/>
            <w:vAlign w:val="top"/>
          </w:tcPr>
          <w:p w14:paraId="74749AD3">
            <w:pPr>
              <w:spacing w:line="258" w:lineRule="auto"/>
              <w:rPr>
                <w:rFonts w:ascii="Arial"/>
                <w:color w:val="auto"/>
                <w:sz w:val="21"/>
                <w:highlight w:val="none"/>
              </w:rPr>
            </w:pPr>
          </w:p>
          <w:p w14:paraId="71772243">
            <w:pPr>
              <w:spacing w:line="259" w:lineRule="auto"/>
              <w:rPr>
                <w:rFonts w:ascii="Arial"/>
                <w:color w:val="auto"/>
                <w:sz w:val="21"/>
                <w:highlight w:val="none"/>
              </w:rPr>
            </w:pPr>
          </w:p>
          <w:p w14:paraId="1A5AD184">
            <w:pPr>
              <w:spacing w:line="259" w:lineRule="auto"/>
              <w:rPr>
                <w:rFonts w:ascii="Arial"/>
                <w:color w:val="auto"/>
                <w:sz w:val="21"/>
                <w:highlight w:val="none"/>
              </w:rPr>
            </w:pPr>
          </w:p>
          <w:p w14:paraId="12FAF679">
            <w:pPr>
              <w:spacing w:line="259" w:lineRule="auto"/>
              <w:rPr>
                <w:rFonts w:ascii="Arial"/>
                <w:color w:val="auto"/>
                <w:sz w:val="21"/>
                <w:highlight w:val="none"/>
              </w:rPr>
            </w:pPr>
          </w:p>
          <w:p w14:paraId="6FFE130F">
            <w:pPr>
              <w:spacing w:line="259" w:lineRule="auto"/>
              <w:rPr>
                <w:rFonts w:ascii="Arial"/>
                <w:color w:val="auto"/>
                <w:sz w:val="21"/>
                <w:highlight w:val="none"/>
              </w:rPr>
            </w:pPr>
          </w:p>
          <w:p w14:paraId="3E16B3D5">
            <w:pPr>
              <w:spacing w:line="259" w:lineRule="auto"/>
              <w:rPr>
                <w:rFonts w:ascii="Arial"/>
                <w:color w:val="auto"/>
                <w:sz w:val="21"/>
                <w:highlight w:val="none"/>
              </w:rPr>
            </w:pPr>
          </w:p>
          <w:p w14:paraId="39830B99">
            <w:pPr>
              <w:spacing w:line="259" w:lineRule="auto"/>
              <w:rPr>
                <w:rFonts w:ascii="Arial"/>
                <w:color w:val="auto"/>
                <w:sz w:val="21"/>
                <w:highlight w:val="none"/>
              </w:rPr>
            </w:pPr>
          </w:p>
          <w:p w14:paraId="77711E44">
            <w:pPr>
              <w:pStyle w:val="9"/>
              <w:spacing w:before="65" w:line="229" w:lineRule="auto"/>
              <w:ind w:left="253"/>
              <w:rPr>
                <w:color w:val="auto"/>
                <w:highlight w:val="none"/>
              </w:rPr>
            </w:pPr>
            <w:r>
              <w:rPr>
                <w:color w:val="auto"/>
                <w:spacing w:val="-4"/>
                <w:highlight w:val="none"/>
              </w:rPr>
              <w:t>5</w:t>
            </w:r>
            <w:r>
              <w:rPr>
                <w:color w:val="auto"/>
                <w:spacing w:val="-38"/>
                <w:highlight w:val="none"/>
              </w:rPr>
              <w:t xml:space="preserve"> </w:t>
            </w:r>
            <w:r>
              <w:rPr>
                <w:color w:val="auto"/>
                <w:spacing w:val="-4"/>
                <w:highlight w:val="none"/>
              </w:rPr>
              <w:t>分</w:t>
            </w:r>
          </w:p>
        </w:tc>
      </w:tr>
      <w:tr w14:paraId="0C92D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3" w:hRule="atLeast"/>
        </w:trPr>
        <w:tc>
          <w:tcPr>
            <w:tcW w:w="697" w:type="dxa"/>
            <w:vAlign w:val="top"/>
          </w:tcPr>
          <w:p w14:paraId="061E439C">
            <w:pPr>
              <w:spacing w:line="246" w:lineRule="auto"/>
              <w:rPr>
                <w:rFonts w:ascii="Arial"/>
                <w:color w:val="auto"/>
                <w:sz w:val="21"/>
                <w:highlight w:val="none"/>
              </w:rPr>
            </w:pPr>
          </w:p>
          <w:p w14:paraId="0C8EDFEE">
            <w:pPr>
              <w:spacing w:line="246" w:lineRule="auto"/>
              <w:rPr>
                <w:rFonts w:ascii="Arial"/>
                <w:color w:val="auto"/>
                <w:sz w:val="21"/>
                <w:highlight w:val="none"/>
              </w:rPr>
            </w:pPr>
          </w:p>
          <w:p w14:paraId="1FBE6C1D">
            <w:pPr>
              <w:spacing w:line="246" w:lineRule="auto"/>
              <w:rPr>
                <w:rFonts w:ascii="Arial"/>
                <w:color w:val="auto"/>
                <w:sz w:val="21"/>
                <w:highlight w:val="none"/>
              </w:rPr>
            </w:pPr>
          </w:p>
          <w:p w14:paraId="209B24C3">
            <w:pPr>
              <w:spacing w:line="246" w:lineRule="auto"/>
              <w:rPr>
                <w:rFonts w:ascii="Arial"/>
                <w:color w:val="auto"/>
                <w:sz w:val="21"/>
                <w:highlight w:val="none"/>
              </w:rPr>
            </w:pPr>
          </w:p>
          <w:p w14:paraId="5BB4BD03">
            <w:pPr>
              <w:spacing w:line="246" w:lineRule="auto"/>
              <w:rPr>
                <w:rFonts w:ascii="Arial"/>
                <w:color w:val="auto"/>
                <w:sz w:val="21"/>
                <w:highlight w:val="none"/>
              </w:rPr>
            </w:pPr>
          </w:p>
          <w:p w14:paraId="26DC220B">
            <w:pPr>
              <w:spacing w:line="246" w:lineRule="auto"/>
              <w:rPr>
                <w:rFonts w:ascii="Arial"/>
                <w:color w:val="auto"/>
                <w:sz w:val="21"/>
                <w:highlight w:val="none"/>
              </w:rPr>
            </w:pPr>
          </w:p>
          <w:p w14:paraId="286C7EA5">
            <w:pPr>
              <w:spacing w:line="246" w:lineRule="auto"/>
              <w:rPr>
                <w:rFonts w:ascii="Arial"/>
                <w:color w:val="auto"/>
                <w:sz w:val="21"/>
                <w:highlight w:val="none"/>
              </w:rPr>
            </w:pPr>
          </w:p>
          <w:p w14:paraId="6399A0D2">
            <w:pPr>
              <w:spacing w:line="247" w:lineRule="auto"/>
              <w:rPr>
                <w:rFonts w:ascii="Arial"/>
                <w:color w:val="auto"/>
                <w:sz w:val="21"/>
                <w:highlight w:val="none"/>
              </w:rPr>
            </w:pPr>
          </w:p>
          <w:p w14:paraId="3BBB6C53">
            <w:pPr>
              <w:pStyle w:val="9"/>
              <w:spacing w:before="65" w:line="268" w:lineRule="exact"/>
              <w:ind w:left="198"/>
              <w:rPr>
                <w:color w:val="auto"/>
                <w:highlight w:val="none"/>
              </w:rPr>
            </w:pPr>
            <w:r>
              <w:rPr>
                <w:color w:val="auto"/>
                <w:spacing w:val="1"/>
                <w:position w:val="1"/>
                <w:highlight w:val="none"/>
              </w:rPr>
              <w:t>2.2</w:t>
            </w:r>
          </w:p>
        </w:tc>
        <w:tc>
          <w:tcPr>
            <w:tcW w:w="1306" w:type="dxa"/>
            <w:vAlign w:val="top"/>
          </w:tcPr>
          <w:p w14:paraId="46B79089">
            <w:pPr>
              <w:spacing w:line="247" w:lineRule="auto"/>
              <w:rPr>
                <w:rFonts w:ascii="Arial"/>
                <w:color w:val="auto"/>
                <w:sz w:val="21"/>
                <w:highlight w:val="none"/>
              </w:rPr>
            </w:pPr>
          </w:p>
          <w:p w14:paraId="4359C94D">
            <w:pPr>
              <w:spacing w:line="247" w:lineRule="auto"/>
              <w:rPr>
                <w:rFonts w:ascii="Arial"/>
                <w:color w:val="auto"/>
                <w:sz w:val="21"/>
                <w:highlight w:val="none"/>
              </w:rPr>
            </w:pPr>
          </w:p>
          <w:p w14:paraId="7AC26D22">
            <w:pPr>
              <w:spacing w:line="247" w:lineRule="auto"/>
              <w:rPr>
                <w:rFonts w:ascii="Arial"/>
                <w:color w:val="auto"/>
                <w:sz w:val="21"/>
                <w:highlight w:val="none"/>
              </w:rPr>
            </w:pPr>
          </w:p>
          <w:p w14:paraId="3FFAB952">
            <w:pPr>
              <w:spacing w:line="247" w:lineRule="auto"/>
              <w:rPr>
                <w:rFonts w:ascii="Arial"/>
                <w:color w:val="auto"/>
                <w:sz w:val="21"/>
                <w:highlight w:val="none"/>
              </w:rPr>
            </w:pPr>
          </w:p>
          <w:p w14:paraId="208BADD4">
            <w:pPr>
              <w:spacing w:line="247" w:lineRule="auto"/>
              <w:rPr>
                <w:rFonts w:ascii="Arial"/>
                <w:color w:val="auto"/>
                <w:sz w:val="21"/>
                <w:highlight w:val="none"/>
              </w:rPr>
            </w:pPr>
          </w:p>
          <w:p w14:paraId="06507D91">
            <w:pPr>
              <w:spacing w:line="247" w:lineRule="auto"/>
              <w:rPr>
                <w:rFonts w:ascii="Arial"/>
                <w:color w:val="auto"/>
                <w:sz w:val="21"/>
                <w:highlight w:val="none"/>
              </w:rPr>
            </w:pPr>
          </w:p>
          <w:p w14:paraId="31B7F7DE">
            <w:pPr>
              <w:spacing w:line="248" w:lineRule="auto"/>
              <w:rPr>
                <w:rFonts w:ascii="Arial"/>
                <w:color w:val="auto"/>
                <w:sz w:val="21"/>
                <w:highlight w:val="none"/>
              </w:rPr>
            </w:pPr>
          </w:p>
          <w:p w14:paraId="2BE8977C">
            <w:pPr>
              <w:pStyle w:val="9"/>
              <w:spacing w:before="65" w:line="230" w:lineRule="auto"/>
              <w:ind w:left="134"/>
              <w:rPr>
                <w:color w:val="auto"/>
                <w:highlight w:val="none"/>
              </w:rPr>
            </w:pPr>
            <w:r>
              <w:rPr>
                <w:color w:val="auto"/>
                <w:spacing w:val="7"/>
                <w:highlight w:val="none"/>
              </w:rPr>
              <w:t>主要施工方</w:t>
            </w:r>
          </w:p>
          <w:p w14:paraId="15FD46B8">
            <w:pPr>
              <w:pStyle w:val="9"/>
              <w:spacing w:before="231" w:line="234" w:lineRule="auto"/>
              <w:ind w:left="553"/>
              <w:rPr>
                <w:color w:val="auto"/>
                <w:highlight w:val="none"/>
              </w:rPr>
            </w:pPr>
            <w:r>
              <w:rPr>
                <w:color w:val="auto"/>
                <w:highlight w:val="none"/>
              </w:rPr>
              <w:t>法</w:t>
            </w:r>
          </w:p>
        </w:tc>
        <w:tc>
          <w:tcPr>
            <w:tcW w:w="6351" w:type="dxa"/>
            <w:vAlign w:val="top"/>
          </w:tcPr>
          <w:p w14:paraId="3F74AE15">
            <w:pPr>
              <w:pStyle w:val="9"/>
              <w:spacing w:before="142" w:line="369" w:lineRule="auto"/>
              <w:ind w:left="112" w:right="33" w:firstLine="4"/>
              <w:rPr>
                <w:color w:val="auto"/>
                <w:highlight w:val="none"/>
              </w:rPr>
            </w:pPr>
            <w:r>
              <w:rPr>
                <w:color w:val="auto"/>
                <w:spacing w:val="8"/>
                <w:highlight w:val="none"/>
              </w:rPr>
              <w:t>一档（10</w:t>
            </w:r>
            <w:r>
              <w:rPr>
                <w:color w:val="auto"/>
                <w:spacing w:val="-38"/>
                <w:highlight w:val="none"/>
              </w:rPr>
              <w:t xml:space="preserve"> </w:t>
            </w:r>
            <w:r>
              <w:rPr>
                <w:color w:val="auto"/>
                <w:spacing w:val="8"/>
                <w:highlight w:val="none"/>
              </w:rPr>
              <w:t>分</w:t>
            </w:r>
            <w:r>
              <w:rPr>
                <w:color w:val="auto"/>
                <w:spacing w:val="19"/>
                <w:highlight w:val="none"/>
              </w:rPr>
              <w:t>）：</w:t>
            </w:r>
            <w:r>
              <w:rPr>
                <w:color w:val="auto"/>
                <w:spacing w:val="8"/>
                <w:highlight w:val="none"/>
              </w:rPr>
              <w:t>对项目施工总体有深刻认识，表述清晰、完整、严</w:t>
            </w:r>
            <w:r>
              <w:rPr>
                <w:color w:val="auto"/>
                <w:highlight w:val="none"/>
              </w:rPr>
              <w:t xml:space="preserve"> </w:t>
            </w:r>
            <w:r>
              <w:rPr>
                <w:color w:val="auto"/>
                <w:spacing w:val="7"/>
                <w:highlight w:val="none"/>
              </w:rPr>
              <w:t>谨、合理，措施先进、具体、有效、成熟，</w:t>
            </w:r>
            <w:r>
              <w:rPr>
                <w:color w:val="auto"/>
                <w:spacing w:val="6"/>
                <w:highlight w:val="none"/>
              </w:rPr>
              <w:t>采用了已论证的新技术、</w:t>
            </w:r>
            <w:r>
              <w:rPr>
                <w:color w:val="auto"/>
                <w:highlight w:val="none"/>
              </w:rPr>
              <w:t xml:space="preserve"> </w:t>
            </w:r>
            <w:r>
              <w:rPr>
                <w:color w:val="auto"/>
                <w:spacing w:val="12"/>
                <w:highlight w:val="none"/>
              </w:rPr>
              <w:t>新工艺、新材料、新设备；施工段划分呼应总体表述</w:t>
            </w:r>
            <w:r>
              <w:rPr>
                <w:color w:val="auto"/>
                <w:spacing w:val="11"/>
                <w:highlight w:val="none"/>
              </w:rPr>
              <w:t>，划分清晰、</w:t>
            </w:r>
            <w:r>
              <w:rPr>
                <w:color w:val="auto"/>
                <w:highlight w:val="none"/>
              </w:rPr>
              <w:t xml:space="preserve"> </w:t>
            </w:r>
            <w:r>
              <w:rPr>
                <w:color w:val="auto"/>
                <w:spacing w:val="8"/>
                <w:highlight w:val="none"/>
              </w:rPr>
              <w:t>合理，符合规范要求。</w:t>
            </w:r>
          </w:p>
          <w:p w14:paraId="59498CD3">
            <w:pPr>
              <w:pStyle w:val="9"/>
              <w:spacing w:before="2" w:line="369" w:lineRule="auto"/>
              <w:ind w:left="113" w:right="103" w:firstLine="3"/>
              <w:rPr>
                <w:color w:val="auto"/>
                <w:highlight w:val="none"/>
              </w:rPr>
            </w:pPr>
            <w:r>
              <w:rPr>
                <w:color w:val="auto"/>
                <w:spacing w:val="11"/>
                <w:highlight w:val="none"/>
              </w:rPr>
              <w:t>二档（7</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对项目总体有良好认识，表述清晰、完整，措施具</w:t>
            </w:r>
            <w:r>
              <w:rPr>
                <w:color w:val="auto"/>
                <w:highlight w:val="none"/>
              </w:rPr>
              <w:t xml:space="preserve"> </w:t>
            </w:r>
            <w:r>
              <w:rPr>
                <w:color w:val="auto"/>
                <w:spacing w:val="9"/>
                <w:highlight w:val="none"/>
              </w:rPr>
              <w:t>体有效；施工段划分呼应总体表述，划分清晰，符合规范要求。</w:t>
            </w:r>
          </w:p>
          <w:p w14:paraId="470A64F2">
            <w:pPr>
              <w:pStyle w:val="9"/>
              <w:spacing w:line="369" w:lineRule="auto"/>
              <w:ind w:left="112" w:right="32"/>
              <w:rPr>
                <w:color w:val="auto"/>
                <w:highlight w:val="none"/>
              </w:rPr>
            </w:pPr>
            <w:r>
              <w:rPr>
                <w:color w:val="auto"/>
                <w:spacing w:val="12"/>
                <w:highlight w:val="none"/>
              </w:rPr>
              <w:t>三档（4</w:t>
            </w:r>
            <w:r>
              <w:rPr>
                <w:color w:val="auto"/>
                <w:spacing w:val="-30"/>
                <w:highlight w:val="none"/>
              </w:rPr>
              <w:t xml:space="preserve"> </w:t>
            </w:r>
            <w:r>
              <w:rPr>
                <w:color w:val="auto"/>
                <w:spacing w:val="12"/>
                <w:highlight w:val="none"/>
              </w:rPr>
              <w:t>分</w:t>
            </w:r>
            <w:r>
              <w:rPr>
                <w:color w:val="auto"/>
                <w:spacing w:val="-3"/>
                <w:highlight w:val="none"/>
              </w:rPr>
              <w:t>）</w:t>
            </w:r>
            <w:r>
              <w:rPr>
                <w:color w:val="auto"/>
                <w:spacing w:val="-56"/>
                <w:highlight w:val="none"/>
              </w:rPr>
              <w:t xml:space="preserve"> </w:t>
            </w:r>
            <w:r>
              <w:rPr>
                <w:color w:val="auto"/>
                <w:spacing w:val="-3"/>
                <w:highlight w:val="none"/>
              </w:rPr>
              <w:t>：</w:t>
            </w:r>
            <w:r>
              <w:rPr>
                <w:color w:val="auto"/>
                <w:spacing w:val="12"/>
                <w:highlight w:val="none"/>
              </w:rPr>
              <w:t>对项目总体有一定认识，表述基本清晰</w:t>
            </w:r>
            <w:r>
              <w:rPr>
                <w:color w:val="auto"/>
                <w:spacing w:val="11"/>
                <w:highlight w:val="none"/>
              </w:rPr>
              <w:t>、完整，措</w:t>
            </w:r>
            <w:r>
              <w:rPr>
                <w:color w:val="auto"/>
                <w:highlight w:val="none"/>
              </w:rPr>
              <w:t xml:space="preserve"> </w:t>
            </w:r>
            <w:r>
              <w:rPr>
                <w:color w:val="auto"/>
                <w:spacing w:val="7"/>
                <w:highlight w:val="none"/>
              </w:rPr>
              <w:t>施具体有效；施工段划分呼应总体表述，划分</w:t>
            </w:r>
            <w:r>
              <w:rPr>
                <w:color w:val="auto"/>
                <w:spacing w:val="6"/>
                <w:highlight w:val="none"/>
              </w:rPr>
              <w:t>清晰，符合规范要求。</w:t>
            </w:r>
          </w:p>
          <w:p w14:paraId="23E7FAAA">
            <w:pPr>
              <w:pStyle w:val="9"/>
              <w:spacing w:before="64" w:line="344" w:lineRule="auto"/>
              <w:ind w:left="112" w:right="156" w:firstLine="20"/>
              <w:rPr>
                <w:color w:val="auto"/>
                <w:highlight w:val="none"/>
              </w:rPr>
            </w:pPr>
            <w:r>
              <w:rPr>
                <w:color w:val="auto"/>
                <w:spacing w:val="9"/>
                <w:highlight w:val="none"/>
              </w:rPr>
              <w:t>四档（1</w:t>
            </w:r>
            <w:r>
              <w:rPr>
                <w:color w:val="auto"/>
                <w:spacing w:val="-30"/>
                <w:highlight w:val="none"/>
              </w:rPr>
              <w:t xml:space="preserve"> </w:t>
            </w:r>
            <w:r>
              <w:rPr>
                <w:color w:val="auto"/>
                <w:spacing w:val="9"/>
                <w:highlight w:val="none"/>
              </w:rPr>
              <w:t>分</w:t>
            </w:r>
            <w:r>
              <w:rPr>
                <w:color w:val="auto"/>
                <w:spacing w:val="-1"/>
                <w:highlight w:val="none"/>
              </w:rPr>
              <w:t>）</w:t>
            </w:r>
            <w:r>
              <w:rPr>
                <w:color w:val="auto"/>
                <w:spacing w:val="-56"/>
                <w:highlight w:val="none"/>
              </w:rPr>
              <w:t xml:space="preserve"> </w:t>
            </w:r>
            <w:r>
              <w:rPr>
                <w:color w:val="auto"/>
                <w:spacing w:val="-1"/>
                <w:highlight w:val="none"/>
              </w:rPr>
              <w:t>：</w:t>
            </w:r>
            <w:r>
              <w:rPr>
                <w:color w:val="auto"/>
                <w:spacing w:val="9"/>
                <w:highlight w:val="none"/>
              </w:rPr>
              <w:t>对项目施工认识不足，表述不清晰，措施不具体；</w:t>
            </w:r>
            <w:r>
              <w:rPr>
                <w:color w:val="auto"/>
                <w:highlight w:val="none"/>
              </w:rPr>
              <w:t xml:space="preserve"> </w:t>
            </w:r>
            <w:r>
              <w:rPr>
                <w:color w:val="auto"/>
                <w:spacing w:val="7"/>
                <w:highlight w:val="none"/>
              </w:rPr>
              <w:t>施工段划分不合理。</w:t>
            </w:r>
          </w:p>
        </w:tc>
        <w:tc>
          <w:tcPr>
            <w:tcW w:w="855" w:type="dxa"/>
            <w:vAlign w:val="top"/>
          </w:tcPr>
          <w:p w14:paraId="027CBF1D">
            <w:pPr>
              <w:spacing w:line="246" w:lineRule="auto"/>
              <w:rPr>
                <w:rFonts w:ascii="Arial"/>
                <w:color w:val="auto"/>
                <w:sz w:val="21"/>
                <w:highlight w:val="none"/>
              </w:rPr>
            </w:pPr>
          </w:p>
          <w:p w14:paraId="1CAD42AB">
            <w:pPr>
              <w:spacing w:line="246" w:lineRule="auto"/>
              <w:rPr>
                <w:rFonts w:ascii="Arial"/>
                <w:color w:val="auto"/>
                <w:sz w:val="21"/>
                <w:highlight w:val="none"/>
              </w:rPr>
            </w:pPr>
          </w:p>
          <w:p w14:paraId="4829E787">
            <w:pPr>
              <w:spacing w:line="246" w:lineRule="auto"/>
              <w:rPr>
                <w:rFonts w:ascii="Arial"/>
                <w:color w:val="auto"/>
                <w:sz w:val="21"/>
                <w:highlight w:val="none"/>
              </w:rPr>
            </w:pPr>
          </w:p>
          <w:p w14:paraId="0A3B362F">
            <w:pPr>
              <w:spacing w:line="246" w:lineRule="auto"/>
              <w:rPr>
                <w:rFonts w:ascii="Arial"/>
                <w:color w:val="auto"/>
                <w:sz w:val="21"/>
                <w:highlight w:val="none"/>
              </w:rPr>
            </w:pPr>
          </w:p>
          <w:p w14:paraId="12C16DDB">
            <w:pPr>
              <w:spacing w:line="246" w:lineRule="auto"/>
              <w:rPr>
                <w:rFonts w:ascii="Arial"/>
                <w:color w:val="auto"/>
                <w:sz w:val="21"/>
                <w:highlight w:val="none"/>
              </w:rPr>
            </w:pPr>
          </w:p>
          <w:p w14:paraId="5EAD2C53">
            <w:pPr>
              <w:spacing w:line="246" w:lineRule="auto"/>
              <w:rPr>
                <w:rFonts w:ascii="Arial"/>
                <w:color w:val="auto"/>
                <w:sz w:val="21"/>
                <w:highlight w:val="none"/>
              </w:rPr>
            </w:pPr>
          </w:p>
          <w:p w14:paraId="4BCE1170">
            <w:pPr>
              <w:spacing w:line="246" w:lineRule="auto"/>
              <w:rPr>
                <w:rFonts w:ascii="Arial"/>
                <w:color w:val="auto"/>
                <w:sz w:val="21"/>
                <w:highlight w:val="none"/>
              </w:rPr>
            </w:pPr>
          </w:p>
          <w:p w14:paraId="5A1FDEE7">
            <w:pPr>
              <w:spacing w:line="247" w:lineRule="auto"/>
              <w:rPr>
                <w:rFonts w:ascii="Arial"/>
                <w:color w:val="auto"/>
                <w:sz w:val="21"/>
                <w:highlight w:val="none"/>
              </w:rPr>
            </w:pPr>
          </w:p>
          <w:p w14:paraId="1FF06A43">
            <w:pPr>
              <w:pStyle w:val="9"/>
              <w:spacing w:before="65" w:line="229" w:lineRule="auto"/>
              <w:ind w:left="212"/>
              <w:rPr>
                <w:color w:val="auto"/>
                <w:highlight w:val="none"/>
              </w:rPr>
            </w:pPr>
            <w:r>
              <w:rPr>
                <w:color w:val="auto"/>
                <w:spacing w:val="-5"/>
                <w:highlight w:val="none"/>
              </w:rPr>
              <w:t>10</w:t>
            </w:r>
            <w:r>
              <w:rPr>
                <w:color w:val="auto"/>
                <w:spacing w:val="-38"/>
                <w:highlight w:val="none"/>
              </w:rPr>
              <w:t xml:space="preserve"> </w:t>
            </w:r>
            <w:r>
              <w:rPr>
                <w:color w:val="auto"/>
                <w:spacing w:val="-5"/>
                <w:highlight w:val="none"/>
              </w:rPr>
              <w:t>分</w:t>
            </w:r>
          </w:p>
        </w:tc>
      </w:tr>
      <w:tr w14:paraId="77413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4" w:hRule="atLeast"/>
        </w:trPr>
        <w:tc>
          <w:tcPr>
            <w:tcW w:w="697" w:type="dxa"/>
            <w:vAlign w:val="top"/>
          </w:tcPr>
          <w:p w14:paraId="21214483">
            <w:pPr>
              <w:spacing w:line="262" w:lineRule="auto"/>
              <w:rPr>
                <w:rFonts w:ascii="Arial"/>
                <w:color w:val="auto"/>
                <w:sz w:val="21"/>
                <w:highlight w:val="none"/>
              </w:rPr>
            </w:pPr>
          </w:p>
          <w:p w14:paraId="0E56BE15">
            <w:pPr>
              <w:spacing w:line="262" w:lineRule="auto"/>
              <w:rPr>
                <w:rFonts w:ascii="Arial"/>
                <w:color w:val="auto"/>
                <w:sz w:val="21"/>
                <w:highlight w:val="none"/>
              </w:rPr>
            </w:pPr>
          </w:p>
          <w:p w14:paraId="79916E8E">
            <w:pPr>
              <w:spacing w:line="262" w:lineRule="auto"/>
              <w:rPr>
                <w:rFonts w:ascii="Arial"/>
                <w:color w:val="auto"/>
                <w:sz w:val="21"/>
                <w:highlight w:val="none"/>
              </w:rPr>
            </w:pPr>
          </w:p>
          <w:p w14:paraId="732E75F6">
            <w:pPr>
              <w:spacing w:line="262" w:lineRule="auto"/>
              <w:rPr>
                <w:rFonts w:ascii="Arial"/>
                <w:color w:val="auto"/>
                <w:sz w:val="21"/>
                <w:highlight w:val="none"/>
              </w:rPr>
            </w:pPr>
          </w:p>
          <w:p w14:paraId="77446AE2">
            <w:pPr>
              <w:spacing w:line="262" w:lineRule="auto"/>
              <w:rPr>
                <w:rFonts w:ascii="Arial"/>
                <w:color w:val="auto"/>
                <w:sz w:val="21"/>
                <w:highlight w:val="none"/>
              </w:rPr>
            </w:pPr>
          </w:p>
          <w:p w14:paraId="369C995C">
            <w:pPr>
              <w:spacing w:line="263" w:lineRule="auto"/>
              <w:rPr>
                <w:rFonts w:ascii="Arial"/>
                <w:color w:val="auto"/>
                <w:sz w:val="21"/>
                <w:highlight w:val="none"/>
              </w:rPr>
            </w:pPr>
          </w:p>
          <w:p w14:paraId="3A40206A">
            <w:pPr>
              <w:pStyle w:val="9"/>
              <w:spacing w:before="65" w:line="269" w:lineRule="exact"/>
              <w:ind w:left="198"/>
              <w:rPr>
                <w:color w:val="auto"/>
                <w:highlight w:val="none"/>
              </w:rPr>
            </w:pPr>
            <w:r>
              <w:rPr>
                <w:color w:val="auto"/>
                <w:spacing w:val="1"/>
                <w:position w:val="1"/>
                <w:highlight w:val="none"/>
              </w:rPr>
              <w:t>2.3</w:t>
            </w:r>
          </w:p>
        </w:tc>
        <w:tc>
          <w:tcPr>
            <w:tcW w:w="1306" w:type="dxa"/>
            <w:vAlign w:val="top"/>
          </w:tcPr>
          <w:p w14:paraId="5F138203">
            <w:pPr>
              <w:spacing w:line="267" w:lineRule="auto"/>
              <w:rPr>
                <w:rFonts w:ascii="Arial"/>
                <w:color w:val="auto"/>
                <w:sz w:val="21"/>
                <w:highlight w:val="none"/>
              </w:rPr>
            </w:pPr>
          </w:p>
          <w:p w14:paraId="39215C5D">
            <w:pPr>
              <w:spacing w:line="267" w:lineRule="auto"/>
              <w:rPr>
                <w:rFonts w:ascii="Arial"/>
                <w:color w:val="auto"/>
                <w:sz w:val="21"/>
                <w:highlight w:val="none"/>
              </w:rPr>
            </w:pPr>
          </w:p>
          <w:p w14:paraId="762CC628">
            <w:pPr>
              <w:spacing w:line="267" w:lineRule="auto"/>
              <w:rPr>
                <w:rFonts w:ascii="Arial"/>
                <w:color w:val="auto"/>
                <w:sz w:val="21"/>
                <w:highlight w:val="none"/>
              </w:rPr>
            </w:pPr>
          </w:p>
          <w:p w14:paraId="5099D7FE">
            <w:pPr>
              <w:spacing w:line="267" w:lineRule="auto"/>
              <w:rPr>
                <w:rFonts w:ascii="Arial"/>
                <w:color w:val="auto"/>
                <w:sz w:val="21"/>
                <w:highlight w:val="none"/>
              </w:rPr>
            </w:pPr>
          </w:p>
          <w:p w14:paraId="05907E1F">
            <w:pPr>
              <w:spacing w:line="267" w:lineRule="auto"/>
              <w:rPr>
                <w:rFonts w:ascii="Arial"/>
                <w:color w:val="auto"/>
                <w:sz w:val="21"/>
                <w:highlight w:val="none"/>
              </w:rPr>
            </w:pPr>
          </w:p>
          <w:p w14:paraId="142B2AA4">
            <w:pPr>
              <w:pStyle w:val="9"/>
              <w:spacing w:before="65" w:line="228" w:lineRule="auto"/>
              <w:ind w:left="132"/>
              <w:rPr>
                <w:color w:val="auto"/>
                <w:highlight w:val="none"/>
              </w:rPr>
            </w:pPr>
            <w:r>
              <w:rPr>
                <w:color w:val="auto"/>
                <w:spacing w:val="8"/>
                <w:highlight w:val="none"/>
              </w:rPr>
              <w:t>拟投入的主</w:t>
            </w:r>
          </w:p>
          <w:p w14:paraId="167185CB">
            <w:pPr>
              <w:pStyle w:val="9"/>
              <w:spacing w:before="233" w:line="230" w:lineRule="auto"/>
              <w:ind w:left="133"/>
              <w:rPr>
                <w:color w:val="auto"/>
                <w:highlight w:val="none"/>
              </w:rPr>
            </w:pPr>
            <w:r>
              <w:rPr>
                <w:color w:val="auto"/>
                <w:spacing w:val="7"/>
                <w:highlight w:val="none"/>
              </w:rPr>
              <w:t>要物资计划</w:t>
            </w:r>
          </w:p>
        </w:tc>
        <w:tc>
          <w:tcPr>
            <w:tcW w:w="6351" w:type="dxa"/>
            <w:vAlign w:val="top"/>
          </w:tcPr>
          <w:p w14:paraId="3552E70E">
            <w:pPr>
              <w:pStyle w:val="9"/>
              <w:spacing w:before="143" w:line="370" w:lineRule="auto"/>
              <w:ind w:left="113" w:right="103" w:firstLine="3"/>
              <w:rPr>
                <w:color w:val="auto"/>
                <w:highlight w:val="none"/>
              </w:rPr>
            </w:pPr>
            <w:r>
              <w:rPr>
                <w:color w:val="auto"/>
                <w:spacing w:val="8"/>
                <w:highlight w:val="none"/>
              </w:rPr>
              <w:t>一档（10</w:t>
            </w:r>
            <w:r>
              <w:rPr>
                <w:color w:val="auto"/>
                <w:spacing w:val="-34"/>
                <w:highlight w:val="none"/>
              </w:rPr>
              <w:t xml:space="preserve"> </w:t>
            </w:r>
            <w:r>
              <w:rPr>
                <w:color w:val="auto"/>
                <w:spacing w:val="8"/>
                <w:highlight w:val="none"/>
              </w:rPr>
              <w:t>分</w:t>
            </w:r>
            <w:r>
              <w:rPr>
                <w:color w:val="auto"/>
                <w:spacing w:val="17"/>
                <w:highlight w:val="none"/>
              </w:rPr>
              <w:t>）：</w:t>
            </w:r>
            <w:r>
              <w:rPr>
                <w:color w:val="auto"/>
                <w:spacing w:val="8"/>
                <w:highlight w:val="none"/>
              </w:rPr>
              <w:t>投入的施工材料有详细的组织计划且计划周密，数</w:t>
            </w:r>
            <w:r>
              <w:rPr>
                <w:color w:val="auto"/>
                <w:highlight w:val="none"/>
              </w:rPr>
              <w:t xml:space="preserve"> </w:t>
            </w:r>
            <w:r>
              <w:rPr>
                <w:color w:val="auto"/>
                <w:spacing w:val="9"/>
                <w:highlight w:val="none"/>
              </w:rPr>
              <w:t>量、选型配置、进场时间安排合理，满足施工需要。</w:t>
            </w:r>
          </w:p>
          <w:p w14:paraId="20048C3D">
            <w:pPr>
              <w:pStyle w:val="9"/>
              <w:spacing w:before="1" w:line="368" w:lineRule="auto"/>
              <w:ind w:left="113" w:right="103" w:firstLine="3"/>
              <w:rPr>
                <w:color w:val="auto"/>
                <w:highlight w:val="none"/>
              </w:rPr>
            </w:pPr>
            <w:r>
              <w:rPr>
                <w:color w:val="auto"/>
                <w:spacing w:val="11"/>
                <w:highlight w:val="none"/>
              </w:rPr>
              <w:t>二档（7</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投入的施工材料有满足施工的组织计划，在材料数</w:t>
            </w:r>
            <w:r>
              <w:rPr>
                <w:color w:val="auto"/>
                <w:highlight w:val="none"/>
              </w:rPr>
              <w:t xml:space="preserve"> </w:t>
            </w:r>
            <w:r>
              <w:rPr>
                <w:color w:val="auto"/>
                <w:spacing w:val="9"/>
                <w:highlight w:val="none"/>
              </w:rPr>
              <w:t>量、选型配置、进场时间上有安排，较好满足施工需要。</w:t>
            </w:r>
          </w:p>
          <w:p w14:paraId="75E01DFA">
            <w:pPr>
              <w:pStyle w:val="9"/>
              <w:spacing w:before="2" w:line="370" w:lineRule="auto"/>
              <w:ind w:left="114" w:right="103" w:hanging="1"/>
              <w:rPr>
                <w:color w:val="auto"/>
                <w:highlight w:val="none"/>
              </w:rPr>
            </w:pPr>
            <w:r>
              <w:rPr>
                <w:color w:val="auto"/>
                <w:spacing w:val="11"/>
                <w:highlight w:val="none"/>
              </w:rPr>
              <w:t>三档（4</w:t>
            </w:r>
            <w:r>
              <w:rPr>
                <w:color w:val="auto"/>
                <w:spacing w:val="-30"/>
                <w:highlight w:val="none"/>
              </w:rPr>
              <w:t xml:space="preserve"> </w:t>
            </w:r>
            <w:r>
              <w:rPr>
                <w:color w:val="auto"/>
                <w:spacing w:val="11"/>
                <w:highlight w:val="none"/>
              </w:rPr>
              <w:t>分</w:t>
            </w:r>
            <w:r>
              <w:rPr>
                <w:color w:val="auto"/>
                <w:spacing w:val="8"/>
                <w:highlight w:val="none"/>
              </w:rPr>
              <w:t>）</w:t>
            </w:r>
            <w:r>
              <w:rPr>
                <w:color w:val="auto"/>
                <w:spacing w:val="-56"/>
                <w:highlight w:val="none"/>
              </w:rPr>
              <w:t xml:space="preserve"> </w:t>
            </w:r>
            <w:r>
              <w:rPr>
                <w:color w:val="auto"/>
                <w:spacing w:val="8"/>
                <w:highlight w:val="none"/>
              </w:rPr>
              <w:t>：</w:t>
            </w:r>
            <w:r>
              <w:rPr>
                <w:color w:val="auto"/>
                <w:spacing w:val="11"/>
                <w:highlight w:val="none"/>
              </w:rPr>
              <w:t>投入的施工材料基本满足施工的组织计划，在材料</w:t>
            </w:r>
            <w:r>
              <w:rPr>
                <w:color w:val="auto"/>
                <w:highlight w:val="none"/>
              </w:rPr>
              <w:t xml:space="preserve"> </w:t>
            </w:r>
            <w:r>
              <w:rPr>
                <w:color w:val="auto"/>
                <w:spacing w:val="9"/>
                <w:highlight w:val="none"/>
              </w:rPr>
              <w:t>数量、选型配置、进场时间上有安排，基本满足施工需要。</w:t>
            </w:r>
          </w:p>
          <w:p w14:paraId="4EA5618B">
            <w:pPr>
              <w:pStyle w:val="9"/>
              <w:spacing w:before="60" w:line="344" w:lineRule="auto"/>
              <w:ind w:left="121" w:right="103" w:firstLine="11"/>
              <w:rPr>
                <w:color w:val="auto"/>
                <w:highlight w:val="none"/>
              </w:rPr>
            </w:pPr>
            <w:r>
              <w:rPr>
                <w:color w:val="auto"/>
                <w:spacing w:val="11"/>
                <w:highlight w:val="none"/>
              </w:rPr>
              <w:t>四档（1</w:t>
            </w:r>
            <w:r>
              <w:rPr>
                <w:color w:val="auto"/>
                <w:spacing w:val="-31"/>
                <w:highlight w:val="none"/>
              </w:rPr>
              <w:t xml:space="preserve"> </w:t>
            </w:r>
            <w:r>
              <w:rPr>
                <w:color w:val="auto"/>
                <w:spacing w:val="11"/>
                <w:highlight w:val="none"/>
              </w:rPr>
              <w:t>分</w:t>
            </w:r>
            <w:r>
              <w:rPr>
                <w:color w:val="auto"/>
                <w:spacing w:val="-1"/>
                <w:highlight w:val="none"/>
              </w:rPr>
              <w:t>）</w:t>
            </w:r>
            <w:r>
              <w:rPr>
                <w:color w:val="auto"/>
                <w:spacing w:val="-56"/>
                <w:highlight w:val="none"/>
              </w:rPr>
              <w:t xml:space="preserve"> </w:t>
            </w:r>
            <w:r>
              <w:rPr>
                <w:color w:val="auto"/>
                <w:spacing w:val="-1"/>
                <w:highlight w:val="none"/>
              </w:rPr>
              <w:t>：</w:t>
            </w:r>
            <w:r>
              <w:rPr>
                <w:color w:val="auto"/>
                <w:spacing w:val="11"/>
                <w:highlight w:val="none"/>
              </w:rPr>
              <w:t>投入的施工材料组织计划不合理，表述不清晰，不</w:t>
            </w:r>
            <w:r>
              <w:rPr>
                <w:color w:val="auto"/>
                <w:highlight w:val="none"/>
              </w:rPr>
              <w:t xml:space="preserve"> </w:t>
            </w:r>
            <w:r>
              <w:rPr>
                <w:color w:val="auto"/>
                <w:spacing w:val="6"/>
                <w:highlight w:val="none"/>
              </w:rPr>
              <w:t>能满足施工需要。</w:t>
            </w:r>
          </w:p>
        </w:tc>
        <w:tc>
          <w:tcPr>
            <w:tcW w:w="855" w:type="dxa"/>
            <w:vAlign w:val="top"/>
          </w:tcPr>
          <w:p w14:paraId="5F0C996B">
            <w:pPr>
              <w:spacing w:line="262" w:lineRule="auto"/>
              <w:rPr>
                <w:rFonts w:ascii="Arial"/>
                <w:color w:val="auto"/>
                <w:sz w:val="21"/>
                <w:highlight w:val="none"/>
              </w:rPr>
            </w:pPr>
          </w:p>
          <w:p w14:paraId="2F54E4AD">
            <w:pPr>
              <w:spacing w:line="262" w:lineRule="auto"/>
              <w:rPr>
                <w:rFonts w:ascii="Arial"/>
                <w:color w:val="auto"/>
                <w:sz w:val="21"/>
                <w:highlight w:val="none"/>
              </w:rPr>
            </w:pPr>
          </w:p>
          <w:p w14:paraId="41E1B8F2">
            <w:pPr>
              <w:spacing w:line="262" w:lineRule="auto"/>
              <w:rPr>
                <w:rFonts w:ascii="Arial"/>
                <w:color w:val="auto"/>
                <w:sz w:val="21"/>
                <w:highlight w:val="none"/>
              </w:rPr>
            </w:pPr>
          </w:p>
          <w:p w14:paraId="68F5D508">
            <w:pPr>
              <w:spacing w:line="262" w:lineRule="auto"/>
              <w:rPr>
                <w:rFonts w:ascii="Arial"/>
                <w:color w:val="auto"/>
                <w:sz w:val="21"/>
                <w:highlight w:val="none"/>
              </w:rPr>
            </w:pPr>
          </w:p>
          <w:p w14:paraId="72454F51">
            <w:pPr>
              <w:spacing w:line="263" w:lineRule="auto"/>
              <w:rPr>
                <w:rFonts w:ascii="Arial"/>
                <w:color w:val="auto"/>
                <w:sz w:val="21"/>
                <w:highlight w:val="none"/>
              </w:rPr>
            </w:pPr>
          </w:p>
          <w:p w14:paraId="4B4E164D">
            <w:pPr>
              <w:spacing w:line="263" w:lineRule="auto"/>
              <w:rPr>
                <w:rFonts w:ascii="Arial"/>
                <w:color w:val="auto"/>
                <w:sz w:val="21"/>
                <w:highlight w:val="none"/>
              </w:rPr>
            </w:pPr>
          </w:p>
          <w:p w14:paraId="0332A894">
            <w:pPr>
              <w:pStyle w:val="9"/>
              <w:spacing w:before="65" w:line="229" w:lineRule="auto"/>
              <w:ind w:left="212"/>
              <w:rPr>
                <w:color w:val="auto"/>
                <w:highlight w:val="none"/>
              </w:rPr>
            </w:pPr>
            <w:r>
              <w:rPr>
                <w:color w:val="auto"/>
                <w:spacing w:val="-5"/>
                <w:highlight w:val="none"/>
              </w:rPr>
              <w:t>10</w:t>
            </w:r>
            <w:r>
              <w:rPr>
                <w:color w:val="auto"/>
                <w:spacing w:val="-38"/>
                <w:highlight w:val="none"/>
              </w:rPr>
              <w:t xml:space="preserve"> </w:t>
            </w:r>
            <w:r>
              <w:rPr>
                <w:color w:val="auto"/>
                <w:spacing w:val="-5"/>
                <w:highlight w:val="none"/>
              </w:rPr>
              <w:t>分</w:t>
            </w:r>
          </w:p>
        </w:tc>
      </w:tr>
      <w:tr w14:paraId="0AE0D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1" w:hRule="atLeast"/>
        </w:trPr>
        <w:tc>
          <w:tcPr>
            <w:tcW w:w="697" w:type="dxa"/>
            <w:vAlign w:val="top"/>
          </w:tcPr>
          <w:p w14:paraId="2654B604">
            <w:pPr>
              <w:spacing w:line="284" w:lineRule="auto"/>
              <w:rPr>
                <w:rFonts w:ascii="Arial"/>
                <w:color w:val="auto"/>
                <w:sz w:val="21"/>
                <w:highlight w:val="none"/>
              </w:rPr>
            </w:pPr>
          </w:p>
          <w:p w14:paraId="48C17EC7">
            <w:pPr>
              <w:spacing w:line="284" w:lineRule="auto"/>
              <w:rPr>
                <w:rFonts w:ascii="Arial"/>
                <w:color w:val="auto"/>
                <w:sz w:val="21"/>
                <w:highlight w:val="none"/>
              </w:rPr>
            </w:pPr>
          </w:p>
          <w:p w14:paraId="355FBEEA">
            <w:pPr>
              <w:spacing w:line="285" w:lineRule="auto"/>
              <w:rPr>
                <w:rFonts w:ascii="Arial"/>
                <w:color w:val="auto"/>
                <w:sz w:val="21"/>
                <w:highlight w:val="none"/>
              </w:rPr>
            </w:pPr>
          </w:p>
          <w:p w14:paraId="6B270AD4">
            <w:pPr>
              <w:spacing w:line="285" w:lineRule="auto"/>
              <w:rPr>
                <w:rFonts w:ascii="Arial"/>
                <w:color w:val="auto"/>
                <w:sz w:val="21"/>
                <w:highlight w:val="none"/>
              </w:rPr>
            </w:pPr>
          </w:p>
          <w:p w14:paraId="7E7BD1C8">
            <w:pPr>
              <w:pStyle w:val="9"/>
              <w:spacing w:before="65" w:line="268" w:lineRule="exact"/>
              <w:ind w:left="198"/>
              <w:rPr>
                <w:color w:val="auto"/>
                <w:highlight w:val="none"/>
              </w:rPr>
            </w:pPr>
            <w:r>
              <w:rPr>
                <w:color w:val="auto"/>
                <w:spacing w:val="1"/>
                <w:position w:val="1"/>
                <w:highlight w:val="none"/>
              </w:rPr>
              <w:t>2.4</w:t>
            </w:r>
          </w:p>
        </w:tc>
        <w:tc>
          <w:tcPr>
            <w:tcW w:w="1306" w:type="dxa"/>
            <w:vAlign w:val="top"/>
          </w:tcPr>
          <w:p w14:paraId="18CF3A2C">
            <w:pPr>
              <w:spacing w:line="422" w:lineRule="auto"/>
              <w:rPr>
                <w:rFonts w:ascii="Arial"/>
                <w:color w:val="auto"/>
                <w:sz w:val="21"/>
                <w:highlight w:val="none"/>
              </w:rPr>
            </w:pPr>
          </w:p>
          <w:p w14:paraId="1D9EF660">
            <w:pPr>
              <w:pStyle w:val="9"/>
              <w:spacing w:before="65" w:line="228" w:lineRule="auto"/>
              <w:ind w:left="132"/>
              <w:rPr>
                <w:color w:val="auto"/>
                <w:highlight w:val="none"/>
              </w:rPr>
            </w:pPr>
            <w:r>
              <w:rPr>
                <w:color w:val="auto"/>
                <w:spacing w:val="8"/>
                <w:highlight w:val="none"/>
              </w:rPr>
              <w:t>拟投入的主</w:t>
            </w:r>
          </w:p>
          <w:p w14:paraId="414EBF36">
            <w:pPr>
              <w:pStyle w:val="9"/>
              <w:spacing w:before="233" w:line="228" w:lineRule="auto"/>
              <w:ind w:left="236"/>
              <w:rPr>
                <w:color w:val="auto"/>
                <w:highlight w:val="none"/>
              </w:rPr>
            </w:pPr>
            <w:r>
              <w:rPr>
                <w:color w:val="auto"/>
                <w:spacing w:val="7"/>
                <w:highlight w:val="none"/>
              </w:rPr>
              <w:t>要施工机</w:t>
            </w:r>
          </w:p>
          <w:p w14:paraId="070A5E0F">
            <w:pPr>
              <w:pStyle w:val="9"/>
              <w:spacing w:before="233" w:line="228" w:lineRule="auto"/>
              <w:ind w:left="132"/>
              <w:rPr>
                <w:color w:val="auto"/>
                <w:highlight w:val="none"/>
              </w:rPr>
            </w:pPr>
            <w:r>
              <w:rPr>
                <w:color w:val="auto"/>
                <w:spacing w:val="8"/>
                <w:highlight w:val="none"/>
              </w:rPr>
              <w:t>械、设备计</w:t>
            </w:r>
          </w:p>
          <w:p w14:paraId="0B1CB0C0">
            <w:pPr>
              <w:pStyle w:val="9"/>
              <w:spacing w:before="232" w:line="231" w:lineRule="auto"/>
              <w:ind w:left="552"/>
              <w:rPr>
                <w:color w:val="auto"/>
                <w:highlight w:val="none"/>
              </w:rPr>
            </w:pPr>
            <w:r>
              <w:rPr>
                <w:color w:val="auto"/>
                <w:spacing w:val="1"/>
                <w:highlight w:val="none"/>
              </w:rPr>
              <w:t>划</w:t>
            </w:r>
          </w:p>
        </w:tc>
        <w:tc>
          <w:tcPr>
            <w:tcW w:w="6351" w:type="dxa"/>
            <w:vAlign w:val="top"/>
          </w:tcPr>
          <w:p w14:paraId="6BD7F498">
            <w:pPr>
              <w:pStyle w:val="9"/>
              <w:spacing w:before="144" w:line="370" w:lineRule="auto"/>
              <w:ind w:left="115" w:right="103" w:firstLine="1"/>
              <w:rPr>
                <w:color w:val="auto"/>
                <w:highlight w:val="none"/>
              </w:rPr>
            </w:pPr>
            <w:r>
              <w:rPr>
                <w:color w:val="auto"/>
                <w:spacing w:val="11"/>
                <w:highlight w:val="none"/>
              </w:rPr>
              <w:t>一档（5</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投入计划与进度计划呼应，较好满足施工需要，采</w:t>
            </w:r>
            <w:r>
              <w:rPr>
                <w:color w:val="auto"/>
                <w:highlight w:val="none"/>
              </w:rPr>
              <w:t xml:space="preserve"> </w:t>
            </w:r>
            <w:r>
              <w:rPr>
                <w:color w:val="auto"/>
                <w:spacing w:val="7"/>
                <w:highlight w:val="none"/>
              </w:rPr>
              <w:t>用先进机械设备。</w:t>
            </w:r>
          </w:p>
          <w:p w14:paraId="7798FFE0">
            <w:pPr>
              <w:pStyle w:val="9"/>
              <w:spacing w:line="228" w:lineRule="auto"/>
              <w:ind w:left="116"/>
              <w:rPr>
                <w:color w:val="auto"/>
                <w:highlight w:val="none"/>
              </w:rPr>
            </w:pPr>
            <w:r>
              <w:rPr>
                <w:color w:val="auto"/>
                <w:spacing w:val="8"/>
                <w:highlight w:val="none"/>
              </w:rPr>
              <w:t>二档（4</w:t>
            </w:r>
            <w:r>
              <w:rPr>
                <w:color w:val="auto"/>
                <w:spacing w:val="-35"/>
                <w:highlight w:val="none"/>
              </w:rPr>
              <w:t xml:space="preserve"> </w:t>
            </w:r>
            <w:r>
              <w:rPr>
                <w:color w:val="auto"/>
                <w:spacing w:val="8"/>
                <w:highlight w:val="none"/>
              </w:rPr>
              <w:t>分</w:t>
            </w:r>
            <w:r>
              <w:rPr>
                <w:color w:val="auto"/>
                <w:spacing w:val="15"/>
                <w:highlight w:val="none"/>
              </w:rPr>
              <w:t>）：</w:t>
            </w:r>
            <w:r>
              <w:rPr>
                <w:color w:val="auto"/>
                <w:spacing w:val="8"/>
                <w:highlight w:val="none"/>
              </w:rPr>
              <w:t>投入计划与进度计划呼应，满足施</w:t>
            </w:r>
            <w:r>
              <w:rPr>
                <w:color w:val="auto"/>
                <w:spacing w:val="7"/>
                <w:highlight w:val="none"/>
              </w:rPr>
              <w:t>工需要。</w:t>
            </w:r>
          </w:p>
          <w:p w14:paraId="69A59707">
            <w:pPr>
              <w:pStyle w:val="9"/>
              <w:spacing w:before="150" w:line="373" w:lineRule="auto"/>
              <w:ind w:left="113" w:right="103"/>
              <w:rPr>
                <w:color w:val="auto"/>
                <w:highlight w:val="none"/>
              </w:rPr>
            </w:pPr>
            <w:r>
              <w:rPr>
                <w:color w:val="auto"/>
                <w:spacing w:val="11"/>
                <w:highlight w:val="none"/>
              </w:rPr>
              <w:t>三档（2</w:t>
            </w:r>
            <w:r>
              <w:rPr>
                <w:color w:val="auto"/>
                <w:spacing w:val="-30"/>
                <w:highlight w:val="none"/>
              </w:rPr>
              <w:t xml:space="preserve"> </w:t>
            </w:r>
            <w:r>
              <w:rPr>
                <w:color w:val="auto"/>
                <w:spacing w:val="11"/>
                <w:highlight w:val="none"/>
              </w:rPr>
              <w:t>分</w:t>
            </w:r>
            <w:r>
              <w:rPr>
                <w:color w:val="auto"/>
                <w:spacing w:val="8"/>
                <w:highlight w:val="none"/>
              </w:rPr>
              <w:t>）</w:t>
            </w:r>
            <w:r>
              <w:rPr>
                <w:color w:val="auto"/>
                <w:spacing w:val="-56"/>
                <w:highlight w:val="none"/>
              </w:rPr>
              <w:t xml:space="preserve"> </w:t>
            </w:r>
            <w:r>
              <w:rPr>
                <w:color w:val="auto"/>
                <w:spacing w:val="8"/>
                <w:highlight w:val="none"/>
              </w:rPr>
              <w:t>：</w:t>
            </w:r>
            <w:r>
              <w:rPr>
                <w:color w:val="auto"/>
                <w:spacing w:val="11"/>
                <w:highlight w:val="none"/>
              </w:rPr>
              <w:t>投入计划与进度计划有一定呼应，基本满足施工需</w:t>
            </w:r>
            <w:r>
              <w:rPr>
                <w:color w:val="auto"/>
                <w:highlight w:val="none"/>
              </w:rPr>
              <w:t xml:space="preserve"> 要。</w:t>
            </w:r>
          </w:p>
          <w:p w14:paraId="1B5751F8">
            <w:pPr>
              <w:pStyle w:val="9"/>
              <w:spacing w:before="56" w:line="228" w:lineRule="auto"/>
              <w:ind w:left="132"/>
              <w:rPr>
                <w:color w:val="auto"/>
                <w:highlight w:val="none"/>
              </w:rPr>
            </w:pPr>
            <w:r>
              <w:rPr>
                <w:color w:val="auto"/>
                <w:spacing w:val="7"/>
                <w:highlight w:val="none"/>
              </w:rPr>
              <w:t>四档（1</w:t>
            </w:r>
            <w:r>
              <w:rPr>
                <w:color w:val="auto"/>
                <w:spacing w:val="-35"/>
                <w:highlight w:val="none"/>
              </w:rPr>
              <w:t xml:space="preserve"> </w:t>
            </w:r>
            <w:r>
              <w:rPr>
                <w:color w:val="auto"/>
                <w:spacing w:val="7"/>
                <w:highlight w:val="none"/>
              </w:rPr>
              <w:t>分</w:t>
            </w:r>
            <w:r>
              <w:rPr>
                <w:color w:val="auto"/>
                <w:spacing w:val="21"/>
                <w:highlight w:val="none"/>
              </w:rPr>
              <w:t>）：</w:t>
            </w:r>
            <w:r>
              <w:rPr>
                <w:color w:val="auto"/>
                <w:spacing w:val="7"/>
                <w:highlight w:val="none"/>
              </w:rPr>
              <w:t>投入计划与进度计划不呼应，不能满足施工需要。</w:t>
            </w:r>
          </w:p>
        </w:tc>
        <w:tc>
          <w:tcPr>
            <w:tcW w:w="855" w:type="dxa"/>
            <w:vAlign w:val="top"/>
          </w:tcPr>
          <w:p w14:paraId="4C4C3582">
            <w:pPr>
              <w:spacing w:line="284" w:lineRule="auto"/>
              <w:rPr>
                <w:rFonts w:ascii="Arial"/>
                <w:color w:val="auto"/>
                <w:sz w:val="21"/>
                <w:highlight w:val="none"/>
              </w:rPr>
            </w:pPr>
          </w:p>
          <w:p w14:paraId="7426A286">
            <w:pPr>
              <w:spacing w:line="284" w:lineRule="auto"/>
              <w:rPr>
                <w:rFonts w:ascii="Arial"/>
                <w:color w:val="auto"/>
                <w:sz w:val="21"/>
                <w:highlight w:val="none"/>
              </w:rPr>
            </w:pPr>
          </w:p>
          <w:p w14:paraId="465EA9CD">
            <w:pPr>
              <w:spacing w:line="285" w:lineRule="auto"/>
              <w:rPr>
                <w:rFonts w:ascii="Arial"/>
                <w:color w:val="auto"/>
                <w:sz w:val="21"/>
                <w:highlight w:val="none"/>
              </w:rPr>
            </w:pPr>
          </w:p>
          <w:p w14:paraId="6141E1F5">
            <w:pPr>
              <w:spacing w:line="285" w:lineRule="auto"/>
              <w:rPr>
                <w:rFonts w:ascii="Arial"/>
                <w:color w:val="auto"/>
                <w:sz w:val="21"/>
                <w:highlight w:val="none"/>
              </w:rPr>
            </w:pPr>
          </w:p>
          <w:p w14:paraId="3416F21E">
            <w:pPr>
              <w:pStyle w:val="9"/>
              <w:spacing w:before="65" w:line="229" w:lineRule="auto"/>
              <w:ind w:left="253"/>
              <w:rPr>
                <w:color w:val="auto"/>
                <w:highlight w:val="none"/>
              </w:rPr>
            </w:pPr>
            <w:r>
              <w:rPr>
                <w:color w:val="auto"/>
                <w:spacing w:val="-4"/>
                <w:highlight w:val="none"/>
              </w:rPr>
              <w:t>5</w:t>
            </w:r>
            <w:r>
              <w:rPr>
                <w:color w:val="auto"/>
                <w:spacing w:val="-38"/>
                <w:highlight w:val="none"/>
              </w:rPr>
              <w:t xml:space="preserve"> </w:t>
            </w:r>
            <w:r>
              <w:rPr>
                <w:color w:val="auto"/>
                <w:spacing w:val="-4"/>
                <w:highlight w:val="none"/>
              </w:rPr>
              <w:t>分</w:t>
            </w:r>
          </w:p>
        </w:tc>
      </w:tr>
      <w:tr w14:paraId="5452C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69" w:hRule="atLeast"/>
        </w:trPr>
        <w:tc>
          <w:tcPr>
            <w:tcW w:w="697" w:type="dxa"/>
            <w:vAlign w:val="top"/>
          </w:tcPr>
          <w:p w14:paraId="27BD3B59">
            <w:pPr>
              <w:pStyle w:val="9"/>
              <w:spacing w:before="211" w:line="267" w:lineRule="exact"/>
              <w:ind w:left="198"/>
              <w:rPr>
                <w:color w:val="auto"/>
                <w:highlight w:val="none"/>
              </w:rPr>
            </w:pPr>
            <w:r>
              <w:rPr>
                <w:color w:val="auto"/>
                <w:spacing w:val="1"/>
                <w:position w:val="1"/>
                <w:highlight w:val="none"/>
              </w:rPr>
              <w:t>2.5</w:t>
            </w:r>
          </w:p>
        </w:tc>
        <w:tc>
          <w:tcPr>
            <w:tcW w:w="1306" w:type="dxa"/>
            <w:vAlign w:val="top"/>
          </w:tcPr>
          <w:p w14:paraId="059B636F">
            <w:pPr>
              <w:pStyle w:val="9"/>
              <w:spacing w:before="211" w:line="228" w:lineRule="auto"/>
              <w:ind w:left="137"/>
              <w:rPr>
                <w:color w:val="auto"/>
                <w:highlight w:val="none"/>
              </w:rPr>
            </w:pPr>
            <w:r>
              <w:rPr>
                <w:color w:val="auto"/>
                <w:spacing w:val="7"/>
                <w:highlight w:val="none"/>
              </w:rPr>
              <w:t>劳动力安排</w:t>
            </w:r>
            <w:r>
              <w:rPr>
                <w:color w:val="auto"/>
                <w:spacing w:val="4"/>
                <w:highlight w:val="none"/>
              </w:rPr>
              <w:t>计划</w:t>
            </w:r>
          </w:p>
        </w:tc>
        <w:tc>
          <w:tcPr>
            <w:tcW w:w="6351" w:type="dxa"/>
            <w:vAlign w:val="top"/>
          </w:tcPr>
          <w:p w14:paraId="467A6D65">
            <w:pPr>
              <w:pStyle w:val="9"/>
              <w:spacing w:before="146" w:line="228" w:lineRule="auto"/>
              <w:ind w:left="115"/>
              <w:rPr>
                <w:color w:val="auto"/>
                <w:highlight w:val="none"/>
              </w:rPr>
            </w:pPr>
            <w:r>
              <w:rPr>
                <w:color w:val="auto"/>
                <w:spacing w:val="11"/>
                <w:highlight w:val="none"/>
              </w:rPr>
              <w:t>一档（5</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各主要施工工序有祥细周密的劳动力安排计划，有</w:t>
            </w:r>
            <w:r>
              <w:rPr>
                <w:color w:val="auto"/>
                <w:spacing w:val="9"/>
                <w:highlight w:val="none"/>
              </w:rPr>
              <w:t>各工种劳动力安排计划，劳动力投入合理，较好满足施工需要。</w:t>
            </w:r>
          </w:p>
          <w:p w14:paraId="5FF323E4">
            <w:pPr>
              <w:pStyle w:val="9"/>
              <w:spacing w:before="150" w:line="370" w:lineRule="auto"/>
              <w:ind w:left="113" w:right="103" w:firstLine="3"/>
              <w:rPr>
                <w:color w:val="auto"/>
                <w:highlight w:val="none"/>
              </w:rPr>
            </w:pPr>
            <w:r>
              <w:rPr>
                <w:color w:val="auto"/>
                <w:spacing w:val="11"/>
                <w:highlight w:val="none"/>
              </w:rPr>
              <w:t>二档（4</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各主要施工工序有周密的劳动力安排计划，有各工</w:t>
            </w:r>
            <w:r>
              <w:rPr>
                <w:color w:val="auto"/>
                <w:highlight w:val="none"/>
              </w:rPr>
              <w:t xml:space="preserve"> </w:t>
            </w:r>
            <w:r>
              <w:rPr>
                <w:color w:val="auto"/>
                <w:spacing w:val="9"/>
                <w:highlight w:val="none"/>
              </w:rPr>
              <w:t>种劳动力安排计划，劳动力投入合理，能满足施工需要。</w:t>
            </w:r>
          </w:p>
          <w:p w14:paraId="3F526696">
            <w:pPr>
              <w:pStyle w:val="9"/>
              <w:spacing w:before="1" w:line="368" w:lineRule="auto"/>
              <w:ind w:left="116" w:right="103" w:hanging="3"/>
              <w:rPr>
                <w:color w:val="auto"/>
                <w:highlight w:val="none"/>
              </w:rPr>
            </w:pPr>
            <w:r>
              <w:rPr>
                <w:color w:val="auto"/>
                <w:spacing w:val="11"/>
                <w:highlight w:val="none"/>
              </w:rPr>
              <w:t>三档（2</w:t>
            </w:r>
            <w:r>
              <w:rPr>
                <w:color w:val="auto"/>
                <w:spacing w:val="-30"/>
                <w:highlight w:val="none"/>
              </w:rPr>
              <w:t xml:space="preserve"> </w:t>
            </w:r>
            <w:r>
              <w:rPr>
                <w:color w:val="auto"/>
                <w:spacing w:val="11"/>
                <w:highlight w:val="none"/>
              </w:rPr>
              <w:t>分</w:t>
            </w:r>
            <w:r>
              <w:rPr>
                <w:color w:val="auto"/>
                <w:spacing w:val="8"/>
                <w:highlight w:val="none"/>
              </w:rPr>
              <w:t>）</w:t>
            </w:r>
            <w:r>
              <w:rPr>
                <w:color w:val="auto"/>
                <w:spacing w:val="-56"/>
                <w:highlight w:val="none"/>
              </w:rPr>
              <w:t xml:space="preserve"> </w:t>
            </w:r>
            <w:r>
              <w:rPr>
                <w:color w:val="auto"/>
                <w:spacing w:val="8"/>
                <w:highlight w:val="none"/>
              </w:rPr>
              <w:t>：</w:t>
            </w:r>
            <w:r>
              <w:rPr>
                <w:color w:val="auto"/>
                <w:spacing w:val="11"/>
                <w:highlight w:val="none"/>
              </w:rPr>
              <w:t>各主要施工工序有劳动力安排计划，有各工种劳动</w:t>
            </w:r>
            <w:r>
              <w:rPr>
                <w:color w:val="auto"/>
                <w:highlight w:val="none"/>
              </w:rPr>
              <w:t xml:space="preserve"> </w:t>
            </w:r>
            <w:r>
              <w:rPr>
                <w:color w:val="auto"/>
                <w:spacing w:val="9"/>
                <w:highlight w:val="none"/>
              </w:rPr>
              <w:t>力安排计划，劳动力投入基本合理，基本能满足施工需要。</w:t>
            </w:r>
          </w:p>
          <w:p w14:paraId="36EFF5EE">
            <w:pPr>
              <w:pStyle w:val="9"/>
              <w:spacing w:before="187" w:line="228" w:lineRule="auto"/>
              <w:ind w:left="116"/>
              <w:rPr>
                <w:color w:val="auto"/>
                <w:highlight w:val="none"/>
              </w:rPr>
            </w:pPr>
            <w:r>
              <w:rPr>
                <w:color w:val="auto"/>
                <w:spacing w:val="11"/>
                <w:highlight w:val="none"/>
              </w:rPr>
              <w:t>四档（1</w:t>
            </w:r>
            <w:r>
              <w:rPr>
                <w:color w:val="auto"/>
                <w:spacing w:val="-31"/>
                <w:highlight w:val="none"/>
              </w:rPr>
              <w:t xml:space="preserve"> </w:t>
            </w:r>
            <w:r>
              <w:rPr>
                <w:color w:val="auto"/>
                <w:spacing w:val="11"/>
                <w:highlight w:val="none"/>
              </w:rPr>
              <w:t>分</w:t>
            </w:r>
            <w:r>
              <w:rPr>
                <w:color w:val="auto"/>
                <w:spacing w:val="-1"/>
                <w:highlight w:val="none"/>
              </w:rPr>
              <w:t>）</w:t>
            </w:r>
            <w:r>
              <w:rPr>
                <w:color w:val="auto"/>
                <w:spacing w:val="-56"/>
                <w:highlight w:val="none"/>
              </w:rPr>
              <w:t xml:space="preserve"> </w:t>
            </w:r>
            <w:r>
              <w:rPr>
                <w:color w:val="auto"/>
                <w:spacing w:val="-1"/>
                <w:highlight w:val="none"/>
              </w:rPr>
              <w:t>：</w:t>
            </w:r>
            <w:r>
              <w:rPr>
                <w:color w:val="auto"/>
                <w:spacing w:val="11"/>
                <w:highlight w:val="none"/>
              </w:rPr>
              <w:t>各主要施工工序没有劳动力安排计划，没有各工种</w:t>
            </w:r>
            <w:r>
              <w:rPr>
                <w:color w:val="auto"/>
                <w:highlight w:val="none"/>
              </w:rPr>
              <w:t xml:space="preserve"> </w:t>
            </w:r>
            <w:r>
              <w:rPr>
                <w:color w:val="auto"/>
                <w:spacing w:val="9"/>
                <w:highlight w:val="none"/>
              </w:rPr>
              <w:t>劳动力安排计划，劳动力投入不合理，不能满足施工需要。</w:t>
            </w:r>
          </w:p>
        </w:tc>
        <w:tc>
          <w:tcPr>
            <w:tcW w:w="855" w:type="dxa"/>
            <w:vAlign w:val="top"/>
          </w:tcPr>
          <w:p w14:paraId="687E53E4">
            <w:pPr>
              <w:pStyle w:val="9"/>
              <w:spacing w:before="211" w:line="229" w:lineRule="auto"/>
              <w:ind w:left="253"/>
              <w:rPr>
                <w:color w:val="auto"/>
                <w:highlight w:val="none"/>
              </w:rPr>
            </w:pPr>
            <w:r>
              <w:rPr>
                <w:color w:val="auto"/>
                <w:spacing w:val="-4"/>
                <w:highlight w:val="none"/>
              </w:rPr>
              <w:t>5</w:t>
            </w:r>
            <w:r>
              <w:rPr>
                <w:color w:val="auto"/>
                <w:spacing w:val="-38"/>
                <w:highlight w:val="none"/>
              </w:rPr>
              <w:t xml:space="preserve"> </w:t>
            </w:r>
            <w:r>
              <w:rPr>
                <w:color w:val="auto"/>
                <w:spacing w:val="-4"/>
                <w:highlight w:val="none"/>
              </w:rPr>
              <w:t>分</w:t>
            </w:r>
          </w:p>
        </w:tc>
      </w:tr>
      <w:tr w14:paraId="6C773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4" w:hRule="atLeast"/>
        </w:trPr>
        <w:tc>
          <w:tcPr>
            <w:tcW w:w="697" w:type="dxa"/>
            <w:shd w:val="clear" w:color="auto" w:fill="auto"/>
            <w:vAlign w:val="top"/>
          </w:tcPr>
          <w:p w14:paraId="0FA88A25">
            <w:pPr>
              <w:rPr>
                <w:rFonts w:ascii="Arial"/>
                <w:color w:val="auto"/>
                <w:sz w:val="21"/>
                <w:highlight w:val="none"/>
              </w:rPr>
            </w:pPr>
          </w:p>
          <w:p w14:paraId="5B94E4C4">
            <w:pPr>
              <w:rPr>
                <w:rFonts w:ascii="Arial"/>
                <w:color w:val="auto"/>
                <w:sz w:val="21"/>
                <w:highlight w:val="none"/>
              </w:rPr>
            </w:pPr>
          </w:p>
          <w:p w14:paraId="22E9E56C">
            <w:pPr>
              <w:spacing w:line="241" w:lineRule="auto"/>
              <w:rPr>
                <w:rFonts w:ascii="Arial"/>
                <w:color w:val="auto"/>
                <w:sz w:val="21"/>
                <w:highlight w:val="none"/>
              </w:rPr>
            </w:pPr>
          </w:p>
          <w:p w14:paraId="2F64DC16">
            <w:pPr>
              <w:spacing w:line="241" w:lineRule="auto"/>
              <w:rPr>
                <w:rFonts w:ascii="Arial"/>
                <w:color w:val="auto"/>
                <w:sz w:val="21"/>
                <w:highlight w:val="none"/>
              </w:rPr>
            </w:pPr>
          </w:p>
          <w:p w14:paraId="2155C019">
            <w:pPr>
              <w:spacing w:line="241" w:lineRule="auto"/>
              <w:rPr>
                <w:rFonts w:ascii="Arial"/>
                <w:color w:val="auto"/>
                <w:sz w:val="21"/>
                <w:highlight w:val="none"/>
              </w:rPr>
            </w:pPr>
          </w:p>
          <w:p w14:paraId="395F2D77">
            <w:pPr>
              <w:spacing w:line="241" w:lineRule="auto"/>
              <w:rPr>
                <w:rFonts w:ascii="Arial"/>
                <w:color w:val="auto"/>
                <w:sz w:val="21"/>
                <w:highlight w:val="none"/>
              </w:rPr>
            </w:pPr>
          </w:p>
          <w:p w14:paraId="744BEA5D">
            <w:pPr>
              <w:spacing w:line="241" w:lineRule="auto"/>
              <w:rPr>
                <w:rFonts w:ascii="Arial"/>
                <w:color w:val="auto"/>
                <w:sz w:val="21"/>
                <w:highlight w:val="none"/>
              </w:rPr>
            </w:pPr>
          </w:p>
          <w:p w14:paraId="253D2D58">
            <w:pPr>
              <w:spacing w:line="241" w:lineRule="auto"/>
              <w:rPr>
                <w:rFonts w:ascii="Arial"/>
                <w:color w:val="auto"/>
                <w:sz w:val="21"/>
                <w:highlight w:val="none"/>
              </w:rPr>
            </w:pPr>
          </w:p>
          <w:p w14:paraId="1104E3A9">
            <w:pPr>
              <w:spacing w:line="241" w:lineRule="auto"/>
              <w:rPr>
                <w:rFonts w:ascii="Arial"/>
                <w:color w:val="auto"/>
                <w:sz w:val="21"/>
                <w:highlight w:val="none"/>
              </w:rPr>
            </w:pPr>
          </w:p>
          <w:p w14:paraId="254590D1">
            <w:pPr>
              <w:pStyle w:val="9"/>
              <w:spacing w:before="65" w:line="269" w:lineRule="exact"/>
              <w:ind w:left="198" w:leftChars="0"/>
              <w:rPr>
                <w:rFonts w:ascii="宋体" w:hAnsi="宋体" w:eastAsia="宋体" w:cs="宋体"/>
                <w:snapToGrid w:val="0"/>
                <w:color w:val="auto"/>
                <w:kern w:val="0"/>
                <w:sz w:val="20"/>
                <w:szCs w:val="20"/>
                <w:highlight w:val="none"/>
                <w:lang w:val="en-US" w:eastAsia="en-US" w:bidi="ar-SA"/>
              </w:rPr>
            </w:pPr>
            <w:r>
              <w:rPr>
                <w:color w:val="auto"/>
                <w:spacing w:val="1"/>
                <w:position w:val="1"/>
                <w:highlight w:val="none"/>
              </w:rPr>
              <w:t>2.6</w:t>
            </w:r>
          </w:p>
        </w:tc>
        <w:tc>
          <w:tcPr>
            <w:tcW w:w="1306" w:type="dxa"/>
            <w:shd w:val="clear" w:color="auto" w:fill="auto"/>
            <w:vAlign w:val="top"/>
          </w:tcPr>
          <w:p w14:paraId="2F97F7D9">
            <w:pPr>
              <w:spacing w:line="241" w:lineRule="auto"/>
              <w:rPr>
                <w:rFonts w:ascii="Arial"/>
                <w:color w:val="auto"/>
                <w:sz w:val="21"/>
                <w:highlight w:val="none"/>
              </w:rPr>
            </w:pPr>
          </w:p>
          <w:p w14:paraId="30731CF4">
            <w:pPr>
              <w:spacing w:line="241" w:lineRule="auto"/>
              <w:rPr>
                <w:rFonts w:ascii="Arial"/>
                <w:color w:val="auto"/>
                <w:sz w:val="21"/>
                <w:highlight w:val="none"/>
              </w:rPr>
            </w:pPr>
          </w:p>
          <w:p w14:paraId="3986048E">
            <w:pPr>
              <w:spacing w:line="241" w:lineRule="auto"/>
              <w:rPr>
                <w:rFonts w:ascii="Arial"/>
                <w:color w:val="auto"/>
                <w:sz w:val="21"/>
                <w:highlight w:val="none"/>
              </w:rPr>
            </w:pPr>
          </w:p>
          <w:p w14:paraId="26376DA8">
            <w:pPr>
              <w:spacing w:line="241" w:lineRule="auto"/>
              <w:rPr>
                <w:rFonts w:ascii="Arial"/>
                <w:color w:val="auto"/>
                <w:sz w:val="21"/>
                <w:highlight w:val="none"/>
              </w:rPr>
            </w:pPr>
          </w:p>
          <w:p w14:paraId="6494E69F">
            <w:pPr>
              <w:spacing w:line="242" w:lineRule="auto"/>
              <w:rPr>
                <w:rFonts w:ascii="Arial"/>
                <w:color w:val="auto"/>
                <w:sz w:val="21"/>
                <w:highlight w:val="none"/>
              </w:rPr>
            </w:pPr>
          </w:p>
          <w:p w14:paraId="7FEE768F">
            <w:pPr>
              <w:spacing w:line="242" w:lineRule="auto"/>
              <w:rPr>
                <w:rFonts w:ascii="Arial"/>
                <w:color w:val="auto"/>
                <w:sz w:val="21"/>
                <w:highlight w:val="none"/>
              </w:rPr>
            </w:pPr>
          </w:p>
          <w:p w14:paraId="688B56E3">
            <w:pPr>
              <w:spacing w:line="242" w:lineRule="auto"/>
              <w:rPr>
                <w:rFonts w:ascii="Arial"/>
                <w:color w:val="auto"/>
                <w:sz w:val="21"/>
                <w:highlight w:val="none"/>
              </w:rPr>
            </w:pPr>
          </w:p>
          <w:p w14:paraId="1CC07863">
            <w:pPr>
              <w:pStyle w:val="9"/>
              <w:spacing w:before="65" w:line="229" w:lineRule="auto"/>
              <w:ind w:left="132"/>
              <w:rPr>
                <w:color w:val="auto"/>
                <w:highlight w:val="none"/>
              </w:rPr>
            </w:pPr>
            <w:r>
              <w:rPr>
                <w:color w:val="auto"/>
                <w:spacing w:val="8"/>
                <w:highlight w:val="none"/>
              </w:rPr>
              <w:t>确保工程质</w:t>
            </w:r>
          </w:p>
          <w:p w14:paraId="6CAA7C2C">
            <w:pPr>
              <w:pStyle w:val="9"/>
              <w:spacing w:before="232" w:line="228" w:lineRule="auto"/>
              <w:ind w:left="132"/>
              <w:rPr>
                <w:color w:val="auto"/>
                <w:highlight w:val="none"/>
              </w:rPr>
            </w:pPr>
            <w:r>
              <w:rPr>
                <w:color w:val="auto"/>
                <w:spacing w:val="8"/>
                <w:highlight w:val="none"/>
              </w:rPr>
              <w:t>量的技术组</w:t>
            </w:r>
          </w:p>
          <w:p w14:paraId="2C14C8FB">
            <w:pPr>
              <w:pStyle w:val="9"/>
              <w:spacing w:before="232" w:line="229" w:lineRule="auto"/>
              <w:ind w:left="345" w:leftChars="0"/>
              <w:rPr>
                <w:rFonts w:ascii="宋体" w:hAnsi="宋体" w:eastAsia="宋体" w:cs="宋体"/>
                <w:snapToGrid w:val="0"/>
                <w:color w:val="auto"/>
                <w:kern w:val="0"/>
                <w:sz w:val="20"/>
                <w:szCs w:val="20"/>
                <w:highlight w:val="none"/>
                <w:lang w:val="en-US" w:eastAsia="en-US" w:bidi="ar-SA"/>
              </w:rPr>
            </w:pPr>
            <w:r>
              <w:rPr>
                <w:color w:val="auto"/>
                <w:spacing w:val="5"/>
                <w:highlight w:val="none"/>
              </w:rPr>
              <w:t>织措施</w:t>
            </w:r>
          </w:p>
        </w:tc>
        <w:tc>
          <w:tcPr>
            <w:tcW w:w="6351" w:type="dxa"/>
            <w:shd w:val="clear" w:color="auto" w:fill="auto"/>
            <w:vAlign w:val="top"/>
          </w:tcPr>
          <w:p w14:paraId="13BB59A5">
            <w:pPr>
              <w:pStyle w:val="9"/>
              <w:spacing w:before="142" w:line="369" w:lineRule="auto"/>
              <w:ind w:left="114" w:right="103" w:firstLine="2"/>
              <w:rPr>
                <w:color w:val="auto"/>
                <w:highlight w:val="none"/>
              </w:rPr>
            </w:pPr>
            <w:r>
              <w:rPr>
                <w:color w:val="auto"/>
                <w:spacing w:val="11"/>
                <w:highlight w:val="none"/>
              </w:rPr>
              <w:t>一档（5</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有专门的质量技术管理班子和制度，且人员配备合</w:t>
            </w:r>
            <w:r>
              <w:rPr>
                <w:color w:val="auto"/>
                <w:highlight w:val="none"/>
              </w:rPr>
              <w:t xml:space="preserve"> </w:t>
            </w:r>
            <w:r>
              <w:rPr>
                <w:color w:val="auto"/>
                <w:spacing w:val="9"/>
                <w:highlight w:val="none"/>
              </w:rPr>
              <w:t>理，制度健全。主要工序有质量技术保证措施和手段，</w:t>
            </w:r>
            <w:r>
              <w:rPr>
                <w:color w:val="auto"/>
                <w:spacing w:val="-35"/>
                <w:highlight w:val="none"/>
              </w:rPr>
              <w:t xml:space="preserve"> </w:t>
            </w:r>
            <w:r>
              <w:rPr>
                <w:color w:val="auto"/>
                <w:spacing w:val="9"/>
                <w:highlight w:val="none"/>
              </w:rPr>
              <w:t>自控体系完</w:t>
            </w:r>
            <w:r>
              <w:rPr>
                <w:color w:val="auto"/>
                <w:highlight w:val="none"/>
              </w:rPr>
              <w:t xml:space="preserve"> </w:t>
            </w:r>
            <w:r>
              <w:rPr>
                <w:color w:val="auto"/>
                <w:spacing w:val="9"/>
                <w:highlight w:val="none"/>
              </w:rPr>
              <w:t>整，能有效保证技术质量，达到承诺的质量标准。</w:t>
            </w:r>
          </w:p>
          <w:p w14:paraId="77EF8051">
            <w:pPr>
              <w:pStyle w:val="9"/>
              <w:spacing w:line="369" w:lineRule="auto"/>
              <w:ind w:left="112" w:right="103" w:firstLine="4"/>
              <w:rPr>
                <w:color w:val="auto"/>
                <w:highlight w:val="none"/>
              </w:rPr>
            </w:pPr>
            <w:r>
              <w:rPr>
                <w:color w:val="auto"/>
                <w:spacing w:val="11"/>
                <w:highlight w:val="none"/>
              </w:rPr>
              <w:t>二档（4</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有质量技术管理班子和制度，且人员配备合理，制</w:t>
            </w:r>
            <w:r>
              <w:rPr>
                <w:color w:val="auto"/>
                <w:highlight w:val="none"/>
              </w:rPr>
              <w:t xml:space="preserve"> </w:t>
            </w:r>
            <w:r>
              <w:rPr>
                <w:color w:val="auto"/>
                <w:spacing w:val="9"/>
                <w:highlight w:val="none"/>
              </w:rPr>
              <w:t>度健全。主要工序有质量技术保证措施和手段，</w:t>
            </w:r>
            <w:r>
              <w:rPr>
                <w:color w:val="auto"/>
                <w:spacing w:val="-33"/>
                <w:highlight w:val="none"/>
              </w:rPr>
              <w:t xml:space="preserve"> </w:t>
            </w:r>
            <w:r>
              <w:rPr>
                <w:color w:val="auto"/>
                <w:spacing w:val="9"/>
                <w:highlight w:val="none"/>
              </w:rPr>
              <w:t>自控体系完整，能</w:t>
            </w:r>
            <w:r>
              <w:rPr>
                <w:color w:val="auto"/>
                <w:highlight w:val="none"/>
              </w:rPr>
              <w:t xml:space="preserve"> </w:t>
            </w:r>
            <w:r>
              <w:rPr>
                <w:color w:val="auto"/>
                <w:spacing w:val="8"/>
                <w:highlight w:val="none"/>
              </w:rPr>
              <w:t>保证技术质量，满足招标文件的质量要求。</w:t>
            </w:r>
          </w:p>
          <w:p w14:paraId="7A4BEC56">
            <w:pPr>
              <w:pStyle w:val="9"/>
              <w:spacing w:before="1" w:line="369" w:lineRule="auto"/>
              <w:ind w:left="113" w:right="47"/>
              <w:rPr>
                <w:color w:val="auto"/>
                <w:highlight w:val="none"/>
              </w:rPr>
            </w:pPr>
            <w:r>
              <w:rPr>
                <w:color w:val="auto"/>
                <w:spacing w:val="7"/>
                <w:highlight w:val="none"/>
              </w:rPr>
              <w:t>三档（2</w:t>
            </w:r>
            <w:r>
              <w:rPr>
                <w:color w:val="auto"/>
                <w:spacing w:val="-34"/>
                <w:highlight w:val="none"/>
              </w:rPr>
              <w:t xml:space="preserve"> </w:t>
            </w:r>
            <w:r>
              <w:rPr>
                <w:color w:val="auto"/>
                <w:spacing w:val="7"/>
                <w:highlight w:val="none"/>
              </w:rPr>
              <w:t>分</w:t>
            </w:r>
            <w:r>
              <w:rPr>
                <w:color w:val="auto"/>
                <w:spacing w:val="14"/>
                <w:highlight w:val="none"/>
              </w:rPr>
              <w:t>）：</w:t>
            </w:r>
            <w:r>
              <w:rPr>
                <w:color w:val="auto"/>
                <w:spacing w:val="7"/>
                <w:highlight w:val="none"/>
              </w:rPr>
              <w:t>有质量技术管理班子和制度，且人员配</w:t>
            </w:r>
            <w:r>
              <w:rPr>
                <w:color w:val="auto"/>
                <w:spacing w:val="6"/>
                <w:highlight w:val="none"/>
              </w:rPr>
              <w:t>备基本合理，</w:t>
            </w:r>
            <w:r>
              <w:rPr>
                <w:color w:val="auto"/>
                <w:highlight w:val="none"/>
              </w:rPr>
              <w:t xml:space="preserve"> </w:t>
            </w:r>
            <w:r>
              <w:rPr>
                <w:color w:val="auto"/>
                <w:spacing w:val="10"/>
                <w:highlight w:val="none"/>
              </w:rPr>
              <w:t>制度基本健全。主要工序有质量技术保证措施和手段，</w:t>
            </w:r>
            <w:r>
              <w:rPr>
                <w:color w:val="auto"/>
                <w:spacing w:val="-49"/>
                <w:highlight w:val="none"/>
              </w:rPr>
              <w:t xml:space="preserve"> </w:t>
            </w:r>
            <w:r>
              <w:rPr>
                <w:color w:val="auto"/>
                <w:spacing w:val="10"/>
                <w:highlight w:val="none"/>
              </w:rPr>
              <w:t>自控体系，</w:t>
            </w:r>
            <w:r>
              <w:rPr>
                <w:color w:val="auto"/>
                <w:highlight w:val="none"/>
              </w:rPr>
              <w:t xml:space="preserve"> </w:t>
            </w:r>
            <w:r>
              <w:rPr>
                <w:color w:val="auto"/>
                <w:spacing w:val="9"/>
                <w:highlight w:val="none"/>
              </w:rPr>
              <w:t>基本能保证技术质量，基本满足招标文件的质量要求。</w:t>
            </w:r>
          </w:p>
          <w:p w14:paraId="716C15EC">
            <w:pPr>
              <w:pStyle w:val="9"/>
              <w:spacing w:before="63" w:line="345" w:lineRule="auto"/>
              <w:ind w:left="130" w:leftChars="0" w:right="103" w:rightChars="0" w:firstLine="2" w:firstLineChars="0"/>
              <w:rPr>
                <w:rFonts w:ascii="宋体" w:hAnsi="宋体" w:eastAsia="宋体" w:cs="宋体"/>
                <w:snapToGrid w:val="0"/>
                <w:color w:val="auto"/>
                <w:kern w:val="0"/>
                <w:sz w:val="20"/>
                <w:szCs w:val="20"/>
                <w:highlight w:val="none"/>
                <w:lang w:val="en-US" w:eastAsia="en-US" w:bidi="ar-SA"/>
              </w:rPr>
            </w:pPr>
            <w:r>
              <w:rPr>
                <w:color w:val="auto"/>
                <w:spacing w:val="11"/>
                <w:highlight w:val="none"/>
              </w:rPr>
              <w:t>四档（1</w:t>
            </w:r>
            <w:r>
              <w:rPr>
                <w:color w:val="auto"/>
                <w:spacing w:val="-31"/>
                <w:highlight w:val="none"/>
              </w:rPr>
              <w:t xml:space="preserve"> </w:t>
            </w:r>
            <w:r>
              <w:rPr>
                <w:color w:val="auto"/>
                <w:spacing w:val="11"/>
                <w:highlight w:val="none"/>
              </w:rPr>
              <w:t>分</w:t>
            </w:r>
            <w:r>
              <w:rPr>
                <w:color w:val="auto"/>
                <w:spacing w:val="-1"/>
                <w:highlight w:val="none"/>
              </w:rPr>
              <w:t>）</w:t>
            </w:r>
            <w:r>
              <w:rPr>
                <w:color w:val="auto"/>
                <w:spacing w:val="-56"/>
                <w:highlight w:val="none"/>
              </w:rPr>
              <w:t xml:space="preserve"> </w:t>
            </w:r>
            <w:r>
              <w:rPr>
                <w:color w:val="auto"/>
                <w:spacing w:val="-1"/>
                <w:highlight w:val="none"/>
              </w:rPr>
              <w:t>：</w:t>
            </w:r>
            <w:r>
              <w:rPr>
                <w:color w:val="auto"/>
                <w:spacing w:val="11"/>
                <w:highlight w:val="none"/>
              </w:rPr>
              <w:t>工程质量技术组织措施不可行，没能满足招标文件</w:t>
            </w:r>
            <w:r>
              <w:rPr>
                <w:color w:val="auto"/>
                <w:highlight w:val="none"/>
              </w:rPr>
              <w:t xml:space="preserve"> </w:t>
            </w:r>
            <w:r>
              <w:rPr>
                <w:color w:val="auto"/>
                <w:spacing w:val="3"/>
                <w:highlight w:val="none"/>
              </w:rPr>
              <w:t>的质量要求。</w:t>
            </w:r>
          </w:p>
        </w:tc>
        <w:tc>
          <w:tcPr>
            <w:tcW w:w="855" w:type="dxa"/>
            <w:shd w:val="clear" w:color="auto" w:fill="auto"/>
            <w:vAlign w:val="top"/>
          </w:tcPr>
          <w:p w14:paraId="1B1A8CE9">
            <w:pPr>
              <w:rPr>
                <w:rFonts w:ascii="Arial"/>
                <w:color w:val="auto"/>
                <w:sz w:val="21"/>
                <w:highlight w:val="none"/>
              </w:rPr>
            </w:pPr>
          </w:p>
          <w:p w14:paraId="447806EE">
            <w:pPr>
              <w:rPr>
                <w:rFonts w:ascii="Arial"/>
                <w:color w:val="auto"/>
                <w:sz w:val="21"/>
                <w:highlight w:val="none"/>
              </w:rPr>
            </w:pPr>
          </w:p>
          <w:p w14:paraId="4688B73C">
            <w:pPr>
              <w:spacing w:line="241" w:lineRule="auto"/>
              <w:rPr>
                <w:rFonts w:ascii="Arial"/>
                <w:color w:val="auto"/>
                <w:sz w:val="21"/>
                <w:highlight w:val="none"/>
              </w:rPr>
            </w:pPr>
          </w:p>
          <w:p w14:paraId="6B65B51D">
            <w:pPr>
              <w:spacing w:line="241" w:lineRule="auto"/>
              <w:rPr>
                <w:rFonts w:ascii="Arial"/>
                <w:color w:val="auto"/>
                <w:sz w:val="21"/>
                <w:highlight w:val="none"/>
              </w:rPr>
            </w:pPr>
          </w:p>
          <w:p w14:paraId="60A09B40">
            <w:pPr>
              <w:spacing w:line="241" w:lineRule="auto"/>
              <w:rPr>
                <w:rFonts w:ascii="Arial"/>
                <w:color w:val="auto"/>
                <w:sz w:val="21"/>
                <w:highlight w:val="none"/>
              </w:rPr>
            </w:pPr>
          </w:p>
          <w:p w14:paraId="3CEB0330">
            <w:pPr>
              <w:spacing w:line="241" w:lineRule="auto"/>
              <w:rPr>
                <w:rFonts w:ascii="Arial"/>
                <w:color w:val="auto"/>
                <w:sz w:val="21"/>
                <w:highlight w:val="none"/>
              </w:rPr>
            </w:pPr>
          </w:p>
          <w:p w14:paraId="693BC82F">
            <w:pPr>
              <w:spacing w:line="241" w:lineRule="auto"/>
              <w:rPr>
                <w:rFonts w:ascii="Arial"/>
                <w:color w:val="auto"/>
                <w:sz w:val="21"/>
                <w:highlight w:val="none"/>
              </w:rPr>
            </w:pPr>
          </w:p>
          <w:p w14:paraId="51AB5F34">
            <w:pPr>
              <w:spacing w:line="241" w:lineRule="auto"/>
              <w:rPr>
                <w:rFonts w:ascii="Arial"/>
                <w:color w:val="auto"/>
                <w:sz w:val="21"/>
                <w:highlight w:val="none"/>
              </w:rPr>
            </w:pPr>
          </w:p>
          <w:p w14:paraId="1686F4C5">
            <w:pPr>
              <w:spacing w:line="241" w:lineRule="auto"/>
              <w:rPr>
                <w:rFonts w:ascii="Arial"/>
                <w:color w:val="auto"/>
                <w:sz w:val="21"/>
                <w:highlight w:val="none"/>
              </w:rPr>
            </w:pPr>
          </w:p>
          <w:p w14:paraId="45EDB5C9">
            <w:pPr>
              <w:pStyle w:val="9"/>
              <w:spacing w:before="65" w:line="229" w:lineRule="auto"/>
              <w:ind w:left="253" w:leftChars="0"/>
              <w:rPr>
                <w:rFonts w:ascii="宋体" w:hAnsi="宋体" w:eastAsia="宋体" w:cs="宋体"/>
                <w:snapToGrid w:val="0"/>
                <w:color w:val="auto"/>
                <w:kern w:val="0"/>
                <w:sz w:val="20"/>
                <w:szCs w:val="20"/>
                <w:highlight w:val="none"/>
                <w:lang w:val="en-US" w:eastAsia="en-US" w:bidi="ar-SA"/>
              </w:rPr>
            </w:pPr>
            <w:r>
              <w:rPr>
                <w:color w:val="auto"/>
                <w:spacing w:val="-4"/>
                <w:highlight w:val="none"/>
              </w:rPr>
              <w:t>5</w:t>
            </w:r>
            <w:r>
              <w:rPr>
                <w:color w:val="auto"/>
                <w:spacing w:val="-38"/>
                <w:highlight w:val="none"/>
              </w:rPr>
              <w:t xml:space="preserve"> </w:t>
            </w:r>
            <w:r>
              <w:rPr>
                <w:color w:val="auto"/>
                <w:spacing w:val="-4"/>
                <w:highlight w:val="none"/>
              </w:rPr>
              <w:t>分</w:t>
            </w:r>
          </w:p>
        </w:tc>
      </w:tr>
      <w:tr w14:paraId="69349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697" w:type="dxa"/>
            <w:shd w:val="clear" w:color="auto" w:fill="auto"/>
            <w:vAlign w:val="top"/>
          </w:tcPr>
          <w:p w14:paraId="45EAD88B">
            <w:pPr>
              <w:spacing w:line="255" w:lineRule="auto"/>
              <w:rPr>
                <w:rFonts w:ascii="Arial"/>
                <w:color w:val="auto"/>
                <w:sz w:val="21"/>
                <w:highlight w:val="none"/>
              </w:rPr>
            </w:pPr>
          </w:p>
          <w:p w14:paraId="7DBD9DE2">
            <w:pPr>
              <w:spacing w:line="255" w:lineRule="auto"/>
              <w:rPr>
                <w:rFonts w:ascii="Arial"/>
                <w:color w:val="auto"/>
                <w:sz w:val="21"/>
                <w:highlight w:val="none"/>
              </w:rPr>
            </w:pPr>
          </w:p>
          <w:p w14:paraId="3BD710AD">
            <w:pPr>
              <w:spacing w:line="255" w:lineRule="auto"/>
              <w:rPr>
                <w:rFonts w:ascii="Arial"/>
                <w:color w:val="auto"/>
                <w:sz w:val="21"/>
                <w:highlight w:val="none"/>
              </w:rPr>
            </w:pPr>
          </w:p>
          <w:p w14:paraId="021519F3">
            <w:pPr>
              <w:spacing w:line="255" w:lineRule="auto"/>
              <w:rPr>
                <w:rFonts w:ascii="Arial"/>
                <w:color w:val="auto"/>
                <w:sz w:val="21"/>
                <w:highlight w:val="none"/>
              </w:rPr>
            </w:pPr>
          </w:p>
          <w:p w14:paraId="2C3CDEEF">
            <w:pPr>
              <w:spacing w:line="256" w:lineRule="auto"/>
              <w:rPr>
                <w:rFonts w:ascii="Arial"/>
                <w:color w:val="auto"/>
                <w:sz w:val="21"/>
                <w:highlight w:val="none"/>
              </w:rPr>
            </w:pPr>
          </w:p>
          <w:p w14:paraId="1C8B7694">
            <w:pPr>
              <w:spacing w:line="256" w:lineRule="auto"/>
              <w:rPr>
                <w:rFonts w:ascii="Arial"/>
                <w:color w:val="auto"/>
                <w:sz w:val="21"/>
                <w:highlight w:val="none"/>
              </w:rPr>
            </w:pPr>
          </w:p>
          <w:p w14:paraId="3511DFFD">
            <w:pPr>
              <w:pStyle w:val="9"/>
              <w:spacing w:before="65" w:line="268" w:lineRule="exact"/>
              <w:ind w:left="198" w:leftChars="0"/>
              <w:rPr>
                <w:rFonts w:ascii="宋体" w:hAnsi="宋体" w:eastAsia="宋体" w:cs="宋体"/>
                <w:snapToGrid w:val="0"/>
                <w:color w:val="auto"/>
                <w:kern w:val="0"/>
                <w:sz w:val="20"/>
                <w:szCs w:val="20"/>
                <w:highlight w:val="none"/>
                <w:lang w:val="en-US" w:eastAsia="en-US" w:bidi="ar-SA"/>
              </w:rPr>
            </w:pPr>
            <w:r>
              <w:rPr>
                <w:color w:val="auto"/>
                <w:spacing w:val="1"/>
                <w:position w:val="1"/>
                <w:highlight w:val="none"/>
              </w:rPr>
              <w:t>2.7</w:t>
            </w:r>
          </w:p>
        </w:tc>
        <w:tc>
          <w:tcPr>
            <w:tcW w:w="1306" w:type="dxa"/>
            <w:shd w:val="clear" w:color="auto" w:fill="auto"/>
            <w:vAlign w:val="top"/>
          </w:tcPr>
          <w:p w14:paraId="7688D41C">
            <w:pPr>
              <w:spacing w:line="263" w:lineRule="auto"/>
              <w:rPr>
                <w:rFonts w:ascii="Arial"/>
                <w:color w:val="auto"/>
                <w:sz w:val="21"/>
                <w:highlight w:val="none"/>
              </w:rPr>
            </w:pPr>
          </w:p>
          <w:p w14:paraId="5D4A6BDE">
            <w:pPr>
              <w:spacing w:line="264" w:lineRule="auto"/>
              <w:rPr>
                <w:rFonts w:ascii="Arial"/>
                <w:color w:val="auto"/>
                <w:sz w:val="21"/>
                <w:highlight w:val="none"/>
              </w:rPr>
            </w:pPr>
          </w:p>
          <w:p w14:paraId="20C90893">
            <w:pPr>
              <w:spacing w:line="264" w:lineRule="auto"/>
              <w:rPr>
                <w:rFonts w:ascii="Arial"/>
                <w:color w:val="auto"/>
                <w:sz w:val="21"/>
                <w:highlight w:val="none"/>
              </w:rPr>
            </w:pPr>
          </w:p>
          <w:p w14:paraId="2A16BA1B">
            <w:pPr>
              <w:spacing w:line="264" w:lineRule="auto"/>
              <w:rPr>
                <w:rFonts w:ascii="Arial"/>
                <w:color w:val="auto"/>
                <w:sz w:val="21"/>
                <w:highlight w:val="none"/>
              </w:rPr>
            </w:pPr>
          </w:p>
          <w:p w14:paraId="7AC1F6EB">
            <w:pPr>
              <w:pStyle w:val="9"/>
              <w:spacing w:before="65" w:line="229" w:lineRule="auto"/>
              <w:ind w:left="132"/>
              <w:rPr>
                <w:color w:val="auto"/>
                <w:highlight w:val="none"/>
              </w:rPr>
            </w:pPr>
            <w:r>
              <w:rPr>
                <w:color w:val="auto"/>
                <w:spacing w:val="8"/>
                <w:highlight w:val="none"/>
              </w:rPr>
              <w:t>确保安全生</w:t>
            </w:r>
          </w:p>
          <w:p w14:paraId="3588FBAE">
            <w:pPr>
              <w:pStyle w:val="9"/>
              <w:spacing w:before="232" w:line="228" w:lineRule="auto"/>
              <w:ind w:left="132"/>
              <w:rPr>
                <w:color w:val="auto"/>
                <w:highlight w:val="none"/>
              </w:rPr>
            </w:pPr>
            <w:r>
              <w:rPr>
                <w:color w:val="auto"/>
                <w:spacing w:val="8"/>
                <w:highlight w:val="none"/>
              </w:rPr>
              <w:t>产的技术组</w:t>
            </w:r>
          </w:p>
          <w:p w14:paraId="39E40FCC">
            <w:pPr>
              <w:pStyle w:val="9"/>
              <w:spacing w:before="232" w:line="229" w:lineRule="auto"/>
              <w:ind w:left="345" w:leftChars="0"/>
              <w:rPr>
                <w:rFonts w:ascii="宋体" w:hAnsi="宋体" w:eastAsia="宋体" w:cs="宋体"/>
                <w:snapToGrid w:val="0"/>
                <w:color w:val="auto"/>
                <w:kern w:val="0"/>
                <w:sz w:val="20"/>
                <w:szCs w:val="20"/>
                <w:highlight w:val="none"/>
                <w:lang w:val="en-US" w:eastAsia="en-US" w:bidi="ar-SA"/>
              </w:rPr>
            </w:pPr>
            <w:r>
              <w:rPr>
                <w:color w:val="auto"/>
                <w:spacing w:val="5"/>
                <w:highlight w:val="none"/>
              </w:rPr>
              <w:t>织措施</w:t>
            </w:r>
          </w:p>
        </w:tc>
        <w:tc>
          <w:tcPr>
            <w:tcW w:w="6351" w:type="dxa"/>
            <w:shd w:val="clear" w:color="auto" w:fill="auto"/>
            <w:vAlign w:val="top"/>
          </w:tcPr>
          <w:p w14:paraId="7EE248BE">
            <w:pPr>
              <w:pStyle w:val="9"/>
              <w:spacing w:before="143" w:line="369" w:lineRule="auto"/>
              <w:ind w:left="112" w:right="103" w:firstLine="4"/>
              <w:rPr>
                <w:color w:val="auto"/>
                <w:highlight w:val="none"/>
              </w:rPr>
            </w:pPr>
            <w:r>
              <w:rPr>
                <w:color w:val="auto"/>
                <w:spacing w:val="11"/>
                <w:highlight w:val="none"/>
              </w:rPr>
              <w:t>一档（5</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有专门安全管理人员和制度，且人员配备合理，制</w:t>
            </w:r>
            <w:r>
              <w:rPr>
                <w:color w:val="auto"/>
                <w:highlight w:val="none"/>
              </w:rPr>
              <w:t xml:space="preserve"> </w:t>
            </w:r>
            <w:r>
              <w:rPr>
                <w:color w:val="auto"/>
                <w:spacing w:val="11"/>
                <w:highlight w:val="none"/>
              </w:rPr>
              <w:t>度建全，各道工序安全技术措施针对性强，符合实际且满足安全技</w:t>
            </w:r>
            <w:r>
              <w:rPr>
                <w:color w:val="auto"/>
                <w:spacing w:val="9"/>
                <w:highlight w:val="none"/>
              </w:rPr>
              <w:t xml:space="preserve"> </w:t>
            </w:r>
            <w:r>
              <w:rPr>
                <w:color w:val="auto"/>
                <w:spacing w:val="6"/>
                <w:highlight w:val="none"/>
              </w:rPr>
              <w:t>术标准要求。</w:t>
            </w:r>
          </w:p>
          <w:p w14:paraId="621F1CE1">
            <w:pPr>
              <w:pStyle w:val="9"/>
              <w:spacing w:before="2" w:line="369" w:lineRule="auto"/>
              <w:ind w:left="113" w:right="103" w:firstLine="3"/>
              <w:rPr>
                <w:color w:val="auto"/>
                <w:highlight w:val="none"/>
              </w:rPr>
            </w:pPr>
            <w:r>
              <w:rPr>
                <w:color w:val="auto"/>
                <w:spacing w:val="11"/>
                <w:highlight w:val="none"/>
              </w:rPr>
              <w:t>二档（4</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针对项目实际情况，有合理安全生产技术组织措施</w:t>
            </w:r>
            <w:r>
              <w:rPr>
                <w:color w:val="auto"/>
                <w:highlight w:val="none"/>
              </w:rPr>
              <w:t xml:space="preserve"> </w:t>
            </w:r>
            <w:r>
              <w:rPr>
                <w:color w:val="auto"/>
                <w:spacing w:val="8"/>
                <w:highlight w:val="none"/>
              </w:rPr>
              <w:t>且具体、完整，采用规范正确。</w:t>
            </w:r>
          </w:p>
          <w:p w14:paraId="03B4D57E">
            <w:pPr>
              <w:pStyle w:val="9"/>
              <w:spacing w:line="369" w:lineRule="auto"/>
              <w:ind w:left="118" w:right="103" w:hanging="5"/>
              <w:rPr>
                <w:color w:val="auto"/>
                <w:highlight w:val="none"/>
              </w:rPr>
            </w:pPr>
            <w:r>
              <w:rPr>
                <w:color w:val="auto"/>
                <w:spacing w:val="12"/>
                <w:highlight w:val="none"/>
              </w:rPr>
              <w:t>三档（2</w:t>
            </w:r>
            <w:r>
              <w:rPr>
                <w:color w:val="auto"/>
                <w:spacing w:val="-31"/>
                <w:highlight w:val="none"/>
              </w:rPr>
              <w:t xml:space="preserve"> </w:t>
            </w:r>
            <w:r>
              <w:rPr>
                <w:color w:val="auto"/>
                <w:spacing w:val="12"/>
                <w:highlight w:val="none"/>
              </w:rPr>
              <w:t>分</w:t>
            </w:r>
            <w:r>
              <w:rPr>
                <w:color w:val="auto"/>
                <w:spacing w:val="-2"/>
                <w:highlight w:val="none"/>
              </w:rPr>
              <w:t>）</w:t>
            </w:r>
            <w:r>
              <w:rPr>
                <w:color w:val="auto"/>
                <w:spacing w:val="-56"/>
                <w:highlight w:val="none"/>
              </w:rPr>
              <w:t xml:space="preserve"> </w:t>
            </w:r>
            <w:r>
              <w:rPr>
                <w:color w:val="auto"/>
                <w:spacing w:val="-2"/>
                <w:highlight w:val="none"/>
              </w:rPr>
              <w:t>：</w:t>
            </w:r>
            <w:r>
              <w:rPr>
                <w:color w:val="auto"/>
                <w:spacing w:val="12"/>
                <w:highlight w:val="none"/>
              </w:rPr>
              <w:t>针对项目实际情况，有生产技术组织</w:t>
            </w:r>
            <w:r>
              <w:rPr>
                <w:color w:val="auto"/>
                <w:spacing w:val="11"/>
                <w:highlight w:val="none"/>
              </w:rPr>
              <w:t>措施，采用规</w:t>
            </w:r>
            <w:r>
              <w:rPr>
                <w:color w:val="auto"/>
                <w:highlight w:val="none"/>
              </w:rPr>
              <w:t xml:space="preserve"> </w:t>
            </w:r>
            <w:r>
              <w:rPr>
                <w:color w:val="auto"/>
                <w:spacing w:val="3"/>
                <w:highlight w:val="none"/>
              </w:rPr>
              <w:t>范正确。</w:t>
            </w:r>
          </w:p>
          <w:p w14:paraId="7FE689EC">
            <w:pPr>
              <w:pStyle w:val="9"/>
              <w:spacing w:before="63" w:line="228" w:lineRule="auto"/>
              <w:ind w:left="132" w:leftChars="0"/>
              <w:rPr>
                <w:rFonts w:ascii="宋体" w:hAnsi="宋体" w:eastAsia="宋体" w:cs="宋体"/>
                <w:snapToGrid w:val="0"/>
                <w:color w:val="auto"/>
                <w:kern w:val="0"/>
                <w:sz w:val="20"/>
                <w:szCs w:val="20"/>
                <w:highlight w:val="none"/>
                <w:lang w:val="en-US" w:eastAsia="en-US" w:bidi="ar-SA"/>
              </w:rPr>
            </w:pPr>
            <w:r>
              <w:rPr>
                <w:color w:val="auto"/>
                <w:spacing w:val="7"/>
                <w:highlight w:val="none"/>
              </w:rPr>
              <w:t>四档（1</w:t>
            </w:r>
            <w:r>
              <w:rPr>
                <w:color w:val="auto"/>
                <w:spacing w:val="-35"/>
                <w:highlight w:val="none"/>
              </w:rPr>
              <w:t xml:space="preserve"> </w:t>
            </w:r>
            <w:r>
              <w:rPr>
                <w:color w:val="auto"/>
                <w:spacing w:val="7"/>
                <w:highlight w:val="none"/>
              </w:rPr>
              <w:t>分</w:t>
            </w:r>
            <w:r>
              <w:rPr>
                <w:color w:val="auto"/>
                <w:spacing w:val="16"/>
                <w:highlight w:val="none"/>
              </w:rPr>
              <w:t>）：</w:t>
            </w:r>
            <w:r>
              <w:rPr>
                <w:color w:val="auto"/>
                <w:spacing w:val="7"/>
                <w:highlight w:val="none"/>
              </w:rPr>
              <w:t>安全文明措施不得力，采用规范不正</w:t>
            </w:r>
            <w:r>
              <w:rPr>
                <w:color w:val="auto"/>
                <w:spacing w:val="6"/>
                <w:highlight w:val="none"/>
              </w:rPr>
              <w:t>确。</w:t>
            </w:r>
          </w:p>
        </w:tc>
        <w:tc>
          <w:tcPr>
            <w:tcW w:w="855" w:type="dxa"/>
            <w:shd w:val="clear" w:color="auto" w:fill="auto"/>
            <w:vAlign w:val="top"/>
          </w:tcPr>
          <w:p w14:paraId="782A0D49">
            <w:pPr>
              <w:spacing w:line="255" w:lineRule="auto"/>
              <w:rPr>
                <w:rFonts w:ascii="Arial"/>
                <w:color w:val="auto"/>
                <w:sz w:val="21"/>
                <w:highlight w:val="none"/>
              </w:rPr>
            </w:pPr>
          </w:p>
          <w:p w14:paraId="1B6C4BBC">
            <w:pPr>
              <w:spacing w:line="255" w:lineRule="auto"/>
              <w:rPr>
                <w:rFonts w:ascii="Arial"/>
                <w:color w:val="auto"/>
                <w:sz w:val="21"/>
                <w:highlight w:val="none"/>
              </w:rPr>
            </w:pPr>
          </w:p>
          <w:p w14:paraId="5E8CB756">
            <w:pPr>
              <w:spacing w:line="255" w:lineRule="auto"/>
              <w:rPr>
                <w:rFonts w:ascii="Arial"/>
                <w:color w:val="auto"/>
                <w:sz w:val="21"/>
                <w:highlight w:val="none"/>
              </w:rPr>
            </w:pPr>
          </w:p>
          <w:p w14:paraId="77E15C6D">
            <w:pPr>
              <w:spacing w:line="255" w:lineRule="auto"/>
              <w:rPr>
                <w:rFonts w:ascii="Arial"/>
                <w:color w:val="auto"/>
                <w:sz w:val="21"/>
                <w:highlight w:val="none"/>
              </w:rPr>
            </w:pPr>
          </w:p>
          <w:p w14:paraId="33639659">
            <w:pPr>
              <w:spacing w:line="256" w:lineRule="auto"/>
              <w:rPr>
                <w:rFonts w:ascii="Arial"/>
                <w:color w:val="auto"/>
                <w:sz w:val="21"/>
                <w:highlight w:val="none"/>
              </w:rPr>
            </w:pPr>
          </w:p>
          <w:p w14:paraId="7ACFBDAB">
            <w:pPr>
              <w:spacing w:line="256" w:lineRule="auto"/>
              <w:rPr>
                <w:rFonts w:ascii="Arial"/>
                <w:color w:val="auto"/>
                <w:sz w:val="21"/>
                <w:highlight w:val="none"/>
              </w:rPr>
            </w:pPr>
          </w:p>
          <w:p w14:paraId="2F652223">
            <w:pPr>
              <w:pStyle w:val="9"/>
              <w:spacing w:before="65" w:line="229" w:lineRule="auto"/>
              <w:ind w:left="253" w:leftChars="0"/>
              <w:rPr>
                <w:rFonts w:ascii="宋体" w:hAnsi="宋体" w:eastAsia="宋体" w:cs="宋体"/>
                <w:snapToGrid w:val="0"/>
                <w:color w:val="auto"/>
                <w:kern w:val="0"/>
                <w:sz w:val="20"/>
                <w:szCs w:val="20"/>
                <w:highlight w:val="none"/>
                <w:lang w:val="en-US" w:eastAsia="en-US" w:bidi="ar-SA"/>
              </w:rPr>
            </w:pPr>
            <w:r>
              <w:rPr>
                <w:color w:val="auto"/>
                <w:spacing w:val="-4"/>
                <w:highlight w:val="none"/>
              </w:rPr>
              <w:t>5</w:t>
            </w:r>
            <w:r>
              <w:rPr>
                <w:color w:val="auto"/>
                <w:spacing w:val="-38"/>
                <w:highlight w:val="none"/>
              </w:rPr>
              <w:t xml:space="preserve"> </w:t>
            </w:r>
            <w:r>
              <w:rPr>
                <w:color w:val="auto"/>
                <w:spacing w:val="-4"/>
                <w:highlight w:val="none"/>
              </w:rPr>
              <w:t>分</w:t>
            </w:r>
          </w:p>
        </w:tc>
      </w:tr>
    </w:tbl>
    <w:p w14:paraId="71EA3305">
      <w:pPr>
        <w:pStyle w:val="2"/>
        <w:spacing w:line="236" w:lineRule="exact"/>
        <w:rPr>
          <w:color w:val="auto"/>
          <w:sz w:val="20"/>
          <w:highlight w:val="none"/>
        </w:rPr>
      </w:pPr>
    </w:p>
    <w:p w14:paraId="4E5951A6">
      <w:pPr>
        <w:spacing w:before="3"/>
        <w:rPr>
          <w:color w:val="auto"/>
          <w:highlight w:val="none"/>
        </w:rPr>
      </w:pPr>
    </w:p>
    <w:tbl>
      <w:tblPr>
        <w:tblStyle w:val="8"/>
        <w:tblW w:w="9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7"/>
        <w:gridCol w:w="1306"/>
        <w:gridCol w:w="6351"/>
        <w:gridCol w:w="855"/>
      </w:tblGrid>
      <w:tr w14:paraId="47DA6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6" w:hRule="atLeast"/>
        </w:trPr>
        <w:tc>
          <w:tcPr>
            <w:tcW w:w="697" w:type="dxa"/>
            <w:vAlign w:val="top"/>
          </w:tcPr>
          <w:p w14:paraId="4DD5A48D">
            <w:pPr>
              <w:spacing w:line="241" w:lineRule="auto"/>
              <w:rPr>
                <w:rFonts w:ascii="Arial"/>
                <w:color w:val="auto"/>
                <w:sz w:val="21"/>
                <w:highlight w:val="none"/>
              </w:rPr>
            </w:pPr>
          </w:p>
          <w:p w14:paraId="3AB6DB60">
            <w:pPr>
              <w:spacing w:line="242" w:lineRule="auto"/>
              <w:rPr>
                <w:rFonts w:ascii="Arial"/>
                <w:color w:val="auto"/>
                <w:sz w:val="21"/>
                <w:highlight w:val="none"/>
              </w:rPr>
            </w:pPr>
          </w:p>
          <w:p w14:paraId="7150F636">
            <w:pPr>
              <w:spacing w:line="242" w:lineRule="auto"/>
              <w:rPr>
                <w:rFonts w:ascii="Arial"/>
                <w:color w:val="auto"/>
                <w:sz w:val="21"/>
                <w:highlight w:val="none"/>
              </w:rPr>
            </w:pPr>
          </w:p>
          <w:p w14:paraId="3FE0873F">
            <w:pPr>
              <w:spacing w:line="242" w:lineRule="auto"/>
              <w:rPr>
                <w:rFonts w:ascii="Arial"/>
                <w:color w:val="auto"/>
                <w:sz w:val="21"/>
                <w:highlight w:val="none"/>
              </w:rPr>
            </w:pPr>
          </w:p>
          <w:p w14:paraId="3AA39612">
            <w:pPr>
              <w:spacing w:line="242" w:lineRule="auto"/>
              <w:rPr>
                <w:rFonts w:ascii="Arial"/>
                <w:color w:val="auto"/>
                <w:sz w:val="21"/>
                <w:highlight w:val="none"/>
              </w:rPr>
            </w:pPr>
          </w:p>
          <w:p w14:paraId="1BB2432F">
            <w:pPr>
              <w:spacing w:line="242" w:lineRule="auto"/>
              <w:rPr>
                <w:rFonts w:ascii="Arial"/>
                <w:color w:val="auto"/>
                <w:sz w:val="21"/>
                <w:highlight w:val="none"/>
              </w:rPr>
            </w:pPr>
          </w:p>
          <w:p w14:paraId="7D4F91B2">
            <w:pPr>
              <w:spacing w:line="242" w:lineRule="auto"/>
              <w:rPr>
                <w:rFonts w:ascii="Arial"/>
                <w:color w:val="auto"/>
                <w:sz w:val="21"/>
                <w:highlight w:val="none"/>
              </w:rPr>
            </w:pPr>
          </w:p>
          <w:p w14:paraId="6988D811">
            <w:pPr>
              <w:pStyle w:val="9"/>
              <w:spacing w:before="65" w:line="269" w:lineRule="exact"/>
              <w:ind w:left="198"/>
              <w:rPr>
                <w:color w:val="auto"/>
                <w:highlight w:val="none"/>
              </w:rPr>
            </w:pPr>
            <w:r>
              <w:rPr>
                <w:color w:val="auto"/>
                <w:spacing w:val="1"/>
                <w:position w:val="1"/>
                <w:highlight w:val="none"/>
              </w:rPr>
              <w:t>2.8</w:t>
            </w:r>
          </w:p>
        </w:tc>
        <w:tc>
          <w:tcPr>
            <w:tcW w:w="1306" w:type="dxa"/>
            <w:vAlign w:val="top"/>
          </w:tcPr>
          <w:p w14:paraId="45AC03F4">
            <w:pPr>
              <w:spacing w:line="243" w:lineRule="auto"/>
              <w:rPr>
                <w:rFonts w:ascii="Arial"/>
                <w:color w:val="auto"/>
                <w:sz w:val="21"/>
                <w:highlight w:val="none"/>
              </w:rPr>
            </w:pPr>
          </w:p>
          <w:p w14:paraId="6B6D24AC">
            <w:pPr>
              <w:spacing w:line="243" w:lineRule="auto"/>
              <w:rPr>
                <w:rFonts w:ascii="Arial"/>
                <w:color w:val="auto"/>
                <w:sz w:val="21"/>
                <w:highlight w:val="none"/>
              </w:rPr>
            </w:pPr>
          </w:p>
          <w:p w14:paraId="4C827E75">
            <w:pPr>
              <w:spacing w:line="243" w:lineRule="auto"/>
              <w:rPr>
                <w:rFonts w:ascii="Arial"/>
                <w:color w:val="auto"/>
                <w:sz w:val="21"/>
                <w:highlight w:val="none"/>
              </w:rPr>
            </w:pPr>
          </w:p>
          <w:p w14:paraId="178E3A02">
            <w:pPr>
              <w:spacing w:line="243" w:lineRule="auto"/>
              <w:rPr>
                <w:rFonts w:ascii="Arial"/>
                <w:color w:val="auto"/>
                <w:sz w:val="21"/>
                <w:highlight w:val="none"/>
              </w:rPr>
            </w:pPr>
          </w:p>
          <w:p w14:paraId="19BE7900">
            <w:pPr>
              <w:spacing w:line="244" w:lineRule="auto"/>
              <w:rPr>
                <w:rFonts w:ascii="Arial"/>
                <w:color w:val="auto"/>
                <w:sz w:val="21"/>
                <w:highlight w:val="none"/>
              </w:rPr>
            </w:pPr>
          </w:p>
          <w:p w14:paraId="30703821">
            <w:pPr>
              <w:pStyle w:val="9"/>
              <w:spacing w:before="65" w:line="229" w:lineRule="auto"/>
              <w:ind w:left="132"/>
              <w:rPr>
                <w:color w:val="auto"/>
                <w:highlight w:val="none"/>
              </w:rPr>
            </w:pPr>
            <w:r>
              <w:rPr>
                <w:color w:val="auto"/>
                <w:spacing w:val="8"/>
                <w:highlight w:val="none"/>
              </w:rPr>
              <w:t>确保工期的</w:t>
            </w:r>
          </w:p>
          <w:p w14:paraId="1386B308">
            <w:pPr>
              <w:pStyle w:val="9"/>
              <w:spacing w:before="232" w:line="228" w:lineRule="auto"/>
              <w:ind w:left="133"/>
              <w:rPr>
                <w:color w:val="auto"/>
                <w:highlight w:val="none"/>
              </w:rPr>
            </w:pPr>
            <w:r>
              <w:rPr>
                <w:color w:val="auto"/>
                <w:spacing w:val="7"/>
                <w:highlight w:val="none"/>
              </w:rPr>
              <w:t>技术组织措</w:t>
            </w:r>
          </w:p>
          <w:p w14:paraId="33F943FF">
            <w:pPr>
              <w:pStyle w:val="9"/>
              <w:spacing w:before="232" w:line="231" w:lineRule="auto"/>
              <w:ind w:left="552"/>
              <w:rPr>
                <w:color w:val="auto"/>
                <w:highlight w:val="none"/>
              </w:rPr>
            </w:pPr>
            <w:r>
              <w:rPr>
                <w:color w:val="auto"/>
                <w:spacing w:val="1"/>
                <w:highlight w:val="none"/>
              </w:rPr>
              <w:t>施</w:t>
            </w:r>
          </w:p>
        </w:tc>
        <w:tc>
          <w:tcPr>
            <w:tcW w:w="6351" w:type="dxa"/>
            <w:vAlign w:val="top"/>
          </w:tcPr>
          <w:p w14:paraId="4950B0FD">
            <w:pPr>
              <w:pStyle w:val="9"/>
              <w:spacing w:before="146" w:line="369" w:lineRule="auto"/>
              <w:ind w:left="114" w:right="104" w:firstLine="2"/>
              <w:rPr>
                <w:color w:val="auto"/>
                <w:highlight w:val="none"/>
              </w:rPr>
            </w:pPr>
            <w:r>
              <w:rPr>
                <w:color w:val="auto"/>
                <w:spacing w:val="11"/>
                <w:highlight w:val="none"/>
              </w:rPr>
              <w:t>一档（5</w:t>
            </w:r>
            <w:r>
              <w:rPr>
                <w:color w:val="auto"/>
                <w:spacing w:val="-30"/>
                <w:highlight w:val="none"/>
              </w:rPr>
              <w:t xml:space="preserve"> </w:t>
            </w:r>
            <w:r>
              <w:rPr>
                <w:color w:val="auto"/>
                <w:spacing w:val="11"/>
                <w:highlight w:val="none"/>
              </w:rPr>
              <w:t>分</w:t>
            </w:r>
            <w:r>
              <w:rPr>
                <w:color w:val="auto"/>
                <w:spacing w:val="6"/>
                <w:highlight w:val="none"/>
              </w:rPr>
              <w:t>）</w:t>
            </w:r>
            <w:r>
              <w:rPr>
                <w:color w:val="auto"/>
                <w:spacing w:val="-55"/>
                <w:highlight w:val="none"/>
              </w:rPr>
              <w:t xml:space="preserve"> </w:t>
            </w:r>
            <w:r>
              <w:rPr>
                <w:color w:val="auto"/>
                <w:spacing w:val="6"/>
                <w:highlight w:val="none"/>
              </w:rPr>
              <w:t>：</w:t>
            </w:r>
            <w:r>
              <w:rPr>
                <w:color w:val="auto"/>
                <w:spacing w:val="11"/>
                <w:highlight w:val="none"/>
              </w:rPr>
              <w:t>在施工工艺、施工方法、材料选用、劳动力安排、</w:t>
            </w:r>
            <w:r>
              <w:rPr>
                <w:color w:val="auto"/>
                <w:highlight w:val="none"/>
              </w:rPr>
              <w:t xml:space="preserve"> </w:t>
            </w:r>
            <w:r>
              <w:rPr>
                <w:color w:val="auto"/>
                <w:spacing w:val="11"/>
                <w:highlight w:val="none"/>
              </w:rPr>
              <w:t>技术等方面有保证工期的具体措施。有控制工期的施工进度计划。</w:t>
            </w:r>
            <w:r>
              <w:rPr>
                <w:color w:val="auto"/>
                <w:spacing w:val="7"/>
                <w:highlight w:val="none"/>
              </w:rPr>
              <w:t xml:space="preserve"> </w:t>
            </w:r>
            <w:r>
              <w:rPr>
                <w:color w:val="auto"/>
                <w:spacing w:val="11"/>
                <w:highlight w:val="none"/>
              </w:rPr>
              <w:t>有施工总进度表或施工网络图，各项计划图表编制完善，安排科学</w:t>
            </w:r>
            <w:r>
              <w:rPr>
                <w:color w:val="auto"/>
                <w:spacing w:val="7"/>
                <w:highlight w:val="none"/>
              </w:rPr>
              <w:t xml:space="preserve"> </w:t>
            </w:r>
            <w:r>
              <w:rPr>
                <w:color w:val="auto"/>
                <w:spacing w:val="8"/>
                <w:highlight w:val="none"/>
              </w:rPr>
              <w:t>合理，符合本项目施工实际要求。</w:t>
            </w:r>
          </w:p>
          <w:p w14:paraId="12B8A87C">
            <w:pPr>
              <w:pStyle w:val="9"/>
              <w:spacing w:line="369" w:lineRule="auto"/>
              <w:ind w:left="114" w:right="104" w:firstLine="2"/>
              <w:rPr>
                <w:color w:val="auto"/>
                <w:highlight w:val="none"/>
              </w:rPr>
            </w:pPr>
            <w:r>
              <w:rPr>
                <w:color w:val="auto"/>
                <w:spacing w:val="11"/>
                <w:highlight w:val="none"/>
              </w:rPr>
              <w:t>二档（4</w:t>
            </w:r>
            <w:r>
              <w:rPr>
                <w:color w:val="auto"/>
                <w:spacing w:val="-30"/>
                <w:highlight w:val="none"/>
              </w:rPr>
              <w:t xml:space="preserve"> </w:t>
            </w:r>
            <w:r>
              <w:rPr>
                <w:color w:val="auto"/>
                <w:spacing w:val="11"/>
                <w:highlight w:val="none"/>
              </w:rPr>
              <w:t>分</w:t>
            </w:r>
            <w:r>
              <w:rPr>
                <w:color w:val="auto"/>
                <w:spacing w:val="6"/>
                <w:highlight w:val="none"/>
              </w:rPr>
              <w:t>）</w:t>
            </w:r>
            <w:r>
              <w:rPr>
                <w:color w:val="auto"/>
                <w:spacing w:val="-55"/>
                <w:highlight w:val="none"/>
              </w:rPr>
              <w:t xml:space="preserve"> </w:t>
            </w:r>
            <w:r>
              <w:rPr>
                <w:color w:val="auto"/>
                <w:spacing w:val="6"/>
                <w:highlight w:val="none"/>
              </w:rPr>
              <w:t>：</w:t>
            </w:r>
            <w:r>
              <w:rPr>
                <w:color w:val="auto"/>
                <w:spacing w:val="11"/>
                <w:highlight w:val="none"/>
              </w:rPr>
              <w:t>在施工工艺、施工方法、材料选用、劳动力安排、</w:t>
            </w:r>
            <w:r>
              <w:rPr>
                <w:color w:val="auto"/>
                <w:highlight w:val="none"/>
              </w:rPr>
              <w:t xml:space="preserve"> </w:t>
            </w:r>
            <w:r>
              <w:rPr>
                <w:color w:val="auto"/>
                <w:spacing w:val="11"/>
                <w:highlight w:val="none"/>
              </w:rPr>
              <w:t>技术等方面有可行措施。有控制工期的施工进度可行计划。有完整</w:t>
            </w:r>
            <w:r>
              <w:rPr>
                <w:color w:val="auto"/>
                <w:spacing w:val="7"/>
                <w:highlight w:val="none"/>
              </w:rPr>
              <w:t xml:space="preserve"> </w:t>
            </w:r>
            <w:r>
              <w:rPr>
                <w:color w:val="auto"/>
                <w:spacing w:val="8"/>
                <w:highlight w:val="none"/>
              </w:rPr>
              <w:t>的施工总进度表或施工网络图，安排合理。</w:t>
            </w:r>
          </w:p>
          <w:p w14:paraId="5286365A">
            <w:pPr>
              <w:pStyle w:val="9"/>
              <w:spacing w:line="369" w:lineRule="auto"/>
              <w:ind w:left="114" w:right="104" w:firstLine="2"/>
              <w:rPr>
                <w:rFonts w:ascii="宋体" w:hAnsi="宋体" w:eastAsia="宋体" w:cs="宋体"/>
                <w:color w:val="auto"/>
                <w:spacing w:val="11"/>
                <w:highlight w:val="none"/>
              </w:rPr>
            </w:pPr>
            <w:r>
              <w:rPr>
                <w:rFonts w:ascii="宋体" w:hAnsi="宋体" w:eastAsia="宋体" w:cs="宋体"/>
                <w:color w:val="auto"/>
                <w:spacing w:val="11"/>
                <w:highlight w:val="none"/>
              </w:rPr>
              <w:t>三档（2 分） ：在施工工艺、施工方法、材料选用、劳动力安排、 技术等方面有简单措施。有控制工期的施工进度可行计划。有完整的施工总进度表或施工网络图，安排基本合理。</w:t>
            </w:r>
          </w:p>
          <w:p w14:paraId="7333FCCD">
            <w:pPr>
              <w:pStyle w:val="9"/>
              <w:spacing w:line="369" w:lineRule="auto"/>
              <w:ind w:left="114" w:right="104" w:firstLine="2"/>
              <w:rPr>
                <w:color w:val="auto"/>
                <w:highlight w:val="none"/>
              </w:rPr>
            </w:pPr>
            <w:r>
              <w:rPr>
                <w:rFonts w:ascii="宋体" w:hAnsi="宋体" w:eastAsia="宋体" w:cs="宋体"/>
                <w:color w:val="auto"/>
                <w:spacing w:val="11"/>
                <w:highlight w:val="none"/>
              </w:rPr>
              <w:t>四档（1 分） ：在施工工艺、施工方法、材料选用、劳动力安排、 技术等方面没有措施。没有控制工期的施工进度计划。没有施工总 进度表或施工网络图。</w:t>
            </w:r>
          </w:p>
        </w:tc>
        <w:tc>
          <w:tcPr>
            <w:tcW w:w="855" w:type="dxa"/>
            <w:vAlign w:val="top"/>
          </w:tcPr>
          <w:p w14:paraId="3C7B3BF3">
            <w:pPr>
              <w:spacing w:line="241" w:lineRule="auto"/>
              <w:rPr>
                <w:rFonts w:ascii="Arial"/>
                <w:color w:val="auto"/>
                <w:sz w:val="21"/>
                <w:highlight w:val="none"/>
              </w:rPr>
            </w:pPr>
          </w:p>
          <w:p w14:paraId="4CE11C7F">
            <w:pPr>
              <w:spacing w:line="242" w:lineRule="auto"/>
              <w:rPr>
                <w:rFonts w:ascii="Arial"/>
                <w:color w:val="auto"/>
                <w:sz w:val="21"/>
                <w:highlight w:val="none"/>
              </w:rPr>
            </w:pPr>
          </w:p>
          <w:p w14:paraId="71BB7E9D">
            <w:pPr>
              <w:spacing w:line="242" w:lineRule="auto"/>
              <w:rPr>
                <w:rFonts w:ascii="Arial"/>
                <w:color w:val="auto"/>
                <w:sz w:val="21"/>
                <w:highlight w:val="none"/>
              </w:rPr>
            </w:pPr>
          </w:p>
          <w:p w14:paraId="4610B53F">
            <w:pPr>
              <w:spacing w:line="242" w:lineRule="auto"/>
              <w:rPr>
                <w:rFonts w:ascii="Arial"/>
                <w:color w:val="auto"/>
                <w:sz w:val="21"/>
                <w:highlight w:val="none"/>
              </w:rPr>
            </w:pPr>
          </w:p>
          <w:p w14:paraId="1A8CCF05">
            <w:pPr>
              <w:spacing w:line="242" w:lineRule="auto"/>
              <w:rPr>
                <w:rFonts w:ascii="Arial"/>
                <w:color w:val="auto"/>
                <w:sz w:val="21"/>
                <w:highlight w:val="none"/>
              </w:rPr>
            </w:pPr>
          </w:p>
          <w:p w14:paraId="18779A88">
            <w:pPr>
              <w:spacing w:line="242" w:lineRule="auto"/>
              <w:rPr>
                <w:rFonts w:ascii="Arial"/>
                <w:color w:val="auto"/>
                <w:sz w:val="21"/>
                <w:highlight w:val="none"/>
              </w:rPr>
            </w:pPr>
          </w:p>
          <w:p w14:paraId="0BEF0BB1">
            <w:pPr>
              <w:spacing w:line="242" w:lineRule="auto"/>
              <w:rPr>
                <w:rFonts w:ascii="Arial"/>
                <w:color w:val="auto"/>
                <w:sz w:val="21"/>
                <w:highlight w:val="none"/>
              </w:rPr>
            </w:pPr>
          </w:p>
          <w:p w14:paraId="71D98CFE">
            <w:pPr>
              <w:pStyle w:val="9"/>
              <w:spacing w:before="65" w:line="229" w:lineRule="auto"/>
              <w:ind w:left="253"/>
              <w:rPr>
                <w:color w:val="auto"/>
                <w:highlight w:val="none"/>
              </w:rPr>
            </w:pPr>
            <w:r>
              <w:rPr>
                <w:color w:val="auto"/>
                <w:spacing w:val="-4"/>
                <w:highlight w:val="none"/>
              </w:rPr>
              <w:t>5</w:t>
            </w:r>
            <w:r>
              <w:rPr>
                <w:color w:val="auto"/>
                <w:spacing w:val="-38"/>
                <w:highlight w:val="none"/>
              </w:rPr>
              <w:t xml:space="preserve"> </w:t>
            </w:r>
            <w:r>
              <w:rPr>
                <w:color w:val="auto"/>
                <w:spacing w:val="-4"/>
                <w:highlight w:val="none"/>
              </w:rPr>
              <w:t>分</w:t>
            </w:r>
          </w:p>
        </w:tc>
      </w:tr>
      <w:tr w14:paraId="307F3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697" w:type="dxa"/>
            <w:vAlign w:val="top"/>
          </w:tcPr>
          <w:p w14:paraId="4097D75D">
            <w:pPr>
              <w:spacing w:line="261" w:lineRule="auto"/>
              <w:rPr>
                <w:rFonts w:ascii="Arial"/>
                <w:color w:val="auto"/>
                <w:sz w:val="21"/>
                <w:highlight w:val="none"/>
              </w:rPr>
            </w:pPr>
          </w:p>
          <w:p w14:paraId="10A4569A">
            <w:pPr>
              <w:spacing w:line="261" w:lineRule="auto"/>
              <w:rPr>
                <w:rFonts w:ascii="Arial"/>
                <w:color w:val="auto"/>
                <w:sz w:val="21"/>
                <w:highlight w:val="none"/>
              </w:rPr>
            </w:pPr>
          </w:p>
          <w:p w14:paraId="7456890B">
            <w:pPr>
              <w:spacing w:line="262" w:lineRule="auto"/>
              <w:rPr>
                <w:rFonts w:ascii="Arial"/>
                <w:color w:val="auto"/>
                <w:sz w:val="21"/>
                <w:highlight w:val="none"/>
              </w:rPr>
            </w:pPr>
          </w:p>
          <w:p w14:paraId="30D3E2B6">
            <w:pPr>
              <w:spacing w:line="262" w:lineRule="auto"/>
              <w:rPr>
                <w:rFonts w:ascii="Arial"/>
                <w:color w:val="auto"/>
                <w:sz w:val="21"/>
                <w:highlight w:val="none"/>
              </w:rPr>
            </w:pPr>
          </w:p>
          <w:p w14:paraId="72F5C5FC">
            <w:pPr>
              <w:spacing w:line="262" w:lineRule="auto"/>
              <w:rPr>
                <w:rFonts w:ascii="Arial"/>
                <w:color w:val="auto"/>
                <w:sz w:val="21"/>
                <w:highlight w:val="none"/>
              </w:rPr>
            </w:pPr>
          </w:p>
          <w:p w14:paraId="44BCE24F">
            <w:pPr>
              <w:spacing w:line="262" w:lineRule="auto"/>
              <w:rPr>
                <w:rFonts w:ascii="Arial"/>
                <w:color w:val="auto"/>
                <w:sz w:val="21"/>
                <w:highlight w:val="none"/>
              </w:rPr>
            </w:pPr>
          </w:p>
          <w:p w14:paraId="72EEC304">
            <w:pPr>
              <w:pStyle w:val="9"/>
              <w:spacing w:before="65" w:line="269" w:lineRule="exact"/>
              <w:ind w:left="198" w:leftChars="0"/>
              <w:rPr>
                <w:color w:val="auto"/>
                <w:spacing w:val="1"/>
                <w:position w:val="1"/>
                <w:highlight w:val="none"/>
              </w:rPr>
            </w:pPr>
            <w:r>
              <w:rPr>
                <w:color w:val="auto"/>
                <w:spacing w:val="1"/>
                <w:position w:val="1"/>
                <w:highlight w:val="none"/>
              </w:rPr>
              <w:t>2.9</w:t>
            </w:r>
          </w:p>
        </w:tc>
        <w:tc>
          <w:tcPr>
            <w:tcW w:w="1306" w:type="dxa"/>
            <w:vAlign w:val="top"/>
          </w:tcPr>
          <w:p w14:paraId="29D79C1F">
            <w:pPr>
              <w:spacing w:line="273" w:lineRule="auto"/>
              <w:rPr>
                <w:rFonts w:ascii="Arial"/>
                <w:color w:val="auto"/>
                <w:sz w:val="21"/>
                <w:highlight w:val="none"/>
              </w:rPr>
            </w:pPr>
          </w:p>
          <w:p w14:paraId="1336B5F0">
            <w:pPr>
              <w:spacing w:line="273" w:lineRule="auto"/>
              <w:rPr>
                <w:rFonts w:ascii="Arial"/>
                <w:color w:val="auto"/>
                <w:sz w:val="21"/>
                <w:highlight w:val="none"/>
              </w:rPr>
            </w:pPr>
          </w:p>
          <w:p w14:paraId="38163853">
            <w:pPr>
              <w:spacing w:line="273" w:lineRule="auto"/>
              <w:rPr>
                <w:rFonts w:ascii="Arial"/>
                <w:color w:val="auto"/>
                <w:sz w:val="21"/>
                <w:highlight w:val="none"/>
              </w:rPr>
            </w:pPr>
          </w:p>
          <w:p w14:paraId="1D0DB6F4">
            <w:pPr>
              <w:spacing w:line="274" w:lineRule="auto"/>
              <w:rPr>
                <w:rFonts w:ascii="Arial"/>
                <w:color w:val="auto"/>
                <w:sz w:val="21"/>
                <w:highlight w:val="none"/>
              </w:rPr>
            </w:pPr>
          </w:p>
          <w:p w14:paraId="2D1AE7A5">
            <w:pPr>
              <w:pStyle w:val="9"/>
              <w:spacing w:before="65" w:line="229" w:lineRule="auto"/>
              <w:ind w:left="135"/>
              <w:rPr>
                <w:color w:val="auto"/>
                <w:highlight w:val="none"/>
              </w:rPr>
            </w:pPr>
            <w:r>
              <w:rPr>
                <w:color w:val="auto"/>
                <w:spacing w:val="7"/>
                <w:highlight w:val="none"/>
              </w:rPr>
              <w:t>工程施工的</w:t>
            </w:r>
          </w:p>
          <w:p w14:paraId="0ADD8DAE">
            <w:pPr>
              <w:pStyle w:val="9"/>
              <w:spacing w:before="231" w:line="230" w:lineRule="auto"/>
              <w:ind w:left="133"/>
              <w:rPr>
                <w:color w:val="auto"/>
                <w:highlight w:val="none"/>
              </w:rPr>
            </w:pPr>
            <w:r>
              <w:rPr>
                <w:color w:val="auto"/>
                <w:spacing w:val="7"/>
                <w:highlight w:val="none"/>
              </w:rPr>
              <w:t>重点和难点</w:t>
            </w:r>
          </w:p>
          <w:p w14:paraId="2FFDCEC9">
            <w:pPr>
              <w:pStyle w:val="9"/>
              <w:spacing w:before="231" w:line="229" w:lineRule="auto"/>
              <w:ind w:left="132" w:leftChars="0"/>
              <w:rPr>
                <w:color w:val="auto"/>
                <w:spacing w:val="1"/>
                <w:highlight w:val="none"/>
              </w:rPr>
            </w:pPr>
            <w:r>
              <w:rPr>
                <w:color w:val="auto"/>
                <w:spacing w:val="8"/>
                <w:highlight w:val="none"/>
              </w:rPr>
              <w:t>及保证措施</w:t>
            </w:r>
          </w:p>
        </w:tc>
        <w:tc>
          <w:tcPr>
            <w:tcW w:w="6351" w:type="dxa"/>
            <w:vAlign w:val="top"/>
          </w:tcPr>
          <w:p w14:paraId="5DAEAED9">
            <w:pPr>
              <w:pStyle w:val="9"/>
              <w:spacing w:before="140" w:line="370" w:lineRule="auto"/>
              <w:ind w:left="119" w:right="103" w:hanging="3"/>
              <w:rPr>
                <w:color w:val="auto"/>
                <w:highlight w:val="none"/>
              </w:rPr>
            </w:pPr>
            <w:r>
              <w:rPr>
                <w:color w:val="auto"/>
                <w:spacing w:val="11"/>
                <w:highlight w:val="none"/>
              </w:rPr>
              <w:t>一档（5</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针对本工程的特点，阐述工程的重点和难点，有解</w:t>
            </w:r>
            <w:r>
              <w:rPr>
                <w:color w:val="auto"/>
                <w:highlight w:val="none"/>
              </w:rPr>
              <w:t xml:space="preserve"> </w:t>
            </w:r>
            <w:r>
              <w:rPr>
                <w:color w:val="auto"/>
                <w:spacing w:val="8"/>
                <w:highlight w:val="none"/>
              </w:rPr>
              <w:t>决重点和难点问题的切实可行方案且措施得力。</w:t>
            </w:r>
          </w:p>
          <w:p w14:paraId="6A60AC20">
            <w:pPr>
              <w:pStyle w:val="9"/>
              <w:spacing w:before="1" w:line="368" w:lineRule="auto"/>
              <w:ind w:left="119" w:right="103" w:hanging="3"/>
              <w:rPr>
                <w:color w:val="auto"/>
                <w:highlight w:val="none"/>
              </w:rPr>
            </w:pPr>
            <w:r>
              <w:rPr>
                <w:color w:val="auto"/>
                <w:spacing w:val="11"/>
                <w:highlight w:val="none"/>
              </w:rPr>
              <w:t>二档（4</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针对本工程的特点，阐述工程的重点和难点，有解</w:t>
            </w:r>
            <w:r>
              <w:rPr>
                <w:color w:val="auto"/>
                <w:highlight w:val="none"/>
              </w:rPr>
              <w:t xml:space="preserve"> </w:t>
            </w:r>
            <w:r>
              <w:rPr>
                <w:color w:val="auto"/>
                <w:spacing w:val="7"/>
                <w:highlight w:val="none"/>
              </w:rPr>
              <w:t>决重点和难点问题的方案。</w:t>
            </w:r>
          </w:p>
          <w:p w14:paraId="70B883F2">
            <w:pPr>
              <w:pStyle w:val="9"/>
              <w:spacing w:before="2" w:line="370" w:lineRule="auto"/>
              <w:ind w:left="112" w:right="47"/>
              <w:rPr>
                <w:color w:val="auto"/>
                <w:highlight w:val="none"/>
              </w:rPr>
            </w:pPr>
            <w:r>
              <w:rPr>
                <w:color w:val="auto"/>
                <w:spacing w:val="7"/>
                <w:highlight w:val="none"/>
              </w:rPr>
              <w:t>三档（2</w:t>
            </w:r>
            <w:r>
              <w:rPr>
                <w:color w:val="auto"/>
                <w:spacing w:val="-35"/>
                <w:highlight w:val="none"/>
              </w:rPr>
              <w:t xml:space="preserve"> </w:t>
            </w:r>
            <w:r>
              <w:rPr>
                <w:color w:val="auto"/>
                <w:spacing w:val="7"/>
                <w:highlight w:val="none"/>
              </w:rPr>
              <w:t>分</w:t>
            </w:r>
            <w:r>
              <w:rPr>
                <w:color w:val="auto"/>
                <w:spacing w:val="14"/>
                <w:highlight w:val="none"/>
              </w:rPr>
              <w:t>）：</w:t>
            </w:r>
            <w:r>
              <w:rPr>
                <w:color w:val="auto"/>
                <w:spacing w:val="7"/>
                <w:highlight w:val="none"/>
              </w:rPr>
              <w:t>针对本工程的特点，能简单阐述工程的重</w:t>
            </w:r>
            <w:r>
              <w:rPr>
                <w:color w:val="auto"/>
                <w:spacing w:val="6"/>
                <w:highlight w:val="none"/>
              </w:rPr>
              <w:t>点和难点，</w:t>
            </w:r>
            <w:r>
              <w:rPr>
                <w:color w:val="auto"/>
                <w:highlight w:val="none"/>
              </w:rPr>
              <w:t xml:space="preserve"> </w:t>
            </w:r>
            <w:r>
              <w:rPr>
                <w:color w:val="auto"/>
                <w:spacing w:val="9"/>
                <w:highlight w:val="none"/>
              </w:rPr>
              <w:t>解决重点和难点问题的方案，方案基本可行。</w:t>
            </w:r>
          </w:p>
          <w:p w14:paraId="3172F812">
            <w:pPr>
              <w:pStyle w:val="9"/>
              <w:spacing w:before="60" w:line="345" w:lineRule="auto"/>
              <w:ind w:left="111" w:leftChars="0" w:right="153" w:rightChars="0" w:firstLine="21" w:firstLineChars="0"/>
              <w:rPr>
                <w:color w:val="auto"/>
                <w:spacing w:val="12"/>
                <w:highlight w:val="none"/>
              </w:rPr>
            </w:pPr>
            <w:r>
              <w:rPr>
                <w:color w:val="auto"/>
                <w:spacing w:val="9"/>
                <w:highlight w:val="none"/>
              </w:rPr>
              <w:t>四档（1</w:t>
            </w:r>
            <w:r>
              <w:rPr>
                <w:color w:val="auto"/>
                <w:spacing w:val="-29"/>
                <w:highlight w:val="none"/>
              </w:rPr>
              <w:t xml:space="preserve"> </w:t>
            </w:r>
            <w:r>
              <w:rPr>
                <w:color w:val="auto"/>
                <w:spacing w:val="9"/>
                <w:highlight w:val="none"/>
              </w:rPr>
              <w:t>分</w:t>
            </w:r>
            <w:r>
              <w:rPr>
                <w:color w:val="auto"/>
                <w:highlight w:val="none"/>
              </w:rPr>
              <w:t>）</w:t>
            </w:r>
            <w:r>
              <w:rPr>
                <w:color w:val="auto"/>
                <w:spacing w:val="-56"/>
                <w:highlight w:val="none"/>
              </w:rPr>
              <w:t xml:space="preserve"> </w:t>
            </w:r>
            <w:r>
              <w:rPr>
                <w:color w:val="auto"/>
                <w:highlight w:val="none"/>
              </w:rPr>
              <w:t>：</w:t>
            </w:r>
            <w:r>
              <w:rPr>
                <w:color w:val="auto"/>
                <w:spacing w:val="9"/>
                <w:highlight w:val="none"/>
              </w:rPr>
              <w:t>针对本工程的特点有表述，对重点、难点有建议，</w:t>
            </w:r>
            <w:r>
              <w:rPr>
                <w:color w:val="auto"/>
                <w:highlight w:val="none"/>
              </w:rPr>
              <w:t xml:space="preserve"> </w:t>
            </w:r>
            <w:r>
              <w:rPr>
                <w:color w:val="auto"/>
                <w:spacing w:val="7"/>
                <w:highlight w:val="none"/>
              </w:rPr>
              <w:t>但解决方案不可行。</w:t>
            </w:r>
          </w:p>
        </w:tc>
        <w:tc>
          <w:tcPr>
            <w:tcW w:w="855" w:type="dxa"/>
            <w:vAlign w:val="top"/>
          </w:tcPr>
          <w:p w14:paraId="1A297E7B">
            <w:pPr>
              <w:spacing w:line="261" w:lineRule="auto"/>
              <w:rPr>
                <w:rFonts w:ascii="Arial"/>
                <w:color w:val="auto"/>
                <w:sz w:val="21"/>
                <w:highlight w:val="none"/>
              </w:rPr>
            </w:pPr>
          </w:p>
          <w:p w14:paraId="6E0B2181">
            <w:pPr>
              <w:spacing w:line="261" w:lineRule="auto"/>
              <w:rPr>
                <w:rFonts w:ascii="Arial"/>
                <w:color w:val="auto"/>
                <w:sz w:val="21"/>
                <w:highlight w:val="none"/>
              </w:rPr>
            </w:pPr>
          </w:p>
          <w:p w14:paraId="0F985611">
            <w:pPr>
              <w:spacing w:line="262" w:lineRule="auto"/>
              <w:rPr>
                <w:rFonts w:ascii="Arial"/>
                <w:color w:val="auto"/>
                <w:sz w:val="21"/>
                <w:highlight w:val="none"/>
              </w:rPr>
            </w:pPr>
          </w:p>
          <w:p w14:paraId="550A44C7">
            <w:pPr>
              <w:spacing w:line="262" w:lineRule="auto"/>
              <w:rPr>
                <w:rFonts w:ascii="Arial"/>
                <w:color w:val="auto"/>
                <w:sz w:val="21"/>
                <w:highlight w:val="none"/>
              </w:rPr>
            </w:pPr>
          </w:p>
          <w:p w14:paraId="454A1684">
            <w:pPr>
              <w:spacing w:line="262" w:lineRule="auto"/>
              <w:rPr>
                <w:rFonts w:ascii="Arial"/>
                <w:color w:val="auto"/>
                <w:sz w:val="21"/>
                <w:highlight w:val="none"/>
              </w:rPr>
            </w:pPr>
          </w:p>
          <w:p w14:paraId="154A93C3">
            <w:pPr>
              <w:spacing w:line="262" w:lineRule="auto"/>
              <w:rPr>
                <w:rFonts w:ascii="Arial"/>
                <w:color w:val="auto"/>
                <w:sz w:val="21"/>
                <w:highlight w:val="none"/>
              </w:rPr>
            </w:pPr>
          </w:p>
          <w:p w14:paraId="7163C2E7">
            <w:pPr>
              <w:pStyle w:val="9"/>
              <w:spacing w:before="65" w:line="229" w:lineRule="auto"/>
              <w:ind w:left="253" w:leftChars="0"/>
              <w:rPr>
                <w:color w:val="auto"/>
                <w:spacing w:val="-4"/>
                <w:highlight w:val="none"/>
              </w:rPr>
            </w:pPr>
            <w:r>
              <w:rPr>
                <w:color w:val="auto"/>
                <w:spacing w:val="-4"/>
                <w:highlight w:val="none"/>
              </w:rPr>
              <w:t>5</w:t>
            </w:r>
            <w:r>
              <w:rPr>
                <w:color w:val="auto"/>
                <w:spacing w:val="-38"/>
                <w:highlight w:val="none"/>
              </w:rPr>
              <w:t xml:space="preserve"> </w:t>
            </w:r>
            <w:r>
              <w:rPr>
                <w:color w:val="auto"/>
                <w:spacing w:val="-4"/>
                <w:highlight w:val="none"/>
              </w:rPr>
              <w:t>分</w:t>
            </w:r>
          </w:p>
        </w:tc>
      </w:tr>
      <w:tr w14:paraId="1139A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5" w:hRule="atLeast"/>
        </w:trPr>
        <w:tc>
          <w:tcPr>
            <w:tcW w:w="697" w:type="dxa"/>
            <w:vAlign w:val="top"/>
          </w:tcPr>
          <w:p w14:paraId="7A5D2860">
            <w:pPr>
              <w:spacing w:line="262" w:lineRule="auto"/>
              <w:rPr>
                <w:rFonts w:ascii="Arial"/>
                <w:color w:val="auto"/>
                <w:sz w:val="21"/>
                <w:highlight w:val="none"/>
              </w:rPr>
            </w:pPr>
          </w:p>
          <w:p w14:paraId="672E635A">
            <w:pPr>
              <w:spacing w:line="262" w:lineRule="auto"/>
              <w:rPr>
                <w:rFonts w:ascii="Arial"/>
                <w:color w:val="auto"/>
                <w:sz w:val="21"/>
                <w:highlight w:val="none"/>
              </w:rPr>
            </w:pPr>
          </w:p>
          <w:p w14:paraId="54A527A9">
            <w:pPr>
              <w:spacing w:line="262" w:lineRule="auto"/>
              <w:rPr>
                <w:rFonts w:ascii="Arial"/>
                <w:color w:val="auto"/>
                <w:sz w:val="21"/>
                <w:highlight w:val="none"/>
              </w:rPr>
            </w:pPr>
          </w:p>
          <w:p w14:paraId="3B2E1096">
            <w:pPr>
              <w:spacing w:line="262" w:lineRule="auto"/>
              <w:rPr>
                <w:rFonts w:ascii="Arial"/>
                <w:color w:val="auto"/>
                <w:sz w:val="21"/>
                <w:highlight w:val="none"/>
              </w:rPr>
            </w:pPr>
          </w:p>
          <w:p w14:paraId="0F36263E">
            <w:pPr>
              <w:spacing w:line="262" w:lineRule="auto"/>
              <w:rPr>
                <w:rFonts w:ascii="Arial"/>
                <w:color w:val="auto"/>
                <w:sz w:val="21"/>
                <w:highlight w:val="none"/>
              </w:rPr>
            </w:pPr>
          </w:p>
          <w:p w14:paraId="2081CFDB">
            <w:pPr>
              <w:spacing w:line="262" w:lineRule="auto"/>
              <w:rPr>
                <w:rFonts w:ascii="Arial"/>
                <w:color w:val="auto"/>
                <w:sz w:val="21"/>
                <w:highlight w:val="none"/>
              </w:rPr>
            </w:pPr>
          </w:p>
          <w:p w14:paraId="4EBA0A11">
            <w:pPr>
              <w:pStyle w:val="9"/>
              <w:spacing w:before="65" w:line="268" w:lineRule="exact"/>
              <w:ind w:left="146" w:leftChars="0"/>
              <w:rPr>
                <w:color w:val="auto"/>
                <w:spacing w:val="1"/>
                <w:position w:val="1"/>
                <w:highlight w:val="none"/>
              </w:rPr>
            </w:pPr>
            <w:r>
              <w:rPr>
                <w:color w:val="auto"/>
                <w:spacing w:val="2"/>
                <w:position w:val="1"/>
                <w:highlight w:val="none"/>
              </w:rPr>
              <w:t>2.10</w:t>
            </w:r>
          </w:p>
        </w:tc>
        <w:tc>
          <w:tcPr>
            <w:tcW w:w="1306" w:type="dxa"/>
            <w:vAlign w:val="top"/>
          </w:tcPr>
          <w:p w14:paraId="4218B029">
            <w:pPr>
              <w:spacing w:line="266" w:lineRule="auto"/>
              <w:rPr>
                <w:rFonts w:ascii="Arial"/>
                <w:color w:val="auto"/>
                <w:sz w:val="21"/>
                <w:highlight w:val="none"/>
              </w:rPr>
            </w:pPr>
          </w:p>
          <w:p w14:paraId="06385924">
            <w:pPr>
              <w:spacing w:line="266" w:lineRule="auto"/>
              <w:rPr>
                <w:rFonts w:ascii="Arial"/>
                <w:color w:val="auto"/>
                <w:sz w:val="21"/>
                <w:highlight w:val="none"/>
              </w:rPr>
            </w:pPr>
          </w:p>
          <w:p w14:paraId="44BA2483">
            <w:pPr>
              <w:spacing w:line="267" w:lineRule="auto"/>
              <w:rPr>
                <w:rFonts w:ascii="Arial"/>
                <w:color w:val="auto"/>
                <w:sz w:val="21"/>
                <w:highlight w:val="none"/>
              </w:rPr>
            </w:pPr>
          </w:p>
          <w:p w14:paraId="2DFB1C8E">
            <w:pPr>
              <w:spacing w:line="267" w:lineRule="auto"/>
              <w:rPr>
                <w:rFonts w:ascii="Arial"/>
                <w:color w:val="auto"/>
                <w:sz w:val="21"/>
                <w:highlight w:val="none"/>
              </w:rPr>
            </w:pPr>
          </w:p>
          <w:p w14:paraId="02B162DC">
            <w:pPr>
              <w:spacing w:line="267" w:lineRule="auto"/>
              <w:rPr>
                <w:rFonts w:ascii="Arial"/>
                <w:color w:val="auto"/>
                <w:sz w:val="21"/>
                <w:highlight w:val="none"/>
              </w:rPr>
            </w:pPr>
          </w:p>
          <w:p w14:paraId="53960FCB">
            <w:pPr>
              <w:pStyle w:val="9"/>
              <w:spacing w:before="65" w:line="230" w:lineRule="auto"/>
              <w:ind w:left="132"/>
              <w:rPr>
                <w:color w:val="auto"/>
                <w:highlight w:val="none"/>
              </w:rPr>
            </w:pPr>
            <w:r>
              <w:rPr>
                <w:color w:val="auto"/>
                <w:spacing w:val="8"/>
                <w:highlight w:val="none"/>
              </w:rPr>
              <w:t>施工总平面</w:t>
            </w:r>
          </w:p>
          <w:p w14:paraId="0D0763EF">
            <w:pPr>
              <w:pStyle w:val="9"/>
              <w:spacing w:before="230" w:line="228" w:lineRule="auto"/>
              <w:ind w:left="341" w:leftChars="0"/>
              <w:rPr>
                <w:color w:val="auto"/>
                <w:spacing w:val="8"/>
                <w:highlight w:val="none"/>
              </w:rPr>
            </w:pPr>
            <w:r>
              <w:rPr>
                <w:color w:val="auto"/>
                <w:spacing w:val="6"/>
                <w:highlight w:val="none"/>
              </w:rPr>
              <w:t>布置图</w:t>
            </w:r>
          </w:p>
        </w:tc>
        <w:tc>
          <w:tcPr>
            <w:tcW w:w="6351" w:type="dxa"/>
            <w:vAlign w:val="top"/>
          </w:tcPr>
          <w:p w14:paraId="4C1DE9D8">
            <w:pPr>
              <w:pStyle w:val="9"/>
              <w:spacing w:before="143" w:line="369" w:lineRule="auto"/>
              <w:ind w:left="114" w:right="103" w:firstLine="2"/>
              <w:rPr>
                <w:color w:val="auto"/>
                <w:highlight w:val="none"/>
              </w:rPr>
            </w:pPr>
            <w:r>
              <w:rPr>
                <w:color w:val="auto"/>
                <w:spacing w:val="8"/>
                <w:highlight w:val="none"/>
              </w:rPr>
              <w:t>一档（10</w:t>
            </w:r>
            <w:r>
              <w:rPr>
                <w:color w:val="auto"/>
                <w:spacing w:val="-38"/>
                <w:highlight w:val="none"/>
              </w:rPr>
              <w:t xml:space="preserve"> </w:t>
            </w:r>
            <w:r>
              <w:rPr>
                <w:color w:val="auto"/>
                <w:spacing w:val="8"/>
                <w:highlight w:val="none"/>
              </w:rPr>
              <w:t>分</w:t>
            </w:r>
            <w:r>
              <w:rPr>
                <w:color w:val="auto"/>
                <w:spacing w:val="19"/>
                <w:highlight w:val="none"/>
              </w:rPr>
              <w:t>）：</w:t>
            </w:r>
            <w:r>
              <w:rPr>
                <w:color w:val="auto"/>
                <w:spacing w:val="8"/>
                <w:highlight w:val="none"/>
              </w:rPr>
              <w:t>有施工总平面布置图，安排科学合理，图纸全面及</w:t>
            </w:r>
            <w:r>
              <w:rPr>
                <w:color w:val="auto"/>
                <w:highlight w:val="none"/>
              </w:rPr>
              <w:t xml:space="preserve"> </w:t>
            </w:r>
            <w:r>
              <w:rPr>
                <w:color w:val="auto"/>
                <w:spacing w:val="9"/>
                <w:highlight w:val="none"/>
              </w:rPr>
              <w:t>标注清晰详细、做法清晰详细，符合本项目施工实际要求。</w:t>
            </w:r>
          </w:p>
          <w:p w14:paraId="2F0B566B">
            <w:pPr>
              <w:pStyle w:val="9"/>
              <w:spacing w:line="369" w:lineRule="auto"/>
              <w:ind w:left="112" w:right="103" w:firstLine="4"/>
              <w:rPr>
                <w:color w:val="auto"/>
                <w:highlight w:val="none"/>
              </w:rPr>
            </w:pPr>
            <w:r>
              <w:rPr>
                <w:color w:val="auto"/>
                <w:spacing w:val="11"/>
                <w:highlight w:val="none"/>
              </w:rPr>
              <w:t>二档（7</w:t>
            </w:r>
            <w:r>
              <w:rPr>
                <w:color w:val="auto"/>
                <w:spacing w:val="-29"/>
                <w:highlight w:val="none"/>
              </w:rPr>
              <w:t xml:space="preserve"> </w:t>
            </w:r>
            <w:r>
              <w:rPr>
                <w:color w:val="auto"/>
                <w:spacing w:val="11"/>
                <w:highlight w:val="none"/>
              </w:rPr>
              <w:t>分</w:t>
            </w:r>
            <w:r>
              <w:rPr>
                <w:color w:val="auto"/>
                <w:spacing w:val="6"/>
                <w:highlight w:val="none"/>
              </w:rPr>
              <w:t>）</w:t>
            </w:r>
            <w:r>
              <w:rPr>
                <w:color w:val="auto"/>
                <w:spacing w:val="-56"/>
                <w:highlight w:val="none"/>
              </w:rPr>
              <w:t xml:space="preserve"> </w:t>
            </w:r>
            <w:r>
              <w:rPr>
                <w:color w:val="auto"/>
                <w:spacing w:val="6"/>
                <w:highlight w:val="none"/>
              </w:rPr>
              <w:t>：</w:t>
            </w:r>
            <w:r>
              <w:rPr>
                <w:color w:val="auto"/>
                <w:spacing w:val="11"/>
                <w:highlight w:val="none"/>
              </w:rPr>
              <w:t>有施工总平面布置图，安排比较合理，符合本项目</w:t>
            </w:r>
            <w:r>
              <w:rPr>
                <w:color w:val="auto"/>
                <w:highlight w:val="none"/>
              </w:rPr>
              <w:t xml:space="preserve"> </w:t>
            </w:r>
            <w:r>
              <w:rPr>
                <w:color w:val="auto"/>
                <w:spacing w:val="7"/>
                <w:highlight w:val="none"/>
              </w:rPr>
              <w:t>施工实际要求。</w:t>
            </w:r>
          </w:p>
          <w:p w14:paraId="1E7D62A1">
            <w:pPr>
              <w:pStyle w:val="9"/>
              <w:spacing w:before="1" w:line="371" w:lineRule="auto"/>
              <w:ind w:left="112" w:right="103"/>
              <w:rPr>
                <w:color w:val="auto"/>
                <w:highlight w:val="none"/>
              </w:rPr>
            </w:pPr>
            <w:r>
              <w:rPr>
                <w:color w:val="auto"/>
                <w:spacing w:val="8"/>
                <w:highlight w:val="none"/>
              </w:rPr>
              <w:t>三档（4</w:t>
            </w:r>
            <w:r>
              <w:rPr>
                <w:color w:val="auto"/>
                <w:spacing w:val="-37"/>
                <w:highlight w:val="none"/>
              </w:rPr>
              <w:t xml:space="preserve"> </w:t>
            </w:r>
            <w:r>
              <w:rPr>
                <w:color w:val="auto"/>
                <w:spacing w:val="8"/>
                <w:highlight w:val="none"/>
              </w:rPr>
              <w:t>分</w:t>
            </w:r>
            <w:r>
              <w:rPr>
                <w:color w:val="auto"/>
                <w:spacing w:val="20"/>
                <w:highlight w:val="none"/>
              </w:rPr>
              <w:t>）：</w:t>
            </w:r>
            <w:r>
              <w:rPr>
                <w:color w:val="auto"/>
                <w:spacing w:val="8"/>
                <w:highlight w:val="none"/>
              </w:rPr>
              <w:t>有施工总平面布置图，安排一般， 基本满足本项目</w:t>
            </w:r>
            <w:r>
              <w:rPr>
                <w:color w:val="auto"/>
                <w:highlight w:val="none"/>
              </w:rPr>
              <w:t xml:space="preserve"> </w:t>
            </w:r>
            <w:r>
              <w:rPr>
                <w:color w:val="auto"/>
                <w:spacing w:val="7"/>
                <w:highlight w:val="none"/>
              </w:rPr>
              <w:t>施工实际要求。</w:t>
            </w:r>
          </w:p>
          <w:p w14:paraId="3A12B582">
            <w:pPr>
              <w:pStyle w:val="9"/>
              <w:spacing w:before="59" w:line="344" w:lineRule="auto"/>
              <w:ind w:left="115" w:leftChars="0" w:right="106" w:rightChars="0" w:firstLine="17" w:firstLineChars="0"/>
              <w:rPr>
                <w:color w:val="auto"/>
                <w:spacing w:val="9"/>
                <w:highlight w:val="none"/>
              </w:rPr>
            </w:pPr>
            <w:r>
              <w:rPr>
                <w:color w:val="auto"/>
                <w:spacing w:val="11"/>
                <w:highlight w:val="none"/>
              </w:rPr>
              <w:t>四档（1</w:t>
            </w:r>
            <w:r>
              <w:rPr>
                <w:color w:val="auto"/>
                <w:spacing w:val="-30"/>
                <w:highlight w:val="none"/>
              </w:rPr>
              <w:t xml:space="preserve"> </w:t>
            </w:r>
            <w:r>
              <w:rPr>
                <w:color w:val="auto"/>
                <w:spacing w:val="11"/>
                <w:highlight w:val="none"/>
              </w:rPr>
              <w:t>分</w:t>
            </w:r>
            <w:r>
              <w:rPr>
                <w:color w:val="auto"/>
                <w:spacing w:val="-2"/>
                <w:highlight w:val="none"/>
              </w:rPr>
              <w:t>）</w:t>
            </w:r>
            <w:r>
              <w:rPr>
                <w:color w:val="auto"/>
                <w:spacing w:val="-56"/>
                <w:highlight w:val="none"/>
              </w:rPr>
              <w:t xml:space="preserve"> </w:t>
            </w:r>
            <w:r>
              <w:rPr>
                <w:color w:val="auto"/>
                <w:spacing w:val="-2"/>
                <w:highlight w:val="none"/>
              </w:rPr>
              <w:t>：</w:t>
            </w:r>
            <w:r>
              <w:rPr>
                <w:color w:val="auto"/>
                <w:spacing w:val="11"/>
                <w:highlight w:val="none"/>
              </w:rPr>
              <w:t>有施工总平面布置图，但不符合本项目施工实</w:t>
            </w:r>
            <w:r>
              <w:rPr>
                <w:color w:val="auto"/>
                <w:spacing w:val="10"/>
                <w:highlight w:val="none"/>
              </w:rPr>
              <w:t>际要</w:t>
            </w:r>
            <w:r>
              <w:rPr>
                <w:color w:val="auto"/>
                <w:highlight w:val="none"/>
              </w:rPr>
              <w:t xml:space="preserve"> </w:t>
            </w:r>
            <w:r>
              <w:rPr>
                <w:color w:val="auto"/>
                <w:spacing w:val="-1"/>
                <w:highlight w:val="none"/>
              </w:rPr>
              <w:t>求。</w:t>
            </w:r>
          </w:p>
        </w:tc>
        <w:tc>
          <w:tcPr>
            <w:tcW w:w="855" w:type="dxa"/>
            <w:vAlign w:val="top"/>
          </w:tcPr>
          <w:p w14:paraId="52A7B5ED">
            <w:pPr>
              <w:spacing w:line="262" w:lineRule="auto"/>
              <w:rPr>
                <w:rFonts w:ascii="Arial"/>
                <w:color w:val="auto"/>
                <w:sz w:val="21"/>
                <w:highlight w:val="none"/>
              </w:rPr>
            </w:pPr>
          </w:p>
          <w:p w14:paraId="5512B28E">
            <w:pPr>
              <w:spacing w:line="262" w:lineRule="auto"/>
              <w:rPr>
                <w:rFonts w:ascii="Arial"/>
                <w:color w:val="auto"/>
                <w:sz w:val="21"/>
                <w:highlight w:val="none"/>
              </w:rPr>
            </w:pPr>
          </w:p>
          <w:p w14:paraId="3B4507ED">
            <w:pPr>
              <w:spacing w:line="262" w:lineRule="auto"/>
              <w:rPr>
                <w:rFonts w:ascii="Arial"/>
                <w:color w:val="auto"/>
                <w:sz w:val="21"/>
                <w:highlight w:val="none"/>
              </w:rPr>
            </w:pPr>
          </w:p>
          <w:p w14:paraId="30D6B82A">
            <w:pPr>
              <w:spacing w:line="262" w:lineRule="auto"/>
              <w:rPr>
                <w:rFonts w:ascii="Arial"/>
                <w:color w:val="auto"/>
                <w:sz w:val="21"/>
                <w:highlight w:val="none"/>
              </w:rPr>
            </w:pPr>
          </w:p>
          <w:p w14:paraId="5B1C7B12">
            <w:pPr>
              <w:spacing w:line="262" w:lineRule="auto"/>
              <w:rPr>
                <w:rFonts w:ascii="Arial"/>
                <w:color w:val="auto"/>
                <w:sz w:val="21"/>
                <w:highlight w:val="none"/>
              </w:rPr>
            </w:pPr>
          </w:p>
          <w:p w14:paraId="3D2C717F">
            <w:pPr>
              <w:spacing w:line="262" w:lineRule="auto"/>
              <w:rPr>
                <w:rFonts w:ascii="Arial"/>
                <w:color w:val="auto"/>
                <w:sz w:val="21"/>
                <w:highlight w:val="none"/>
              </w:rPr>
            </w:pPr>
          </w:p>
          <w:p w14:paraId="2C8762C0">
            <w:pPr>
              <w:pStyle w:val="9"/>
              <w:spacing w:before="65" w:line="229" w:lineRule="auto"/>
              <w:ind w:left="212" w:leftChars="0"/>
              <w:rPr>
                <w:color w:val="auto"/>
                <w:spacing w:val="-4"/>
                <w:highlight w:val="none"/>
              </w:rPr>
            </w:pPr>
            <w:r>
              <w:rPr>
                <w:color w:val="auto"/>
                <w:spacing w:val="-5"/>
                <w:highlight w:val="none"/>
              </w:rPr>
              <w:t>10</w:t>
            </w:r>
            <w:r>
              <w:rPr>
                <w:color w:val="auto"/>
                <w:spacing w:val="-38"/>
                <w:highlight w:val="none"/>
              </w:rPr>
              <w:t xml:space="preserve"> </w:t>
            </w:r>
            <w:r>
              <w:rPr>
                <w:color w:val="auto"/>
                <w:spacing w:val="-5"/>
                <w:highlight w:val="none"/>
              </w:rPr>
              <w:t>分</w:t>
            </w:r>
          </w:p>
        </w:tc>
      </w:tr>
      <w:tr w14:paraId="23706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97" w:type="dxa"/>
            <w:vAlign w:val="top"/>
          </w:tcPr>
          <w:p w14:paraId="403234CB">
            <w:pPr>
              <w:pStyle w:val="9"/>
              <w:spacing w:before="208" w:line="267" w:lineRule="exact"/>
              <w:ind w:left="306" w:leftChars="0"/>
              <w:rPr>
                <w:color w:val="auto"/>
                <w:spacing w:val="2"/>
                <w:position w:val="1"/>
                <w:highlight w:val="none"/>
              </w:rPr>
            </w:pPr>
            <w:r>
              <w:rPr>
                <w:b/>
                <w:bCs/>
                <w:color w:val="auto"/>
                <w:spacing w:val="-3"/>
                <w:position w:val="1"/>
                <w:highlight w:val="none"/>
              </w:rPr>
              <w:t>3</w:t>
            </w:r>
          </w:p>
        </w:tc>
        <w:tc>
          <w:tcPr>
            <w:tcW w:w="7657" w:type="dxa"/>
            <w:gridSpan w:val="2"/>
            <w:vAlign w:val="top"/>
          </w:tcPr>
          <w:p w14:paraId="4C4DFEE1">
            <w:pPr>
              <w:pStyle w:val="9"/>
              <w:spacing w:before="208" w:line="228" w:lineRule="auto"/>
              <w:ind w:left="3732" w:leftChars="0"/>
              <w:rPr>
                <w:color w:val="auto"/>
                <w:spacing w:val="11"/>
                <w:highlight w:val="none"/>
              </w:rPr>
            </w:pPr>
            <w:r>
              <w:rPr>
                <w:b/>
                <w:bCs/>
                <w:color w:val="auto"/>
                <w:spacing w:val="4"/>
                <w:highlight w:val="none"/>
              </w:rPr>
              <w:t>商务分</w:t>
            </w:r>
          </w:p>
        </w:tc>
        <w:tc>
          <w:tcPr>
            <w:tcW w:w="855" w:type="dxa"/>
            <w:vAlign w:val="top"/>
          </w:tcPr>
          <w:p w14:paraId="6E463E3F">
            <w:pPr>
              <w:pStyle w:val="9"/>
              <w:spacing w:before="208" w:line="229" w:lineRule="auto"/>
              <w:ind w:left="253" w:leftChars="0"/>
              <w:rPr>
                <w:color w:val="auto"/>
                <w:spacing w:val="-5"/>
                <w:highlight w:val="none"/>
              </w:rPr>
            </w:pPr>
            <w:r>
              <w:rPr>
                <w:b/>
                <w:bCs/>
                <w:color w:val="auto"/>
                <w:spacing w:val="-7"/>
                <w:highlight w:val="none"/>
              </w:rPr>
              <w:t>5</w:t>
            </w:r>
            <w:r>
              <w:rPr>
                <w:color w:val="auto"/>
                <w:spacing w:val="-35"/>
                <w:highlight w:val="none"/>
              </w:rPr>
              <w:t xml:space="preserve"> </w:t>
            </w:r>
            <w:r>
              <w:rPr>
                <w:b/>
                <w:bCs/>
                <w:color w:val="auto"/>
                <w:spacing w:val="-7"/>
                <w:highlight w:val="none"/>
              </w:rPr>
              <w:t>分</w:t>
            </w:r>
          </w:p>
        </w:tc>
      </w:tr>
      <w:tr w14:paraId="6D80C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697" w:type="dxa"/>
            <w:vAlign w:val="top"/>
          </w:tcPr>
          <w:p w14:paraId="5830D6D9">
            <w:pPr>
              <w:spacing w:line="310" w:lineRule="auto"/>
              <w:rPr>
                <w:rFonts w:ascii="Arial"/>
                <w:color w:val="auto"/>
                <w:sz w:val="21"/>
                <w:highlight w:val="none"/>
              </w:rPr>
            </w:pPr>
          </w:p>
          <w:p w14:paraId="2B5CCE43">
            <w:pPr>
              <w:spacing w:line="311" w:lineRule="auto"/>
              <w:rPr>
                <w:rFonts w:ascii="Arial"/>
                <w:color w:val="auto"/>
                <w:sz w:val="21"/>
                <w:highlight w:val="none"/>
              </w:rPr>
            </w:pPr>
          </w:p>
          <w:p w14:paraId="60A3DF2A">
            <w:pPr>
              <w:pStyle w:val="9"/>
              <w:spacing w:before="65" w:line="269" w:lineRule="exact"/>
              <w:ind w:left="118" w:leftChars="0"/>
              <w:rPr>
                <w:color w:val="auto"/>
                <w:spacing w:val="2"/>
                <w:position w:val="1"/>
                <w:highlight w:val="none"/>
              </w:rPr>
            </w:pPr>
            <w:r>
              <w:rPr>
                <w:color w:val="auto"/>
                <w:spacing w:val="1"/>
                <w:position w:val="1"/>
                <w:highlight w:val="none"/>
              </w:rPr>
              <w:t>3.1</w:t>
            </w:r>
          </w:p>
        </w:tc>
        <w:tc>
          <w:tcPr>
            <w:tcW w:w="1306" w:type="dxa"/>
            <w:vAlign w:val="top"/>
          </w:tcPr>
          <w:p w14:paraId="73C53D15">
            <w:pPr>
              <w:spacing w:line="310" w:lineRule="auto"/>
              <w:rPr>
                <w:rFonts w:ascii="Arial"/>
                <w:color w:val="auto"/>
                <w:sz w:val="21"/>
                <w:highlight w:val="none"/>
              </w:rPr>
            </w:pPr>
          </w:p>
          <w:p w14:paraId="2EFD8797">
            <w:pPr>
              <w:spacing w:line="311" w:lineRule="auto"/>
              <w:rPr>
                <w:rFonts w:ascii="Arial"/>
                <w:color w:val="auto"/>
                <w:sz w:val="21"/>
                <w:highlight w:val="none"/>
              </w:rPr>
            </w:pPr>
          </w:p>
          <w:p w14:paraId="21616EB6">
            <w:pPr>
              <w:pStyle w:val="9"/>
              <w:spacing w:before="65" w:line="229" w:lineRule="auto"/>
              <w:ind w:left="340" w:leftChars="0"/>
              <w:rPr>
                <w:color w:val="auto"/>
                <w:spacing w:val="6"/>
                <w:highlight w:val="none"/>
              </w:rPr>
            </w:pPr>
            <w:r>
              <w:rPr>
                <w:color w:val="auto"/>
                <w:spacing w:val="7"/>
                <w:highlight w:val="none"/>
              </w:rPr>
              <w:t>业绩分</w:t>
            </w:r>
          </w:p>
        </w:tc>
        <w:tc>
          <w:tcPr>
            <w:tcW w:w="6351" w:type="dxa"/>
            <w:vAlign w:val="top"/>
          </w:tcPr>
          <w:p w14:paraId="7B30A659">
            <w:pPr>
              <w:pStyle w:val="9"/>
              <w:spacing w:before="211" w:line="376" w:lineRule="auto"/>
              <w:ind w:left="113" w:leftChars="0" w:right="16" w:rightChars="0" w:firstLine="2" w:firstLineChars="0"/>
              <w:jc w:val="both"/>
              <w:rPr>
                <w:color w:val="auto"/>
                <w:spacing w:val="11"/>
                <w:highlight w:val="none"/>
              </w:rPr>
            </w:pPr>
            <w:r>
              <w:rPr>
                <w:color w:val="auto"/>
                <w:spacing w:val="4"/>
                <w:highlight w:val="none"/>
              </w:rPr>
              <w:t>2022 年</w:t>
            </w:r>
            <w:r>
              <w:rPr>
                <w:color w:val="auto"/>
                <w:spacing w:val="-38"/>
                <w:highlight w:val="none"/>
              </w:rPr>
              <w:t xml:space="preserve"> </w:t>
            </w:r>
            <w:r>
              <w:rPr>
                <w:rFonts w:hint="eastAsia"/>
                <w:color w:val="auto"/>
                <w:spacing w:val="4"/>
                <w:highlight w:val="none"/>
                <w:lang w:val="en-US" w:eastAsia="zh-CN"/>
              </w:rPr>
              <w:t>11</w:t>
            </w:r>
            <w:r>
              <w:rPr>
                <w:color w:val="auto"/>
                <w:spacing w:val="-33"/>
                <w:highlight w:val="none"/>
              </w:rPr>
              <w:t xml:space="preserve"> </w:t>
            </w:r>
            <w:r>
              <w:rPr>
                <w:color w:val="auto"/>
                <w:spacing w:val="4"/>
                <w:highlight w:val="none"/>
              </w:rPr>
              <w:t>月</w:t>
            </w:r>
            <w:r>
              <w:rPr>
                <w:color w:val="auto"/>
                <w:spacing w:val="-24"/>
                <w:highlight w:val="none"/>
              </w:rPr>
              <w:t xml:space="preserve"> </w:t>
            </w:r>
            <w:r>
              <w:rPr>
                <w:color w:val="auto"/>
                <w:spacing w:val="4"/>
                <w:highlight w:val="none"/>
              </w:rPr>
              <w:t>1 日以来至响应文件递交截</w:t>
            </w:r>
            <w:r>
              <w:rPr>
                <w:color w:val="auto"/>
                <w:spacing w:val="3"/>
                <w:highlight w:val="none"/>
              </w:rPr>
              <w:t>止日期止，供应商具有</w:t>
            </w:r>
            <w:r>
              <w:rPr>
                <w:rFonts w:hint="eastAsia"/>
                <w:color w:val="auto"/>
                <w:spacing w:val="3"/>
                <w:highlight w:val="none"/>
                <w:lang w:eastAsia="zh-CN"/>
              </w:rPr>
              <w:t>房建</w:t>
            </w:r>
            <w:r>
              <w:rPr>
                <w:color w:val="auto"/>
                <w:spacing w:val="3"/>
                <w:highlight w:val="none"/>
              </w:rPr>
              <w:t>类</w:t>
            </w:r>
            <w:r>
              <w:rPr>
                <w:color w:val="auto"/>
                <w:spacing w:val="4"/>
                <w:highlight w:val="none"/>
              </w:rPr>
              <w:t>项目业绩的，每项得 2.5</w:t>
            </w:r>
            <w:r>
              <w:rPr>
                <w:color w:val="auto"/>
                <w:spacing w:val="-38"/>
                <w:highlight w:val="none"/>
              </w:rPr>
              <w:t xml:space="preserve"> </w:t>
            </w:r>
            <w:r>
              <w:rPr>
                <w:color w:val="auto"/>
                <w:spacing w:val="4"/>
                <w:highlight w:val="none"/>
              </w:rPr>
              <w:t>分，满分</w:t>
            </w:r>
            <w:r>
              <w:rPr>
                <w:color w:val="auto"/>
                <w:spacing w:val="-33"/>
                <w:highlight w:val="none"/>
              </w:rPr>
              <w:t xml:space="preserve"> </w:t>
            </w:r>
            <w:r>
              <w:rPr>
                <w:color w:val="auto"/>
                <w:spacing w:val="4"/>
                <w:highlight w:val="none"/>
              </w:rPr>
              <w:t>5</w:t>
            </w:r>
            <w:r>
              <w:rPr>
                <w:color w:val="auto"/>
                <w:spacing w:val="-37"/>
                <w:highlight w:val="none"/>
              </w:rPr>
              <w:t xml:space="preserve"> </w:t>
            </w:r>
            <w:r>
              <w:rPr>
                <w:color w:val="auto"/>
                <w:spacing w:val="4"/>
                <w:highlight w:val="none"/>
              </w:rPr>
              <w:t>分。（以合同或者中</w:t>
            </w:r>
            <w:r>
              <w:rPr>
                <w:color w:val="auto"/>
                <w:spacing w:val="3"/>
                <w:highlight w:val="none"/>
              </w:rPr>
              <w:t>标（成交）</w:t>
            </w:r>
            <w:r>
              <w:rPr>
                <w:color w:val="auto"/>
                <w:highlight w:val="none"/>
              </w:rPr>
              <w:t xml:space="preserve"> </w:t>
            </w:r>
            <w:r>
              <w:rPr>
                <w:color w:val="auto"/>
                <w:spacing w:val="9"/>
                <w:highlight w:val="none"/>
              </w:rPr>
              <w:t>通知书复印件为准，并加盖供应商单位公章）</w:t>
            </w:r>
          </w:p>
        </w:tc>
        <w:tc>
          <w:tcPr>
            <w:tcW w:w="855" w:type="dxa"/>
            <w:vAlign w:val="top"/>
          </w:tcPr>
          <w:p w14:paraId="7009CD33">
            <w:pPr>
              <w:spacing w:line="310" w:lineRule="auto"/>
              <w:rPr>
                <w:rFonts w:ascii="Arial"/>
                <w:color w:val="auto"/>
                <w:sz w:val="21"/>
                <w:highlight w:val="none"/>
              </w:rPr>
            </w:pPr>
          </w:p>
          <w:p w14:paraId="2CA152DE">
            <w:pPr>
              <w:spacing w:line="311" w:lineRule="auto"/>
              <w:rPr>
                <w:rFonts w:ascii="Arial"/>
                <w:color w:val="auto"/>
                <w:sz w:val="21"/>
                <w:highlight w:val="none"/>
              </w:rPr>
            </w:pPr>
          </w:p>
          <w:p w14:paraId="63CADF33">
            <w:pPr>
              <w:pStyle w:val="9"/>
              <w:spacing w:before="65" w:line="229" w:lineRule="auto"/>
              <w:ind w:left="253" w:leftChars="0"/>
              <w:rPr>
                <w:color w:val="auto"/>
                <w:spacing w:val="-5"/>
                <w:highlight w:val="none"/>
              </w:rPr>
            </w:pPr>
            <w:r>
              <w:rPr>
                <w:color w:val="auto"/>
                <w:spacing w:val="-4"/>
                <w:highlight w:val="none"/>
              </w:rPr>
              <w:t>5</w:t>
            </w:r>
            <w:r>
              <w:rPr>
                <w:color w:val="auto"/>
                <w:spacing w:val="-38"/>
                <w:highlight w:val="none"/>
              </w:rPr>
              <w:t xml:space="preserve"> </w:t>
            </w:r>
            <w:r>
              <w:rPr>
                <w:color w:val="auto"/>
                <w:spacing w:val="-4"/>
                <w:highlight w:val="none"/>
              </w:rPr>
              <w:t>分</w:t>
            </w:r>
          </w:p>
        </w:tc>
      </w:tr>
      <w:tr w14:paraId="7886A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9209" w:type="dxa"/>
            <w:gridSpan w:val="4"/>
            <w:vAlign w:val="top"/>
          </w:tcPr>
          <w:p w14:paraId="39446CCF">
            <w:pPr>
              <w:pStyle w:val="9"/>
              <w:spacing w:before="211" w:line="228" w:lineRule="auto"/>
              <w:ind w:left="117" w:leftChars="0"/>
              <w:rPr>
                <w:color w:val="auto"/>
                <w:spacing w:val="-5"/>
                <w:highlight w:val="none"/>
              </w:rPr>
            </w:pPr>
            <w:r>
              <w:rPr>
                <w:b/>
                <w:bCs/>
                <w:color w:val="auto"/>
                <w:spacing w:val="1"/>
                <w:highlight w:val="none"/>
              </w:rPr>
              <w:t>总得分=</w:t>
            </w:r>
            <w:r>
              <w:rPr>
                <w:color w:val="auto"/>
                <w:spacing w:val="34"/>
                <w:highlight w:val="none"/>
              </w:rPr>
              <w:t xml:space="preserve"> </w:t>
            </w:r>
            <w:r>
              <w:rPr>
                <w:b/>
                <w:bCs/>
                <w:color w:val="auto"/>
                <w:spacing w:val="1"/>
                <w:highlight w:val="none"/>
              </w:rPr>
              <w:t>1+2+3</w:t>
            </w:r>
          </w:p>
        </w:tc>
      </w:tr>
    </w:tbl>
    <w:p w14:paraId="14A33D50">
      <w:pPr>
        <w:pStyle w:val="2"/>
        <w:spacing w:line="166" w:lineRule="exact"/>
        <w:rPr>
          <w:color w:val="auto"/>
          <w:sz w:val="14"/>
          <w:highlight w:val="none"/>
        </w:rPr>
      </w:pPr>
    </w:p>
    <w:p w14:paraId="27BBBCAA">
      <w:pPr>
        <w:spacing w:line="166" w:lineRule="exact"/>
        <w:rPr>
          <w:color w:val="auto"/>
          <w:sz w:val="14"/>
          <w:szCs w:val="14"/>
          <w:highlight w:val="none"/>
        </w:rPr>
        <w:sectPr>
          <w:footerReference r:id="rId42" w:type="default"/>
          <w:pgSz w:w="11905" w:h="16839"/>
          <w:pgMar w:top="400" w:right="1345" w:bottom="1079" w:left="1345" w:header="0" w:footer="843" w:gutter="0"/>
          <w:cols w:space="720" w:num="1"/>
        </w:sectPr>
      </w:pPr>
    </w:p>
    <w:p w14:paraId="0C03DB04">
      <w:pPr>
        <w:pStyle w:val="2"/>
        <w:spacing w:line="373" w:lineRule="auto"/>
        <w:rPr>
          <w:color w:val="auto"/>
          <w:highlight w:val="none"/>
        </w:rPr>
      </w:pPr>
    </w:p>
    <w:p w14:paraId="6DDD8062">
      <w:pPr>
        <w:spacing w:before="65" w:line="302" w:lineRule="auto"/>
        <w:ind w:left="248" w:right="172" w:firstLine="421"/>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8.2</w:t>
      </w:r>
      <w:r>
        <w:rPr>
          <w:rFonts w:ascii="宋体" w:hAnsi="宋体" w:eastAsia="宋体" w:cs="宋体"/>
          <w:color w:val="auto"/>
          <w:spacing w:val="-28"/>
          <w:sz w:val="20"/>
          <w:szCs w:val="20"/>
          <w:highlight w:val="none"/>
        </w:rPr>
        <w:t xml:space="preserve"> </w:t>
      </w:r>
      <w:r>
        <w:rPr>
          <w:rFonts w:ascii="宋体" w:hAnsi="宋体" w:eastAsia="宋体" w:cs="宋体"/>
          <w:color w:val="auto"/>
          <w:spacing w:val="4"/>
          <w:sz w:val="20"/>
          <w:szCs w:val="20"/>
          <w:highlight w:val="none"/>
        </w:rPr>
        <w:t>商务技术评审因素为客观评分项的，应在评分项目或评分标准中予以标注为“客观分</w:t>
      </w:r>
      <w:r>
        <w:rPr>
          <w:rFonts w:ascii="宋体" w:hAnsi="宋体" w:eastAsia="宋体" w:cs="宋体"/>
          <w:color w:val="auto"/>
          <w:spacing w:val="-70"/>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对供应商的客观评分项目，各评审专家评分应当一致。</w:t>
      </w:r>
    </w:p>
    <w:p w14:paraId="270B76C4">
      <w:pPr>
        <w:spacing w:before="161" w:line="228" w:lineRule="auto"/>
        <w:ind w:left="67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8.3.终止竞争性磋商采购活动</w:t>
      </w:r>
    </w:p>
    <w:p w14:paraId="112CFB7D">
      <w:pPr>
        <w:spacing w:before="163" w:line="377" w:lineRule="auto"/>
        <w:ind w:left="249" w:right="242" w:firstLine="419"/>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磋商小组发现竞争性磋商文件存在歧义、重大缺陷导</w:t>
      </w:r>
      <w:r>
        <w:rPr>
          <w:rFonts w:ascii="宋体" w:hAnsi="宋体" w:eastAsia="宋体" w:cs="宋体"/>
          <w:color w:val="auto"/>
          <w:spacing w:val="7"/>
          <w:sz w:val="20"/>
          <w:szCs w:val="20"/>
          <w:highlight w:val="none"/>
        </w:rPr>
        <w:t>致评审工作无法进行，或者竞争性磋商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文件内容违反国家有关规定的，要停止评审工作并向采购</w:t>
      </w:r>
      <w:r>
        <w:rPr>
          <w:rFonts w:ascii="宋体" w:hAnsi="宋体" w:eastAsia="宋体" w:cs="宋体"/>
          <w:color w:val="auto"/>
          <w:spacing w:val="7"/>
          <w:sz w:val="20"/>
          <w:szCs w:val="20"/>
          <w:highlight w:val="none"/>
        </w:rPr>
        <w:t>人或采购代理机构书面说明情况，采购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人或采购代理机构应当修改竞争性磋商文件后重新组织采购活动</w:t>
      </w:r>
      <w:r>
        <w:rPr>
          <w:rFonts w:ascii="宋体" w:hAnsi="宋体" w:eastAsia="宋体" w:cs="宋体"/>
          <w:color w:val="auto"/>
          <w:spacing w:val="7"/>
          <w:sz w:val="20"/>
          <w:szCs w:val="20"/>
          <w:highlight w:val="none"/>
        </w:rPr>
        <w:t>；发现供应商提供虚假材料、串</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通等违法违规行为的，要及时向采购人或采购代理机构报告。</w:t>
      </w:r>
    </w:p>
    <w:p w14:paraId="5894B2EF">
      <w:pPr>
        <w:spacing w:line="377" w:lineRule="auto"/>
        <w:rPr>
          <w:rFonts w:ascii="宋体" w:hAnsi="宋体" w:eastAsia="宋体" w:cs="宋体"/>
          <w:color w:val="auto"/>
          <w:sz w:val="20"/>
          <w:szCs w:val="20"/>
          <w:highlight w:val="none"/>
        </w:rPr>
        <w:sectPr>
          <w:footerReference r:id="rId43" w:type="default"/>
          <w:pgSz w:w="11905" w:h="16839"/>
          <w:pgMar w:top="400" w:right="1345" w:bottom="1079" w:left="1345" w:header="0" w:footer="843" w:gutter="0"/>
          <w:cols w:space="720" w:num="1"/>
        </w:sectPr>
      </w:pPr>
    </w:p>
    <w:p w14:paraId="5B2CDA1C">
      <w:pPr>
        <w:pStyle w:val="2"/>
        <w:spacing w:line="339" w:lineRule="auto"/>
        <w:rPr>
          <w:color w:val="auto"/>
          <w:highlight w:val="none"/>
        </w:rPr>
      </w:pPr>
    </w:p>
    <w:p w14:paraId="1234D178">
      <w:pPr>
        <w:pStyle w:val="2"/>
        <w:spacing w:line="339" w:lineRule="auto"/>
        <w:rPr>
          <w:color w:val="auto"/>
          <w:highlight w:val="none"/>
        </w:rPr>
      </w:pPr>
    </w:p>
    <w:p w14:paraId="41F45E2D">
      <w:pPr>
        <w:spacing w:before="101" w:line="224" w:lineRule="auto"/>
        <w:ind w:left="3169"/>
        <w:outlineLvl w:val="1"/>
        <w:rPr>
          <w:rFonts w:ascii="宋体" w:hAnsi="宋体" w:eastAsia="宋体" w:cs="宋体"/>
          <w:color w:val="auto"/>
          <w:sz w:val="31"/>
          <w:szCs w:val="31"/>
          <w:highlight w:val="none"/>
        </w:rPr>
      </w:pPr>
      <w:bookmarkStart w:id="15" w:name="_Toc10046"/>
      <w:r>
        <w:rPr>
          <w:rFonts w:ascii="宋体" w:hAnsi="宋体" w:eastAsia="宋体" w:cs="宋体"/>
          <w:color w:val="auto"/>
          <w:spacing w:val="7"/>
          <w:sz w:val="31"/>
          <w:szCs w:val="31"/>
          <w:highlight w:val="none"/>
        </w:rPr>
        <w:t>第二节 评标报告</w:t>
      </w:r>
      <w:bookmarkEnd w:id="15"/>
    </w:p>
    <w:p w14:paraId="577C5B2F">
      <w:pPr>
        <w:spacing w:before="231" w:line="221" w:lineRule="auto"/>
        <w:ind w:left="438"/>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1.成交标准</w:t>
      </w:r>
    </w:p>
    <w:p w14:paraId="5CA737B4">
      <w:pPr>
        <w:spacing w:before="178" w:line="377" w:lineRule="auto"/>
        <w:ind w:firstLine="445"/>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由磋商小组根据综合评分情况，按照评审得分由高到低顺</w:t>
      </w:r>
      <w:r>
        <w:rPr>
          <w:rFonts w:ascii="宋体" w:hAnsi="宋体" w:eastAsia="宋体" w:cs="宋体"/>
          <w:color w:val="auto"/>
          <w:spacing w:val="8"/>
          <w:sz w:val="20"/>
          <w:szCs w:val="20"/>
          <w:highlight w:val="none"/>
        </w:rPr>
        <w:t>序推荐</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名以上成交候选供应商,</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并在线编写电子评审报告。符合本章第一节第</w:t>
      </w:r>
      <w:r>
        <w:rPr>
          <w:rFonts w:ascii="宋体" w:hAnsi="宋体" w:eastAsia="宋体" w:cs="宋体"/>
          <w:color w:val="auto"/>
          <w:spacing w:val="-29"/>
          <w:sz w:val="20"/>
          <w:szCs w:val="20"/>
          <w:highlight w:val="none"/>
        </w:rPr>
        <w:t xml:space="preserve"> </w:t>
      </w:r>
      <w:r>
        <w:rPr>
          <w:rFonts w:ascii="宋体" w:hAnsi="宋体" w:eastAsia="宋体" w:cs="宋体"/>
          <w:color w:val="auto"/>
          <w:spacing w:val="6"/>
          <w:sz w:val="20"/>
          <w:szCs w:val="20"/>
          <w:highlight w:val="none"/>
        </w:rPr>
        <w:t>5.3</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条情形的，可以推荐</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2</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家成交候选供应商。评</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审得分相同的，按照最后报价（不计算价格折扣）由低到高的顺序推荐。评审得分</w:t>
      </w:r>
      <w:r>
        <w:rPr>
          <w:rFonts w:ascii="宋体" w:hAnsi="宋体" w:eastAsia="宋体" w:cs="宋体"/>
          <w:color w:val="auto"/>
          <w:spacing w:val="2"/>
          <w:sz w:val="20"/>
          <w:szCs w:val="20"/>
          <w:highlight w:val="none"/>
        </w:rPr>
        <w:t>且最后报价（不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计算价格折扣）相同的，按照技术指标优劣顺序推荐（按</w:t>
      </w:r>
      <w:r>
        <w:rPr>
          <w:rFonts w:ascii="宋体" w:hAnsi="宋体" w:eastAsia="宋体" w:cs="宋体"/>
          <w:color w:val="auto"/>
          <w:spacing w:val="7"/>
          <w:sz w:val="20"/>
          <w:szCs w:val="20"/>
          <w:highlight w:val="none"/>
        </w:rPr>
        <w:t>技术得分由高到低排序，技术得分相同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的按照服务需求偏离分由高到低排序）。评审得分、最后报价（不计算价格折扣）、技术得</w:t>
      </w:r>
      <w:r>
        <w:rPr>
          <w:rFonts w:ascii="宋体" w:hAnsi="宋体" w:eastAsia="宋体" w:cs="宋体"/>
          <w:color w:val="auto"/>
          <w:spacing w:val="8"/>
          <w:sz w:val="20"/>
          <w:szCs w:val="20"/>
          <w:highlight w:val="none"/>
        </w:rPr>
        <w:t>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服务需求偏离分均相同的，</w:t>
      </w:r>
      <w:r>
        <w:rPr>
          <w:rFonts w:ascii="宋体" w:hAnsi="宋体" w:eastAsia="宋体" w:cs="宋体"/>
          <w:color w:val="auto"/>
          <w:spacing w:val="-49"/>
          <w:sz w:val="20"/>
          <w:szCs w:val="20"/>
          <w:highlight w:val="none"/>
        </w:rPr>
        <w:t xml:space="preserve"> </w:t>
      </w:r>
      <w:r>
        <w:rPr>
          <w:rFonts w:ascii="宋体" w:hAnsi="宋体" w:eastAsia="宋体" w:cs="宋体"/>
          <w:color w:val="auto"/>
          <w:spacing w:val="7"/>
          <w:sz w:val="20"/>
          <w:szCs w:val="20"/>
          <w:highlight w:val="none"/>
        </w:rPr>
        <w:t>由磋商小组随机抽取推荐。</w:t>
      </w:r>
    </w:p>
    <w:p w14:paraId="16741EAC">
      <w:pPr>
        <w:spacing w:before="2" w:line="220" w:lineRule="auto"/>
        <w:ind w:left="424"/>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2.评标争议事项处理</w:t>
      </w:r>
    </w:p>
    <w:p w14:paraId="79CED0F7">
      <w:pPr>
        <w:spacing w:before="177" w:line="377" w:lineRule="auto"/>
        <w:ind w:left="2" w:firstLine="41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磋商小组成员对需要共同认定的事项存在争议的，应当按照少数服从多数的原则作出</w:t>
      </w:r>
      <w:r>
        <w:rPr>
          <w:rFonts w:ascii="宋体" w:hAnsi="宋体" w:eastAsia="宋体" w:cs="宋体"/>
          <w:color w:val="auto"/>
          <w:spacing w:val="8"/>
          <w:sz w:val="20"/>
          <w:szCs w:val="20"/>
          <w:highlight w:val="none"/>
        </w:rPr>
        <w:t>结论。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持不同意见的磋商小组成员应当在评标报告上签署不同意见及理由，否则视为同意评标报告。</w:t>
      </w:r>
    </w:p>
    <w:p w14:paraId="62E3E22E">
      <w:pPr>
        <w:spacing w:before="18" w:line="225" w:lineRule="auto"/>
        <w:ind w:left="2529"/>
        <w:outlineLvl w:val="1"/>
        <w:rPr>
          <w:rFonts w:ascii="宋体" w:hAnsi="宋体" w:eastAsia="宋体" w:cs="宋体"/>
          <w:color w:val="auto"/>
          <w:sz w:val="31"/>
          <w:szCs w:val="31"/>
          <w:highlight w:val="none"/>
        </w:rPr>
      </w:pPr>
      <w:bookmarkStart w:id="16" w:name="_Toc17989"/>
      <w:r>
        <w:rPr>
          <w:rFonts w:ascii="宋体" w:hAnsi="宋体" w:eastAsia="宋体" w:cs="宋体"/>
          <w:color w:val="auto"/>
          <w:spacing w:val="8"/>
          <w:sz w:val="31"/>
          <w:szCs w:val="31"/>
          <w:highlight w:val="none"/>
        </w:rPr>
        <w:t>第三节 评审过程的保密与录像</w:t>
      </w:r>
      <w:bookmarkEnd w:id="16"/>
    </w:p>
    <w:p w14:paraId="640CE3C0">
      <w:pPr>
        <w:spacing w:before="229" w:line="221" w:lineRule="auto"/>
        <w:ind w:left="438"/>
        <w:rPr>
          <w:rFonts w:ascii="宋体" w:hAnsi="宋体" w:eastAsia="宋体" w:cs="宋体"/>
          <w:color w:val="auto"/>
          <w:sz w:val="24"/>
          <w:szCs w:val="24"/>
          <w:highlight w:val="none"/>
        </w:rPr>
      </w:pPr>
      <w:r>
        <w:rPr>
          <w:rFonts w:ascii="宋体" w:hAnsi="宋体" w:eastAsia="宋体" w:cs="宋体"/>
          <w:b/>
          <w:bCs/>
          <w:color w:val="auto"/>
          <w:spacing w:val="-9"/>
          <w:sz w:val="24"/>
          <w:szCs w:val="24"/>
          <w:highlight w:val="none"/>
        </w:rPr>
        <w:t>1.保密</w:t>
      </w:r>
    </w:p>
    <w:p w14:paraId="0E8396D5">
      <w:pPr>
        <w:spacing w:before="177" w:line="377" w:lineRule="auto"/>
        <w:ind w:right="54" w:firstLine="419"/>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评审活动在严格保密的情况下进行。评审过程</w:t>
      </w:r>
      <w:r>
        <w:rPr>
          <w:rFonts w:ascii="宋体" w:hAnsi="宋体" w:eastAsia="宋体" w:cs="宋体"/>
          <w:color w:val="auto"/>
          <w:spacing w:val="7"/>
          <w:sz w:val="20"/>
          <w:szCs w:val="20"/>
          <w:highlight w:val="none"/>
        </w:rPr>
        <w:t>中凡是与采购响应文件评审和比较、中标成交</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供应商推荐等评审有关的情况，以及涉及国家秘密和商业秘密等</w:t>
      </w:r>
      <w:r>
        <w:rPr>
          <w:rFonts w:ascii="宋体" w:hAnsi="宋体" w:eastAsia="宋体" w:cs="宋体"/>
          <w:color w:val="auto"/>
          <w:spacing w:val="7"/>
          <w:sz w:val="20"/>
          <w:szCs w:val="20"/>
          <w:highlight w:val="none"/>
        </w:rPr>
        <w:t>信息，评审委员会成员、采购人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和采购机构工作人员、相关监督人员等与评审有关的人员应当予以保密。</w:t>
      </w:r>
    </w:p>
    <w:p w14:paraId="2E64EBAE">
      <w:pPr>
        <w:spacing w:before="3" w:line="220" w:lineRule="auto"/>
        <w:ind w:left="424"/>
        <w:outlineLvl w:val="0"/>
        <w:rPr>
          <w:rFonts w:ascii="宋体" w:hAnsi="宋体" w:eastAsia="宋体" w:cs="宋体"/>
          <w:color w:val="auto"/>
          <w:sz w:val="24"/>
          <w:szCs w:val="24"/>
          <w:highlight w:val="none"/>
        </w:rPr>
      </w:pPr>
      <w:bookmarkStart w:id="17" w:name="_Toc12752"/>
      <w:r>
        <w:rPr>
          <w:rFonts w:ascii="宋体" w:hAnsi="宋体" w:eastAsia="宋体" w:cs="宋体"/>
          <w:b/>
          <w:bCs/>
          <w:color w:val="auto"/>
          <w:spacing w:val="-4"/>
          <w:sz w:val="24"/>
          <w:szCs w:val="24"/>
          <w:highlight w:val="none"/>
        </w:rPr>
        <w:t>2.录音录像</w:t>
      </w:r>
      <w:bookmarkEnd w:id="17"/>
    </w:p>
    <w:p w14:paraId="3ED66923">
      <w:pPr>
        <w:spacing w:before="177" w:line="378" w:lineRule="auto"/>
        <w:ind w:left="1" w:right="57" w:firstLine="4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采购代理机构对评审工作现场及操作屏幕进行</w:t>
      </w:r>
      <w:r>
        <w:rPr>
          <w:rFonts w:ascii="宋体" w:hAnsi="宋体" w:eastAsia="宋体" w:cs="宋体"/>
          <w:color w:val="auto"/>
          <w:spacing w:val="7"/>
          <w:sz w:val="20"/>
          <w:szCs w:val="20"/>
          <w:highlight w:val="none"/>
        </w:rPr>
        <w:t>全过程录音录像，录音录像资料作为采购项目</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文件随其他文件一并存档。</w:t>
      </w:r>
    </w:p>
    <w:p w14:paraId="56678884">
      <w:pPr>
        <w:spacing w:line="378" w:lineRule="auto"/>
        <w:rPr>
          <w:rFonts w:ascii="宋体" w:hAnsi="宋体" w:eastAsia="宋体" w:cs="宋体"/>
          <w:color w:val="auto"/>
          <w:sz w:val="20"/>
          <w:szCs w:val="20"/>
          <w:highlight w:val="none"/>
        </w:rPr>
        <w:sectPr>
          <w:footerReference r:id="rId44" w:type="default"/>
          <w:pgSz w:w="11905" w:h="16839"/>
          <w:pgMar w:top="400" w:right="1532" w:bottom="1079" w:left="1594" w:header="0" w:footer="843" w:gutter="0"/>
          <w:cols w:space="720" w:num="1"/>
        </w:sectPr>
      </w:pPr>
    </w:p>
    <w:p w14:paraId="0795294E">
      <w:pPr>
        <w:pStyle w:val="2"/>
        <w:spacing w:line="351" w:lineRule="auto"/>
        <w:rPr>
          <w:color w:val="auto"/>
          <w:highlight w:val="none"/>
        </w:rPr>
      </w:pPr>
    </w:p>
    <w:p w14:paraId="0BB833DF">
      <w:pPr>
        <w:pStyle w:val="2"/>
        <w:spacing w:line="351" w:lineRule="auto"/>
        <w:rPr>
          <w:color w:val="auto"/>
          <w:highlight w:val="none"/>
        </w:rPr>
      </w:pPr>
    </w:p>
    <w:p w14:paraId="76DC5743">
      <w:pPr>
        <w:spacing w:before="140" w:line="223" w:lineRule="auto"/>
        <w:ind w:left="2294"/>
        <w:outlineLvl w:val="0"/>
        <w:rPr>
          <w:rFonts w:ascii="宋体" w:hAnsi="宋体" w:eastAsia="宋体" w:cs="宋体"/>
          <w:color w:val="auto"/>
          <w:sz w:val="43"/>
          <w:szCs w:val="43"/>
          <w:highlight w:val="none"/>
        </w:rPr>
      </w:pPr>
      <w:bookmarkStart w:id="18" w:name="bookmark11"/>
      <w:bookmarkEnd w:id="18"/>
      <w:bookmarkStart w:id="19" w:name="_Toc22844"/>
      <w:r>
        <w:rPr>
          <w:rFonts w:ascii="宋体" w:hAnsi="宋体" w:eastAsia="宋体" w:cs="宋体"/>
          <w:b/>
          <w:bCs/>
          <w:color w:val="auto"/>
          <w:sz w:val="43"/>
          <w:szCs w:val="43"/>
          <w:highlight w:val="none"/>
        </w:rPr>
        <w:t>第五章</w:t>
      </w:r>
      <w:r>
        <w:rPr>
          <w:rFonts w:ascii="宋体" w:hAnsi="宋体" w:eastAsia="宋体" w:cs="宋体"/>
          <w:color w:val="auto"/>
          <w:spacing w:val="48"/>
          <w:sz w:val="43"/>
          <w:szCs w:val="43"/>
          <w:highlight w:val="none"/>
        </w:rPr>
        <w:t xml:space="preserve"> </w:t>
      </w:r>
      <w:r>
        <w:rPr>
          <w:rFonts w:ascii="宋体" w:hAnsi="宋体" w:eastAsia="宋体" w:cs="宋体"/>
          <w:b/>
          <w:bCs/>
          <w:color w:val="auto"/>
          <w:sz w:val="43"/>
          <w:szCs w:val="43"/>
          <w:highlight w:val="none"/>
        </w:rPr>
        <w:t>响应文件格式</w:t>
      </w:r>
      <w:bookmarkEnd w:id="19"/>
    </w:p>
    <w:p w14:paraId="5E229F4A">
      <w:pPr>
        <w:pStyle w:val="2"/>
        <w:spacing w:line="344" w:lineRule="auto"/>
        <w:rPr>
          <w:color w:val="auto"/>
          <w:highlight w:val="none"/>
        </w:rPr>
      </w:pPr>
    </w:p>
    <w:p w14:paraId="71154C5F">
      <w:pPr>
        <w:pStyle w:val="2"/>
        <w:spacing w:line="344" w:lineRule="auto"/>
        <w:rPr>
          <w:color w:val="auto"/>
          <w:highlight w:val="none"/>
        </w:rPr>
      </w:pPr>
    </w:p>
    <w:p w14:paraId="3A33B5FB">
      <w:pPr>
        <w:spacing w:before="101" w:line="225" w:lineRule="auto"/>
        <w:ind w:left="2978"/>
        <w:outlineLvl w:val="1"/>
        <w:rPr>
          <w:rFonts w:ascii="宋体" w:hAnsi="宋体" w:eastAsia="宋体" w:cs="宋体"/>
          <w:color w:val="auto"/>
          <w:sz w:val="31"/>
          <w:szCs w:val="31"/>
          <w:highlight w:val="none"/>
        </w:rPr>
      </w:pPr>
      <w:bookmarkStart w:id="20" w:name="_Toc6394"/>
      <w:r>
        <w:rPr>
          <w:rFonts w:ascii="宋体" w:hAnsi="宋体" w:eastAsia="宋体" w:cs="宋体"/>
          <w:color w:val="auto"/>
          <w:spacing w:val="7"/>
          <w:sz w:val="31"/>
          <w:szCs w:val="31"/>
          <w:highlight w:val="none"/>
        </w:rPr>
        <w:t>第一节 封面格式</w:t>
      </w:r>
      <w:bookmarkEnd w:id="20"/>
    </w:p>
    <w:p w14:paraId="67404F90">
      <w:pPr>
        <w:pStyle w:val="2"/>
        <w:spacing w:line="244" w:lineRule="auto"/>
        <w:rPr>
          <w:color w:val="auto"/>
          <w:highlight w:val="none"/>
        </w:rPr>
      </w:pPr>
    </w:p>
    <w:p w14:paraId="02FE6FAB">
      <w:pPr>
        <w:pStyle w:val="2"/>
        <w:spacing w:line="244" w:lineRule="auto"/>
        <w:rPr>
          <w:color w:val="auto"/>
          <w:highlight w:val="none"/>
        </w:rPr>
      </w:pPr>
    </w:p>
    <w:p w14:paraId="3BF791F8">
      <w:pPr>
        <w:pStyle w:val="2"/>
        <w:spacing w:line="245" w:lineRule="auto"/>
        <w:rPr>
          <w:color w:val="auto"/>
          <w:highlight w:val="none"/>
        </w:rPr>
      </w:pPr>
    </w:p>
    <w:p w14:paraId="5B0A5527">
      <w:pPr>
        <w:pStyle w:val="2"/>
        <w:spacing w:line="245" w:lineRule="auto"/>
        <w:rPr>
          <w:color w:val="auto"/>
          <w:highlight w:val="none"/>
        </w:rPr>
      </w:pPr>
    </w:p>
    <w:p w14:paraId="53F8F2AE">
      <w:pPr>
        <w:pStyle w:val="2"/>
        <w:spacing w:line="245" w:lineRule="auto"/>
        <w:rPr>
          <w:color w:val="auto"/>
          <w:highlight w:val="none"/>
        </w:rPr>
      </w:pPr>
    </w:p>
    <w:p w14:paraId="62A2C448">
      <w:pPr>
        <w:spacing w:before="179" w:line="223" w:lineRule="auto"/>
        <w:ind w:left="2248"/>
        <w:rPr>
          <w:rFonts w:ascii="宋体" w:hAnsi="宋体" w:eastAsia="宋体" w:cs="宋体"/>
          <w:color w:val="auto"/>
          <w:sz w:val="55"/>
          <w:szCs w:val="55"/>
          <w:highlight w:val="none"/>
        </w:rPr>
      </w:pPr>
      <w:r>
        <w:rPr>
          <w:rFonts w:ascii="宋体" w:hAnsi="宋体" w:eastAsia="宋体" w:cs="宋体"/>
          <w:b/>
          <w:bCs/>
          <w:color w:val="auto"/>
          <w:spacing w:val="-24"/>
          <w:sz w:val="55"/>
          <w:szCs w:val="55"/>
          <w:highlight w:val="none"/>
        </w:rPr>
        <w:t>响</w:t>
      </w:r>
      <w:r>
        <w:rPr>
          <w:rFonts w:ascii="宋体" w:hAnsi="宋体" w:eastAsia="宋体" w:cs="宋体"/>
          <w:color w:val="auto"/>
          <w:spacing w:val="19"/>
          <w:sz w:val="55"/>
          <w:szCs w:val="55"/>
          <w:highlight w:val="none"/>
        </w:rPr>
        <w:t xml:space="preserve">  </w:t>
      </w:r>
      <w:r>
        <w:rPr>
          <w:rFonts w:ascii="宋体" w:hAnsi="宋体" w:eastAsia="宋体" w:cs="宋体"/>
          <w:b/>
          <w:bCs/>
          <w:color w:val="auto"/>
          <w:spacing w:val="-24"/>
          <w:sz w:val="55"/>
          <w:szCs w:val="55"/>
          <w:highlight w:val="none"/>
        </w:rPr>
        <w:t>应</w:t>
      </w:r>
      <w:r>
        <w:rPr>
          <w:rFonts w:ascii="宋体" w:hAnsi="宋体" w:eastAsia="宋体" w:cs="宋体"/>
          <w:color w:val="auto"/>
          <w:spacing w:val="20"/>
          <w:sz w:val="55"/>
          <w:szCs w:val="55"/>
          <w:highlight w:val="none"/>
        </w:rPr>
        <w:t xml:space="preserve">  </w:t>
      </w:r>
      <w:r>
        <w:rPr>
          <w:rFonts w:ascii="宋体" w:hAnsi="宋体" w:eastAsia="宋体" w:cs="宋体"/>
          <w:b/>
          <w:bCs/>
          <w:color w:val="auto"/>
          <w:spacing w:val="-24"/>
          <w:sz w:val="55"/>
          <w:szCs w:val="55"/>
          <w:highlight w:val="none"/>
        </w:rPr>
        <w:t>文</w:t>
      </w:r>
      <w:r>
        <w:rPr>
          <w:rFonts w:ascii="宋体" w:hAnsi="宋体" w:eastAsia="宋体" w:cs="宋体"/>
          <w:color w:val="auto"/>
          <w:spacing w:val="18"/>
          <w:sz w:val="55"/>
          <w:szCs w:val="55"/>
          <w:highlight w:val="none"/>
        </w:rPr>
        <w:t xml:space="preserve">  </w:t>
      </w:r>
      <w:r>
        <w:rPr>
          <w:rFonts w:ascii="宋体" w:hAnsi="宋体" w:eastAsia="宋体" w:cs="宋体"/>
          <w:b/>
          <w:bCs/>
          <w:color w:val="auto"/>
          <w:spacing w:val="-24"/>
          <w:sz w:val="55"/>
          <w:szCs w:val="55"/>
          <w:highlight w:val="none"/>
        </w:rPr>
        <w:t>件</w:t>
      </w:r>
    </w:p>
    <w:p w14:paraId="79D7DC1C">
      <w:pPr>
        <w:pStyle w:val="2"/>
        <w:spacing w:line="269" w:lineRule="auto"/>
        <w:rPr>
          <w:color w:val="auto"/>
          <w:highlight w:val="none"/>
        </w:rPr>
      </w:pPr>
    </w:p>
    <w:p w14:paraId="3FC76CC1">
      <w:pPr>
        <w:pStyle w:val="2"/>
        <w:spacing w:line="269" w:lineRule="auto"/>
        <w:rPr>
          <w:color w:val="auto"/>
          <w:highlight w:val="none"/>
        </w:rPr>
      </w:pPr>
    </w:p>
    <w:p w14:paraId="0EA69111">
      <w:pPr>
        <w:pStyle w:val="2"/>
        <w:spacing w:line="269" w:lineRule="auto"/>
        <w:rPr>
          <w:color w:val="auto"/>
          <w:highlight w:val="none"/>
        </w:rPr>
      </w:pPr>
    </w:p>
    <w:p w14:paraId="1A2FB3E0">
      <w:pPr>
        <w:pStyle w:val="2"/>
        <w:spacing w:line="270" w:lineRule="auto"/>
        <w:rPr>
          <w:color w:val="auto"/>
          <w:highlight w:val="none"/>
        </w:rPr>
      </w:pPr>
    </w:p>
    <w:p w14:paraId="283D4571">
      <w:pPr>
        <w:pStyle w:val="2"/>
        <w:spacing w:line="270" w:lineRule="auto"/>
        <w:rPr>
          <w:color w:val="auto"/>
          <w:highlight w:val="none"/>
        </w:rPr>
      </w:pPr>
    </w:p>
    <w:p w14:paraId="7CDA21FC">
      <w:pPr>
        <w:pStyle w:val="2"/>
        <w:spacing w:line="270" w:lineRule="auto"/>
        <w:rPr>
          <w:color w:val="auto"/>
          <w:highlight w:val="none"/>
        </w:rPr>
      </w:pPr>
    </w:p>
    <w:p w14:paraId="49B052A6">
      <w:pPr>
        <w:spacing w:before="101" w:line="226" w:lineRule="auto"/>
        <w:ind w:left="458"/>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项目名称：</w:t>
      </w:r>
    </w:p>
    <w:p w14:paraId="2C657C0A">
      <w:pPr>
        <w:pStyle w:val="2"/>
        <w:spacing w:line="338" w:lineRule="auto"/>
        <w:rPr>
          <w:color w:val="auto"/>
          <w:highlight w:val="none"/>
        </w:rPr>
      </w:pPr>
    </w:p>
    <w:p w14:paraId="4DDE99F2">
      <w:pPr>
        <w:pStyle w:val="2"/>
        <w:spacing w:line="339" w:lineRule="auto"/>
        <w:rPr>
          <w:color w:val="auto"/>
          <w:highlight w:val="none"/>
        </w:rPr>
      </w:pPr>
    </w:p>
    <w:p w14:paraId="43F64038">
      <w:pPr>
        <w:spacing w:before="101" w:line="225" w:lineRule="auto"/>
        <w:ind w:left="458"/>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项目编号：</w:t>
      </w:r>
    </w:p>
    <w:p w14:paraId="2B107BC0">
      <w:pPr>
        <w:pStyle w:val="2"/>
        <w:spacing w:line="339" w:lineRule="auto"/>
        <w:rPr>
          <w:color w:val="auto"/>
          <w:highlight w:val="none"/>
        </w:rPr>
      </w:pPr>
    </w:p>
    <w:p w14:paraId="65DFC215">
      <w:pPr>
        <w:pStyle w:val="2"/>
        <w:spacing w:line="339" w:lineRule="auto"/>
        <w:rPr>
          <w:color w:val="auto"/>
          <w:highlight w:val="none"/>
        </w:rPr>
      </w:pPr>
    </w:p>
    <w:p w14:paraId="19A3CC64">
      <w:pPr>
        <w:spacing w:before="101" w:line="226" w:lineRule="auto"/>
        <w:jc w:val="right"/>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所竞分标（如有则填写，无分标时填写“无</w:t>
      </w:r>
      <w:r>
        <w:rPr>
          <w:rFonts w:ascii="宋体" w:hAnsi="宋体" w:eastAsia="宋体" w:cs="宋体"/>
          <w:color w:val="auto"/>
          <w:spacing w:val="-110"/>
          <w:sz w:val="31"/>
          <w:szCs w:val="31"/>
          <w:highlight w:val="none"/>
        </w:rPr>
        <w:t xml:space="preserve"> </w:t>
      </w:r>
      <w:r>
        <w:rPr>
          <w:rFonts w:ascii="宋体" w:hAnsi="宋体" w:eastAsia="宋体" w:cs="宋体"/>
          <w:color w:val="auto"/>
          <w:spacing w:val="5"/>
          <w:sz w:val="31"/>
          <w:szCs w:val="31"/>
          <w:highlight w:val="none"/>
        </w:rPr>
        <w:t>”或者留空</w:t>
      </w:r>
      <w:r>
        <w:rPr>
          <w:rFonts w:ascii="宋体" w:hAnsi="宋体" w:eastAsia="宋体" w:cs="宋体"/>
          <w:color w:val="auto"/>
          <w:spacing w:val="-34"/>
          <w:sz w:val="31"/>
          <w:szCs w:val="31"/>
          <w:highlight w:val="none"/>
        </w:rPr>
        <w:t>）：</w:t>
      </w:r>
    </w:p>
    <w:p w14:paraId="51E27AA6">
      <w:pPr>
        <w:pStyle w:val="2"/>
        <w:spacing w:line="339" w:lineRule="auto"/>
        <w:rPr>
          <w:color w:val="auto"/>
          <w:highlight w:val="none"/>
        </w:rPr>
      </w:pPr>
    </w:p>
    <w:p w14:paraId="2F5AA98A">
      <w:pPr>
        <w:pStyle w:val="2"/>
        <w:spacing w:line="339" w:lineRule="auto"/>
        <w:rPr>
          <w:color w:val="auto"/>
          <w:highlight w:val="none"/>
        </w:rPr>
      </w:pPr>
    </w:p>
    <w:p w14:paraId="0CDF7E21">
      <w:pPr>
        <w:spacing w:before="101" w:line="225" w:lineRule="auto"/>
        <w:ind w:left="453"/>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供应商名称：</w:t>
      </w:r>
    </w:p>
    <w:p w14:paraId="34226BB5">
      <w:pPr>
        <w:pStyle w:val="2"/>
        <w:spacing w:line="340" w:lineRule="auto"/>
        <w:rPr>
          <w:color w:val="auto"/>
          <w:highlight w:val="none"/>
        </w:rPr>
      </w:pPr>
    </w:p>
    <w:p w14:paraId="39161EB4">
      <w:pPr>
        <w:pStyle w:val="2"/>
        <w:spacing w:line="340" w:lineRule="auto"/>
        <w:rPr>
          <w:color w:val="auto"/>
          <w:highlight w:val="none"/>
        </w:rPr>
      </w:pPr>
    </w:p>
    <w:p w14:paraId="48B40710">
      <w:pPr>
        <w:spacing w:before="101" w:line="225" w:lineRule="auto"/>
        <w:ind w:left="1704"/>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首次响应文件提交截止时间前不得解密</w:t>
      </w:r>
    </w:p>
    <w:p w14:paraId="620EC7DB">
      <w:pPr>
        <w:pStyle w:val="2"/>
        <w:spacing w:line="339" w:lineRule="auto"/>
        <w:rPr>
          <w:color w:val="auto"/>
          <w:highlight w:val="none"/>
        </w:rPr>
      </w:pPr>
    </w:p>
    <w:p w14:paraId="6B39F0FC">
      <w:pPr>
        <w:pStyle w:val="2"/>
        <w:spacing w:line="339" w:lineRule="auto"/>
        <w:rPr>
          <w:color w:val="auto"/>
          <w:highlight w:val="none"/>
        </w:rPr>
      </w:pPr>
    </w:p>
    <w:p w14:paraId="15B10700">
      <w:pPr>
        <w:spacing w:before="101" w:line="225" w:lineRule="auto"/>
        <w:ind w:left="3383"/>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年</w:t>
      </w:r>
      <w:r>
        <w:rPr>
          <w:rFonts w:ascii="宋体" w:hAnsi="宋体" w:eastAsia="宋体" w:cs="宋体"/>
          <w:color w:val="auto"/>
          <w:spacing w:val="10"/>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22"/>
          <w:sz w:val="31"/>
          <w:szCs w:val="31"/>
          <w:highlight w:val="none"/>
        </w:rPr>
        <w:t xml:space="preserve">    </w:t>
      </w:r>
      <w:r>
        <w:rPr>
          <w:rFonts w:ascii="宋体" w:hAnsi="宋体" w:eastAsia="宋体" w:cs="宋体"/>
          <w:color w:val="auto"/>
          <w:spacing w:val="-6"/>
          <w:sz w:val="31"/>
          <w:szCs w:val="31"/>
          <w:highlight w:val="none"/>
        </w:rPr>
        <w:t>日</w:t>
      </w:r>
    </w:p>
    <w:p w14:paraId="0E2A9573">
      <w:pPr>
        <w:spacing w:line="225" w:lineRule="auto"/>
        <w:rPr>
          <w:rFonts w:ascii="宋体" w:hAnsi="宋体" w:eastAsia="宋体" w:cs="宋体"/>
          <w:color w:val="auto"/>
          <w:sz w:val="31"/>
          <w:szCs w:val="31"/>
          <w:highlight w:val="none"/>
        </w:rPr>
        <w:sectPr>
          <w:footerReference r:id="rId45" w:type="default"/>
          <w:pgSz w:w="11905" w:h="16839"/>
          <w:pgMar w:top="400" w:right="1507" w:bottom="1079" w:left="1785" w:header="0" w:footer="843" w:gutter="0"/>
          <w:cols w:space="720" w:num="1"/>
        </w:sectPr>
      </w:pPr>
    </w:p>
    <w:p w14:paraId="5BAFC090">
      <w:pPr>
        <w:pStyle w:val="2"/>
        <w:spacing w:line="285" w:lineRule="auto"/>
        <w:rPr>
          <w:color w:val="auto"/>
          <w:highlight w:val="none"/>
        </w:rPr>
      </w:pPr>
    </w:p>
    <w:p w14:paraId="5ACD54F1">
      <w:pPr>
        <w:pStyle w:val="2"/>
        <w:spacing w:line="285" w:lineRule="auto"/>
        <w:rPr>
          <w:color w:val="auto"/>
          <w:highlight w:val="none"/>
        </w:rPr>
      </w:pPr>
    </w:p>
    <w:p w14:paraId="4DC665C6">
      <w:pPr>
        <w:pStyle w:val="2"/>
        <w:spacing w:line="286" w:lineRule="auto"/>
        <w:rPr>
          <w:color w:val="auto"/>
          <w:highlight w:val="none"/>
        </w:rPr>
      </w:pPr>
    </w:p>
    <w:p w14:paraId="15AAAB38">
      <w:pPr>
        <w:pStyle w:val="2"/>
        <w:spacing w:line="286" w:lineRule="auto"/>
        <w:rPr>
          <w:color w:val="auto"/>
          <w:highlight w:val="none"/>
        </w:rPr>
      </w:pPr>
    </w:p>
    <w:p w14:paraId="561FA4A1">
      <w:pPr>
        <w:spacing w:before="101" w:line="225" w:lineRule="auto"/>
        <w:ind w:left="2430"/>
        <w:outlineLvl w:val="1"/>
        <w:rPr>
          <w:rFonts w:ascii="宋体" w:hAnsi="宋体" w:eastAsia="宋体" w:cs="宋体"/>
          <w:color w:val="auto"/>
          <w:sz w:val="31"/>
          <w:szCs w:val="31"/>
          <w:highlight w:val="none"/>
        </w:rPr>
      </w:pPr>
      <w:bookmarkStart w:id="21" w:name="_Toc6954"/>
      <w:r>
        <w:rPr>
          <w:rFonts w:ascii="宋体" w:hAnsi="宋体" w:eastAsia="宋体" w:cs="宋体"/>
          <w:color w:val="auto"/>
          <w:spacing w:val="8"/>
          <w:sz w:val="31"/>
          <w:szCs w:val="31"/>
          <w:highlight w:val="none"/>
        </w:rPr>
        <w:t>第二节 资格证明文件格式</w:t>
      </w:r>
      <w:bookmarkEnd w:id="21"/>
    </w:p>
    <w:p w14:paraId="33CF2275">
      <w:pPr>
        <w:pStyle w:val="2"/>
        <w:spacing w:line="257" w:lineRule="auto"/>
        <w:rPr>
          <w:color w:val="auto"/>
          <w:highlight w:val="none"/>
        </w:rPr>
      </w:pPr>
    </w:p>
    <w:p w14:paraId="2B2FE898">
      <w:pPr>
        <w:pStyle w:val="2"/>
        <w:spacing w:line="257" w:lineRule="auto"/>
        <w:rPr>
          <w:color w:val="auto"/>
          <w:highlight w:val="none"/>
        </w:rPr>
      </w:pPr>
    </w:p>
    <w:p w14:paraId="65FEB500">
      <w:pPr>
        <w:spacing w:before="65" w:line="228" w:lineRule="auto"/>
        <w:ind w:left="614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全流程电子文件</w:t>
      </w:r>
    </w:p>
    <w:p w14:paraId="3434731F">
      <w:pPr>
        <w:pStyle w:val="2"/>
        <w:spacing w:line="292" w:lineRule="auto"/>
        <w:rPr>
          <w:color w:val="auto"/>
          <w:highlight w:val="none"/>
        </w:rPr>
      </w:pPr>
    </w:p>
    <w:p w14:paraId="5BB594E1">
      <w:pPr>
        <w:pStyle w:val="2"/>
        <w:spacing w:line="293" w:lineRule="auto"/>
        <w:rPr>
          <w:color w:val="auto"/>
          <w:highlight w:val="none"/>
        </w:rPr>
      </w:pPr>
    </w:p>
    <w:p w14:paraId="6955F184">
      <w:pPr>
        <w:pStyle w:val="2"/>
        <w:spacing w:line="293" w:lineRule="auto"/>
        <w:rPr>
          <w:color w:val="auto"/>
          <w:highlight w:val="none"/>
        </w:rPr>
      </w:pPr>
    </w:p>
    <w:p w14:paraId="0B9C5ADD">
      <w:pPr>
        <w:spacing w:before="169" w:line="220" w:lineRule="auto"/>
        <w:ind w:left="1690"/>
        <w:rPr>
          <w:rFonts w:ascii="宋体" w:hAnsi="宋体" w:eastAsia="宋体" w:cs="宋体"/>
          <w:color w:val="auto"/>
          <w:sz w:val="52"/>
          <w:szCs w:val="52"/>
          <w:highlight w:val="none"/>
        </w:rPr>
      </w:pPr>
      <w:r>
        <w:rPr>
          <w:rFonts w:ascii="宋体" w:hAnsi="宋体" w:eastAsia="宋体" w:cs="宋体"/>
          <w:b/>
          <w:bCs/>
          <w:color w:val="auto"/>
          <w:spacing w:val="-9"/>
          <w:sz w:val="52"/>
          <w:szCs w:val="52"/>
          <w:highlight w:val="none"/>
        </w:rPr>
        <w:t>资格证明文件（封面）</w:t>
      </w:r>
    </w:p>
    <w:p w14:paraId="2EF45A2C">
      <w:pPr>
        <w:pStyle w:val="2"/>
        <w:spacing w:line="247" w:lineRule="auto"/>
        <w:rPr>
          <w:color w:val="auto"/>
          <w:highlight w:val="none"/>
        </w:rPr>
      </w:pPr>
    </w:p>
    <w:p w14:paraId="775ED2AB">
      <w:pPr>
        <w:pStyle w:val="2"/>
        <w:spacing w:line="247" w:lineRule="auto"/>
        <w:rPr>
          <w:color w:val="auto"/>
          <w:highlight w:val="none"/>
        </w:rPr>
      </w:pPr>
    </w:p>
    <w:p w14:paraId="7FF7DCB6">
      <w:pPr>
        <w:pStyle w:val="2"/>
        <w:spacing w:line="247" w:lineRule="auto"/>
        <w:rPr>
          <w:color w:val="auto"/>
          <w:highlight w:val="none"/>
        </w:rPr>
      </w:pPr>
    </w:p>
    <w:p w14:paraId="697B8297">
      <w:pPr>
        <w:pStyle w:val="2"/>
        <w:spacing w:line="247" w:lineRule="auto"/>
        <w:rPr>
          <w:color w:val="auto"/>
          <w:highlight w:val="none"/>
        </w:rPr>
      </w:pPr>
    </w:p>
    <w:p w14:paraId="4215AD9A">
      <w:pPr>
        <w:pStyle w:val="2"/>
        <w:spacing w:line="247" w:lineRule="auto"/>
        <w:rPr>
          <w:color w:val="auto"/>
          <w:highlight w:val="none"/>
        </w:rPr>
      </w:pPr>
    </w:p>
    <w:p w14:paraId="06983235">
      <w:pPr>
        <w:pStyle w:val="2"/>
        <w:spacing w:line="247" w:lineRule="auto"/>
        <w:rPr>
          <w:color w:val="auto"/>
          <w:highlight w:val="none"/>
        </w:rPr>
      </w:pPr>
    </w:p>
    <w:p w14:paraId="49EDA1AD">
      <w:pPr>
        <w:pStyle w:val="2"/>
        <w:spacing w:line="247" w:lineRule="auto"/>
        <w:rPr>
          <w:color w:val="auto"/>
          <w:highlight w:val="none"/>
        </w:rPr>
      </w:pPr>
    </w:p>
    <w:p w14:paraId="17C09EFD">
      <w:pPr>
        <w:pStyle w:val="2"/>
        <w:spacing w:line="248" w:lineRule="auto"/>
        <w:rPr>
          <w:color w:val="auto"/>
          <w:highlight w:val="none"/>
        </w:rPr>
      </w:pPr>
    </w:p>
    <w:p w14:paraId="2A293B6A">
      <w:pPr>
        <w:pStyle w:val="2"/>
        <w:spacing w:line="248" w:lineRule="auto"/>
        <w:rPr>
          <w:color w:val="auto"/>
          <w:highlight w:val="none"/>
        </w:rPr>
      </w:pPr>
    </w:p>
    <w:p w14:paraId="4E09DA1E">
      <w:pPr>
        <w:pStyle w:val="2"/>
        <w:spacing w:line="248" w:lineRule="auto"/>
        <w:rPr>
          <w:color w:val="auto"/>
          <w:highlight w:val="none"/>
        </w:rPr>
      </w:pPr>
    </w:p>
    <w:p w14:paraId="62CB6631">
      <w:pPr>
        <w:pStyle w:val="2"/>
        <w:spacing w:line="248" w:lineRule="auto"/>
        <w:rPr>
          <w:color w:val="auto"/>
          <w:highlight w:val="none"/>
        </w:rPr>
      </w:pPr>
    </w:p>
    <w:p w14:paraId="365007E3">
      <w:pPr>
        <w:spacing w:before="100" w:line="226" w:lineRule="auto"/>
        <w:ind w:left="631"/>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项目名称：</w:t>
      </w:r>
    </w:p>
    <w:p w14:paraId="2CDDE9B8">
      <w:pPr>
        <w:pStyle w:val="2"/>
        <w:spacing w:line="293" w:lineRule="auto"/>
        <w:rPr>
          <w:color w:val="auto"/>
          <w:highlight w:val="none"/>
        </w:rPr>
      </w:pPr>
    </w:p>
    <w:p w14:paraId="4A156EC6">
      <w:pPr>
        <w:pStyle w:val="2"/>
        <w:spacing w:line="294" w:lineRule="auto"/>
        <w:rPr>
          <w:color w:val="auto"/>
          <w:highlight w:val="none"/>
        </w:rPr>
      </w:pPr>
    </w:p>
    <w:p w14:paraId="3BFD55CF">
      <w:pPr>
        <w:spacing w:before="100" w:line="225" w:lineRule="auto"/>
        <w:ind w:left="631"/>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项目编号：</w:t>
      </w:r>
    </w:p>
    <w:p w14:paraId="30693BE6">
      <w:pPr>
        <w:pStyle w:val="2"/>
        <w:spacing w:line="292" w:lineRule="auto"/>
        <w:rPr>
          <w:color w:val="auto"/>
          <w:highlight w:val="none"/>
        </w:rPr>
      </w:pPr>
    </w:p>
    <w:p w14:paraId="66A86963">
      <w:pPr>
        <w:pStyle w:val="2"/>
        <w:spacing w:line="293" w:lineRule="auto"/>
        <w:rPr>
          <w:color w:val="auto"/>
          <w:highlight w:val="none"/>
        </w:rPr>
      </w:pPr>
    </w:p>
    <w:p w14:paraId="4AB76F03">
      <w:pPr>
        <w:spacing w:before="101" w:line="226" w:lineRule="auto"/>
        <w:jc w:val="right"/>
        <w:rPr>
          <w:rFonts w:ascii="宋体" w:hAnsi="宋体" w:eastAsia="宋体" w:cs="宋体"/>
          <w:color w:val="auto"/>
          <w:sz w:val="31"/>
          <w:szCs w:val="31"/>
          <w:highlight w:val="none"/>
        </w:rPr>
      </w:pPr>
      <w:r>
        <w:rPr>
          <w:rFonts w:ascii="宋体" w:hAnsi="宋体" w:eastAsia="宋体" w:cs="宋体"/>
          <w:color w:val="auto"/>
          <w:spacing w:val="2"/>
          <w:sz w:val="31"/>
          <w:szCs w:val="31"/>
          <w:highlight w:val="none"/>
        </w:rPr>
        <w:t>所竞分标（如有则填写，无分标时填写“无</w:t>
      </w:r>
      <w:r>
        <w:rPr>
          <w:rFonts w:ascii="宋体" w:hAnsi="宋体" w:eastAsia="宋体" w:cs="宋体"/>
          <w:color w:val="auto"/>
          <w:spacing w:val="-109"/>
          <w:sz w:val="31"/>
          <w:szCs w:val="31"/>
          <w:highlight w:val="none"/>
        </w:rPr>
        <w:t xml:space="preserve"> </w:t>
      </w:r>
      <w:r>
        <w:rPr>
          <w:rFonts w:ascii="宋体" w:hAnsi="宋体" w:eastAsia="宋体" w:cs="宋体"/>
          <w:color w:val="auto"/>
          <w:spacing w:val="2"/>
          <w:sz w:val="31"/>
          <w:szCs w:val="31"/>
          <w:highlight w:val="none"/>
        </w:rPr>
        <w:t>”或者留空</w:t>
      </w:r>
      <w:r>
        <w:rPr>
          <w:rFonts w:ascii="宋体" w:hAnsi="宋体" w:eastAsia="宋体" w:cs="宋体"/>
          <w:color w:val="auto"/>
          <w:spacing w:val="-38"/>
          <w:sz w:val="31"/>
          <w:szCs w:val="31"/>
          <w:highlight w:val="none"/>
        </w:rPr>
        <w:t>）：</w:t>
      </w:r>
    </w:p>
    <w:p w14:paraId="5762F692">
      <w:pPr>
        <w:pStyle w:val="2"/>
        <w:spacing w:line="258" w:lineRule="auto"/>
        <w:rPr>
          <w:color w:val="auto"/>
          <w:highlight w:val="none"/>
        </w:rPr>
      </w:pPr>
    </w:p>
    <w:p w14:paraId="2670A285">
      <w:pPr>
        <w:pStyle w:val="2"/>
        <w:spacing w:line="258" w:lineRule="auto"/>
        <w:rPr>
          <w:color w:val="auto"/>
          <w:highlight w:val="none"/>
        </w:rPr>
      </w:pPr>
    </w:p>
    <w:p w14:paraId="7E1A2822">
      <w:pPr>
        <w:spacing w:before="102" w:line="225" w:lineRule="auto"/>
        <w:ind w:left="625"/>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供应商名称：</w:t>
      </w:r>
    </w:p>
    <w:p w14:paraId="2D7A771D">
      <w:pPr>
        <w:pStyle w:val="2"/>
        <w:spacing w:line="272" w:lineRule="auto"/>
        <w:rPr>
          <w:color w:val="auto"/>
          <w:highlight w:val="none"/>
        </w:rPr>
      </w:pPr>
    </w:p>
    <w:p w14:paraId="3CEED9B6">
      <w:pPr>
        <w:pStyle w:val="2"/>
        <w:spacing w:line="272" w:lineRule="auto"/>
        <w:rPr>
          <w:color w:val="auto"/>
          <w:highlight w:val="none"/>
        </w:rPr>
      </w:pPr>
    </w:p>
    <w:p w14:paraId="73BAC972">
      <w:pPr>
        <w:pStyle w:val="2"/>
        <w:spacing w:line="272" w:lineRule="auto"/>
        <w:rPr>
          <w:color w:val="auto"/>
          <w:highlight w:val="none"/>
        </w:rPr>
      </w:pPr>
    </w:p>
    <w:p w14:paraId="086822D7">
      <w:pPr>
        <w:pStyle w:val="2"/>
        <w:spacing w:line="272" w:lineRule="auto"/>
        <w:rPr>
          <w:color w:val="auto"/>
          <w:highlight w:val="none"/>
        </w:rPr>
      </w:pPr>
    </w:p>
    <w:p w14:paraId="17853117">
      <w:pPr>
        <w:pStyle w:val="2"/>
        <w:spacing w:line="272" w:lineRule="auto"/>
        <w:rPr>
          <w:color w:val="auto"/>
          <w:highlight w:val="none"/>
        </w:rPr>
      </w:pPr>
    </w:p>
    <w:p w14:paraId="2AC0B529">
      <w:pPr>
        <w:pStyle w:val="2"/>
        <w:spacing w:line="273" w:lineRule="auto"/>
        <w:rPr>
          <w:color w:val="auto"/>
          <w:highlight w:val="none"/>
        </w:rPr>
      </w:pPr>
    </w:p>
    <w:p w14:paraId="4B19DF74">
      <w:pPr>
        <w:pStyle w:val="2"/>
        <w:spacing w:line="273" w:lineRule="auto"/>
        <w:rPr>
          <w:color w:val="auto"/>
          <w:highlight w:val="none"/>
        </w:rPr>
      </w:pPr>
    </w:p>
    <w:p w14:paraId="49497AA2">
      <w:pPr>
        <w:spacing w:before="101" w:line="225" w:lineRule="auto"/>
        <w:ind w:left="3152"/>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年</w:t>
      </w:r>
      <w:r>
        <w:rPr>
          <w:rFonts w:ascii="宋体" w:hAnsi="宋体" w:eastAsia="宋体" w:cs="宋体"/>
          <w:color w:val="auto"/>
          <w:spacing w:val="10"/>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22"/>
          <w:sz w:val="31"/>
          <w:szCs w:val="31"/>
          <w:highlight w:val="none"/>
        </w:rPr>
        <w:t xml:space="preserve">    </w:t>
      </w:r>
      <w:r>
        <w:rPr>
          <w:rFonts w:ascii="宋体" w:hAnsi="宋体" w:eastAsia="宋体" w:cs="宋体"/>
          <w:color w:val="auto"/>
          <w:spacing w:val="-6"/>
          <w:sz w:val="31"/>
          <w:szCs w:val="31"/>
          <w:highlight w:val="none"/>
        </w:rPr>
        <w:t>日</w:t>
      </w:r>
    </w:p>
    <w:p w14:paraId="6159920F">
      <w:pPr>
        <w:spacing w:line="225" w:lineRule="auto"/>
        <w:rPr>
          <w:rFonts w:ascii="宋体" w:hAnsi="宋体" w:eastAsia="宋体" w:cs="宋体"/>
          <w:color w:val="auto"/>
          <w:sz w:val="31"/>
          <w:szCs w:val="31"/>
          <w:highlight w:val="none"/>
        </w:rPr>
        <w:sectPr>
          <w:footerReference r:id="rId46" w:type="default"/>
          <w:pgSz w:w="11910" w:h="16840"/>
          <w:pgMar w:top="400" w:right="1418" w:bottom="1079" w:left="1786" w:header="0" w:footer="843" w:gutter="0"/>
          <w:cols w:space="720" w:num="1"/>
        </w:sectPr>
      </w:pPr>
    </w:p>
    <w:p w14:paraId="06D8C471">
      <w:pPr>
        <w:pStyle w:val="2"/>
        <w:spacing w:line="314" w:lineRule="auto"/>
        <w:rPr>
          <w:color w:val="auto"/>
          <w:highlight w:val="none"/>
        </w:rPr>
      </w:pPr>
    </w:p>
    <w:p w14:paraId="5D36DA4A">
      <w:pPr>
        <w:pStyle w:val="2"/>
        <w:spacing w:line="315" w:lineRule="auto"/>
        <w:rPr>
          <w:color w:val="auto"/>
          <w:highlight w:val="none"/>
        </w:rPr>
      </w:pPr>
    </w:p>
    <w:p w14:paraId="1401E921">
      <w:pPr>
        <w:pStyle w:val="2"/>
        <w:spacing w:line="315" w:lineRule="auto"/>
        <w:rPr>
          <w:color w:val="auto"/>
          <w:highlight w:val="none"/>
        </w:rPr>
      </w:pPr>
    </w:p>
    <w:p w14:paraId="31408CB4">
      <w:pPr>
        <w:spacing w:before="113" w:line="225" w:lineRule="auto"/>
        <w:ind w:left="2939"/>
        <w:rPr>
          <w:rFonts w:ascii="宋体" w:hAnsi="宋体" w:eastAsia="宋体" w:cs="宋体"/>
          <w:color w:val="auto"/>
          <w:sz w:val="35"/>
          <w:szCs w:val="35"/>
          <w:highlight w:val="none"/>
        </w:rPr>
      </w:pPr>
      <w:r>
        <w:rPr>
          <w:rFonts w:ascii="宋体" w:hAnsi="宋体" w:eastAsia="宋体" w:cs="宋体"/>
          <w:b/>
          <w:bCs/>
          <w:color w:val="auto"/>
          <w:spacing w:val="3"/>
          <w:sz w:val="35"/>
          <w:szCs w:val="35"/>
          <w:highlight w:val="none"/>
        </w:rPr>
        <w:t>资格证明文件目录</w:t>
      </w:r>
    </w:p>
    <w:p w14:paraId="3C22F263">
      <w:pPr>
        <w:spacing w:before="303" w:line="290" w:lineRule="auto"/>
        <w:ind w:left="1" w:firstLine="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一、营业执照(或事业法人登记证或其他工商等登记证明材料)复印件（供应商为自</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然人的，须提供自然人的身份证明）……………………………………………（页码）</w:t>
      </w:r>
    </w:p>
    <w:p w14:paraId="3BA0A5D6">
      <w:pPr>
        <w:spacing w:before="184" w:line="289" w:lineRule="auto"/>
        <w:ind w:right="99" w:firstLine="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二、符合参与政府采购活动的资格条件依法缴纳税收、社会保障资金等方面的材</w:t>
      </w:r>
      <w:r>
        <w:rPr>
          <w:rFonts w:ascii="宋体" w:hAnsi="宋体" w:eastAsia="宋体" w:cs="宋体"/>
          <w:color w:val="auto"/>
          <w:sz w:val="20"/>
          <w:szCs w:val="20"/>
          <w:highlight w:val="none"/>
        </w:rPr>
        <w:t>料………………………………………………………………</w:t>
      </w:r>
      <w:r>
        <w:rPr>
          <w:rFonts w:ascii="宋体" w:hAnsi="宋体" w:eastAsia="宋体" w:cs="宋体"/>
          <w:color w:val="auto"/>
          <w:spacing w:val="-1"/>
          <w:sz w:val="20"/>
          <w:szCs w:val="20"/>
          <w:highlight w:val="none"/>
        </w:rPr>
        <w:t>…………………（页码）</w:t>
      </w:r>
    </w:p>
    <w:p w14:paraId="0E7284C6">
      <w:pPr>
        <w:spacing w:before="178" w:line="219" w:lineRule="auto"/>
        <w:rPr>
          <w:rFonts w:ascii="宋体" w:hAnsi="宋体" w:eastAsia="宋体" w:cs="宋体"/>
          <w:color w:val="auto"/>
          <w:sz w:val="20"/>
          <w:szCs w:val="20"/>
          <w:highlight w:val="none"/>
        </w:rPr>
      </w:pPr>
      <w:r>
        <w:rPr>
          <w:rFonts w:ascii="宋体" w:hAnsi="宋体" w:eastAsia="宋体" w:cs="宋体"/>
          <w:color w:val="auto"/>
          <w:sz w:val="20"/>
          <w:szCs w:val="20"/>
          <w:highlight w:val="none"/>
        </w:rPr>
        <w:t>三、财务状况报告方面的材料………………………………</w:t>
      </w:r>
      <w:r>
        <w:rPr>
          <w:rFonts w:ascii="宋体" w:hAnsi="宋体" w:eastAsia="宋体" w:cs="宋体"/>
          <w:color w:val="auto"/>
          <w:spacing w:val="-1"/>
          <w:sz w:val="20"/>
          <w:szCs w:val="20"/>
          <w:highlight w:val="none"/>
        </w:rPr>
        <w:t>…………………（页码）</w:t>
      </w:r>
    </w:p>
    <w:p w14:paraId="43A2D606">
      <w:pPr>
        <w:spacing w:before="184" w:line="219" w:lineRule="auto"/>
        <w:ind w:left="2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四、供应商直接控股股东信息表………………………………………………（页码）</w:t>
      </w:r>
    </w:p>
    <w:p w14:paraId="16B099A0">
      <w:pPr>
        <w:spacing w:before="180" w:line="219" w:lineRule="auto"/>
        <w:ind w:left="4"/>
        <w:rPr>
          <w:rFonts w:ascii="宋体" w:hAnsi="宋体" w:eastAsia="宋体" w:cs="宋体"/>
          <w:color w:val="auto"/>
          <w:sz w:val="20"/>
          <w:szCs w:val="20"/>
          <w:highlight w:val="none"/>
        </w:rPr>
      </w:pPr>
      <w:r>
        <w:rPr>
          <w:rFonts w:ascii="宋体" w:hAnsi="宋体" w:eastAsia="宋体" w:cs="宋体"/>
          <w:color w:val="auto"/>
          <w:sz w:val="20"/>
          <w:szCs w:val="20"/>
          <w:highlight w:val="none"/>
        </w:rPr>
        <w:t>五、供应商直接关联关系信息表…………………</w:t>
      </w:r>
      <w:r>
        <w:rPr>
          <w:rFonts w:ascii="宋体" w:hAnsi="宋体" w:eastAsia="宋体" w:cs="宋体"/>
          <w:color w:val="auto"/>
          <w:spacing w:val="-1"/>
          <w:sz w:val="20"/>
          <w:szCs w:val="20"/>
          <w:highlight w:val="none"/>
        </w:rPr>
        <w:t>……………………………（页码）</w:t>
      </w:r>
    </w:p>
    <w:p w14:paraId="5EF9D643">
      <w:pPr>
        <w:spacing w:before="183" w:line="220" w:lineRule="auto"/>
        <w:ind w:left="2"/>
        <w:rPr>
          <w:rFonts w:ascii="宋体" w:hAnsi="宋体" w:eastAsia="宋体" w:cs="宋体"/>
          <w:color w:val="auto"/>
          <w:sz w:val="20"/>
          <w:szCs w:val="20"/>
          <w:highlight w:val="none"/>
        </w:rPr>
      </w:pPr>
      <w:r>
        <w:rPr>
          <w:rFonts w:ascii="宋体" w:hAnsi="宋体" w:eastAsia="宋体" w:cs="宋体"/>
          <w:color w:val="auto"/>
          <w:sz w:val="20"/>
          <w:szCs w:val="20"/>
          <w:highlight w:val="none"/>
        </w:rPr>
        <w:t>六、资格声明函…………………………………………</w:t>
      </w:r>
      <w:r>
        <w:rPr>
          <w:rFonts w:ascii="宋体" w:hAnsi="宋体" w:eastAsia="宋体" w:cs="宋体"/>
          <w:color w:val="auto"/>
          <w:spacing w:val="-1"/>
          <w:sz w:val="20"/>
          <w:szCs w:val="20"/>
          <w:highlight w:val="none"/>
        </w:rPr>
        <w:t>………………………（页码）</w:t>
      </w:r>
    </w:p>
    <w:p w14:paraId="33EE299D">
      <w:pPr>
        <w:spacing w:before="181" w:line="313" w:lineRule="auto"/>
        <w:ind w:right="9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七、供应商提供有效的具有建筑工程施工总承包三级（含三级）以上资质证书复印件；有效的安全生产许可证复印</w:t>
      </w:r>
      <w:r>
        <w:rPr>
          <w:rFonts w:ascii="宋体" w:hAnsi="宋体" w:eastAsia="宋体" w:cs="宋体"/>
          <w:color w:val="auto"/>
          <w:sz w:val="20"/>
          <w:szCs w:val="20"/>
          <w:highlight w:val="none"/>
        </w:rPr>
        <w:t>件…………………………………………………………………</w:t>
      </w:r>
      <w:r>
        <w:rPr>
          <w:rFonts w:ascii="宋体" w:hAnsi="宋体" w:eastAsia="宋体" w:cs="宋体"/>
          <w:color w:val="auto"/>
          <w:spacing w:val="-1"/>
          <w:sz w:val="20"/>
          <w:szCs w:val="20"/>
          <w:highlight w:val="none"/>
        </w:rPr>
        <w:t>………………（页码）</w:t>
      </w:r>
    </w:p>
    <w:p w14:paraId="4D55E76B">
      <w:pPr>
        <w:spacing w:before="179" w:line="290" w:lineRule="auto"/>
        <w:ind w:left="19" w:hanging="15"/>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 xml:space="preserve">八、供应商提供拟派项目经理具有建筑工程专业二级及以上注册建造师证书及有效 </w:t>
      </w:r>
      <w:r>
        <w:rPr>
          <w:rFonts w:ascii="宋体" w:hAnsi="宋体" w:eastAsia="宋体" w:cs="宋体"/>
          <w:color w:val="auto"/>
          <w:spacing w:val="-5"/>
          <w:sz w:val="20"/>
          <w:szCs w:val="20"/>
          <w:highlight w:val="none"/>
        </w:rPr>
        <w:t>的安全生产考核合格证书（B类）复印件…………………</w:t>
      </w:r>
      <w:r>
        <w:rPr>
          <w:rFonts w:ascii="宋体" w:hAnsi="宋体" w:eastAsia="宋体" w:cs="宋体"/>
          <w:color w:val="auto"/>
          <w:spacing w:val="-6"/>
          <w:sz w:val="20"/>
          <w:szCs w:val="20"/>
          <w:highlight w:val="none"/>
        </w:rPr>
        <w:t>………………………（页码）</w:t>
      </w:r>
    </w:p>
    <w:p w14:paraId="1A135083">
      <w:pPr>
        <w:spacing w:before="181" w:line="290" w:lineRule="auto"/>
        <w:ind w:right="99" w:firstLine="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九、中小企业声明函或残疾人福利性单位声明函或投标人属于监狱企业的</w:t>
      </w:r>
      <w:r>
        <w:rPr>
          <w:rFonts w:ascii="宋体" w:hAnsi="宋体" w:eastAsia="宋体" w:cs="宋体"/>
          <w:color w:val="auto"/>
          <w:spacing w:val="8"/>
          <w:sz w:val="20"/>
          <w:szCs w:val="20"/>
          <w:highlight w:val="none"/>
        </w:rPr>
        <w:t>证明材</w:t>
      </w:r>
      <w:r>
        <w:rPr>
          <w:rFonts w:ascii="宋体" w:hAnsi="宋体" w:eastAsia="宋体" w:cs="宋体"/>
          <w:color w:val="auto"/>
          <w:sz w:val="20"/>
          <w:szCs w:val="20"/>
          <w:highlight w:val="none"/>
        </w:rPr>
        <w:t xml:space="preserve"> 料………………………………………………………………</w:t>
      </w:r>
      <w:r>
        <w:rPr>
          <w:rFonts w:ascii="宋体" w:hAnsi="宋体" w:eastAsia="宋体" w:cs="宋体"/>
          <w:color w:val="auto"/>
          <w:spacing w:val="-1"/>
          <w:sz w:val="20"/>
          <w:szCs w:val="20"/>
          <w:highlight w:val="none"/>
        </w:rPr>
        <w:t>…………………（页码）</w:t>
      </w:r>
    </w:p>
    <w:p w14:paraId="141CDE36">
      <w:pPr>
        <w:spacing w:before="179" w:line="219" w:lineRule="auto"/>
        <w:jc w:val="both"/>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十、除磋商文件规定必须提供以外，供应商认为需要提供的其他证明材料…（页码）</w:t>
      </w:r>
    </w:p>
    <w:p w14:paraId="744D15FB">
      <w:pPr>
        <w:pStyle w:val="2"/>
        <w:spacing w:line="258" w:lineRule="auto"/>
        <w:rPr>
          <w:color w:val="auto"/>
          <w:sz w:val="20"/>
          <w:szCs w:val="20"/>
          <w:highlight w:val="none"/>
        </w:rPr>
      </w:pPr>
    </w:p>
    <w:p w14:paraId="4C91FBD9">
      <w:pPr>
        <w:pStyle w:val="2"/>
        <w:spacing w:line="258" w:lineRule="auto"/>
        <w:rPr>
          <w:color w:val="auto"/>
          <w:sz w:val="20"/>
          <w:szCs w:val="20"/>
          <w:highlight w:val="none"/>
        </w:rPr>
      </w:pPr>
    </w:p>
    <w:p w14:paraId="5D14CE69">
      <w:pPr>
        <w:pStyle w:val="2"/>
        <w:spacing w:line="258" w:lineRule="auto"/>
        <w:rPr>
          <w:color w:val="auto"/>
          <w:sz w:val="20"/>
          <w:szCs w:val="20"/>
          <w:highlight w:val="none"/>
        </w:rPr>
      </w:pPr>
    </w:p>
    <w:p w14:paraId="7FB94E08">
      <w:pPr>
        <w:pStyle w:val="2"/>
        <w:spacing w:line="258" w:lineRule="auto"/>
        <w:rPr>
          <w:color w:val="auto"/>
          <w:sz w:val="20"/>
          <w:szCs w:val="20"/>
          <w:highlight w:val="none"/>
        </w:rPr>
      </w:pPr>
    </w:p>
    <w:p w14:paraId="349F7D45">
      <w:pPr>
        <w:spacing w:before="79" w:line="360" w:lineRule="auto"/>
        <w:ind w:left="3" w:right="99" w:hanging="3"/>
        <w:rPr>
          <w:rFonts w:ascii="宋体" w:hAnsi="宋体" w:eastAsia="宋体" w:cs="宋体"/>
          <w:color w:val="auto"/>
          <w:sz w:val="20"/>
          <w:szCs w:val="20"/>
          <w:highlight w:val="none"/>
        </w:rPr>
      </w:pPr>
      <w:r>
        <w:rPr>
          <w:rFonts w:ascii="宋体" w:hAnsi="宋体" w:eastAsia="宋体" w:cs="宋体"/>
          <w:b/>
          <w:bCs/>
          <w:color w:val="auto"/>
          <w:sz w:val="20"/>
          <w:szCs w:val="20"/>
          <w:highlight w:val="none"/>
        </w:rPr>
        <w:t>注：以上目录是编制供应商响应文件的基本格式要求</w:t>
      </w:r>
      <w:r>
        <w:rPr>
          <w:rFonts w:ascii="宋体" w:hAnsi="宋体" w:eastAsia="宋体" w:cs="宋体"/>
          <w:b/>
          <w:bCs/>
          <w:color w:val="auto"/>
          <w:spacing w:val="-1"/>
          <w:sz w:val="20"/>
          <w:szCs w:val="20"/>
          <w:highlight w:val="none"/>
        </w:rPr>
        <w:t>，各供应商可根据自身情况进</w:t>
      </w:r>
      <w:r>
        <w:rPr>
          <w:rFonts w:ascii="宋体" w:hAnsi="宋体" w:eastAsia="宋体" w:cs="宋体"/>
          <w:color w:val="auto"/>
          <w:sz w:val="20"/>
          <w:szCs w:val="20"/>
          <w:highlight w:val="none"/>
        </w:rPr>
        <w:t xml:space="preserve"> </w:t>
      </w:r>
      <w:r>
        <w:rPr>
          <w:rFonts w:ascii="宋体" w:hAnsi="宋体" w:eastAsia="宋体" w:cs="宋体"/>
          <w:b/>
          <w:bCs/>
          <w:color w:val="auto"/>
          <w:spacing w:val="-5"/>
          <w:sz w:val="20"/>
          <w:szCs w:val="20"/>
          <w:highlight w:val="none"/>
        </w:rPr>
        <w:t>一步细化。</w:t>
      </w:r>
    </w:p>
    <w:p w14:paraId="795A2F87">
      <w:pPr>
        <w:spacing w:line="360" w:lineRule="auto"/>
        <w:rPr>
          <w:rFonts w:ascii="宋体" w:hAnsi="宋体" w:eastAsia="宋体" w:cs="宋体"/>
          <w:color w:val="auto"/>
          <w:sz w:val="20"/>
          <w:szCs w:val="20"/>
          <w:highlight w:val="none"/>
        </w:rPr>
        <w:sectPr>
          <w:footerReference r:id="rId47" w:type="default"/>
          <w:pgSz w:w="11910" w:h="16840"/>
          <w:pgMar w:top="400" w:right="1402" w:bottom="1079" w:left="1688" w:header="0" w:footer="843" w:gutter="0"/>
          <w:cols w:space="720" w:num="1"/>
        </w:sectPr>
      </w:pPr>
    </w:p>
    <w:p w14:paraId="2B9172C4">
      <w:pPr>
        <w:pStyle w:val="2"/>
        <w:spacing w:line="293" w:lineRule="auto"/>
        <w:rPr>
          <w:color w:val="auto"/>
          <w:highlight w:val="none"/>
        </w:rPr>
      </w:pPr>
    </w:p>
    <w:p w14:paraId="7211E048">
      <w:pPr>
        <w:pStyle w:val="2"/>
        <w:spacing w:line="293" w:lineRule="auto"/>
        <w:rPr>
          <w:color w:val="auto"/>
          <w:highlight w:val="none"/>
        </w:rPr>
      </w:pPr>
    </w:p>
    <w:p w14:paraId="5AB8FCE7">
      <w:pPr>
        <w:pStyle w:val="2"/>
        <w:spacing w:line="294" w:lineRule="auto"/>
        <w:rPr>
          <w:color w:val="auto"/>
          <w:highlight w:val="none"/>
        </w:rPr>
      </w:pPr>
    </w:p>
    <w:p w14:paraId="32C0AA78">
      <w:pPr>
        <w:spacing w:before="98" w:line="361" w:lineRule="auto"/>
        <w:ind w:right="1" w:firstLine="397"/>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一、营业执照(或事业法人登记证或其他工商等登记证明材料)</w:t>
      </w:r>
      <w:r>
        <w:rPr>
          <w:rFonts w:ascii="宋体" w:hAnsi="宋体" w:eastAsia="宋体" w:cs="宋体"/>
          <w:color w:val="auto"/>
          <w:spacing w:val="9"/>
          <w:sz w:val="30"/>
          <w:szCs w:val="30"/>
          <w:highlight w:val="none"/>
        </w:rPr>
        <w:t xml:space="preserve"> </w:t>
      </w:r>
      <w:r>
        <w:rPr>
          <w:rFonts w:ascii="宋体" w:hAnsi="宋体" w:eastAsia="宋体" w:cs="宋体"/>
          <w:b/>
          <w:bCs/>
          <w:color w:val="auto"/>
          <w:spacing w:val="-3"/>
          <w:sz w:val="30"/>
          <w:szCs w:val="30"/>
          <w:highlight w:val="none"/>
        </w:rPr>
        <w:t>复印件（供应商为自然人的，提供自然人的身份证明）</w:t>
      </w:r>
    </w:p>
    <w:p w14:paraId="6EC11E33">
      <w:pPr>
        <w:pStyle w:val="2"/>
        <w:spacing w:line="244" w:lineRule="auto"/>
        <w:rPr>
          <w:color w:val="auto"/>
          <w:highlight w:val="none"/>
        </w:rPr>
      </w:pPr>
    </w:p>
    <w:p w14:paraId="51202E93">
      <w:pPr>
        <w:pStyle w:val="2"/>
        <w:spacing w:line="244" w:lineRule="auto"/>
        <w:rPr>
          <w:color w:val="auto"/>
          <w:highlight w:val="none"/>
        </w:rPr>
      </w:pPr>
    </w:p>
    <w:p w14:paraId="7B3549EC">
      <w:pPr>
        <w:spacing w:before="78" w:line="219" w:lineRule="auto"/>
        <w:ind w:left="387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4FC77ED0">
      <w:pPr>
        <w:spacing w:before="180" w:line="220" w:lineRule="auto"/>
        <w:ind w:left="615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72827DE1">
      <w:pPr>
        <w:pStyle w:val="2"/>
        <w:spacing w:line="247" w:lineRule="auto"/>
        <w:rPr>
          <w:color w:val="auto"/>
          <w:highlight w:val="none"/>
        </w:rPr>
      </w:pPr>
    </w:p>
    <w:p w14:paraId="010C2D98">
      <w:pPr>
        <w:pStyle w:val="2"/>
        <w:spacing w:line="247" w:lineRule="auto"/>
        <w:rPr>
          <w:color w:val="auto"/>
          <w:highlight w:val="none"/>
        </w:rPr>
      </w:pPr>
    </w:p>
    <w:p w14:paraId="3864B2AB">
      <w:pPr>
        <w:pStyle w:val="2"/>
        <w:spacing w:line="247" w:lineRule="auto"/>
        <w:rPr>
          <w:color w:val="auto"/>
          <w:highlight w:val="none"/>
        </w:rPr>
      </w:pPr>
    </w:p>
    <w:p w14:paraId="09ADA6B2">
      <w:pPr>
        <w:pStyle w:val="2"/>
        <w:spacing w:line="247" w:lineRule="auto"/>
        <w:rPr>
          <w:color w:val="auto"/>
          <w:highlight w:val="none"/>
        </w:rPr>
      </w:pPr>
    </w:p>
    <w:p w14:paraId="6A9DF885">
      <w:pPr>
        <w:pStyle w:val="2"/>
        <w:spacing w:line="247" w:lineRule="auto"/>
        <w:rPr>
          <w:color w:val="auto"/>
          <w:highlight w:val="none"/>
        </w:rPr>
      </w:pPr>
    </w:p>
    <w:p w14:paraId="1401A4B8">
      <w:pPr>
        <w:pStyle w:val="2"/>
        <w:spacing w:line="247" w:lineRule="auto"/>
        <w:rPr>
          <w:color w:val="auto"/>
          <w:highlight w:val="none"/>
        </w:rPr>
      </w:pPr>
    </w:p>
    <w:p w14:paraId="05E931C0">
      <w:pPr>
        <w:pStyle w:val="2"/>
        <w:spacing w:line="247" w:lineRule="auto"/>
        <w:rPr>
          <w:color w:val="auto"/>
          <w:highlight w:val="none"/>
        </w:rPr>
      </w:pPr>
    </w:p>
    <w:p w14:paraId="5669C0ED">
      <w:pPr>
        <w:spacing w:before="98" w:line="361" w:lineRule="auto"/>
        <w:ind w:left="7" w:firstLine="589"/>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二、符合参与政府采购活动的资格条件依法缴纳税收、社会保</w:t>
      </w:r>
      <w:r>
        <w:rPr>
          <w:rFonts w:ascii="宋体" w:hAnsi="宋体" w:eastAsia="宋体" w:cs="宋体"/>
          <w:color w:val="auto"/>
          <w:spacing w:val="7"/>
          <w:sz w:val="30"/>
          <w:szCs w:val="30"/>
          <w:highlight w:val="none"/>
        </w:rPr>
        <w:t xml:space="preserve"> </w:t>
      </w:r>
      <w:r>
        <w:rPr>
          <w:rFonts w:ascii="宋体" w:hAnsi="宋体" w:eastAsia="宋体" w:cs="宋体"/>
          <w:b/>
          <w:bCs/>
          <w:color w:val="auto"/>
          <w:spacing w:val="-6"/>
          <w:sz w:val="30"/>
          <w:szCs w:val="30"/>
          <w:highlight w:val="none"/>
        </w:rPr>
        <w:t>障资金等方面的材料</w:t>
      </w:r>
    </w:p>
    <w:p w14:paraId="08E3720F">
      <w:pPr>
        <w:pStyle w:val="2"/>
        <w:spacing w:line="247" w:lineRule="auto"/>
        <w:rPr>
          <w:color w:val="auto"/>
          <w:highlight w:val="none"/>
        </w:rPr>
      </w:pPr>
    </w:p>
    <w:p w14:paraId="32579115">
      <w:pPr>
        <w:spacing w:before="78" w:line="219" w:lineRule="auto"/>
        <w:ind w:left="387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0C718D79">
      <w:pPr>
        <w:spacing w:before="183" w:line="220" w:lineRule="auto"/>
        <w:ind w:left="615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59C902C5">
      <w:pPr>
        <w:pStyle w:val="2"/>
        <w:spacing w:line="268" w:lineRule="auto"/>
        <w:rPr>
          <w:color w:val="auto"/>
          <w:highlight w:val="none"/>
        </w:rPr>
      </w:pPr>
    </w:p>
    <w:p w14:paraId="3B18EFE4">
      <w:pPr>
        <w:pStyle w:val="2"/>
        <w:spacing w:line="268" w:lineRule="auto"/>
        <w:rPr>
          <w:color w:val="auto"/>
          <w:highlight w:val="none"/>
        </w:rPr>
      </w:pPr>
    </w:p>
    <w:p w14:paraId="7C6DBD05">
      <w:pPr>
        <w:pStyle w:val="2"/>
        <w:spacing w:line="268" w:lineRule="auto"/>
        <w:rPr>
          <w:color w:val="auto"/>
          <w:highlight w:val="none"/>
        </w:rPr>
      </w:pPr>
    </w:p>
    <w:p w14:paraId="161C5360">
      <w:pPr>
        <w:pStyle w:val="2"/>
        <w:spacing w:line="268" w:lineRule="auto"/>
        <w:rPr>
          <w:color w:val="auto"/>
          <w:highlight w:val="none"/>
        </w:rPr>
      </w:pPr>
    </w:p>
    <w:p w14:paraId="44F837EB">
      <w:pPr>
        <w:pStyle w:val="2"/>
        <w:spacing w:line="268" w:lineRule="auto"/>
        <w:rPr>
          <w:color w:val="auto"/>
          <w:highlight w:val="none"/>
        </w:rPr>
      </w:pPr>
    </w:p>
    <w:p w14:paraId="56DEBFB6">
      <w:pPr>
        <w:pStyle w:val="2"/>
        <w:spacing w:line="269" w:lineRule="auto"/>
        <w:rPr>
          <w:color w:val="auto"/>
          <w:highlight w:val="none"/>
        </w:rPr>
      </w:pPr>
    </w:p>
    <w:p w14:paraId="434A20EF">
      <w:pPr>
        <w:pStyle w:val="2"/>
        <w:spacing w:line="269" w:lineRule="auto"/>
        <w:rPr>
          <w:color w:val="auto"/>
          <w:highlight w:val="none"/>
        </w:rPr>
      </w:pPr>
    </w:p>
    <w:p w14:paraId="3189BEA6">
      <w:pPr>
        <w:spacing w:before="98" w:line="219" w:lineRule="auto"/>
        <w:ind w:left="584"/>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三、财务状况报告方面的材料</w:t>
      </w:r>
    </w:p>
    <w:p w14:paraId="17FFCF98">
      <w:pPr>
        <w:pStyle w:val="2"/>
        <w:spacing w:line="381" w:lineRule="auto"/>
        <w:rPr>
          <w:color w:val="auto"/>
          <w:highlight w:val="none"/>
        </w:rPr>
      </w:pPr>
    </w:p>
    <w:p w14:paraId="5734C679">
      <w:pPr>
        <w:spacing w:before="78" w:line="219" w:lineRule="auto"/>
        <w:ind w:left="387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2BF09A5E">
      <w:pPr>
        <w:spacing w:before="183" w:line="220" w:lineRule="auto"/>
        <w:ind w:left="6150"/>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04FF8AB5">
      <w:pPr>
        <w:spacing w:line="220" w:lineRule="auto"/>
        <w:rPr>
          <w:rFonts w:ascii="宋体" w:hAnsi="宋体" w:eastAsia="宋体" w:cs="宋体"/>
          <w:color w:val="auto"/>
          <w:sz w:val="24"/>
          <w:szCs w:val="24"/>
          <w:highlight w:val="none"/>
        </w:rPr>
        <w:sectPr>
          <w:footerReference r:id="rId48" w:type="default"/>
          <w:pgSz w:w="11910" w:h="16840"/>
          <w:pgMar w:top="400" w:right="1501" w:bottom="1079" w:left="1699" w:header="0" w:footer="843" w:gutter="0"/>
          <w:cols w:space="720" w:num="1"/>
        </w:sectPr>
      </w:pPr>
    </w:p>
    <w:p w14:paraId="4BB323A4">
      <w:pPr>
        <w:pStyle w:val="2"/>
        <w:spacing w:line="294" w:lineRule="auto"/>
        <w:rPr>
          <w:color w:val="auto"/>
          <w:highlight w:val="none"/>
        </w:rPr>
      </w:pPr>
    </w:p>
    <w:p w14:paraId="37E9BED3">
      <w:pPr>
        <w:pStyle w:val="2"/>
        <w:spacing w:line="294" w:lineRule="auto"/>
        <w:rPr>
          <w:color w:val="auto"/>
          <w:highlight w:val="none"/>
        </w:rPr>
      </w:pPr>
    </w:p>
    <w:p w14:paraId="3680AA6A">
      <w:pPr>
        <w:pStyle w:val="2"/>
        <w:spacing w:line="294" w:lineRule="auto"/>
        <w:rPr>
          <w:color w:val="auto"/>
          <w:highlight w:val="none"/>
        </w:rPr>
      </w:pPr>
    </w:p>
    <w:p w14:paraId="057C38A1">
      <w:pPr>
        <w:spacing w:before="98" w:line="219" w:lineRule="auto"/>
        <w:ind w:left="1346"/>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四、供应商直接控股股东信息表</w:t>
      </w:r>
    </w:p>
    <w:p w14:paraId="61068447">
      <w:pPr>
        <w:pStyle w:val="2"/>
        <w:spacing w:line="354" w:lineRule="auto"/>
        <w:rPr>
          <w:color w:val="auto"/>
          <w:highlight w:val="none"/>
        </w:rPr>
      </w:pPr>
    </w:p>
    <w:p w14:paraId="094284A4">
      <w:pPr>
        <w:pStyle w:val="2"/>
        <w:spacing w:line="354" w:lineRule="auto"/>
        <w:rPr>
          <w:color w:val="auto"/>
          <w:highlight w:val="none"/>
        </w:rPr>
      </w:pPr>
    </w:p>
    <w:p w14:paraId="67E253EC">
      <w:pPr>
        <w:spacing w:before="98" w:line="219" w:lineRule="auto"/>
        <w:ind w:left="3283"/>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供应商直接控股股东信息表</w:t>
      </w:r>
    </w:p>
    <w:p w14:paraId="25042FB4">
      <w:pPr>
        <w:spacing w:line="183" w:lineRule="exact"/>
        <w:rPr>
          <w:color w:val="auto"/>
          <w:sz w:val="20"/>
          <w:szCs w:val="20"/>
          <w:highlight w:val="none"/>
        </w:rPr>
      </w:pPr>
    </w:p>
    <w:tbl>
      <w:tblPr>
        <w:tblStyle w:val="8"/>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25F0B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84" w:type="dxa"/>
            <w:vAlign w:val="top"/>
          </w:tcPr>
          <w:p w14:paraId="776AFF41">
            <w:pPr>
              <w:pStyle w:val="9"/>
              <w:spacing w:before="159" w:line="222" w:lineRule="auto"/>
              <w:ind w:left="206"/>
              <w:rPr>
                <w:color w:val="auto"/>
                <w:sz w:val="20"/>
                <w:szCs w:val="20"/>
                <w:highlight w:val="none"/>
              </w:rPr>
            </w:pPr>
            <w:r>
              <w:rPr>
                <w:b/>
                <w:bCs/>
                <w:color w:val="auto"/>
                <w:spacing w:val="-7"/>
                <w:sz w:val="20"/>
                <w:szCs w:val="20"/>
                <w:highlight w:val="none"/>
              </w:rPr>
              <w:t>序号</w:t>
            </w:r>
          </w:p>
        </w:tc>
        <w:tc>
          <w:tcPr>
            <w:tcW w:w="2654" w:type="dxa"/>
            <w:vAlign w:val="top"/>
          </w:tcPr>
          <w:p w14:paraId="036B2B9D">
            <w:pPr>
              <w:pStyle w:val="9"/>
              <w:spacing w:before="159" w:line="220" w:lineRule="auto"/>
              <w:ind w:left="368"/>
              <w:rPr>
                <w:color w:val="auto"/>
                <w:sz w:val="20"/>
                <w:szCs w:val="20"/>
                <w:highlight w:val="none"/>
              </w:rPr>
            </w:pPr>
            <w:r>
              <w:rPr>
                <w:b/>
                <w:bCs/>
                <w:color w:val="auto"/>
                <w:spacing w:val="-4"/>
                <w:sz w:val="20"/>
                <w:szCs w:val="20"/>
                <w:highlight w:val="none"/>
              </w:rPr>
              <w:t>直接控股股东名称</w:t>
            </w:r>
          </w:p>
        </w:tc>
        <w:tc>
          <w:tcPr>
            <w:tcW w:w="1454" w:type="dxa"/>
            <w:vAlign w:val="top"/>
          </w:tcPr>
          <w:p w14:paraId="2EDD8FB9">
            <w:pPr>
              <w:pStyle w:val="9"/>
              <w:spacing w:before="159" w:line="222" w:lineRule="auto"/>
              <w:ind w:left="272"/>
              <w:rPr>
                <w:color w:val="auto"/>
                <w:sz w:val="20"/>
                <w:szCs w:val="20"/>
                <w:highlight w:val="none"/>
              </w:rPr>
            </w:pPr>
            <w:r>
              <w:rPr>
                <w:b/>
                <w:bCs/>
                <w:color w:val="auto"/>
                <w:spacing w:val="-10"/>
                <w:sz w:val="20"/>
                <w:szCs w:val="20"/>
                <w:highlight w:val="none"/>
              </w:rPr>
              <w:t>出资比例</w:t>
            </w:r>
          </w:p>
        </w:tc>
        <w:tc>
          <w:tcPr>
            <w:tcW w:w="4285" w:type="dxa"/>
            <w:vAlign w:val="top"/>
          </w:tcPr>
          <w:p w14:paraId="56902EB7">
            <w:pPr>
              <w:pStyle w:val="9"/>
              <w:spacing w:before="160" w:line="219" w:lineRule="auto"/>
              <w:ind w:left="350"/>
              <w:rPr>
                <w:color w:val="auto"/>
                <w:sz w:val="20"/>
                <w:szCs w:val="20"/>
                <w:highlight w:val="none"/>
              </w:rPr>
            </w:pPr>
            <w:r>
              <w:rPr>
                <w:b/>
                <w:bCs/>
                <w:color w:val="auto"/>
                <w:spacing w:val="-3"/>
                <w:sz w:val="20"/>
                <w:szCs w:val="20"/>
                <w:highlight w:val="none"/>
              </w:rPr>
              <w:t>身份证号码或者统一社会信用代码</w:t>
            </w:r>
          </w:p>
        </w:tc>
        <w:tc>
          <w:tcPr>
            <w:tcW w:w="874" w:type="dxa"/>
            <w:vAlign w:val="top"/>
          </w:tcPr>
          <w:p w14:paraId="37629CAA">
            <w:pPr>
              <w:pStyle w:val="9"/>
              <w:spacing w:before="159" w:line="222" w:lineRule="auto"/>
              <w:ind w:left="206"/>
              <w:rPr>
                <w:color w:val="auto"/>
                <w:sz w:val="20"/>
                <w:szCs w:val="20"/>
                <w:highlight w:val="none"/>
              </w:rPr>
            </w:pPr>
            <w:r>
              <w:rPr>
                <w:b/>
                <w:bCs/>
                <w:color w:val="auto"/>
                <w:spacing w:val="-9"/>
                <w:sz w:val="20"/>
                <w:szCs w:val="20"/>
                <w:highlight w:val="none"/>
              </w:rPr>
              <w:t>备注</w:t>
            </w:r>
          </w:p>
        </w:tc>
      </w:tr>
      <w:tr w14:paraId="0956B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6BD0AE71">
            <w:pPr>
              <w:pStyle w:val="9"/>
              <w:spacing w:before="155" w:line="242" w:lineRule="auto"/>
              <w:ind w:left="407"/>
              <w:rPr>
                <w:color w:val="auto"/>
                <w:sz w:val="20"/>
                <w:szCs w:val="20"/>
                <w:highlight w:val="none"/>
              </w:rPr>
            </w:pPr>
            <w:r>
              <w:rPr>
                <w:color w:val="auto"/>
                <w:sz w:val="20"/>
                <w:szCs w:val="20"/>
                <w:highlight w:val="none"/>
              </w:rPr>
              <w:t>1</w:t>
            </w:r>
          </w:p>
        </w:tc>
        <w:tc>
          <w:tcPr>
            <w:tcW w:w="2654" w:type="dxa"/>
            <w:vAlign w:val="top"/>
          </w:tcPr>
          <w:p w14:paraId="3347D99A">
            <w:pPr>
              <w:rPr>
                <w:rFonts w:ascii="Arial"/>
                <w:color w:val="auto"/>
                <w:sz w:val="20"/>
                <w:szCs w:val="20"/>
                <w:highlight w:val="none"/>
              </w:rPr>
            </w:pPr>
          </w:p>
        </w:tc>
        <w:tc>
          <w:tcPr>
            <w:tcW w:w="1454" w:type="dxa"/>
            <w:vAlign w:val="top"/>
          </w:tcPr>
          <w:p w14:paraId="01501217">
            <w:pPr>
              <w:rPr>
                <w:rFonts w:ascii="Arial"/>
                <w:color w:val="auto"/>
                <w:sz w:val="20"/>
                <w:szCs w:val="20"/>
                <w:highlight w:val="none"/>
              </w:rPr>
            </w:pPr>
          </w:p>
        </w:tc>
        <w:tc>
          <w:tcPr>
            <w:tcW w:w="4285" w:type="dxa"/>
            <w:vAlign w:val="top"/>
          </w:tcPr>
          <w:p w14:paraId="49BD6FB4">
            <w:pPr>
              <w:rPr>
                <w:rFonts w:ascii="Arial"/>
                <w:color w:val="auto"/>
                <w:sz w:val="20"/>
                <w:szCs w:val="20"/>
                <w:highlight w:val="none"/>
              </w:rPr>
            </w:pPr>
          </w:p>
        </w:tc>
        <w:tc>
          <w:tcPr>
            <w:tcW w:w="874" w:type="dxa"/>
            <w:vAlign w:val="top"/>
          </w:tcPr>
          <w:p w14:paraId="20FE11A7">
            <w:pPr>
              <w:rPr>
                <w:rFonts w:ascii="Arial"/>
                <w:color w:val="auto"/>
                <w:sz w:val="20"/>
                <w:szCs w:val="20"/>
                <w:highlight w:val="none"/>
              </w:rPr>
            </w:pPr>
          </w:p>
        </w:tc>
      </w:tr>
      <w:tr w14:paraId="0688E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84" w:type="dxa"/>
            <w:vAlign w:val="top"/>
          </w:tcPr>
          <w:p w14:paraId="565BC086">
            <w:pPr>
              <w:pStyle w:val="9"/>
              <w:spacing w:before="157" w:line="242" w:lineRule="auto"/>
              <w:ind w:left="392"/>
              <w:rPr>
                <w:color w:val="auto"/>
                <w:sz w:val="20"/>
                <w:szCs w:val="20"/>
                <w:highlight w:val="none"/>
              </w:rPr>
            </w:pPr>
            <w:r>
              <w:rPr>
                <w:color w:val="auto"/>
                <w:sz w:val="20"/>
                <w:szCs w:val="20"/>
                <w:highlight w:val="none"/>
              </w:rPr>
              <w:t>2</w:t>
            </w:r>
          </w:p>
        </w:tc>
        <w:tc>
          <w:tcPr>
            <w:tcW w:w="2654" w:type="dxa"/>
            <w:vAlign w:val="top"/>
          </w:tcPr>
          <w:p w14:paraId="1BD053EA">
            <w:pPr>
              <w:rPr>
                <w:rFonts w:ascii="Arial"/>
                <w:color w:val="auto"/>
                <w:sz w:val="20"/>
                <w:szCs w:val="20"/>
                <w:highlight w:val="none"/>
              </w:rPr>
            </w:pPr>
          </w:p>
        </w:tc>
        <w:tc>
          <w:tcPr>
            <w:tcW w:w="1454" w:type="dxa"/>
            <w:vAlign w:val="top"/>
          </w:tcPr>
          <w:p w14:paraId="1DC1DFCA">
            <w:pPr>
              <w:rPr>
                <w:rFonts w:ascii="Arial"/>
                <w:color w:val="auto"/>
                <w:sz w:val="20"/>
                <w:szCs w:val="20"/>
                <w:highlight w:val="none"/>
              </w:rPr>
            </w:pPr>
          </w:p>
        </w:tc>
        <w:tc>
          <w:tcPr>
            <w:tcW w:w="4285" w:type="dxa"/>
            <w:vAlign w:val="top"/>
          </w:tcPr>
          <w:p w14:paraId="699C29E1">
            <w:pPr>
              <w:rPr>
                <w:rFonts w:ascii="Arial"/>
                <w:color w:val="auto"/>
                <w:sz w:val="20"/>
                <w:szCs w:val="20"/>
                <w:highlight w:val="none"/>
              </w:rPr>
            </w:pPr>
          </w:p>
        </w:tc>
        <w:tc>
          <w:tcPr>
            <w:tcW w:w="874" w:type="dxa"/>
            <w:vAlign w:val="top"/>
          </w:tcPr>
          <w:p w14:paraId="1EEE5583">
            <w:pPr>
              <w:rPr>
                <w:rFonts w:ascii="Arial"/>
                <w:color w:val="auto"/>
                <w:sz w:val="20"/>
                <w:szCs w:val="20"/>
                <w:highlight w:val="none"/>
              </w:rPr>
            </w:pPr>
          </w:p>
        </w:tc>
      </w:tr>
      <w:tr w14:paraId="41178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5FEDE705">
            <w:pPr>
              <w:pStyle w:val="9"/>
              <w:spacing w:before="158"/>
              <w:ind w:left="394"/>
              <w:rPr>
                <w:color w:val="auto"/>
                <w:sz w:val="20"/>
                <w:szCs w:val="20"/>
                <w:highlight w:val="none"/>
              </w:rPr>
            </w:pPr>
            <w:r>
              <w:rPr>
                <w:color w:val="auto"/>
                <w:sz w:val="20"/>
                <w:szCs w:val="20"/>
                <w:highlight w:val="none"/>
              </w:rPr>
              <w:t>3</w:t>
            </w:r>
          </w:p>
        </w:tc>
        <w:tc>
          <w:tcPr>
            <w:tcW w:w="2654" w:type="dxa"/>
            <w:vAlign w:val="top"/>
          </w:tcPr>
          <w:p w14:paraId="223A0282">
            <w:pPr>
              <w:rPr>
                <w:rFonts w:ascii="Arial"/>
                <w:color w:val="auto"/>
                <w:sz w:val="20"/>
                <w:szCs w:val="20"/>
                <w:highlight w:val="none"/>
              </w:rPr>
            </w:pPr>
          </w:p>
        </w:tc>
        <w:tc>
          <w:tcPr>
            <w:tcW w:w="1454" w:type="dxa"/>
            <w:vAlign w:val="top"/>
          </w:tcPr>
          <w:p w14:paraId="7A16A8EE">
            <w:pPr>
              <w:rPr>
                <w:rFonts w:ascii="Arial"/>
                <w:color w:val="auto"/>
                <w:sz w:val="20"/>
                <w:szCs w:val="20"/>
                <w:highlight w:val="none"/>
              </w:rPr>
            </w:pPr>
          </w:p>
        </w:tc>
        <w:tc>
          <w:tcPr>
            <w:tcW w:w="4285" w:type="dxa"/>
            <w:vAlign w:val="top"/>
          </w:tcPr>
          <w:p w14:paraId="712F74E5">
            <w:pPr>
              <w:rPr>
                <w:rFonts w:ascii="Arial"/>
                <w:color w:val="auto"/>
                <w:sz w:val="20"/>
                <w:szCs w:val="20"/>
                <w:highlight w:val="none"/>
              </w:rPr>
            </w:pPr>
          </w:p>
        </w:tc>
        <w:tc>
          <w:tcPr>
            <w:tcW w:w="874" w:type="dxa"/>
            <w:vAlign w:val="top"/>
          </w:tcPr>
          <w:p w14:paraId="3D4CE4A3">
            <w:pPr>
              <w:rPr>
                <w:rFonts w:ascii="Arial"/>
                <w:color w:val="auto"/>
                <w:sz w:val="20"/>
                <w:szCs w:val="20"/>
                <w:highlight w:val="none"/>
              </w:rPr>
            </w:pPr>
          </w:p>
        </w:tc>
      </w:tr>
      <w:tr w14:paraId="39BE9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4" w:type="dxa"/>
            <w:vAlign w:val="top"/>
          </w:tcPr>
          <w:p w14:paraId="444A9603">
            <w:pPr>
              <w:pStyle w:val="9"/>
              <w:spacing w:before="159" w:line="379" w:lineRule="exact"/>
              <w:ind w:left="224"/>
              <w:rPr>
                <w:color w:val="auto"/>
                <w:sz w:val="20"/>
                <w:szCs w:val="20"/>
                <w:highlight w:val="none"/>
              </w:rPr>
            </w:pPr>
            <w:r>
              <w:rPr>
                <w:color w:val="auto"/>
                <w:spacing w:val="-13"/>
                <w:position w:val="3"/>
                <w:sz w:val="20"/>
                <w:szCs w:val="20"/>
                <w:highlight w:val="none"/>
              </w:rPr>
              <w:t>……</w:t>
            </w:r>
          </w:p>
        </w:tc>
        <w:tc>
          <w:tcPr>
            <w:tcW w:w="2654" w:type="dxa"/>
            <w:vAlign w:val="top"/>
          </w:tcPr>
          <w:p w14:paraId="74F02963">
            <w:pPr>
              <w:rPr>
                <w:rFonts w:ascii="Arial"/>
                <w:color w:val="auto"/>
                <w:sz w:val="20"/>
                <w:szCs w:val="20"/>
                <w:highlight w:val="none"/>
              </w:rPr>
            </w:pPr>
          </w:p>
        </w:tc>
        <w:tc>
          <w:tcPr>
            <w:tcW w:w="1454" w:type="dxa"/>
            <w:vAlign w:val="top"/>
          </w:tcPr>
          <w:p w14:paraId="4EE55521">
            <w:pPr>
              <w:rPr>
                <w:rFonts w:ascii="Arial"/>
                <w:color w:val="auto"/>
                <w:sz w:val="20"/>
                <w:szCs w:val="20"/>
                <w:highlight w:val="none"/>
              </w:rPr>
            </w:pPr>
          </w:p>
        </w:tc>
        <w:tc>
          <w:tcPr>
            <w:tcW w:w="4285" w:type="dxa"/>
            <w:vAlign w:val="top"/>
          </w:tcPr>
          <w:p w14:paraId="16965523">
            <w:pPr>
              <w:rPr>
                <w:rFonts w:ascii="Arial"/>
                <w:color w:val="auto"/>
                <w:sz w:val="20"/>
                <w:szCs w:val="20"/>
                <w:highlight w:val="none"/>
              </w:rPr>
            </w:pPr>
          </w:p>
        </w:tc>
        <w:tc>
          <w:tcPr>
            <w:tcW w:w="874" w:type="dxa"/>
            <w:vAlign w:val="top"/>
          </w:tcPr>
          <w:p w14:paraId="200C2103">
            <w:pPr>
              <w:rPr>
                <w:rFonts w:ascii="Arial"/>
                <w:color w:val="auto"/>
                <w:sz w:val="20"/>
                <w:szCs w:val="20"/>
                <w:highlight w:val="none"/>
              </w:rPr>
            </w:pPr>
          </w:p>
        </w:tc>
      </w:tr>
    </w:tbl>
    <w:p w14:paraId="30D63D00">
      <w:pPr>
        <w:spacing w:before="37" w:line="224" w:lineRule="auto"/>
        <w:ind w:left="72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注：</w:t>
      </w:r>
    </w:p>
    <w:p w14:paraId="4696BE2C">
      <w:pPr>
        <w:spacing w:before="175" w:line="324" w:lineRule="auto"/>
        <w:ind w:left="723" w:right="802" w:firstLine="497"/>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1.直接控股股东：是指其出资额占有限责任公司资本总额百分之五十以上或者</w:t>
      </w:r>
      <w:r>
        <w:rPr>
          <w:rFonts w:ascii="宋体" w:hAnsi="宋体" w:eastAsia="宋体" w:cs="宋体"/>
          <w:color w:val="auto"/>
          <w:spacing w:val="6"/>
          <w:sz w:val="20"/>
          <w:szCs w:val="20"/>
          <w:highlight w:val="none"/>
        </w:rPr>
        <w:t xml:space="preserve"> </w:t>
      </w:r>
      <w:r>
        <w:rPr>
          <w:rFonts w:ascii="宋体" w:hAnsi="宋体" w:eastAsia="宋体" w:cs="宋体"/>
          <w:color w:val="auto"/>
          <w:sz w:val="20"/>
          <w:szCs w:val="20"/>
          <w:highlight w:val="none"/>
        </w:rPr>
        <w:t>其持有的股份占股份有限公司股份总额百分之五十以上的</w:t>
      </w:r>
      <w:r>
        <w:rPr>
          <w:rFonts w:ascii="宋体" w:hAnsi="宋体" w:eastAsia="宋体" w:cs="宋体"/>
          <w:color w:val="auto"/>
          <w:spacing w:val="-1"/>
          <w:sz w:val="20"/>
          <w:szCs w:val="20"/>
          <w:highlight w:val="none"/>
        </w:rPr>
        <w:t>股东；出资额或者持有股</w:t>
      </w:r>
      <w:r>
        <w:rPr>
          <w:rFonts w:ascii="宋体" w:hAnsi="宋体" w:eastAsia="宋体" w:cs="宋体"/>
          <w:color w:val="auto"/>
          <w:sz w:val="20"/>
          <w:szCs w:val="20"/>
          <w:highlight w:val="none"/>
        </w:rPr>
        <w:t xml:space="preserve"> 份的比例虽然不足百分之五十，但依其出资额或者持有的</w:t>
      </w:r>
      <w:r>
        <w:rPr>
          <w:rFonts w:ascii="宋体" w:hAnsi="宋体" w:eastAsia="宋体" w:cs="宋体"/>
          <w:color w:val="auto"/>
          <w:spacing w:val="-1"/>
          <w:sz w:val="20"/>
          <w:szCs w:val="20"/>
          <w:highlight w:val="none"/>
        </w:rPr>
        <w:t>股份所享有的表决权已足</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以对股东会、股东大会的决议产生重大影响的股东。</w:t>
      </w:r>
    </w:p>
    <w:p w14:paraId="1F7AC5AA">
      <w:pPr>
        <w:spacing w:before="179" w:line="290" w:lineRule="auto"/>
        <w:ind w:left="739" w:right="802" w:firstLine="466"/>
        <w:rPr>
          <w:rFonts w:ascii="宋体" w:hAnsi="宋体" w:eastAsia="宋体" w:cs="宋体"/>
          <w:color w:val="auto"/>
          <w:sz w:val="20"/>
          <w:szCs w:val="20"/>
          <w:highlight w:val="none"/>
        </w:rPr>
      </w:pPr>
      <w:r>
        <w:rPr>
          <w:rFonts w:ascii="宋体" w:hAnsi="宋体" w:eastAsia="宋体" w:cs="宋体"/>
          <w:color w:val="auto"/>
          <w:sz w:val="20"/>
          <w:szCs w:val="20"/>
          <w:highlight w:val="none"/>
        </w:rPr>
        <w:t>2.本表所指的控股关系仅限于直接控股关系，</w:t>
      </w:r>
      <w:r>
        <w:rPr>
          <w:rFonts w:ascii="宋体" w:hAnsi="宋体" w:eastAsia="宋体" w:cs="宋体"/>
          <w:color w:val="auto"/>
          <w:spacing w:val="-1"/>
          <w:sz w:val="20"/>
          <w:szCs w:val="20"/>
          <w:highlight w:val="none"/>
        </w:rPr>
        <w:t>不包括间接的控股关系。公司实</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际控制人与公司之间的关系不属于本表所指的直接控股关系。</w:t>
      </w:r>
    </w:p>
    <w:p w14:paraId="4CA519C5">
      <w:pPr>
        <w:spacing w:before="180" w:line="219" w:lineRule="auto"/>
        <w:ind w:left="1207"/>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3.供应商不存在直接控股股东的，则填“无</w:t>
      </w:r>
      <w:r>
        <w:rPr>
          <w:rFonts w:ascii="宋体" w:hAnsi="宋体" w:eastAsia="宋体" w:cs="宋体"/>
          <w:color w:val="auto"/>
          <w:spacing w:val="-81"/>
          <w:sz w:val="20"/>
          <w:szCs w:val="20"/>
          <w:highlight w:val="none"/>
        </w:rPr>
        <w:t xml:space="preserve"> </w:t>
      </w:r>
      <w:r>
        <w:rPr>
          <w:rFonts w:ascii="宋体" w:hAnsi="宋体" w:eastAsia="宋体" w:cs="宋体"/>
          <w:color w:val="auto"/>
          <w:spacing w:val="-1"/>
          <w:sz w:val="20"/>
          <w:szCs w:val="20"/>
          <w:highlight w:val="none"/>
        </w:rPr>
        <w:t>”。</w:t>
      </w:r>
    </w:p>
    <w:p w14:paraId="7AC15549">
      <w:pPr>
        <w:pStyle w:val="2"/>
        <w:spacing w:line="258" w:lineRule="auto"/>
        <w:rPr>
          <w:color w:val="auto"/>
          <w:sz w:val="20"/>
          <w:szCs w:val="20"/>
          <w:highlight w:val="none"/>
        </w:rPr>
      </w:pPr>
    </w:p>
    <w:p w14:paraId="30CC59D6">
      <w:pPr>
        <w:pStyle w:val="2"/>
        <w:spacing w:line="258" w:lineRule="auto"/>
        <w:rPr>
          <w:color w:val="auto"/>
          <w:sz w:val="20"/>
          <w:szCs w:val="20"/>
          <w:highlight w:val="none"/>
        </w:rPr>
      </w:pPr>
    </w:p>
    <w:p w14:paraId="74C0709F">
      <w:pPr>
        <w:pStyle w:val="2"/>
        <w:spacing w:line="258" w:lineRule="auto"/>
        <w:rPr>
          <w:color w:val="auto"/>
          <w:sz w:val="20"/>
          <w:szCs w:val="20"/>
          <w:highlight w:val="none"/>
        </w:rPr>
      </w:pPr>
    </w:p>
    <w:p w14:paraId="689E47A5">
      <w:pPr>
        <w:pStyle w:val="2"/>
        <w:spacing w:line="258" w:lineRule="auto"/>
        <w:rPr>
          <w:color w:val="auto"/>
          <w:sz w:val="20"/>
          <w:szCs w:val="20"/>
          <w:highlight w:val="none"/>
        </w:rPr>
      </w:pPr>
    </w:p>
    <w:p w14:paraId="2629E049">
      <w:pPr>
        <w:spacing w:before="79" w:line="219" w:lineRule="auto"/>
        <w:ind w:left="4608"/>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2547847F">
      <w:pPr>
        <w:spacing w:before="181" w:line="220" w:lineRule="auto"/>
        <w:ind w:left="6884"/>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48B41171">
      <w:pPr>
        <w:spacing w:line="220" w:lineRule="auto"/>
        <w:rPr>
          <w:rFonts w:ascii="宋体" w:hAnsi="宋体" w:eastAsia="宋体" w:cs="宋体"/>
          <w:color w:val="auto"/>
          <w:sz w:val="24"/>
          <w:szCs w:val="24"/>
          <w:highlight w:val="none"/>
        </w:rPr>
        <w:sectPr>
          <w:footerReference r:id="rId49" w:type="default"/>
          <w:pgSz w:w="11910" w:h="16840"/>
          <w:pgMar w:top="400" w:right="787" w:bottom="1079" w:left="966" w:header="0" w:footer="843" w:gutter="0"/>
          <w:cols w:space="720" w:num="1"/>
        </w:sectPr>
      </w:pPr>
    </w:p>
    <w:p w14:paraId="64D9DA20">
      <w:pPr>
        <w:pStyle w:val="2"/>
        <w:spacing w:line="294" w:lineRule="auto"/>
        <w:rPr>
          <w:color w:val="auto"/>
          <w:highlight w:val="none"/>
        </w:rPr>
      </w:pPr>
    </w:p>
    <w:p w14:paraId="05A378CB">
      <w:pPr>
        <w:pStyle w:val="2"/>
        <w:spacing w:line="294" w:lineRule="auto"/>
        <w:rPr>
          <w:color w:val="auto"/>
          <w:highlight w:val="none"/>
        </w:rPr>
      </w:pPr>
    </w:p>
    <w:p w14:paraId="4CC95E97">
      <w:pPr>
        <w:pStyle w:val="2"/>
        <w:spacing w:line="294" w:lineRule="auto"/>
        <w:rPr>
          <w:color w:val="auto"/>
          <w:highlight w:val="none"/>
        </w:rPr>
      </w:pPr>
    </w:p>
    <w:p w14:paraId="16FB5640">
      <w:pPr>
        <w:spacing w:before="98" w:line="219" w:lineRule="auto"/>
        <w:ind w:left="1075"/>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五、供应商直接管理关系信息表</w:t>
      </w:r>
    </w:p>
    <w:p w14:paraId="35669494">
      <w:pPr>
        <w:pStyle w:val="2"/>
        <w:spacing w:line="257" w:lineRule="auto"/>
        <w:rPr>
          <w:color w:val="auto"/>
          <w:highlight w:val="none"/>
        </w:rPr>
      </w:pPr>
    </w:p>
    <w:p w14:paraId="60CDD217">
      <w:pPr>
        <w:pStyle w:val="2"/>
        <w:spacing w:line="258" w:lineRule="auto"/>
        <w:rPr>
          <w:color w:val="auto"/>
          <w:highlight w:val="none"/>
        </w:rPr>
      </w:pPr>
    </w:p>
    <w:p w14:paraId="1C0ECD7F">
      <w:pPr>
        <w:spacing w:before="97" w:line="219" w:lineRule="auto"/>
        <w:ind w:left="3035"/>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供应商直接管理关系信息表</w:t>
      </w:r>
    </w:p>
    <w:p w14:paraId="7923CA99">
      <w:pPr>
        <w:spacing w:line="182" w:lineRule="exact"/>
        <w:rPr>
          <w:color w:val="auto"/>
          <w:highlight w:val="none"/>
        </w:rPr>
      </w:pPr>
    </w:p>
    <w:tbl>
      <w:tblPr>
        <w:tblStyle w:val="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38381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12" w:type="dxa"/>
            <w:vAlign w:val="top"/>
          </w:tcPr>
          <w:p w14:paraId="773E0543">
            <w:pPr>
              <w:pStyle w:val="9"/>
              <w:spacing w:before="159" w:line="222" w:lineRule="auto"/>
              <w:ind w:left="171"/>
              <w:rPr>
                <w:color w:val="auto"/>
                <w:sz w:val="20"/>
                <w:szCs w:val="20"/>
                <w:highlight w:val="none"/>
              </w:rPr>
            </w:pPr>
            <w:r>
              <w:rPr>
                <w:b/>
                <w:bCs/>
                <w:color w:val="auto"/>
                <w:spacing w:val="-7"/>
                <w:sz w:val="20"/>
                <w:szCs w:val="20"/>
                <w:highlight w:val="none"/>
              </w:rPr>
              <w:t>序号</w:t>
            </w:r>
          </w:p>
        </w:tc>
        <w:tc>
          <w:tcPr>
            <w:tcW w:w="3598" w:type="dxa"/>
            <w:vAlign w:val="top"/>
          </w:tcPr>
          <w:p w14:paraId="5F1AB472">
            <w:pPr>
              <w:pStyle w:val="9"/>
              <w:spacing w:before="160" w:line="220" w:lineRule="auto"/>
              <w:ind w:left="600"/>
              <w:rPr>
                <w:color w:val="auto"/>
                <w:sz w:val="20"/>
                <w:szCs w:val="20"/>
                <w:highlight w:val="none"/>
              </w:rPr>
            </w:pPr>
            <w:r>
              <w:rPr>
                <w:b/>
                <w:bCs/>
                <w:color w:val="auto"/>
                <w:spacing w:val="-3"/>
                <w:sz w:val="20"/>
                <w:szCs w:val="20"/>
                <w:highlight w:val="none"/>
              </w:rPr>
              <w:t>直接管理关系单位名称</w:t>
            </w:r>
          </w:p>
        </w:tc>
        <w:tc>
          <w:tcPr>
            <w:tcW w:w="3553" w:type="dxa"/>
            <w:vAlign w:val="top"/>
          </w:tcPr>
          <w:p w14:paraId="43225835">
            <w:pPr>
              <w:pStyle w:val="9"/>
              <w:spacing w:before="160" w:line="219" w:lineRule="auto"/>
              <w:ind w:left="825"/>
              <w:rPr>
                <w:color w:val="auto"/>
                <w:sz w:val="20"/>
                <w:szCs w:val="20"/>
                <w:highlight w:val="none"/>
              </w:rPr>
            </w:pPr>
            <w:r>
              <w:rPr>
                <w:b/>
                <w:bCs/>
                <w:color w:val="auto"/>
                <w:spacing w:val="-4"/>
                <w:sz w:val="20"/>
                <w:szCs w:val="20"/>
                <w:highlight w:val="none"/>
              </w:rPr>
              <w:t>统一社会信用代码</w:t>
            </w:r>
          </w:p>
        </w:tc>
        <w:tc>
          <w:tcPr>
            <w:tcW w:w="1693" w:type="dxa"/>
            <w:vAlign w:val="top"/>
          </w:tcPr>
          <w:p w14:paraId="26798C3D">
            <w:pPr>
              <w:pStyle w:val="9"/>
              <w:spacing w:before="159" w:line="222" w:lineRule="auto"/>
              <w:ind w:left="614"/>
              <w:rPr>
                <w:color w:val="auto"/>
                <w:sz w:val="20"/>
                <w:szCs w:val="20"/>
                <w:highlight w:val="none"/>
              </w:rPr>
            </w:pPr>
            <w:r>
              <w:rPr>
                <w:b/>
                <w:bCs/>
                <w:color w:val="auto"/>
                <w:spacing w:val="-9"/>
                <w:sz w:val="20"/>
                <w:szCs w:val="20"/>
                <w:highlight w:val="none"/>
              </w:rPr>
              <w:t>备注</w:t>
            </w:r>
          </w:p>
        </w:tc>
      </w:tr>
      <w:tr w14:paraId="0F1A4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6AD9A8E7">
            <w:pPr>
              <w:pStyle w:val="9"/>
              <w:spacing w:before="157" w:line="242" w:lineRule="auto"/>
              <w:ind w:left="370"/>
              <w:rPr>
                <w:color w:val="auto"/>
                <w:sz w:val="20"/>
                <w:szCs w:val="20"/>
                <w:highlight w:val="none"/>
              </w:rPr>
            </w:pPr>
            <w:r>
              <w:rPr>
                <w:color w:val="auto"/>
                <w:sz w:val="20"/>
                <w:szCs w:val="20"/>
                <w:highlight w:val="none"/>
              </w:rPr>
              <w:t>1</w:t>
            </w:r>
          </w:p>
        </w:tc>
        <w:tc>
          <w:tcPr>
            <w:tcW w:w="3598" w:type="dxa"/>
            <w:vAlign w:val="top"/>
          </w:tcPr>
          <w:p w14:paraId="199384BB">
            <w:pPr>
              <w:rPr>
                <w:rFonts w:ascii="Arial"/>
                <w:color w:val="auto"/>
                <w:sz w:val="20"/>
                <w:szCs w:val="20"/>
                <w:highlight w:val="none"/>
              </w:rPr>
            </w:pPr>
          </w:p>
        </w:tc>
        <w:tc>
          <w:tcPr>
            <w:tcW w:w="3553" w:type="dxa"/>
            <w:vAlign w:val="top"/>
          </w:tcPr>
          <w:p w14:paraId="6C148031">
            <w:pPr>
              <w:rPr>
                <w:rFonts w:ascii="Arial"/>
                <w:color w:val="auto"/>
                <w:sz w:val="20"/>
                <w:szCs w:val="20"/>
                <w:highlight w:val="none"/>
              </w:rPr>
            </w:pPr>
          </w:p>
        </w:tc>
        <w:tc>
          <w:tcPr>
            <w:tcW w:w="1693" w:type="dxa"/>
            <w:vAlign w:val="top"/>
          </w:tcPr>
          <w:p w14:paraId="6966059F">
            <w:pPr>
              <w:rPr>
                <w:rFonts w:ascii="Arial"/>
                <w:color w:val="auto"/>
                <w:sz w:val="20"/>
                <w:szCs w:val="20"/>
                <w:highlight w:val="none"/>
              </w:rPr>
            </w:pPr>
          </w:p>
        </w:tc>
      </w:tr>
      <w:tr w14:paraId="15D3E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38099FD8">
            <w:pPr>
              <w:pStyle w:val="9"/>
              <w:spacing w:before="159" w:line="242" w:lineRule="auto"/>
              <w:ind w:left="355"/>
              <w:rPr>
                <w:color w:val="auto"/>
                <w:sz w:val="20"/>
                <w:szCs w:val="20"/>
                <w:highlight w:val="none"/>
              </w:rPr>
            </w:pPr>
            <w:r>
              <w:rPr>
                <w:color w:val="auto"/>
                <w:sz w:val="20"/>
                <w:szCs w:val="20"/>
                <w:highlight w:val="none"/>
              </w:rPr>
              <w:t>2</w:t>
            </w:r>
          </w:p>
        </w:tc>
        <w:tc>
          <w:tcPr>
            <w:tcW w:w="3598" w:type="dxa"/>
            <w:vAlign w:val="top"/>
          </w:tcPr>
          <w:p w14:paraId="08F970E9">
            <w:pPr>
              <w:rPr>
                <w:rFonts w:ascii="Arial"/>
                <w:color w:val="auto"/>
                <w:sz w:val="20"/>
                <w:szCs w:val="20"/>
                <w:highlight w:val="none"/>
              </w:rPr>
            </w:pPr>
          </w:p>
        </w:tc>
        <w:tc>
          <w:tcPr>
            <w:tcW w:w="3553" w:type="dxa"/>
            <w:vAlign w:val="top"/>
          </w:tcPr>
          <w:p w14:paraId="1451D592">
            <w:pPr>
              <w:rPr>
                <w:rFonts w:ascii="Arial"/>
                <w:color w:val="auto"/>
                <w:sz w:val="20"/>
                <w:szCs w:val="20"/>
                <w:highlight w:val="none"/>
              </w:rPr>
            </w:pPr>
          </w:p>
        </w:tc>
        <w:tc>
          <w:tcPr>
            <w:tcW w:w="1693" w:type="dxa"/>
            <w:vAlign w:val="top"/>
          </w:tcPr>
          <w:p w14:paraId="347D9DD6">
            <w:pPr>
              <w:rPr>
                <w:rFonts w:ascii="Arial"/>
                <w:color w:val="auto"/>
                <w:sz w:val="20"/>
                <w:szCs w:val="20"/>
                <w:highlight w:val="none"/>
              </w:rPr>
            </w:pPr>
          </w:p>
        </w:tc>
      </w:tr>
      <w:tr w14:paraId="3CAAD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12" w:type="dxa"/>
            <w:vAlign w:val="top"/>
          </w:tcPr>
          <w:p w14:paraId="1CCA8E92">
            <w:pPr>
              <w:pStyle w:val="9"/>
              <w:spacing w:before="158"/>
              <w:ind w:left="357"/>
              <w:rPr>
                <w:color w:val="auto"/>
                <w:sz w:val="20"/>
                <w:szCs w:val="20"/>
                <w:highlight w:val="none"/>
              </w:rPr>
            </w:pPr>
            <w:r>
              <w:rPr>
                <w:color w:val="auto"/>
                <w:sz w:val="20"/>
                <w:szCs w:val="20"/>
                <w:highlight w:val="none"/>
              </w:rPr>
              <w:t>3</w:t>
            </w:r>
          </w:p>
        </w:tc>
        <w:tc>
          <w:tcPr>
            <w:tcW w:w="3598" w:type="dxa"/>
            <w:vAlign w:val="top"/>
          </w:tcPr>
          <w:p w14:paraId="2EFBFBE3">
            <w:pPr>
              <w:rPr>
                <w:rFonts w:ascii="Arial"/>
                <w:color w:val="auto"/>
                <w:sz w:val="20"/>
                <w:szCs w:val="20"/>
                <w:highlight w:val="none"/>
              </w:rPr>
            </w:pPr>
          </w:p>
        </w:tc>
        <w:tc>
          <w:tcPr>
            <w:tcW w:w="3553" w:type="dxa"/>
            <w:vAlign w:val="top"/>
          </w:tcPr>
          <w:p w14:paraId="01FFC4DC">
            <w:pPr>
              <w:rPr>
                <w:rFonts w:ascii="Arial"/>
                <w:color w:val="auto"/>
                <w:sz w:val="20"/>
                <w:szCs w:val="20"/>
                <w:highlight w:val="none"/>
              </w:rPr>
            </w:pPr>
          </w:p>
        </w:tc>
        <w:tc>
          <w:tcPr>
            <w:tcW w:w="1693" w:type="dxa"/>
            <w:vAlign w:val="top"/>
          </w:tcPr>
          <w:p w14:paraId="3A7F18BD">
            <w:pPr>
              <w:rPr>
                <w:rFonts w:ascii="Arial"/>
                <w:color w:val="auto"/>
                <w:sz w:val="20"/>
                <w:szCs w:val="20"/>
                <w:highlight w:val="none"/>
              </w:rPr>
            </w:pPr>
          </w:p>
        </w:tc>
      </w:tr>
      <w:tr w14:paraId="4536F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12" w:type="dxa"/>
            <w:vAlign w:val="top"/>
          </w:tcPr>
          <w:p w14:paraId="1C5F4DA4">
            <w:pPr>
              <w:pStyle w:val="9"/>
              <w:spacing w:before="160" w:line="379" w:lineRule="exact"/>
              <w:ind w:left="187"/>
              <w:rPr>
                <w:color w:val="auto"/>
                <w:sz w:val="20"/>
                <w:szCs w:val="20"/>
                <w:highlight w:val="none"/>
              </w:rPr>
            </w:pPr>
            <w:r>
              <w:rPr>
                <w:color w:val="auto"/>
                <w:spacing w:val="-13"/>
                <w:position w:val="3"/>
                <w:sz w:val="20"/>
                <w:szCs w:val="20"/>
                <w:highlight w:val="none"/>
              </w:rPr>
              <w:t>……</w:t>
            </w:r>
          </w:p>
        </w:tc>
        <w:tc>
          <w:tcPr>
            <w:tcW w:w="3598" w:type="dxa"/>
            <w:vAlign w:val="top"/>
          </w:tcPr>
          <w:p w14:paraId="36D7C5BA">
            <w:pPr>
              <w:rPr>
                <w:rFonts w:ascii="Arial"/>
                <w:color w:val="auto"/>
                <w:sz w:val="20"/>
                <w:szCs w:val="20"/>
                <w:highlight w:val="none"/>
              </w:rPr>
            </w:pPr>
          </w:p>
        </w:tc>
        <w:tc>
          <w:tcPr>
            <w:tcW w:w="3553" w:type="dxa"/>
            <w:vAlign w:val="top"/>
          </w:tcPr>
          <w:p w14:paraId="755E1FCA">
            <w:pPr>
              <w:rPr>
                <w:rFonts w:ascii="Arial"/>
                <w:color w:val="auto"/>
                <w:sz w:val="20"/>
                <w:szCs w:val="20"/>
                <w:highlight w:val="none"/>
              </w:rPr>
            </w:pPr>
          </w:p>
        </w:tc>
        <w:tc>
          <w:tcPr>
            <w:tcW w:w="1693" w:type="dxa"/>
            <w:vAlign w:val="top"/>
          </w:tcPr>
          <w:p w14:paraId="4CFB3350">
            <w:pPr>
              <w:rPr>
                <w:rFonts w:ascii="Arial"/>
                <w:color w:val="auto"/>
                <w:sz w:val="20"/>
                <w:szCs w:val="20"/>
                <w:highlight w:val="none"/>
              </w:rPr>
            </w:pPr>
          </w:p>
        </w:tc>
      </w:tr>
    </w:tbl>
    <w:p w14:paraId="06DA5290">
      <w:pPr>
        <w:spacing w:before="36" w:line="224" w:lineRule="auto"/>
        <w:ind w:left="95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注：</w:t>
      </w:r>
    </w:p>
    <w:p w14:paraId="490F5BE1">
      <w:pPr>
        <w:spacing w:before="175" w:line="290" w:lineRule="auto"/>
        <w:ind w:left="479" w:right="555" w:firstLine="49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1.管理关系：是指不具有出资持股关系的其他单位之间存在的管理与被管理关</w:t>
      </w:r>
      <w:r>
        <w:rPr>
          <w:rFonts w:ascii="宋体" w:hAnsi="宋体" w:eastAsia="宋体" w:cs="宋体"/>
          <w:color w:val="auto"/>
          <w:spacing w:val="6"/>
          <w:sz w:val="20"/>
          <w:szCs w:val="20"/>
          <w:highlight w:val="none"/>
        </w:rPr>
        <w:t xml:space="preserve"> </w:t>
      </w:r>
      <w:r>
        <w:rPr>
          <w:rFonts w:ascii="宋体" w:hAnsi="宋体" w:eastAsia="宋体" w:cs="宋体"/>
          <w:color w:val="auto"/>
          <w:spacing w:val="-1"/>
          <w:sz w:val="20"/>
          <w:szCs w:val="20"/>
          <w:highlight w:val="none"/>
        </w:rPr>
        <w:t>系，如一些上下级关系的事业单位和团体组织。</w:t>
      </w:r>
    </w:p>
    <w:p w14:paraId="17B8C4EE">
      <w:pPr>
        <w:spacing w:before="179" w:line="219" w:lineRule="auto"/>
        <w:ind w:left="958"/>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2.本表所指的管理关系仅限于直接管理关系，不包括间接的管理关系。</w:t>
      </w:r>
    </w:p>
    <w:p w14:paraId="3EFEAD41">
      <w:pPr>
        <w:spacing w:before="183" w:line="219" w:lineRule="auto"/>
        <w:ind w:left="95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3.供应商不存在直接管理关系的，则填“无</w:t>
      </w:r>
      <w:r>
        <w:rPr>
          <w:rFonts w:ascii="宋体" w:hAnsi="宋体" w:eastAsia="宋体" w:cs="宋体"/>
          <w:color w:val="auto"/>
          <w:spacing w:val="-81"/>
          <w:sz w:val="20"/>
          <w:szCs w:val="20"/>
          <w:highlight w:val="none"/>
        </w:rPr>
        <w:t xml:space="preserve"> </w:t>
      </w:r>
      <w:r>
        <w:rPr>
          <w:rFonts w:ascii="宋体" w:hAnsi="宋体" w:eastAsia="宋体" w:cs="宋体"/>
          <w:color w:val="auto"/>
          <w:spacing w:val="-1"/>
          <w:sz w:val="20"/>
          <w:szCs w:val="20"/>
          <w:highlight w:val="none"/>
        </w:rPr>
        <w:t>”。</w:t>
      </w:r>
    </w:p>
    <w:p w14:paraId="37569254">
      <w:pPr>
        <w:pStyle w:val="2"/>
        <w:spacing w:line="249" w:lineRule="auto"/>
        <w:rPr>
          <w:color w:val="auto"/>
          <w:sz w:val="20"/>
          <w:szCs w:val="20"/>
          <w:highlight w:val="none"/>
        </w:rPr>
      </w:pPr>
    </w:p>
    <w:p w14:paraId="3EEB27D9">
      <w:pPr>
        <w:pStyle w:val="2"/>
        <w:spacing w:line="249" w:lineRule="auto"/>
        <w:rPr>
          <w:color w:val="auto"/>
          <w:sz w:val="20"/>
          <w:szCs w:val="20"/>
          <w:highlight w:val="none"/>
        </w:rPr>
      </w:pPr>
    </w:p>
    <w:p w14:paraId="0BCB13CC">
      <w:pPr>
        <w:pStyle w:val="2"/>
        <w:spacing w:line="249" w:lineRule="auto"/>
        <w:rPr>
          <w:color w:val="auto"/>
          <w:sz w:val="20"/>
          <w:szCs w:val="20"/>
          <w:highlight w:val="none"/>
        </w:rPr>
      </w:pPr>
    </w:p>
    <w:p w14:paraId="095BC78C">
      <w:pPr>
        <w:pStyle w:val="2"/>
        <w:spacing w:line="249" w:lineRule="auto"/>
        <w:rPr>
          <w:color w:val="auto"/>
          <w:sz w:val="20"/>
          <w:szCs w:val="20"/>
          <w:highlight w:val="none"/>
        </w:rPr>
      </w:pPr>
    </w:p>
    <w:p w14:paraId="4A1B8402">
      <w:pPr>
        <w:pStyle w:val="2"/>
        <w:spacing w:line="249" w:lineRule="auto"/>
        <w:rPr>
          <w:color w:val="auto"/>
          <w:sz w:val="20"/>
          <w:szCs w:val="20"/>
          <w:highlight w:val="none"/>
        </w:rPr>
      </w:pPr>
    </w:p>
    <w:p w14:paraId="613F1BF8">
      <w:pPr>
        <w:pStyle w:val="2"/>
        <w:spacing w:line="250" w:lineRule="auto"/>
        <w:rPr>
          <w:color w:val="auto"/>
          <w:sz w:val="20"/>
          <w:szCs w:val="20"/>
          <w:highlight w:val="none"/>
        </w:rPr>
      </w:pPr>
    </w:p>
    <w:p w14:paraId="4651C4A8">
      <w:pPr>
        <w:spacing w:before="78" w:line="219" w:lineRule="auto"/>
        <w:ind w:left="436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6E4A9195">
      <w:pPr>
        <w:spacing w:before="181" w:line="220" w:lineRule="auto"/>
        <w:ind w:left="6636"/>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01B0EB4F">
      <w:pPr>
        <w:spacing w:line="220" w:lineRule="auto"/>
        <w:rPr>
          <w:rFonts w:ascii="宋体" w:hAnsi="宋体" w:eastAsia="宋体" w:cs="宋体"/>
          <w:color w:val="auto"/>
          <w:sz w:val="24"/>
          <w:szCs w:val="24"/>
          <w:highlight w:val="none"/>
        </w:rPr>
        <w:sectPr>
          <w:footerReference r:id="rId50" w:type="default"/>
          <w:pgSz w:w="11910" w:h="16840"/>
          <w:pgMar w:top="400" w:right="1034" w:bottom="1079" w:left="1214" w:header="0" w:footer="843" w:gutter="0"/>
          <w:cols w:space="720" w:num="1"/>
        </w:sectPr>
      </w:pPr>
    </w:p>
    <w:p w14:paraId="4A70F9EC">
      <w:pPr>
        <w:pStyle w:val="2"/>
        <w:spacing w:line="278" w:lineRule="auto"/>
        <w:rPr>
          <w:color w:val="auto"/>
          <w:highlight w:val="none"/>
        </w:rPr>
      </w:pPr>
    </w:p>
    <w:p w14:paraId="6CC3ADB6">
      <w:pPr>
        <w:pStyle w:val="2"/>
        <w:spacing w:line="279" w:lineRule="auto"/>
        <w:rPr>
          <w:color w:val="auto"/>
          <w:highlight w:val="none"/>
        </w:rPr>
      </w:pPr>
    </w:p>
    <w:p w14:paraId="39BB5575">
      <w:pPr>
        <w:pStyle w:val="2"/>
        <w:spacing w:line="279" w:lineRule="auto"/>
        <w:rPr>
          <w:color w:val="auto"/>
          <w:highlight w:val="none"/>
        </w:rPr>
      </w:pPr>
    </w:p>
    <w:p w14:paraId="25E5756F">
      <w:pPr>
        <w:spacing w:before="98" w:line="220" w:lineRule="auto"/>
        <w:ind w:left="486"/>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六、资格声明函</w:t>
      </w:r>
    </w:p>
    <w:p w14:paraId="5C402FA3">
      <w:pPr>
        <w:spacing w:before="328" w:line="220" w:lineRule="auto"/>
        <w:ind w:left="3629"/>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资格声明函</w:t>
      </w:r>
    </w:p>
    <w:p w14:paraId="78AAD82C">
      <w:pPr>
        <w:pStyle w:val="2"/>
        <w:spacing w:line="261" w:lineRule="auto"/>
        <w:rPr>
          <w:color w:val="auto"/>
          <w:sz w:val="20"/>
          <w:szCs w:val="20"/>
          <w:highlight w:val="none"/>
        </w:rPr>
      </w:pPr>
    </w:p>
    <w:p w14:paraId="09D7F0CE">
      <w:pPr>
        <w:spacing w:before="78" w:line="219" w:lineRule="auto"/>
        <w:ind w:left="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致：</w:t>
      </w:r>
      <w:r>
        <w:rPr>
          <w:rFonts w:ascii="宋体" w:hAnsi="宋体" w:eastAsia="宋体" w:cs="宋体"/>
          <w:color w:val="auto"/>
          <w:spacing w:val="-1"/>
          <w:sz w:val="20"/>
          <w:szCs w:val="20"/>
          <w:highlight w:val="none"/>
          <w:u w:val="single" w:color="auto"/>
        </w:rPr>
        <w:t>广西拓正工程造价咨询有限公司</w:t>
      </w:r>
      <w:r>
        <w:rPr>
          <w:rFonts w:ascii="宋体" w:hAnsi="宋体" w:eastAsia="宋体" w:cs="宋体"/>
          <w:color w:val="auto"/>
          <w:spacing w:val="5"/>
          <w:sz w:val="20"/>
          <w:szCs w:val="20"/>
          <w:highlight w:val="none"/>
          <w:u w:val="single" w:color="auto"/>
        </w:rPr>
        <w:t xml:space="preserve"> </w:t>
      </w:r>
    </w:p>
    <w:p w14:paraId="67C97AD0">
      <w:pPr>
        <w:tabs>
          <w:tab w:val="left" w:pos="607"/>
        </w:tabs>
        <w:spacing w:before="181" w:line="219" w:lineRule="auto"/>
        <w:ind w:left="472"/>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10"/>
          <w:sz w:val="20"/>
          <w:szCs w:val="20"/>
          <w:highlight w:val="none"/>
          <w:u w:val="single" w:color="auto"/>
        </w:rPr>
        <w:t>（供应商名称）</w:t>
      </w:r>
      <w:r>
        <w:rPr>
          <w:rFonts w:ascii="宋体" w:hAnsi="宋体" w:eastAsia="宋体" w:cs="宋体"/>
          <w:color w:val="auto"/>
          <w:spacing w:val="-10"/>
          <w:sz w:val="20"/>
          <w:szCs w:val="20"/>
          <w:highlight w:val="none"/>
        </w:rPr>
        <w:t>系中华人民共和国合法供应商，经营地址</w:t>
      </w:r>
      <w:r>
        <w:rPr>
          <w:rFonts w:ascii="宋体" w:hAnsi="宋体" w:eastAsia="宋体" w:cs="宋体"/>
          <w:color w:val="auto"/>
          <w:spacing w:val="-10"/>
          <w:sz w:val="20"/>
          <w:szCs w:val="20"/>
          <w:highlight w:val="none"/>
          <w:u w:val="single" w:color="auto"/>
        </w:rPr>
        <w:t xml:space="preserve">                    </w:t>
      </w:r>
      <w:r>
        <w:rPr>
          <w:rFonts w:ascii="宋体" w:hAnsi="宋体" w:eastAsia="宋体" w:cs="宋体"/>
          <w:color w:val="auto"/>
          <w:spacing w:val="-10"/>
          <w:sz w:val="20"/>
          <w:szCs w:val="20"/>
          <w:highlight w:val="none"/>
        </w:rPr>
        <w:t>。</w:t>
      </w:r>
    </w:p>
    <w:p w14:paraId="3927AAA0">
      <w:pPr>
        <w:spacing w:before="182" w:line="359" w:lineRule="auto"/>
        <w:ind w:left="4" w:right="81" w:firstLine="479"/>
        <w:jc w:val="both"/>
        <w:rPr>
          <w:rFonts w:ascii="宋体" w:hAnsi="宋体" w:eastAsia="宋体" w:cs="宋体"/>
          <w:color w:val="auto"/>
          <w:sz w:val="20"/>
          <w:szCs w:val="20"/>
          <w:highlight w:val="none"/>
        </w:rPr>
      </w:pPr>
      <w:r>
        <w:rPr>
          <w:rFonts w:ascii="宋体" w:hAnsi="宋体" w:eastAsia="宋体" w:cs="宋体"/>
          <w:color w:val="auto"/>
          <w:sz w:val="20"/>
          <w:szCs w:val="20"/>
          <w:highlight w:val="none"/>
        </w:rPr>
        <w:t>我方愿意参加贵方组织的</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5"/>
          <w:sz w:val="20"/>
          <w:szCs w:val="20"/>
          <w:highlight w:val="none"/>
        </w:rPr>
        <w:t xml:space="preserve"> </w:t>
      </w:r>
      <w:r>
        <w:rPr>
          <w:rFonts w:ascii="宋体" w:hAnsi="宋体" w:eastAsia="宋体" w:cs="宋体"/>
          <w:color w:val="auto"/>
          <w:sz w:val="20"/>
          <w:szCs w:val="20"/>
          <w:highlight w:val="none"/>
        </w:rPr>
        <w:t xml:space="preserve">项目的竞标， </w:t>
      </w:r>
      <w:r>
        <w:rPr>
          <w:rFonts w:ascii="宋体" w:hAnsi="宋体" w:eastAsia="宋体" w:cs="宋体"/>
          <w:color w:val="auto"/>
          <w:spacing w:val="2"/>
          <w:sz w:val="20"/>
          <w:szCs w:val="20"/>
          <w:highlight w:val="none"/>
        </w:rPr>
        <w:t>为便于贵方公正、择优地确定成交供应商及其竞标产品和服务，我方就本次竞标有</w:t>
      </w:r>
      <w:r>
        <w:rPr>
          <w:rFonts w:ascii="宋体" w:hAnsi="宋体" w:eastAsia="宋体" w:cs="宋体"/>
          <w:color w:val="auto"/>
          <w:spacing w:val="3"/>
          <w:sz w:val="20"/>
          <w:szCs w:val="20"/>
          <w:highlight w:val="none"/>
        </w:rPr>
        <w:t xml:space="preserve"> </w:t>
      </w:r>
      <w:r>
        <w:rPr>
          <w:rFonts w:ascii="宋体" w:hAnsi="宋体" w:eastAsia="宋体" w:cs="宋体"/>
          <w:color w:val="auto"/>
          <w:spacing w:val="-2"/>
          <w:sz w:val="20"/>
          <w:szCs w:val="20"/>
          <w:highlight w:val="none"/>
        </w:rPr>
        <w:t>关事项郑重声明如下：</w:t>
      </w:r>
    </w:p>
    <w:p w14:paraId="55466E1D">
      <w:pPr>
        <w:spacing w:line="220" w:lineRule="auto"/>
        <w:ind w:left="49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1.我方向贵方提交的所有响应文件、资料都是准确的和真实的。</w:t>
      </w:r>
    </w:p>
    <w:p w14:paraId="73D5F680">
      <w:pPr>
        <w:spacing w:before="180" w:line="313" w:lineRule="auto"/>
        <w:ind w:left="1" w:right="81" w:firstLine="48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2.我方不是采购人的附属机构；不是为本次采购项目提供整体设计、规范编制</w:t>
      </w:r>
      <w:r>
        <w:rPr>
          <w:rFonts w:ascii="宋体" w:hAnsi="宋体" w:eastAsia="宋体" w:cs="宋体"/>
          <w:color w:val="auto"/>
          <w:spacing w:val="5"/>
          <w:sz w:val="20"/>
          <w:szCs w:val="20"/>
          <w:highlight w:val="none"/>
        </w:rPr>
        <w:t xml:space="preserve"> </w:t>
      </w:r>
      <w:r>
        <w:rPr>
          <w:rFonts w:ascii="宋体" w:hAnsi="宋体" w:eastAsia="宋体" w:cs="宋体"/>
          <w:color w:val="auto"/>
          <w:spacing w:val="2"/>
          <w:sz w:val="20"/>
          <w:szCs w:val="20"/>
          <w:highlight w:val="none"/>
        </w:rPr>
        <w:t>或者项目管理、监理、检测等服务的供应商；在获知本项目采购信息后，与采购人</w:t>
      </w:r>
      <w:r>
        <w:rPr>
          <w:rFonts w:ascii="宋体" w:hAnsi="宋体" w:eastAsia="宋体" w:cs="宋体"/>
          <w:color w:val="auto"/>
          <w:spacing w:val="6"/>
          <w:sz w:val="20"/>
          <w:szCs w:val="20"/>
          <w:highlight w:val="none"/>
        </w:rPr>
        <w:t xml:space="preserve"> </w:t>
      </w:r>
      <w:r>
        <w:rPr>
          <w:rFonts w:ascii="宋体" w:hAnsi="宋体" w:eastAsia="宋体" w:cs="宋体"/>
          <w:color w:val="auto"/>
          <w:spacing w:val="-1"/>
          <w:sz w:val="20"/>
          <w:szCs w:val="20"/>
          <w:highlight w:val="none"/>
        </w:rPr>
        <w:t>聘请的为此项目提供咨询服务的公司及其附属机构没有任何联系。</w:t>
      </w:r>
    </w:p>
    <w:p w14:paraId="0E8F310A">
      <w:pPr>
        <w:spacing w:before="181" w:line="219" w:lineRule="auto"/>
        <w:ind w:left="48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3.在此，我方宣布同意如下：</w:t>
      </w:r>
    </w:p>
    <w:p w14:paraId="66589C09">
      <w:pPr>
        <w:spacing w:before="183" w:line="220" w:lineRule="auto"/>
        <w:ind w:left="49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（1）将按磋商文件的约定履行合同责任和义务；</w:t>
      </w:r>
    </w:p>
    <w:p w14:paraId="7E767F93">
      <w:pPr>
        <w:spacing w:before="179" w:line="219" w:lineRule="auto"/>
        <w:ind w:left="49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（2）已详细审查全部磋商文件，包括澄清或者更正公告（如有</w:t>
      </w:r>
      <w:r>
        <w:rPr>
          <w:rFonts w:ascii="宋体" w:hAnsi="宋体" w:eastAsia="宋体" w:cs="宋体"/>
          <w:color w:val="auto"/>
          <w:spacing w:val="3"/>
          <w:sz w:val="20"/>
          <w:szCs w:val="20"/>
          <w:highlight w:val="none"/>
        </w:rPr>
        <w:t>）；</w:t>
      </w:r>
    </w:p>
    <w:p w14:paraId="69CD2988">
      <w:pPr>
        <w:spacing w:before="184" w:line="219" w:lineRule="auto"/>
        <w:ind w:left="49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（3）同意提供按照贵方可能要求的与磋商有关的一切数据或者资料；</w:t>
      </w:r>
    </w:p>
    <w:p w14:paraId="5C0310B6">
      <w:pPr>
        <w:spacing w:before="183" w:line="220" w:lineRule="auto"/>
        <w:ind w:left="49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（4）响应磋商文件规定的竞标有效期。</w:t>
      </w:r>
    </w:p>
    <w:p w14:paraId="29FA5E9A">
      <w:pPr>
        <w:spacing w:before="182" w:line="312" w:lineRule="auto"/>
        <w:ind w:right="81" w:firstLine="48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4.我方承诺已经具备《中华人民共和国政府采购法》第二十二条中规定的参加</w:t>
      </w:r>
      <w:r>
        <w:rPr>
          <w:rFonts w:ascii="宋体" w:hAnsi="宋体" w:eastAsia="宋体" w:cs="宋体"/>
          <w:color w:val="auto"/>
          <w:spacing w:val="9"/>
          <w:sz w:val="20"/>
          <w:szCs w:val="20"/>
          <w:highlight w:val="none"/>
        </w:rPr>
        <w:t xml:space="preserve"> </w:t>
      </w:r>
      <w:r>
        <w:rPr>
          <w:rFonts w:ascii="宋体" w:hAnsi="宋体" w:eastAsia="宋体" w:cs="宋体"/>
          <w:color w:val="auto"/>
          <w:spacing w:val="1"/>
          <w:sz w:val="20"/>
          <w:szCs w:val="20"/>
          <w:highlight w:val="none"/>
        </w:rPr>
        <w:t>政府采购活动的供应商应当具备的条件并按本项目响应文件“第三章</w:t>
      </w:r>
      <w:r>
        <w:rPr>
          <w:rFonts w:ascii="宋体" w:hAnsi="宋体" w:eastAsia="宋体" w:cs="宋体"/>
          <w:color w:val="auto"/>
          <w:spacing w:val="-77"/>
          <w:sz w:val="20"/>
          <w:szCs w:val="20"/>
          <w:highlight w:val="none"/>
        </w:rPr>
        <w:t xml:space="preserve"> </w:t>
      </w:r>
      <w:r>
        <w:rPr>
          <w:rFonts w:ascii="宋体" w:hAnsi="宋体" w:eastAsia="宋体" w:cs="宋体"/>
          <w:color w:val="auto"/>
          <w:spacing w:val="1"/>
          <w:sz w:val="20"/>
          <w:szCs w:val="20"/>
          <w:highlight w:val="none"/>
        </w:rPr>
        <w:t>”“第二节供</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应商须知前附表</w:t>
      </w:r>
      <w:r>
        <w:rPr>
          <w:rFonts w:ascii="宋体" w:hAnsi="宋体" w:eastAsia="宋体" w:cs="宋体"/>
          <w:color w:val="auto"/>
          <w:spacing w:val="-78"/>
          <w:sz w:val="20"/>
          <w:szCs w:val="20"/>
          <w:highlight w:val="none"/>
        </w:rPr>
        <w:t xml:space="preserve"> </w:t>
      </w:r>
      <w:r>
        <w:rPr>
          <w:rFonts w:ascii="宋体" w:hAnsi="宋体" w:eastAsia="宋体" w:cs="宋体"/>
          <w:color w:val="auto"/>
          <w:spacing w:val="-3"/>
          <w:sz w:val="20"/>
          <w:szCs w:val="20"/>
          <w:highlight w:val="none"/>
        </w:rPr>
        <w:t>”中“资格证明文件组成</w:t>
      </w:r>
      <w:r>
        <w:rPr>
          <w:rFonts w:ascii="宋体" w:hAnsi="宋体" w:eastAsia="宋体" w:cs="宋体"/>
          <w:color w:val="auto"/>
          <w:spacing w:val="-88"/>
          <w:sz w:val="20"/>
          <w:szCs w:val="20"/>
          <w:highlight w:val="none"/>
        </w:rPr>
        <w:t xml:space="preserve"> </w:t>
      </w:r>
      <w:r>
        <w:rPr>
          <w:rFonts w:ascii="宋体" w:hAnsi="宋体" w:eastAsia="宋体" w:cs="宋体"/>
          <w:color w:val="auto"/>
          <w:spacing w:val="-3"/>
          <w:sz w:val="20"/>
          <w:szCs w:val="20"/>
          <w:highlight w:val="none"/>
        </w:rPr>
        <w:t>”完整提供证明材料。</w:t>
      </w:r>
    </w:p>
    <w:p w14:paraId="7CF74427">
      <w:pPr>
        <w:spacing w:before="181" w:line="336" w:lineRule="auto"/>
        <w:ind w:left="1" w:right="81" w:firstLine="484"/>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5.我方在此声明，我方在参加本项目的政府采购活动前三年内，在经营活动中</w:t>
      </w:r>
      <w:r>
        <w:rPr>
          <w:rFonts w:ascii="宋体" w:hAnsi="宋体" w:eastAsia="宋体" w:cs="宋体"/>
          <w:color w:val="auto"/>
          <w:spacing w:val="3"/>
          <w:sz w:val="20"/>
          <w:szCs w:val="20"/>
          <w:highlight w:val="none"/>
        </w:rPr>
        <w:t xml:space="preserve"> </w:t>
      </w:r>
      <w:r>
        <w:rPr>
          <w:rFonts w:ascii="宋体" w:hAnsi="宋体" w:eastAsia="宋体" w:cs="宋体"/>
          <w:color w:val="auto"/>
          <w:spacing w:val="2"/>
          <w:sz w:val="20"/>
          <w:szCs w:val="20"/>
          <w:highlight w:val="none"/>
        </w:rPr>
        <w:t>没有重大违法记录（重大违法记录是指供应商因违法经营受到刑事处罚或者责令停</w:t>
      </w:r>
      <w:r>
        <w:rPr>
          <w:rFonts w:ascii="宋体" w:hAnsi="宋体" w:eastAsia="宋体" w:cs="宋体"/>
          <w:color w:val="auto"/>
          <w:spacing w:val="6"/>
          <w:sz w:val="20"/>
          <w:szCs w:val="20"/>
          <w:highlight w:val="none"/>
        </w:rPr>
        <w:t xml:space="preserve"> </w:t>
      </w:r>
      <w:r>
        <w:rPr>
          <w:rFonts w:ascii="宋体" w:hAnsi="宋体" w:eastAsia="宋体" w:cs="宋体"/>
          <w:color w:val="auto"/>
          <w:spacing w:val="2"/>
          <w:sz w:val="20"/>
          <w:szCs w:val="20"/>
          <w:highlight w:val="none"/>
        </w:rPr>
        <w:t>产停业、吊销许可证或者执照、较大数额罚款等行政</w:t>
      </w:r>
      <w:r>
        <w:rPr>
          <w:rFonts w:ascii="宋体" w:hAnsi="宋体" w:eastAsia="宋体" w:cs="宋体"/>
          <w:color w:val="auto"/>
          <w:spacing w:val="1"/>
          <w:sz w:val="20"/>
          <w:szCs w:val="20"/>
          <w:highlight w:val="none"/>
        </w:rPr>
        <w:t>处罚</w:t>
      </w:r>
      <w:r>
        <w:rPr>
          <w:rFonts w:ascii="宋体" w:hAnsi="宋体" w:eastAsia="宋体" w:cs="宋体"/>
          <w:color w:val="auto"/>
          <w:spacing w:val="10"/>
          <w:sz w:val="20"/>
          <w:szCs w:val="20"/>
          <w:highlight w:val="none"/>
        </w:rPr>
        <w:t>），</w:t>
      </w:r>
      <w:r>
        <w:rPr>
          <w:rFonts w:ascii="宋体" w:hAnsi="宋体" w:eastAsia="宋体" w:cs="宋体"/>
          <w:color w:val="auto"/>
          <w:spacing w:val="1"/>
          <w:sz w:val="20"/>
          <w:szCs w:val="20"/>
          <w:highlight w:val="none"/>
        </w:rPr>
        <w:t xml:space="preserve">未被列入失信被执行 </w:t>
      </w:r>
      <w:r>
        <w:rPr>
          <w:rFonts w:ascii="宋体" w:hAnsi="宋体" w:eastAsia="宋体" w:cs="宋体"/>
          <w:color w:val="auto"/>
          <w:spacing w:val="2"/>
          <w:sz w:val="20"/>
          <w:szCs w:val="20"/>
          <w:highlight w:val="none"/>
        </w:rPr>
        <w:t>人、重大税收违法案件当事人名单、政府采购严重违法失信行为记录名单，完全符</w:t>
      </w:r>
      <w:r>
        <w:rPr>
          <w:rFonts w:ascii="宋体" w:hAnsi="宋体" w:eastAsia="宋体" w:cs="宋体"/>
          <w:color w:val="auto"/>
          <w:spacing w:val="6"/>
          <w:sz w:val="20"/>
          <w:szCs w:val="20"/>
          <w:highlight w:val="none"/>
        </w:rPr>
        <w:t xml:space="preserve"> </w:t>
      </w:r>
      <w:r>
        <w:rPr>
          <w:rFonts w:ascii="宋体" w:hAnsi="宋体" w:eastAsia="宋体" w:cs="宋体"/>
          <w:color w:val="auto"/>
          <w:spacing w:val="2"/>
          <w:sz w:val="20"/>
          <w:szCs w:val="20"/>
          <w:highlight w:val="none"/>
        </w:rPr>
        <w:t>合《中华人民共和国政府采购法》第二十二条规定的供应商资格条件，我方对此声</w:t>
      </w:r>
      <w:r>
        <w:rPr>
          <w:rFonts w:ascii="宋体" w:hAnsi="宋体" w:eastAsia="宋体" w:cs="宋体"/>
          <w:color w:val="auto"/>
          <w:spacing w:val="6"/>
          <w:sz w:val="20"/>
          <w:szCs w:val="20"/>
          <w:highlight w:val="none"/>
        </w:rPr>
        <w:t xml:space="preserve"> </w:t>
      </w:r>
      <w:r>
        <w:rPr>
          <w:rFonts w:ascii="宋体" w:hAnsi="宋体" w:eastAsia="宋体" w:cs="宋体"/>
          <w:color w:val="auto"/>
          <w:spacing w:val="-2"/>
          <w:sz w:val="20"/>
          <w:szCs w:val="20"/>
          <w:highlight w:val="none"/>
        </w:rPr>
        <w:t>明负全部法律责任。</w:t>
      </w:r>
    </w:p>
    <w:p w14:paraId="1A883B5F">
      <w:pPr>
        <w:spacing w:before="181" w:line="313" w:lineRule="auto"/>
        <w:ind w:right="81" w:firstLine="48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6.根据《中华人民共和国政府采购法实施条例》第五十条要求对政府采购合同</w:t>
      </w:r>
      <w:r>
        <w:rPr>
          <w:rFonts w:ascii="宋体" w:hAnsi="宋体" w:eastAsia="宋体" w:cs="宋体"/>
          <w:color w:val="auto"/>
          <w:spacing w:val="6"/>
          <w:sz w:val="20"/>
          <w:szCs w:val="20"/>
          <w:highlight w:val="none"/>
        </w:rPr>
        <w:t xml:space="preserve"> </w:t>
      </w:r>
      <w:r>
        <w:rPr>
          <w:rFonts w:ascii="宋体" w:hAnsi="宋体" w:eastAsia="宋体" w:cs="宋体"/>
          <w:color w:val="auto"/>
          <w:spacing w:val="2"/>
          <w:sz w:val="20"/>
          <w:szCs w:val="20"/>
          <w:highlight w:val="none"/>
        </w:rPr>
        <w:t>进行公告，但政府采购合同中涉及国家秘密、商业秘密的内容除外。我方就对本次</w:t>
      </w:r>
      <w:r>
        <w:rPr>
          <w:rFonts w:ascii="宋体" w:hAnsi="宋体" w:eastAsia="宋体" w:cs="宋体"/>
          <w:color w:val="auto"/>
          <w:spacing w:val="8"/>
          <w:sz w:val="20"/>
          <w:szCs w:val="20"/>
          <w:highlight w:val="none"/>
        </w:rPr>
        <w:t xml:space="preserve"> </w:t>
      </w:r>
      <w:r>
        <w:rPr>
          <w:rFonts w:ascii="宋体" w:hAnsi="宋体" w:eastAsia="宋体" w:cs="宋体"/>
          <w:color w:val="auto"/>
          <w:spacing w:val="1"/>
          <w:sz w:val="20"/>
          <w:szCs w:val="20"/>
          <w:highlight w:val="none"/>
        </w:rPr>
        <w:t>响应文件进行注明如下</w:t>
      </w:r>
      <w:r>
        <w:rPr>
          <w:rFonts w:ascii="宋体" w:hAnsi="宋体" w:eastAsia="宋体" w:cs="宋体"/>
          <w:color w:val="auto"/>
          <w:spacing w:val="-16"/>
          <w:sz w:val="20"/>
          <w:szCs w:val="20"/>
          <w:highlight w:val="none"/>
        </w:rPr>
        <w:t>：（</w:t>
      </w:r>
      <w:r>
        <w:rPr>
          <w:rFonts w:ascii="宋体" w:hAnsi="宋体" w:eastAsia="宋体" w:cs="宋体"/>
          <w:color w:val="auto"/>
          <w:spacing w:val="1"/>
          <w:sz w:val="20"/>
          <w:szCs w:val="20"/>
          <w:highlight w:val="none"/>
        </w:rPr>
        <w:t>两项内容中必须选择一项）</w:t>
      </w:r>
    </w:p>
    <w:p w14:paraId="61C00536">
      <w:pPr>
        <w:spacing w:before="180" w:line="219" w:lineRule="auto"/>
        <w:ind w:left="50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□我方本次响应文件内容中未涉及商业秘密；</w:t>
      </w:r>
    </w:p>
    <w:p w14:paraId="3C4848E5">
      <w:pPr>
        <w:spacing w:before="183" w:line="219" w:lineRule="auto"/>
        <w:ind w:left="50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□我方本次响应文件涉及商业秘密的内容有</w:t>
      </w:r>
      <w:r>
        <w:rPr>
          <w:rFonts w:ascii="宋体" w:hAnsi="宋体" w:eastAsia="宋体" w:cs="宋体"/>
          <w:color w:val="auto"/>
          <w:spacing w:val="1"/>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1"/>
          <w:sz w:val="20"/>
          <w:szCs w:val="20"/>
          <w:highlight w:val="none"/>
        </w:rPr>
        <w:t>；</w:t>
      </w:r>
    </w:p>
    <w:p w14:paraId="5B209576">
      <w:pPr>
        <w:spacing w:line="219" w:lineRule="auto"/>
        <w:rPr>
          <w:rFonts w:ascii="宋体" w:hAnsi="宋体" w:eastAsia="宋体" w:cs="宋体"/>
          <w:color w:val="auto"/>
          <w:sz w:val="20"/>
          <w:szCs w:val="20"/>
          <w:highlight w:val="none"/>
        </w:rPr>
        <w:sectPr>
          <w:footerReference r:id="rId51" w:type="default"/>
          <w:pgSz w:w="11910" w:h="16840"/>
          <w:pgMar w:top="400" w:right="1420" w:bottom="1079" w:left="1687" w:header="0" w:footer="843" w:gutter="0"/>
          <w:cols w:space="720" w:num="1"/>
        </w:sectPr>
      </w:pPr>
    </w:p>
    <w:p w14:paraId="1D6117D2">
      <w:pPr>
        <w:pStyle w:val="2"/>
        <w:spacing w:line="297" w:lineRule="auto"/>
        <w:rPr>
          <w:color w:val="auto"/>
          <w:sz w:val="20"/>
          <w:szCs w:val="20"/>
          <w:highlight w:val="none"/>
        </w:rPr>
      </w:pPr>
    </w:p>
    <w:p w14:paraId="7743A63E">
      <w:pPr>
        <w:pStyle w:val="2"/>
        <w:spacing w:line="298" w:lineRule="auto"/>
        <w:rPr>
          <w:color w:val="auto"/>
          <w:sz w:val="20"/>
          <w:szCs w:val="20"/>
          <w:highlight w:val="none"/>
        </w:rPr>
      </w:pPr>
    </w:p>
    <w:p w14:paraId="70679DD6">
      <w:pPr>
        <w:pStyle w:val="2"/>
        <w:spacing w:line="298" w:lineRule="auto"/>
        <w:rPr>
          <w:color w:val="auto"/>
          <w:sz w:val="20"/>
          <w:szCs w:val="20"/>
          <w:highlight w:val="none"/>
        </w:rPr>
      </w:pPr>
    </w:p>
    <w:p w14:paraId="2B50F74B">
      <w:pPr>
        <w:spacing w:before="78" w:line="219" w:lineRule="auto"/>
        <w:ind w:left="48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7.与本磋商有关的一切正式往来信函请寄：</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93"/>
          <w:sz w:val="20"/>
          <w:szCs w:val="20"/>
          <w:highlight w:val="none"/>
        </w:rPr>
        <w:t xml:space="preserve"> </w:t>
      </w:r>
      <w:r>
        <w:rPr>
          <w:rFonts w:ascii="宋体" w:hAnsi="宋体" w:eastAsia="宋体" w:cs="宋体"/>
          <w:color w:val="auto"/>
          <w:spacing w:val="-2"/>
          <w:sz w:val="20"/>
          <w:szCs w:val="20"/>
          <w:highlight w:val="none"/>
        </w:rPr>
        <w:t>邮政编号：</w:t>
      </w:r>
      <w:r>
        <w:rPr>
          <w:rFonts w:ascii="宋体" w:hAnsi="宋体" w:eastAsia="宋体" w:cs="宋体"/>
          <w:color w:val="auto"/>
          <w:sz w:val="20"/>
          <w:szCs w:val="20"/>
          <w:highlight w:val="none"/>
          <w:u w:val="single" w:color="auto"/>
        </w:rPr>
        <w:t xml:space="preserve">        </w:t>
      </w:r>
    </w:p>
    <w:p w14:paraId="3AC686AF">
      <w:pPr>
        <w:spacing w:before="180" w:line="219" w:lineRule="auto"/>
        <w:ind w:left="50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电话/传真：</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电子函件：</w:t>
      </w:r>
      <w:r>
        <w:rPr>
          <w:rFonts w:ascii="宋体" w:hAnsi="宋体" w:eastAsia="宋体" w:cs="宋体"/>
          <w:color w:val="auto"/>
          <w:sz w:val="20"/>
          <w:szCs w:val="20"/>
          <w:highlight w:val="none"/>
          <w:u w:val="single" w:color="auto"/>
        </w:rPr>
        <w:t xml:space="preserve">                       </w:t>
      </w:r>
    </w:p>
    <w:p w14:paraId="425D84FD">
      <w:pPr>
        <w:spacing w:before="180" w:line="221" w:lineRule="auto"/>
        <w:ind w:left="50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开户银行：</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4"/>
          <w:sz w:val="20"/>
          <w:szCs w:val="20"/>
          <w:highlight w:val="none"/>
        </w:rPr>
        <w:t xml:space="preserve"> </w:t>
      </w:r>
      <w:r>
        <w:rPr>
          <w:rFonts w:ascii="宋体" w:hAnsi="宋体" w:eastAsia="宋体" w:cs="宋体"/>
          <w:color w:val="auto"/>
          <w:spacing w:val="-1"/>
          <w:sz w:val="20"/>
          <w:szCs w:val="20"/>
          <w:highlight w:val="none"/>
        </w:rPr>
        <w:t>账号：</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2"/>
          <w:sz w:val="20"/>
          <w:szCs w:val="20"/>
          <w:highlight w:val="none"/>
          <w:u w:val="single" w:color="auto"/>
        </w:rPr>
        <w:t xml:space="preserve">                   </w:t>
      </w:r>
    </w:p>
    <w:p w14:paraId="3DC5FFAD">
      <w:pPr>
        <w:spacing w:before="181" w:line="359" w:lineRule="auto"/>
        <w:ind w:firstLine="48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8.以上事项如有虚假或者隐瞒，我方愿意承担一切后果，并不再寻求任何旨在</w:t>
      </w:r>
      <w:r>
        <w:rPr>
          <w:rFonts w:ascii="宋体" w:hAnsi="宋体" w:eastAsia="宋体" w:cs="宋体"/>
          <w:color w:val="auto"/>
          <w:spacing w:val="7"/>
          <w:sz w:val="20"/>
          <w:szCs w:val="20"/>
          <w:highlight w:val="none"/>
        </w:rPr>
        <w:t xml:space="preserve"> </w:t>
      </w:r>
      <w:r>
        <w:rPr>
          <w:rFonts w:ascii="宋体" w:hAnsi="宋体" w:eastAsia="宋体" w:cs="宋体"/>
          <w:color w:val="auto"/>
          <w:spacing w:val="-1"/>
          <w:sz w:val="20"/>
          <w:szCs w:val="20"/>
          <w:highlight w:val="none"/>
        </w:rPr>
        <w:t>减轻或者免除法律责任的辩解。</w:t>
      </w:r>
    </w:p>
    <w:p w14:paraId="14E8F600">
      <w:pPr>
        <w:spacing w:line="220" w:lineRule="auto"/>
        <w:ind w:left="501"/>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特此承诺。</w:t>
      </w:r>
    </w:p>
    <w:p w14:paraId="56FE1BA2">
      <w:pPr>
        <w:spacing w:before="182" w:line="360" w:lineRule="auto"/>
        <w:ind w:left="1" w:firstLine="47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注：如为联合体竞标，盖章处须加盖联合体各方公章并由联合体各方法定代表</w:t>
      </w:r>
      <w:r>
        <w:rPr>
          <w:rFonts w:ascii="宋体" w:hAnsi="宋体" w:eastAsia="宋体" w:cs="宋体"/>
          <w:color w:val="auto"/>
          <w:spacing w:val="10"/>
          <w:sz w:val="20"/>
          <w:szCs w:val="20"/>
          <w:highlight w:val="none"/>
        </w:rPr>
        <w:t xml:space="preserve"> </w:t>
      </w:r>
      <w:r>
        <w:rPr>
          <w:rFonts w:ascii="宋体" w:hAnsi="宋体" w:eastAsia="宋体" w:cs="宋体"/>
          <w:color w:val="auto"/>
          <w:spacing w:val="-1"/>
          <w:sz w:val="20"/>
          <w:szCs w:val="20"/>
          <w:highlight w:val="none"/>
        </w:rPr>
        <w:t>人签署，否则其响应文件按无效响应处理。</w:t>
      </w:r>
    </w:p>
    <w:p w14:paraId="3C524A80">
      <w:pPr>
        <w:pStyle w:val="2"/>
        <w:spacing w:line="382" w:lineRule="auto"/>
        <w:rPr>
          <w:color w:val="auto"/>
          <w:sz w:val="20"/>
          <w:szCs w:val="20"/>
          <w:highlight w:val="none"/>
        </w:rPr>
      </w:pPr>
    </w:p>
    <w:p w14:paraId="087CA661">
      <w:pPr>
        <w:spacing w:before="78" w:line="219" w:lineRule="auto"/>
        <w:ind w:left="388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7682A0B6">
      <w:pPr>
        <w:spacing w:before="183" w:line="220" w:lineRule="auto"/>
        <w:ind w:left="6161"/>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5A9FB22D">
      <w:pPr>
        <w:spacing w:line="220" w:lineRule="auto"/>
        <w:rPr>
          <w:rFonts w:ascii="宋体" w:hAnsi="宋体" w:eastAsia="宋体" w:cs="宋体"/>
          <w:color w:val="auto"/>
          <w:sz w:val="24"/>
          <w:szCs w:val="24"/>
          <w:highlight w:val="none"/>
        </w:rPr>
        <w:sectPr>
          <w:footerReference r:id="rId52" w:type="default"/>
          <w:pgSz w:w="11910" w:h="16840"/>
          <w:pgMar w:top="400" w:right="1501" w:bottom="1079" w:left="1689" w:header="0" w:footer="843" w:gutter="0"/>
          <w:cols w:space="720" w:num="1"/>
        </w:sectPr>
      </w:pPr>
    </w:p>
    <w:p w14:paraId="09E94319">
      <w:pPr>
        <w:pStyle w:val="2"/>
        <w:spacing w:line="338" w:lineRule="auto"/>
        <w:rPr>
          <w:color w:val="auto"/>
          <w:highlight w:val="none"/>
        </w:rPr>
      </w:pPr>
    </w:p>
    <w:p w14:paraId="2C4A5058">
      <w:pPr>
        <w:pStyle w:val="2"/>
        <w:spacing w:line="338" w:lineRule="auto"/>
        <w:rPr>
          <w:color w:val="auto"/>
          <w:highlight w:val="none"/>
        </w:rPr>
      </w:pPr>
    </w:p>
    <w:p w14:paraId="057BE633">
      <w:pPr>
        <w:spacing w:before="98" w:line="361" w:lineRule="auto"/>
        <w:ind w:right="2"/>
        <w:jc w:val="both"/>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七、供应商提供有效的具有建筑工程施工总承包三级（含三级）以</w:t>
      </w:r>
      <w:r>
        <w:rPr>
          <w:rFonts w:ascii="宋体" w:hAnsi="宋体" w:eastAsia="宋体" w:cs="宋体"/>
          <w:color w:val="auto"/>
          <w:spacing w:val="12"/>
          <w:sz w:val="30"/>
          <w:szCs w:val="30"/>
          <w:highlight w:val="none"/>
        </w:rPr>
        <w:t xml:space="preserve"> </w:t>
      </w:r>
      <w:r>
        <w:rPr>
          <w:rFonts w:ascii="宋体" w:hAnsi="宋体" w:eastAsia="宋体" w:cs="宋体"/>
          <w:b/>
          <w:bCs/>
          <w:color w:val="auto"/>
          <w:spacing w:val="-3"/>
          <w:sz w:val="30"/>
          <w:szCs w:val="30"/>
          <w:highlight w:val="none"/>
        </w:rPr>
        <w:t>上资质证书复印件；有效的安全生产许可证复印件</w:t>
      </w:r>
    </w:p>
    <w:p w14:paraId="716478FF">
      <w:pPr>
        <w:pStyle w:val="2"/>
        <w:spacing w:line="246" w:lineRule="auto"/>
        <w:rPr>
          <w:color w:val="auto"/>
          <w:highlight w:val="none"/>
        </w:rPr>
      </w:pPr>
    </w:p>
    <w:p w14:paraId="123927B4">
      <w:pPr>
        <w:pStyle w:val="2"/>
        <w:spacing w:line="246" w:lineRule="auto"/>
        <w:rPr>
          <w:color w:val="auto"/>
          <w:highlight w:val="none"/>
        </w:rPr>
      </w:pPr>
    </w:p>
    <w:p w14:paraId="381786A7">
      <w:pPr>
        <w:pStyle w:val="2"/>
        <w:spacing w:line="246" w:lineRule="auto"/>
        <w:rPr>
          <w:color w:val="auto"/>
          <w:highlight w:val="none"/>
        </w:rPr>
      </w:pPr>
    </w:p>
    <w:p w14:paraId="6DE5058F">
      <w:pPr>
        <w:pStyle w:val="2"/>
        <w:spacing w:line="246" w:lineRule="auto"/>
        <w:rPr>
          <w:color w:val="auto"/>
          <w:highlight w:val="none"/>
        </w:rPr>
      </w:pPr>
    </w:p>
    <w:p w14:paraId="7D4E06F9">
      <w:pPr>
        <w:spacing w:before="78" w:line="219" w:lineRule="auto"/>
        <w:ind w:left="40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0E8746F8">
      <w:pPr>
        <w:spacing w:before="211" w:line="220" w:lineRule="auto"/>
        <w:jc w:val="right"/>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日期：  年</w:t>
      </w:r>
      <w:r>
        <w:rPr>
          <w:rFonts w:ascii="宋体" w:hAnsi="宋体" w:eastAsia="宋体" w:cs="宋体"/>
          <w:color w:val="auto"/>
          <w:spacing w:val="10"/>
          <w:sz w:val="24"/>
          <w:szCs w:val="24"/>
          <w:highlight w:val="none"/>
        </w:rPr>
        <w:t xml:space="preserve">  </w:t>
      </w:r>
      <w:r>
        <w:rPr>
          <w:rFonts w:ascii="宋体" w:hAnsi="宋体" w:eastAsia="宋体" w:cs="宋体"/>
          <w:color w:val="auto"/>
          <w:spacing w:val="-19"/>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9"/>
          <w:sz w:val="24"/>
          <w:szCs w:val="24"/>
          <w:highlight w:val="none"/>
        </w:rPr>
        <w:t>日</w:t>
      </w:r>
    </w:p>
    <w:p w14:paraId="40FE0C56">
      <w:pPr>
        <w:pStyle w:val="2"/>
        <w:spacing w:line="251" w:lineRule="auto"/>
        <w:rPr>
          <w:color w:val="auto"/>
          <w:highlight w:val="none"/>
        </w:rPr>
      </w:pPr>
    </w:p>
    <w:p w14:paraId="76EEA6DC">
      <w:pPr>
        <w:pStyle w:val="2"/>
        <w:spacing w:line="251" w:lineRule="auto"/>
        <w:rPr>
          <w:color w:val="auto"/>
          <w:highlight w:val="none"/>
        </w:rPr>
      </w:pPr>
    </w:p>
    <w:p w14:paraId="7C19A1FE">
      <w:pPr>
        <w:pStyle w:val="2"/>
        <w:spacing w:line="251" w:lineRule="auto"/>
        <w:rPr>
          <w:color w:val="auto"/>
          <w:highlight w:val="none"/>
        </w:rPr>
      </w:pPr>
    </w:p>
    <w:p w14:paraId="3B3261DD">
      <w:pPr>
        <w:pStyle w:val="2"/>
        <w:spacing w:line="251" w:lineRule="auto"/>
        <w:rPr>
          <w:color w:val="auto"/>
          <w:highlight w:val="none"/>
        </w:rPr>
      </w:pPr>
    </w:p>
    <w:p w14:paraId="4589ACE5">
      <w:pPr>
        <w:pStyle w:val="2"/>
        <w:spacing w:line="251" w:lineRule="auto"/>
        <w:rPr>
          <w:color w:val="auto"/>
          <w:highlight w:val="none"/>
        </w:rPr>
      </w:pPr>
    </w:p>
    <w:p w14:paraId="7E80669E">
      <w:pPr>
        <w:pStyle w:val="2"/>
        <w:spacing w:line="251" w:lineRule="auto"/>
        <w:rPr>
          <w:color w:val="auto"/>
          <w:highlight w:val="none"/>
        </w:rPr>
      </w:pPr>
    </w:p>
    <w:p w14:paraId="5A83EAF2">
      <w:pPr>
        <w:pStyle w:val="2"/>
        <w:spacing w:line="251" w:lineRule="auto"/>
        <w:rPr>
          <w:color w:val="auto"/>
          <w:highlight w:val="none"/>
        </w:rPr>
      </w:pPr>
    </w:p>
    <w:p w14:paraId="2D8D43B9">
      <w:pPr>
        <w:pStyle w:val="2"/>
        <w:spacing w:line="252" w:lineRule="auto"/>
        <w:rPr>
          <w:color w:val="auto"/>
          <w:highlight w:val="none"/>
        </w:rPr>
      </w:pPr>
    </w:p>
    <w:p w14:paraId="3AE44348">
      <w:pPr>
        <w:pStyle w:val="2"/>
        <w:spacing w:line="252" w:lineRule="auto"/>
        <w:rPr>
          <w:color w:val="auto"/>
          <w:highlight w:val="none"/>
        </w:rPr>
      </w:pPr>
    </w:p>
    <w:p w14:paraId="1F54C8A6">
      <w:pPr>
        <w:spacing w:before="97" w:line="361" w:lineRule="auto"/>
        <w:ind w:right="2" w:firstLine="5"/>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八、供应商提供拟派项目经理具有建筑工程专业二级及以上注册建</w:t>
      </w:r>
      <w:r>
        <w:rPr>
          <w:rFonts w:ascii="宋体" w:hAnsi="宋体" w:eastAsia="宋体" w:cs="宋体"/>
          <w:color w:val="auto"/>
          <w:spacing w:val="6"/>
          <w:sz w:val="30"/>
          <w:szCs w:val="30"/>
          <w:highlight w:val="none"/>
        </w:rPr>
        <w:t xml:space="preserve"> </w:t>
      </w:r>
      <w:r>
        <w:rPr>
          <w:rFonts w:ascii="宋体" w:hAnsi="宋体" w:eastAsia="宋体" w:cs="宋体"/>
          <w:b/>
          <w:bCs/>
          <w:color w:val="auto"/>
          <w:spacing w:val="-3"/>
          <w:sz w:val="30"/>
          <w:szCs w:val="30"/>
          <w:highlight w:val="none"/>
        </w:rPr>
        <w:t>造师证书及有效的安全生产考核合格证书（B</w:t>
      </w:r>
      <w:r>
        <w:rPr>
          <w:rFonts w:ascii="宋体" w:hAnsi="宋体" w:eastAsia="宋体" w:cs="宋体"/>
          <w:color w:val="auto"/>
          <w:spacing w:val="-61"/>
          <w:sz w:val="30"/>
          <w:szCs w:val="30"/>
          <w:highlight w:val="none"/>
        </w:rPr>
        <w:t xml:space="preserve"> </w:t>
      </w:r>
      <w:r>
        <w:rPr>
          <w:rFonts w:ascii="宋体" w:hAnsi="宋体" w:eastAsia="宋体" w:cs="宋体"/>
          <w:b/>
          <w:bCs/>
          <w:color w:val="auto"/>
          <w:spacing w:val="-3"/>
          <w:sz w:val="30"/>
          <w:szCs w:val="30"/>
          <w:highlight w:val="none"/>
        </w:rPr>
        <w:t>类）复印件</w:t>
      </w:r>
    </w:p>
    <w:p w14:paraId="4A61C834">
      <w:pPr>
        <w:pStyle w:val="2"/>
        <w:spacing w:line="268" w:lineRule="auto"/>
        <w:rPr>
          <w:color w:val="auto"/>
          <w:highlight w:val="none"/>
        </w:rPr>
      </w:pPr>
    </w:p>
    <w:p w14:paraId="5C907678">
      <w:pPr>
        <w:pStyle w:val="2"/>
        <w:spacing w:line="268" w:lineRule="auto"/>
        <w:rPr>
          <w:color w:val="auto"/>
          <w:highlight w:val="none"/>
        </w:rPr>
      </w:pPr>
    </w:p>
    <w:p w14:paraId="57DBF1DF">
      <w:pPr>
        <w:pStyle w:val="2"/>
        <w:spacing w:line="268" w:lineRule="auto"/>
        <w:rPr>
          <w:color w:val="auto"/>
          <w:highlight w:val="none"/>
        </w:rPr>
      </w:pPr>
    </w:p>
    <w:p w14:paraId="15CACDD7">
      <w:pPr>
        <w:pStyle w:val="2"/>
        <w:spacing w:line="269" w:lineRule="auto"/>
        <w:rPr>
          <w:color w:val="auto"/>
          <w:highlight w:val="none"/>
        </w:rPr>
      </w:pPr>
    </w:p>
    <w:p w14:paraId="07784A07">
      <w:pPr>
        <w:spacing w:before="79" w:line="219" w:lineRule="auto"/>
        <w:ind w:left="40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1AB1612D">
      <w:pPr>
        <w:spacing w:before="211" w:line="220" w:lineRule="auto"/>
        <w:jc w:val="right"/>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日期：  年</w:t>
      </w:r>
      <w:r>
        <w:rPr>
          <w:rFonts w:ascii="宋体" w:hAnsi="宋体" w:eastAsia="宋体" w:cs="宋体"/>
          <w:color w:val="auto"/>
          <w:spacing w:val="10"/>
          <w:sz w:val="24"/>
          <w:szCs w:val="24"/>
          <w:highlight w:val="none"/>
        </w:rPr>
        <w:t xml:space="preserve">  </w:t>
      </w:r>
      <w:r>
        <w:rPr>
          <w:rFonts w:ascii="宋体" w:hAnsi="宋体" w:eastAsia="宋体" w:cs="宋体"/>
          <w:color w:val="auto"/>
          <w:spacing w:val="-19"/>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9"/>
          <w:sz w:val="24"/>
          <w:szCs w:val="24"/>
          <w:highlight w:val="none"/>
        </w:rPr>
        <w:t>日</w:t>
      </w:r>
    </w:p>
    <w:p w14:paraId="69537022">
      <w:pPr>
        <w:spacing w:line="220" w:lineRule="auto"/>
        <w:rPr>
          <w:rFonts w:ascii="宋体" w:hAnsi="宋体" w:eastAsia="宋体" w:cs="宋体"/>
          <w:color w:val="auto"/>
          <w:sz w:val="24"/>
          <w:szCs w:val="24"/>
          <w:highlight w:val="none"/>
        </w:rPr>
        <w:sectPr>
          <w:footerReference r:id="rId53" w:type="default"/>
          <w:pgSz w:w="11905" w:h="16839"/>
          <w:pgMar w:top="400" w:right="1587" w:bottom="1079" w:left="1596" w:header="0" w:footer="843" w:gutter="0"/>
          <w:cols w:space="720" w:num="1"/>
        </w:sectPr>
      </w:pPr>
    </w:p>
    <w:p w14:paraId="68A49FF8">
      <w:pPr>
        <w:pStyle w:val="2"/>
        <w:spacing w:line="337" w:lineRule="auto"/>
        <w:rPr>
          <w:color w:val="auto"/>
          <w:highlight w:val="none"/>
        </w:rPr>
      </w:pPr>
    </w:p>
    <w:p w14:paraId="7DEEEED1">
      <w:pPr>
        <w:pStyle w:val="2"/>
        <w:spacing w:line="338" w:lineRule="auto"/>
        <w:rPr>
          <w:color w:val="auto"/>
          <w:highlight w:val="none"/>
        </w:rPr>
      </w:pPr>
    </w:p>
    <w:p w14:paraId="523BAD42">
      <w:pPr>
        <w:spacing w:before="97" w:line="361" w:lineRule="auto"/>
        <w:ind w:left="441" w:right="57" w:firstLine="2"/>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九、中小企业声明函或残疾人福利性单位声明函或投标人属于监狱</w:t>
      </w:r>
      <w:r>
        <w:rPr>
          <w:rFonts w:ascii="宋体" w:hAnsi="宋体" w:eastAsia="宋体" w:cs="宋体"/>
          <w:color w:val="auto"/>
          <w:spacing w:val="6"/>
          <w:sz w:val="30"/>
          <w:szCs w:val="30"/>
          <w:highlight w:val="none"/>
        </w:rPr>
        <w:t xml:space="preserve"> </w:t>
      </w:r>
      <w:r>
        <w:rPr>
          <w:rFonts w:ascii="宋体" w:hAnsi="宋体" w:eastAsia="宋体" w:cs="宋体"/>
          <w:b/>
          <w:bCs/>
          <w:color w:val="auto"/>
          <w:spacing w:val="-5"/>
          <w:sz w:val="30"/>
          <w:szCs w:val="30"/>
          <w:highlight w:val="none"/>
        </w:rPr>
        <w:t>企业的证明材料</w:t>
      </w:r>
    </w:p>
    <w:p w14:paraId="255384EB">
      <w:pPr>
        <w:spacing w:before="131" w:line="220" w:lineRule="auto"/>
        <w:ind w:left="3003"/>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小微企业声明函（工程类）</w:t>
      </w:r>
    </w:p>
    <w:p w14:paraId="03D62208">
      <w:pPr>
        <w:pStyle w:val="2"/>
        <w:spacing w:line="337" w:lineRule="auto"/>
        <w:rPr>
          <w:color w:val="auto"/>
          <w:sz w:val="20"/>
          <w:szCs w:val="20"/>
          <w:highlight w:val="none"/>
        </w:rPr>
      </w:pPr>
    </w:p>
    <w:p w14:paraId="2ED9A08B">
      <w:pPr>
        <w:spacing w:before="78" w:line="382" w:lineRule="auto"/>
        <w:ind w:left="9" w:right="199" w:firstLine="640"/>
        <w:jc w:val="both"/>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本公司郑重声明，根据《政府采购促进中小企业发展管理办法》（财库﹝2020﹞</w:t>
      </w:r>
      <w:r>
        <w:rPr>
          <w:rFonts w:ascii="宋体" w:hAnsi="宋体" w:eastAsia="宋体" w:cs="宋体"/>
          <w:color w:val="auto"/>
          <w:spacing w:val="1"/>
          <w:sz w:val="20"/>
          <w:szCs w:val="20"/>
          <w:highlight w:val="none"/>
        </w:rPr>
        <w:t xml:space="preserve"> </w:t>
      </w:r>
      <w:r>
        <w:rPr>
          <w:rFonts w:ascii="宋体" w:hAnsi="宋体" w:eastAsia="宋体" w:cs="宋体"/>
          <w:color w:val="auto"/>
          <w:spacing w:val="-1"/>
          <w:sz w:val="20"/>
          <w:szCs w:val="20"/>
          <w:highlight w:val="none"/>
        </w:rPr>
        <w:t>46</w:t>
      </w:r>
      <w:r>
        <w:rPr>
          <w:rFonts w:ascii="宋体" w:hAnsi="宋体" w:eastAsia="宋体" w:cs="宋体"/>
          <w:color w:val="auto"/>
          <w:spacing w:val="-45"/>
          <w:sz w:val="20"/>
          <w:szCs w:val="20"/>
          <w:highlight w:val="none"/>
        </w:rPr>
        <w:t xml:space="preserve"> </w:t>
      </w:r>
      <w:r>
        <w:rPr>
          <w:rFonts w:ascii="宋体" w:hAnsi="宋体" w:eastAsia="宋体" w:cs="宋体"/>
          <w:color w:val="auto"/>
          <w:spacing w:val="-1"/>
          <w:sz w:val="20"/>
          <w:szCs w:val="20"/>
          <w:highlight w:val="none"/>
        </w:rPr>
        <w:t>号）的规定，本公司参加</w:t>
      </w:r>
      <w:r>
        <w:rPr>
          <w:rFonts w:ascii="宋体" w:hAnsi="宋体" w:eastAsia="宋体" w:cs="宋体"/>
          <w:color w:val="auto"/>
          <w:spacing w:val="-1"/>
          <w:sz w:val="20"/>
          <w:szCs w:val="20"/>
          <w:highlight w:val="none"/>
          <w:u w:val="single" w:color="auto"/>
        </w:rPr>
        <w:t>（采购单位）</w:t>
      </w:r>
      <w:r>
        <w:rPr>
          <w:rFonts w:ascii="宋体" w:hAnsi="宋体" w:eastAsia="宋体" w:cs="宋体"/>
          <w:color w:val="auto"/>
          <w:spacing w:val="-2"/>
          <w:sz w:val="20"/>
          <w:szCs w:val="20"/>
          <w:highlight w:val="none"/>
        </w:rPr>
        <w:t>的</w:t>
      </w:r>
      <w:r>
        <w:rPr>
          <w:rFonts w:ascii="宋体" w:hAnsi="宋体" w:eastAsia="宋体" w:cs="宋体"/>
          <w:color w:val="auto"/>
          <w:spacing w:val="-2"/>
          <w:sz w:val="20"/>
          <w:szCs w:val="20"/>
          <w:highlight w:val="none"/>
          <w:u w:val="single" w:color="auto"/>
        </w:rPr>
        <w:t>*************工程</w:t>
      </w:r>
      <w:r>
        <w:rPr>
          <w:rFonts w:ascii="宋体" w:hAnsi="宋体" w:eastAsia="宋体" w:cs="宋体"/>
          <w:color w:val="auto"/>
          <w:spacing w:val="-2"/>
          <w:sz w:val="20"/>
          <w:szCs w:val="20"/>
          <w:highlight w:val="none"/>
        </w:rPr>
        <w:t>采购活动，工程的施工</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单位全部为符合政策要求的小微企业（或者：服务全部由符合政策要求的小微企业承</w:t>
      </w:r>
      <w:r>
        <w:rPr>
          <w:rFonts w:ascii="宋体" w:hAnsi="宋体" w:eastAsia="宋体" w:cs="宋体"/>
          <w:color w:val="auto"/>
          <w:spacing w:val="13"/>
          <w:sz w:val="20"/>
          <w:szCs w:val="20"/>
          <w:highlight w:val="none"/>
        </w:rPr>
        <w:t xml:space="preserve"> </w:t>
      </w:r>
      <w:r>
        <w:rPr>
          <w:rFonts w:ascii="宋体" w:hAnsi="宋体" w:eastAsia="宋体" w:cs="宋体"/>
          <w:color w:val="auto"/>
          <w:spacing w:val="-3"/>
          <w:sz w:val="20"/>
          <w:szCs w:val="20"/>
          <w:highlight w:val="none"/>
        </w:rPr>
        <w:t>接）。相关企业（含联合体中的小微企业、签订分包意向协议的小微企业）的具体情况</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如下：</w:t>
      </w:r>
    </w:p>
    <w:p w14:paraId="232647EA">
      <w:pPr>
        <w:tabs>
          <w:tab w:val="left" w:pos="136"/>
        </w:tabs>
        <w:spacing w:line="328" w:lineRule="auto"/>
        <w:ind w:firstLine="68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w:t>
      </w:r>
      <w:r>
        <w:rPr>
          <w:rFonts w:ascii="宋体" w:hAnsi="宋体" w:eastAsia="宋体" w:cs="宋体"/>
          <w:color w:val="auto"/>
          <w:spacing w:val="-3"/>
          <w:sz w:val="20"/>
          <w:szCs w:val="20"/>
          <w:highlight w:val="none"/>
          <w:u w:val="single" w:color="auto"/>
        </w:rPr>
        <w:t>（标的名称）</w:t>
      </w:r>
      <w:r>
        <w:rPr>
          <w:rFonts w:ascii="宋体" w:hAnsi="宋体" w:eastAsia="宋体" w:cs="宋体"/>
          <w:color w:val="auto"/>
          <w:spacing w:val="-3"/>
          <w:sz w:val="20"/>
          <w:szCs w:val="20"/>
          <w:highlight w:val="none"/>
        </w:rPr>
        <w:t>，属于</w:t>
      </w:r>
      <w:r>
        <w:rPr>
          <w:rFonts w:ascii="宋体" w:hAnsi="宋体" w:eastAsia="宋体" w:cs="宋体"/>
          <w:color w:val="auto"/>
          <w:spacing w:val="-3"/>
          <w:sz w:val="20"/>
          <w:szCs w:val="20"/>
          <w:highlight w:val="none"/>
          <w:u w:val="single" w:color="auto"/>
        </w:rPr>
        <w:t>（采购文件中明确的所属行业）</w:t>
      </w:r>
      <w:r>
        <w:rPr>
          <w:rFonts w:ascii="宋体" w:hAnsi="宋体" w:eastAsia="宋体" w:cs="宋体"/>
          <w:color w:val="auto"/>
          <w:spacing w:val="-3"/>
          <w:sz w:val="20"/>
          <w:szCs w:val="20"/>
          <w:highlight w:val="none"/>
        </w:rPr>
        <w:t>行业；承建（承接）企业为</w:t>
      </w:r>
      <w:r>
        <w:rPr>
          <w:rFonts w:ascii="宋体" w:hAnsi="宋体" w:eastAsia="宋体" w:cs="宋体"/>
          <w:color w:val="auto"/>
          <w:spacing w:val="1"/>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6"/>
          <w:sz w:val="20"/>
          <w:szCs w:val="20"/>
          <w:highlight w:val="none"/>
          <w:u w:val="single" w:color="auto"/>
        </w:rPr>
        <w:t>（企业名称</w:t>
      </w:r>
      <w:r>
        <w:rPr>
          <w:rFonts w:ascii="宋体" w:hAnsi="宋体" w:eastAsia="宋体" w:cs="宋体"/>
          <w:color w:val="auto"/>
          <w:spacing w:val="17"/>
          <w:sz w:val="20"/>
          <w:szCs w:val="20"/>
          <w:highlight w:val="none"/>
          <w:u w:val="single" w:color="auto"/>
        </w:rPr>
        <w:t>）</w:t>
      </w:r>
      <w:r>
        <w:rPr>
          <w:rFonts w:ascii="宋体" w:hAnsi="宋体" w:eastAsia="宋体" w:cs="宋体"/>
          <w:color w:val="auto"/>
          <w:spacing w:val="17"/>
          <w:sz w:val="20"/>
          <w:szCs w:val="20"/>
          <w:highlight w:val="none"/>
        </w:rPr>
        <w:t>，</w:t>
      </w:r>
      <w:r>
        <w:rPr>
          <w:rFonts w:ascii="宋体" w:hAnsi="宋体" w:eastAsia="宋体" w:cs="宋体"/>
          <w:color w:val="auto"/>
          <w:spacing w:val="-6"/>
          <w:sz w:val="20"/>
          <w:szCs w:val="20"/>
          <w:highlight w:val="none"/>
        </w:rPr>
        <w:t>从业人员</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8"/>
          <w:sz w:val="20"/>
          <w:szCs w:val="20"/>
          <w:highlight w:val="none"/>
        </w:rPr>
        <w:t xml:space="preserve"> </w:t>
      </w:r>
      <w:r>
        <w:rPr>
          <w:rFonts w:ascii="宋体" w:hAnsi="宋体" w:eastAsia="宋体" w:cs="宋体"/>
          <w:color w:val="auto"/>
          <w:spacing w:val="-6"/>
          <w:sz w:val="20"/>
          <w:szCs w:val="20"/>
          <w:highlight w:val="none"/>
        </w:rPr>
        <w:t>人，营业收入为</w:t>
      </w:r>
      <w:r>
        <w:rPr>
          <w:rFonts w:ascii="宋体" w:hAnsi="宋体" w:eastAsia="宋体" w:cs="宋体"/>
          <w:color w:val="auto"/>
          <w:spacing w:val="-119"/>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万元，资产总额为</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w:t>
      </w:r>
      <w:r>
        <w:rPr>
          <w:rFonts w:ascii="宋体" w:hAnsi="宋体" w:eastAsia="宋体" w:cs="宋体"/>
          <w:color w:val="auto"/>
          <w:sz w:val="20"/>
          <w:szCs w:val="20"/>
          <w:highlight w:val="none"/>
        </w:rPr>
        <w:t xml:space="preserve"> 属于</w:t>
      </w:r>
      <w:r>
        <w:rPr>
          <w:rFonts w:ascii="宋体" w:hAnsi="宋体" w:eastAsia="宋体" w:cs="宋体"/>
          <w:color w:val="auto"/>
          <w:sz w:val="20"/>
          <w:szCs w:val="20"/>
          <w:highlight w:val="none"/>
          <w:u w:val="single" w:color="auto"/>
        </w:rPr>
        <w:t>（中型企业、小型企业、微型企业）</w:t>
      </w:r>
      <w:r>
        <w:rPr>
          <w:rFonts w:ascii="宋体" w:hAnsi="宋体" w:eastAsia="宋体" w:cs="宋体"/>
          <w:color w:val="auto"/>
          <w:sz w:val="20"/>
          <w:szCs w:val="20"/>
          <w:highlight w:val="none"/>
        </w:rPr>
        <w:t>；</w:t>
      </w:r>
    </w:p>
    <w:p w14:paraId="17091F41">
      <w:pPr>
        <w:tabs>
          <w:tab w:val="left" w:pos="136"/>
        </w:tabs>
        <w:spacing w:before="211" w:line="328" w:lineRule="auto"/>
        <w:ind w:firstLine="66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w:t>
      </w:r>
      <w:r>
        <w:rPr>
          <w:rFonts w:ascii="宋体" w:hAnsi="宋体" w:eastAsia="宋体" w:cs="宋体"/>
          <w:color w:val="auto"/>
          <w:spacing w:val="-3"/>
          <w:sz w:val="20"/>
          <w:szCs w:val="20"/>
          <w:highlight w:val="none"/>
          <w:u w:val="single" w:color="auto"/>
        </w:rPr>
        <w:t>（标的名称</w:t>
      </w:r>
      <w:r>
        <w:rPr>
          <w:rFonts w:ascii="宋体" w:hAnsi="宋体" w:eastAsia="宋体" w:cs="宋体"/>
          <w:color w:val="auto"/>
          <w:spacing w:val="5"/>
          <w:sz w:val="20"/>
          <w:szCs w:val="20"/>
          <w:highlight w:val="none"/>
          <w:u w:val="single" w:color="auto"/>
        </w:rPr>
        <w:t>）</w:t>
      </w:r>
      <w:r>
        <w:rPr>
          <w:rFonts w:ascii="宋体" w:hAnsi="宋体" w:eastAsia="宋体" w:cs="宋体"/>
          <w:color w:val="auto"/>
          <w:spacing w:val="5"/>
          <w:sz w:val="20"/>
          <w:szCs w:val="20"/>
          <w:highlight w:val="none"/>
        </w:rPr>
        <w:t>，</w:t>
      </w:r>
      <w:r>
        <w:rPr>
          <w:rFonts w:ascii="宋体" w:hAnsi="宋体" w:eastAsia="宋体" w:cs="宋体"/>
          <w:color w:val="auto"/>
          <w:spacing w:val="-3"/>
          <w:sz w:val="20"/>
          <w:szCs w:val="20"/>
          <w:highlight w:val="none"/>
        </w:rPr>
        <w:t>属于</w:t>
      </w:r>
      <w:r>
        <w:rPr>
          <w:rFonts w:ascii="宋体" w:hAnsi="宋体" w:eastAsia="宋体" w:cs="宋体"/>
          <w:color w:val="auto"/>
          <w:spacing w:val="-3"/>
          <w:sz w:val="20"/>
          <w:szCs w:val="20"/>
          <w:highlight w:val="none"/>
          <w:u w:val="single" w:color="auto"/>
        </w:rPr>
        <w:t>（采购文件中明确的所属行业）</w:t>
      </w:r>
      <w:r>
        <w:rPr>
          <w:rFonts w:ascii="宋体" w:hAnsi="宋体" w:eastAsia="宋体" w:cs="宋体"/>
          <w:color w:val="auto"/>
          <w:spacing w:val="-3"/>
          <w:sz w:val="20"/>
          <w:szCs w:val="20"/>
          <w:highlight w:val="none"/>
        </w:rPr>
        <w:t>行业；承建（承接）企业为</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6"/>
          <w:sz w:val="20"/>
          <w:szCs w:val="20"/>
          <w:highlight w:val="none"/>
          <w:u w:val="single" w:color="auto"/>
        </w:rPr>
        <w:t>（企业名称</w:t>
      </w:r>
      <w:r>
        <w:rPr>
          <w:rFonts w:ascii="宋体" w:hAnsi="宋体" w:eastAsia="宋体" w:cs="宋体"/>
          <w:color w:val="auto"/>
          <w:spacing w:val="17"/>
          <w:sz w:val="20"/>
          <w:szCs w:val="20"/>
          <w:highlight w:val="none"/>
          <w:u w:val="single" w:color="auto"/>
        </w:rPr>
        <w:t>）</w:t>
      </w:r>
      <w:r>
        <w:rPr>
          <w:rFonts w:ascii="宋体" w:hAnsi="宋体" w:eastAsia="宋体" w:cs="宋体"/>
          <w:color w:val="auto"/>
          <w:spacing w:val="17"/>
          <w:sz w:val="20"/>
          <w:szCs w:val="20"/>
          <w:highlight w:val="none"/>
        </w:rPr>
        <w:t>，</w:t>
      </w:r>
      <w:r>
        <w:rPr>
          <w:rFonts w:ascii="宋体" w:hAnsi="宋体" w:eastAsia="宋体" w:cs="宋体"/>
          <w:color w:val="auto"/>
          <w:spacing w:val="-6"/>
          <w:sz w:val="20"/>
          <w:szCs w:val="20"/>
          <w:highlight w:val="none"/>
        </w:rPr>
        <w:t>从业人员</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8"/>
          <w:sz w:val="20"/>
          <w:szCs w:val="20"/>
          <w:highlight w:val="none"/>
        </w:rPr>
        <w:t xml:space="preserve"> </w:t>
      </w:r>
      <w:r>
        <w:rPr>
          <w:rFonts w:ascii="宋体" w:hAnsi="宋体" w:eastAsia="宋体" w:cs="宋体"/>
          <w:color w:val="auto"/>
          <w:spacing w:val="-6"/>
          <w:sz w:val="20"/>
          <w:szCs w:val="20"/>
          <w:highlight w:val="none"/>
        </w:rPr>
        <w:t>人，营业收入为</w:t>
      </w:r>
      <w:r>
        <w:rPr>
          <w:rFonts w:ascii="宋体" w:hAnsi="宋体" w:eastAsia="宋体" w:cs="宋体"/>
          <w:color w:val="auto"/>
          <w:spacing w:val="-119"/>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万元，资产总额为</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w:t>
      </w:r>
      <w:r>
        <w:rPr>
          <w:rFonts w:ascii="宋体" w:hAnsi="宋体" w:eastAsia="宋体" w:cs="宋体"/>
          <w:color w:val="auto"/>
          <w:sz w:val="20"/>
          <w:szCs w:val="20"/>
          <w:highlight w:val="none"/>
        </w:rPr>
        <w:t xml:space="preserve"> 属于</w:t>
      </w:r>
      <w:r>
        <w:rPr>
          <w:rFonts w:ascii="宋体" w:hAnsi="宋体" w:eastAsia="宋体" w:cs="宋体"/>
          <w:color w:val="auto"/>
          <w:sz w:val="20"/>
          <w:szCs w:val="20"/>
          <w:highlight w:val="none"/>
          <w:u w:val="single" w:color="auto"/>
        </w:rPr>
        <w:t>（中型企业、小型企业、微型企业）</w:t>
      </w:r>
      <w:r>
        <w:rPr>
          <w:rFonts w:ascii="宋体" w:hAnsi="宋体" w:eastAsia="宋体" w:cs="宋体"/>
          <w:color w:val="auto"/>
          <w:sz w:val="20"/>
          <w:szCs w:val="20"/>
          <w:highlight w:val="none"/>
        </w:rPr>
        <w:t>；</w:t>
      </w:r>
    </w:p>
    <w:p w14:paraId="5101C486">
      <w:pPr>
        <w:spacing w:before="208" w:line="379" w:lineRule="exact"/>
        <w:ind w:left="591"/>
        <w:rPr>
          <w:rFonts w:ascii="宋体" w:hAnsi="宋体" w:eastAsia="宋体" w:cs="宋体"/>
          <w:color w:val="auto"/>
          <w:sz w:val="20"/>
          <w:szCs w:val="20"/>
          <w:highlight w:val="none"/>
        </w:rPr>
      </w:pPr>
      <w:r>
        <w:rPr>
          <w:rFonts w:ascii="宋体" w:hAnsi="宋体" w:eastAsia="宋体" w:cs="宋体"/>
          <w:color w:val="auto"/>
          <w:spacing w:val="-13"/>
          <w:position w:val="3"/>
          <w:sz w:val="20"/>
          <w:szCs w:val="20"/>
          <w:highlight w:val="none"/>
        </w:rPr>
        <w:t>……</w:t>
      </w:r>
    </w:p>
    <w:p w14:paraId="59ABE5DE">
      <w:pPr>
        <w:spacing w:before="118" w:line="382" w:lineRule="auto"/>
        <w:ind w:left="33" w:right="199" w:firstLine="47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以上企业，不属于大企业的分支机构，不存在控股股东为大企业的情形，也不存在</w:t>
      </w:r>
      <w:r>
        <w:rPr>
          <w:rFonts w:ascii="宋体" w:hAnsi="宋体" w:eastAsia="宋体" w:cs="宋体"/>
          <w:color w:val="auto"/>
          <w:spacing w:val="5"/>
          <w:sz w:val="20"/>
          <w:szCs w:val="20"/>
          <w:highlight w:val="none"/>
        </w:rPr>
        <w:t xml:space="preserve"> </w:t>
      </w:r>
      <w:r>
        <w:rPr>
          <w:rFonts w:ascii="宋体" w:hAnsi="宋体" w:eastAsia="宋体" w:cs="宋体"/>
          <w:color w:val="auto"/>
          <w:spacing w:val="-1"/>
          <w:sz w:val="20"/>
          <w:szCs w:val="20"/>
          <w:highlight w:val="none"/>
        </w:rPr>
        <w:t>与大企业的负责人为同一人的情形。</w:t>
      </w:r>
    </w:p>
    <w:p w14:paraId="692DBDF4">
      <w:pPr>
        <w:spacing w:before="1" w:line="219" w:lineRule="auto"/>
        <w:ind w:left="577"/>
        <w:rPr>
          <w:rFonts w:ascii="宋体" w:hAnsi="宋体" w:eastAsia="宋体" w:cs="宋体"/>
          <w:color w:val="auto"/>
          <w:sz w:val="20"/>
          <w:szCs w:val="20"/>
          <w:highlight w:val="none"/>
        </w:rPr>
      </w:pPr>
      <w:r>
        <w:rPr>
          <w:rFonts w:ascii="宋体" w:hAnsi="宋体" w:eastAsia="宋体" w:cs="宋体"/>
          <w:color w:val="auto"/>
          <w:sz w:val="20"/>
          <w:szCs w:val="20"/>
          <w:highlight w:val="none"/>
        </w:rPr>
        <w:t>本企业对上述声明内容的真实性负责。如有虚</w:t>
      </w:r>
      <w:r>
        <w:rPr>
          <w:rFonts w:ascii="宋体" w:hAnsi="宋体" w:eastAsia="宋体" w:cs="宋体"/>
          <w:color w:val="auto"/>
          <w:spacing w:val="-1"/>
          <w:sz w:val="20"/>
          <w:szCs w:val="20"/>
          <w:highlight w:val="none"/>
        </w:rPr>
        <w:t>假，将依法承担相应责任。</w:t>
      </w:r>
    </w:p>
    <w:p w14:paraId="5BA9D458">
      <w:pPr>
        <w:pStyle w:val="2"/>
        <w:spacing w:line="313" w:lineRule="auto"/>
        <w:rPr>
          <w:color w:val="auto"/>
          <w:sz w:val="20"/>
          <w:szCs w:val="20"/>
          <w:highlight w:val="none"/>
        </w:rPr>
      </w:pPr>
    </w:p>
    <w:p w14:paraId="63B3186A">
      <w:pPr>
        <w:pStyle w:val="2"/>
        <w:spacing w:line="314" w:lineRule="auto"/>
        <w:rPr>
          <w:color w:val="auto"/>
          <w:sz w:val="20"/>
          <w:szCs w:val="20"/>
          <w:highlight w:val="none"/>
        </w:rPr>
      </w:pPr>
    </w:p>
    <w:p w14:paraId="4AC81724">
      <w:pPr>
        <w:spacing w:before="78" w:line="219" w:lineRule="auto"/>
        <w:ind w:left="452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5A94DBA1">
      <w:pPr>
        <w:spacing w:before="212" w:line="220" w:lineRule="auto"/>
        <w:ind w:right="6"/>
        <w:jc w:val="right"/>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102"/>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7"/>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372954E3">
      <w:pPr>
        <w:pStyle w:val="2"/>
        <w:spacing w:line="312" w:lineRule="auto"/>
        <w:rPr>
          <w:color w:val="auto"/>
          <w:sz w:val="20"/>
          <w:szCs w:val="20"/>
          <w:highlight w:val="none"/>
        </w:rPr>
      </w:pPr>
    </w:p>
    <w:p w14:paraId="10BC3477">
      <w:pPr>
        <w:pStyle w:val="2"/>
        <w:spacing w:line="312" w:lineRule="auto"/>
        <w:rPr>
          <w:color w:val="auto"/>
          <w:sz w:val="20"/>
          <w:szCs w:val="20"/>
          <w:highlight w:val="none"/>
        </w:rPr>
      </w:pPr>
    </w:p>
    <w:p w14:paraId="3E0F52B8">
      <w:pPr>
        <w:spacing w:before="78" w:line="383" w:lineRule="auto"/>
        <w:ind w:left="435" w:right="88" w:hanging="1"/>
        <w:jc w:val="both"/>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注：享受《政府采购促进中小企业发展管理办法》（财库〔2020〕46</w:t>
      </w:r>
      <w:r>
        <w:rPr>
          <w:rFonts w:ascii="宋体" w:hAnsi="宋体" w:eastAsia="宋体" w:cs="宋体"/>
          <w:color w:val="auto"/>
          <w:spacing w:val="-32"/>
          <w:sz w:val="20"/>
          <w:szCs w:val="20"/>
          <w:highlight w:val="none"/>
        </w:rPr>
        <w:t xml:space="preserve"> </w:t>
      </w:r>
      <w:r>
        <w:rPr>
          <w:rFonts w:ascii="宋体" w:hAnsi="宋体" w:eastAsia="宋体" w:cs="宋体"/>
          <w:color w:val="auto"/>
          <w:spacing w:val="-1"/>
          <w:sz w:val="20"/>
          <w:szCs w:val="20"/>
          <w:highlight w:val="none"/>
        </w:rPr>
        <w:t>号）规定的中</w:t>
      </w:r>
      <w:r>
        <w:rPr>
          <w:rFonts w:ascii="宋体" w:hAnsi="宋体" w:eastAsia="宋体" w:cs="宋体"/>
          <w:color w:val="auto"/>
          <w:sz w:val="20"/>
          <w:szCs w:val="20"/>
          <w:highlight w:val="none"/>
        </w:rPr>
        <w:t xml:space="preserve"> 小企业扶持政策的，采购人、采购代理机构应当随成</w:t>
      </w:r>
      <w:r>
        <w:rPr>
          <w:rFonts w:ascii="宋体" w:hAnsi="宋体" w:eastAsia="宋体" w:cs="宋体"/>
          <w:color w:val="auto"/>
          <w:spacing w:val="-1"/>
          <w:sz w:val="20"/>
          <w:szCs w:val="20"/>
          <w:highlight w:val="none"/>
        </w:rPr>
        <w:t>交结果公开成交供应商的《中</w:t>
      </w:r>
      <w:r>
        <w:rPr>
          <w:rFonts w:ascii="宋体" w:hAnsi="宋体" w:eastAsia="宋体" w:cs="宋体"/>
          <w:color w:val="auto"/>
          <w:sz w:val="20"/>
          <w:szCs w:val="20"/>
          <w:highlight w:val="none"/>
        </w:rPr>
        <w:t xml:space="preserve"> 小企业声明函》。从业人员、营业收入、资产总额填</w:t>
      </w:r>
      <w:r>
        <w:rPr>
          <w:rFonts w:ascii="宋体" w:hAnsi="宋体" w:eastAsia="宋体" w:cs="宋体"/>
          <w:color w:val="auto"/>
          <w:spacing w:val="-1"/>
          <w:sz w:val="20"/>
          <w:szCs w:val="20"/>
          <w:highlight w:val="none"/>
        </w:rPr>
        <w:t>报上一年度数据，无上一年度</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数据的新成立企业可不填报。</w:t>
      </w:r>
    </w:p>
    <w:p w14:paraId="0FA28A45">
      <w:pPr>
        <w:spacing w:line="383" w:lineRule="auto"/>
        <w:rPr>
          <w:rFonts w:ascii="宋体" w:hAnsi="宋体" w:eastAsia="宋体" w:cs="宋体"/>
          <w:color w:val="auto"/>
          <w:sz w:val="20"/>
          <w:szCs w:val="20"/>
          <w:highlight w:val="none"/>
        </w:rPr>
        <w:sectPr>
          <w:footerReference r:id="rId54" w:type="default"/>
          <w:pgSz w:w="11905" w:h="16839"/>
          <w:pgMar w:top="400" w:right="1529" w:bottom="1079" w:left="1160" w:header="0" w:footer="843" w:gutter="0"/>
          <w:cols w:space="720" w:num="1"/>
        </w:sectPr>
      </w:pPr>
    </w:p>
    <w:p w14:paraId="17EC5216">
      <w:pPr>
        <w:pStyle w:val="2"/>
        <w:spacing w:line="263" w:lineRule="auto"/>
        <w:rPr>
          <w:color w:val="auto"/>
          <w:highlight w:val="none"/>
        </w:rPr>
      </w:pPr>
    </w:p>
    <w:p w14:paraId="2F8DC672">
      <w:pPr>
        <w:pStyle w:val="2"/>
        <w:spacing w:line="264" w:lineRule="auto"/>
        <w:rPr>
          <w:color w:val="auto"/>
          <w:highlight w:val="none"/>
        </w:rPr>
      </w:pPr>
    </w:p>
    <w:p w14:paraId="3AD116ED">
      <w:pPr>
        <w:pStyle w:val="2"/>
        <w:spacing w:line="264" w:lineRule="auto"/>
        <w:rPr>
          <w:color w:val="auto"/>
          <w:highlight w:val="none"/>
        </w:rPr>
      </w:pPr>
    </w:p>
    <w:p w14:paraId="73FDBF93">
      <w:pPr>
        <w:spacing w:before="97" w:line="220" w:lineRule="auto"/>
        <w:ind w:left="2110"/>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残疾人福利性单位声明函（格式）</w:t>
      </w:r>
    </w:p>
    <w:p w14:paraId="0643F6AE">
      <w:pPr>
        <w:pStyle w:val="2"/>
        <w:spacing w:line="284" w:lineRule="auto"/>
        <w:rPr>
          <w:color w:val="auto"/>
          <w:highlight w:val="none"/>
        </w:rPr>
      </w:pPr>
    </w:p>
    <w:p w14:paraId="490179B1">
      <w:pPr>
        <w:pStyle w:val="2"/>
        <w:spacing w:line="284" w:lineRule="auto"/>
        <w:rPr>
          <w:color w:val="auto"/>
          <w:highlight w:val="none"/>
        </w:rPr>
      </w:pPr>
    </w:p>
    <w:p w14:paraId="290188F5">
      <w:pPr>
        <w:spacing w:before="78" w:line="382" w:lineRule="auto"/>
        <w:ind w:firstLine="481"/>
        <w:jc w:val="both"/>
        <w:rPr>
          <w:rFonts w:ascii="宋体" w:hAnsi="宋体" w:eastAsia="宋体" w:cs="宋体"/>
          <w:color w:val="auto"/>
          <w:sz w:val="20"/>
          <w:szCs w:val="20"/>
          <w:highlight w:val="none"/>
        </w:rPr>
      </w:pPr>
      <w:r>
        <w:rPr>
          <w:rFonts w:ascii="宋体" w:hAnsi="宋体" w:eastAsia="宋体" w:cs="宋体"/>
          <w:color w:val="auto"/>
          <w:sz w:val="20"/>
          <w:szCs w:val="20"/>
          <w:highlight w:val="none"/>
        </w:rPr>
        <w:t>本单位郑重声明，根据《财政部</w:t>
      </w:r>
      <w:r>
        <w:rPr>
          <w:rFonts w:ascii="宋体" w:hAnsi="宋体" w:eastAsia="宋体" w:cs="宋体"/>
          <w:color w:val="auto"/>
          <w:spacing w:val="42"/>
          <w:sz w:val="20"/>
          <w:szCs w:val="20"/>
          <w:highlight w:val="none"/>
        </w:rPr>
        <w:t xml:space="preserve"> </w:t>
      </w:r>
      <w:r>
        <w:rPr>
          <w:rFonts w:ascii="宋体" w:hAnsi="宋体" w:eastAsia="宋体" w:cs="宋体"/>
          <w:color w:val="auto"/>
          <w:sz w:val="20"/>
          <w:szCs w:val="20"/>
          <w:highlight w:val="none"/>
        </w:rPr>
        <w:t>民政部</w:t>
      </w:r>
      <w:r>
        <w:rPr>
          <w:rFonts w:ascii="宋体" w:hAnsi="宋体" w:eastAsia="宋体" w:cs="宋体"/>
          <w:color w:val="auto"/>
          <w:spacing w:val="37"/>
          <w:sz w:val="20"/>
          <w:szCs w:val="20"/>
          <w:highlight w:val="none"/>
        </w:rPr>
        <w:t xml:space="preserve"> </w:t>
      </w:r>
      <w:r>
        <w:rPr>
          <w:rFonts w:ascii="宋体" w:hAnsi="宋体" w:eastAsia="宋体" w:cs="宋体"/>
          <w:color w:val="auto"/>
          <w:sz w:val="20"/>
          <w:szCs w:val="20"/>
          <w:highlight w:val="none"/>
        </w:rPr>
        <w:t>中国残疾人联合会关于促进残疾人就</w:t>
      </w:r>
      <w:r>
        <w:rPr>
          <w:rFonts w:ascii="宋体" w:hAnsi="宋体" w:eastAsia="宋体" w:cs="宋体"/>
          <w:color w:val="auto"/>
          <w:spacing w:val="-3"/>
          <w:sz w:val="20"/>
          <w:szCs w:val="20"/>
          <w:highlight w:val="none"/>
        </w:rPr>
        <w:t>业政府采购政策的通知》（财库〔2017〕141</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号）的规定，本单位为符合条件的残疾</w:t>
      </w:r>
      <w:r>
        <w:rPr>
          <w:rFonts w:ascii="宋体" w:hAnsi="宋体" w:eastAsia="宋体" w:cs="宋体"/>
          <w:color w:val="auto"/>
          <w:spacing w:val="-1"/>
          <w:sz w:val="20"/>
          <w:szCs w:val="20"/>
          <w:highlight w:val="none"/>
        </w:rPr>
        <w:t>人福利性单位，且本单位参加</w:t>
      </w:r>
      <w:r>
        <w:rPr>
          <w:rFonts w:ascii="宋体" w:hAnsi="宋体" w:eastAsia="宋体" w:cs="宋体"/>
          <w:color w:val="auto"/>
          <w:spacing w:val="-1"/>
          <w:sz w:val="20"/>
          <w:szCs w:val="20"/>
          <w:highlight w:val="none"/>
          <w:u w:val="single" w:color="auto"/>
        </w:rPr>
        <w:t>（采购单位）</w:t>
      </w:r>
      <w:r>
        <w:rPr>
          <w:rFonts w:ascii="宋体" w:hAnsi="宋体" w:eastAsia="宋体" w:cs="宋体"/>
          <w:color w:val="auto"/>
          <w:spacing w:val="-1"/>
          <w:sz w:val="20"/>
          <w:szCs w:val="20"/>
          <w:highlight w:val="none"/>
        </w:rPr>
        <w:t>单位的</w:t>
      </w:r>
      <w:r>
        <w:rPr>
          <w:rFonts w:ascii="宋体" w:hAnsi="宋体" w:eastAsia="宋体" w:cs="宋体"/>
          <w:color w:val="auto"/>
          <w:spacing w:val="-1"/>
          <w:sz w:val="20"/>
          <w:szCs w:val="20"/>
          <w:highlight w:val="none"/>
          <w:u w:val="single" w:color="auto"/>
        </w:rPr>
        <w:t>*************工程</w:t>
      </w:r>
      <w:r>
        <w:rPr>
          <w:rFonts w:ascii="宋体" w:hAnsi="宋体" w:eastAsia="宋体" w:cs="宋体"/>
          <w:color w:val="auto"/>
          <w:spacing w:val="-1"/>
          <w:sz w:val="20"/>
          <w:szCs w:val="20"/>
          <w:highlight w:val="none"/>
        </w:rPr>
        <w:t>采购活动由本</w:t>
      </w:r>
      <w:r>
        <w:rPr>
          <w:rFonts w:ascii="宋体" w:hAnsi="宋体" w:eastAsia="宋体" w:cs="宋体"/>
          <w:color w:val="auto"/>
          <w:spacing w:val="4"/>
          <w:sz w:val="20"/>
          <w:szCs w:val="20"/>
          <w:highlight w:val="none"/>
        </w:rPr>
        <w:t xml:space="preserve"> </w:t>
      </w:r>
      <w:r>
        <w:rPr>
          <w:rFonts w:ascii="宋体" w:hAnsi="宋体" w:eastAsia="宋体" w:cs="宋体"/>
          <w:color w:val="auto"/>
          <w:spacing w:val="-2"/>
          <w:sz w:val="20"/>
          <w:szCs w:val="20"/>
          <w:highlight w:val="none"/>
        </w:rPr>
        <w:t>单位提供服务。</w:t>
      </w:r>
    </w:p>
    <w:p w14:paraId="66E8F3C3">
      <w:pPr>
        <w:spacing w:line="219" w:lineRule="auto"/>
        <w:ind w:left="48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本单位对上述声明的真实性负责。如有虚假，将依法承担相应责任。</w:t>
      </w:r>
    </w:p>
    <w:p w14:paraId="6E2EC349">
      <w:pPr>
        <w:pStyle w:val="2"/>
        <w:spacing w:line="269" w:lineRule="auto"/>
        <w:rPr>
          <w:color w:val="auto"/>
          <w:sz w:val="20"/>
          <w:szCs w:val="20"/>
          <w:highlight w:val="none"/>
        </w:rPr>
      </w:pPr>
    </w:p>
    <w:p w14:paraId="5BA06439">
      <w:pPr>
        <w:pStyle w:val="2"/>
        <w:spacing w:line="269" w:lineRule="auto"/>
        <w:rPr>
          <w:color w:val="auto"/>
          <w:sz w:val="20"/>
          <w:szCs w:val="20"/>
          <w:highlight w:val="none"/>
        </w:rPr>
      </w:pPr>
    </w:p>
    <w:p w14:paraId="4BEA5BB5">
      <w:pPr>
        <w:pStyle w:val="2"/>
        <w:spacing w:line="269" w:lineRule="auto"/>
        <w:rPr>
          <w:rFonts w:hint="eastAsia" w:ascii="宋体" w:hAnsi="宋体" w:eastAsia="宋体" w:cs="宋体"/>
          <w:color w:val="auto"/>
          <w:sz w:val="20"/>
          <w:szCs w:val="20"/>
          <w:highlight w:val="none"/>
        </w:rPr>
      </w:pPr>
    </w:p>
    <w:p w14:paraId="1872A84E">
      <w:pPr>
        <w:pStyle w:val="2"/>
        <w:spacing w:line="269" w:lineRule="auto"/>
        <w:rPr>
          <w:color w:val="auto"/>
          <w:sz w:val="20"/>
          <w:szCs w:val="20"/>
          <w:highlight w:val="none"/>
        </w:rPr>
      </w:pPr>
    </w:p>
    <w:p w14:paraId="7A8622E5">
      <w:pPr>
        <w:pStyle w:val="2"/>
        <w:spacing w:line="269" w:lineRule="auto"/>
        <w:rPr>
          <w:color w:val="auto"/>
          <w:sz w:val="20"/>
          <w:szCs w:val="20"/>
          <w:highlight w:val="none"/>
        </w:rPr>
      </w:pPr>
    </w:p>
    <w:p w14:paraId="44ADC3F8">
      <w:pPr>
        <w:pStyle w:val="2"/>
        <w:spacing w:line="269" w:lineRule="auto"/>
        <w:rPr>
          <w:color w:val="auto"/>
          <w:sz w:val="20"/>
          <w:szCs w:val="20"/>
          <w:highlight w:val="none"/>
        </w:rPr>
      </w:pPr>
    </w:p>
    <w:p w14:paraId="76CD1EC3">
      <w:pPr>
        <w:spacing w:before="78" w:line="219" w:lineRule="auto"/>
        <w:ind w:left="240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6452955F">
      <w:pPr>
        <w:spacing w:before="212" w:line="220" w:lineRule="auto"/>
        <w:ind w:left="4362"/>
        <w:rPr>
          <w:rFonts w:ascii="宋体" w:hAnsi="宋体" w:eastAsia="宋体" w:cs="宋体"/>
          <w:color w:val="auto"/>
          <w:sz w:val="20"/>
          <w:szCs w:val="20"/>
          <w:highlight w:val="none"/>
        </w:rPr>
      </w:pPr>
      <w:r>
        <w:rPr>
          <w:rFonts w:ascii="宋体" w:hAnsi="宋体" w:eastAsia="宋体" w:cs="宋体"/>
          <w:color w:val="auto"/>
          <w:spacing w:val="-20"/>
          <w:sz w:val="20"/>
          <w:szCs w:val="20"/>
          <w:highlight w:val="none"/>
        </w:rPr>
        <w:t>日</w:t>
      </w:r>
      <w:r>
        <w:rPr>
          <w:rFonts w:ascii="宋体" w:hAnsi="宋体" w:eastAsia="宋体" w:cs="宋体"/>
          <w:color w:val="auto"/>
          <w:spacing w:val="6"/>
          <w:sz w:val="20"/>
          <w:szCs w:val="20"/>
          <w:highlight w:val="none"/>
        </w:rPr>
        <w:t xml:space="preserve">  </w:t>
      </w:r>
      <w:r>
        <w:rPr>
          <w:rFonts w:ascii="宋体" w:hAnsi="宋体" w:eastAsia="宋体" w:cs="宋体"/>
          <w:color w:val="auto"/>
          <w:spacing w:val="-20"/>
          <w:sz w:val="20"/>
          <w:szCs w:val="20"/>
          <w:highlight w:val="none"/>
        </w:rPr>
        <w:t>期</w:t>
      </w:r>
      <w:r>
        <w:rPr>
          <w:rFonts w:ascii="宋体" w:hAnsi="宋体" w:eastAsia="宋体" w:cs="宋体"/>
          <w:color w:val="auto"/>
          <w:spacing w:val="-89"/>
          <w:sz w:val="20"/>
          <w:szCs w:val="20"/>
          <w:highlight w:val="none"/>
        </w:rPr>
        <w:t xml:space="preserve"> </w:t>
      </w:r>
      <w:r>
        <w:rPr>
          <w:rFonts w:ascii="宋体" w:hAnsi="宋体" w:eastAsia="宋体" w:cs="宋体"/>
          <w:color w:val="auto"/>
          <w:spacing w:val="-20"/>
          <w:sz w:val="20"/>
          <w:szCs w:val="20"/>
          <w:highlight w:val="none"/>
        </w:rPr>
        <w:t>：</w:t>
      </w:r>
      <w:r>
        <w:rPr>
          <w:rFonts w:ascii="宋体" w:hAnsi="宋体" w:eastAsia="宋体" w:cs="宋体"/>
          <w:color w:val="auto"/>
          <w:spacing w:val="3"/>
          <w:sz w:val="20"/>
          <w:szCs w:val="20"/>
          <w:highlight w:val="none"/>
        </w:rPr>
        <w:t xml:space="preserve">   </w:t>
      </w:r>
      <w:r>
        <w:rPr>
          <w:rFonts w:ascii="宋体" w:hAnsi="宋体" w:eastAsia="宋体" w:cs="宋体"/>
          <w:color w:val="auto"/>
          <w:spacing w:val="-20"/>
          <w:sz w:val="20"/>
          <w:szCs w:val="20"/>
          <w:highlight w:val="none"/>
        </w:rPr>
        <w:t>年</w:t>
      </w:r>
      <w:r>
        <w:rPr>
          <w:rFonts w:ascii="宋体" w:hAnsi="宋体" w:eastAsia="宋体" w:cs="宋体"/>
          <w:color w:val="auto"/>
          <w:spacing w:val="5"/>
          <w:sz w:val="20"/>
          <w:szCs w:val="20"/>
          <w:highlight w:val="none"/>
        </w:rPr>
        <w:t xml:space="preserve">   </w:t>
      </w:r>
      <w:r>
        <w:rPr>
          <w:rFonts w:ascii="宋体" w:hAnsi="宋体" w:eastAsia="宋体" w:cs="宋体"/>
          <w:color w:val="auto"/>
          <w:spacing w:val="-20"/>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20"/>
          <w:sz w:val="20"/>
          <w:szCs w:val="20"/>
          <w:highlight w:val="none"/>
        </w:rPr>
        <w:t>日</w:t>
      </w:r>
    </w:p>
    <w:p w14:paraId="5623E39D">
      <w:pPr>
        <w:pStyle w:val="2"/>
        <w:spacing w:line="268" w:lineRule="auto"/>
        <w:rPr>
          <w:color w:val="auto"/>
          <w:sz w:val="20"/>
          <w:szCs w:val="20"/>
          <w:highlight w:val="none"/>
        </w:rPr>
      </w:pPr>
    </w:p>
    <w:p w14:paraId="5E883F4B">
      <w:pPr>
        <w:pStyle w:val="2"/>
        <w:spacing w:line="268" w:lineRule="auto"/>
        <w:rPr>
          <w:color w:val="auto"/>
          <w:sz w:val="20"/>
          <w:szCs w:val="20"/>
          <w:highlight w:val="none"/>
        </w:rPr>
      </w:pPr>
    </w:p>
    <w:p w14:paraId="7DED83DB">
      <w:pPr>
        <w:pStyle w:val="2"/>
        <w:spacing w:line="268" w:lineRule="auto"/>
        <w:rPr>
          <w:color w:val="auto"/>
          <w:sz w:val="20"/>
          <w:szCs w:val="20"/>
          <w:highlight w:val="none"/>
        </w:rPr>
      </w:pPr>
    </w:p>
    <w:p w14:paraId="6D5D61DB">
      <w:pPr>
        <w:pStyle w:val="2"/>
        <w:spacing w:line="269" w:lineRule="auto"/>
        <w:rPr>
          <w:color w:val="auto"/>
          <w:sz w:val="20"/>
          <w:szCs w:val="20"/>
          <w:highlight w:val="none"/>
        </w:rPr>
      </w:pPr>
    </w:p>
    <w:p w14:paraId="5D9F8B8D">
      <w:pPr>
        <w:pStyle w:val="2"/>
        <w:spacing w:line="269" w:lineRule="auto"/>
        <w:rPr>
          <w:color w:val="auto"/>
          <w:sz w:val="20"/>
          <w:szCs w:val="20"/>
          <w:highlight w:val="none"/>
        </w:rPr>
      </w:pPr>
    </w:p>
    <w:p w14:paraId="633080E4">
      <w:pPr>
        <w:pStyle w:val="2"/>
        <w:spacing w:line="269" w:lineRule="auto"/>
        <w:rPr>
          <w:color w:val="auto"/>
          <w:sz w:val="20"/>
          <w:szCs w:val="20"/>
          <w:highlight w:val="none"/>
        </w:rPr>
      </w:pPr>
    </w:p>
    <w:p w14:paraId="47B8DDD9">
      <w:pPr>
        <w:spacing w:before="78" w:line="383" w:lineRule="auto"/>
        <w:jc w:val="both"/>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注：请根据自己的真实情况出具《残疾人福利性单位声明函》。依法享受中小企业</w:t>
      </w:r>
      <w:r>
        <w:rPr>
          <w:rFonts w:ascii="宋体" w:hAnsi="宋体" w:eastAsia="宋体" w:cs="宋体"/>
          <w:color w:val="auto"/>
          <w:spacing w:val="8"/>
          <w:sz w:val="20"/>
          <w:szCs w:val="20"/>
          <w:highlight w:val="none"/>
        </w:rPr>
        <w:t xml:space="preserve"> </w:t>
      </w:r>
      <w:r>
        <w:rPr>
          <w:rFonts w:ascii="宋体" w:hAnsi="宋体" w:eastAsia="宋体" w:cs="宋体"/>
          <w:color w:val="auto"/>
          <w:spacing w:val="2"/>
          <w:sz w:val="20"/>
          <w:szCs w:val="20"/>
          <w:highlight w:val="none"/>
        </w:rPr>
        <w:t>优惠政策的，采购人或者采购代理机构在公告中标结果时，同时公告其《残疾人福</w:t>
      </w:r>
      <w:r>
        <w:rPr>
          <w:rFonts w:ascii="宋体" w:hAnsi="宋体" w:eastAsia="宋体" w:cs="宋体"/>
          <w:color w:val="auto"/>
          <w:spacing w:val="9"/>
          <w:sz w:val="20"/>
          <w:szCs w:val="20"/>
          <w:highlight w:val="none"/>
        </w:rPr>
        <w:t xml:space="preserve"> </w:t>
      </w:r>
      <w:r>
        <w:rPr>
          <w:rFonts w:ascii="宋体" w:hAnsi="宋体" w:eastAsia="宋体" w:cs="宋体"/>
          <w:color w:val="auto"/>
          <w:spacing w:val="-1"/>
          <w:sz w:val="20"/>
          <w:szCs w:val="20"/>
          <w:highlight w:val="none"/>
        </w:rPr>
        <w:t>利性单位声明函》，接受社会监督。</w:t>
      </w:r>
    </w:p>
    <w:p w14:paraId="5A33C996">
      <w:pPr>
        <w:spacing w:line="383" w:lineRule="auto"/>
        <w:rPr>
          <w:rFonts w:ascii="宋体" w:hAnsi="宋体" w:eastAsia="宋体" w:cs="宋体"/>
          <w:color w:val="auto"/>
          <w:sz w:val="24"/>
          <w:szCs w:val="24"/>
          <w:highlight w:val="none"/>
        </w:rPr>
        <w:sectPr>
          <w:footerReference r:id="rId55" w:type="default"/>
          <w:pgSz w:w="11905" w:h="16839"/>
          <w:pgMar w:top="400" w:right="1587" w:bottom="1079" w:left="1594" w:header="0" w:footer="843" w:gutter="0"/>
          <w:cols w:space="720" w:num="1"/>
        </w:sectPr>
      </w:pPr>
    </w:p>
    <w:p w14:paraId="4F896353">
      <w:pPr>
        <w:pStyle w:val="2"/>
        <w:spacing w:line="292" w:lineRule="auto"/>
        <w:rPr>
          <w:color w:val="auto"/>
          <w:highlight w:val="none"/>
        </w:rPr>
      </w:pPr>
    </w:p>
    <w:p w14:paraId="4AA19FA0">
      <w:pPr>
        <w:pStyle w:val="2"/>
        <w:spacing w:line="293" w:lineRule="auto"/>
        <w:rPr>
          <w:color w:val="auto"/>
          <w:highlight w:val="none"/>
        </w:rPr>
      </w:pPr>
    </w:p>
    <w:p w14:paraId="0EBFC8E7">
      <w:pPr>
        <w:pStyle w:val="2"/>
        <w:spacing w:line="293" w:lineRule="auto"/>
        <w:rPr>
          <w:color w:val="auto"/>
          <w:highlight w:val="none"/>
        </w:rPr>
      </w:pPr>
    </w:p>
    <w:p w14:paraId="70FBC266">
      <w:pPr>
        <w:pStyle w:val="2"/>
        <w:spacing w:line="293" w:lineRule="auto"/>
        <w:rPr>
          <w:color w:val="auto"/>
          <w:highlight w:val="none"/>
        </w:rPr>
      </w:pPr>
    </w:p>
    <w:p w14:paraId="5B5C4A8B">
      <w:pPr>
        <w:spacing w:before="97" w:line="219" w:lineRule="auto"/>
        <w:jc w:val="right"/>
        <w:outlineLvl w:val="1"/>
        <w:rPr>
          <w:rFonts w:ascii="宋体" w:hAnsi="宋体" w:eastAsia="宋体" w:cs="宋体"/>
          <w:color w:val="auto"/>
          <w:sz w:val="30"/>
          <w:szCs w:val="30"/>
          <w:highlight w:val="none"/>
        </w:rPr>
      </w:pPr>
      <w:bookmarkStart w:id="22" w:name="_Toc26127"/>
      <w:r>
        <w:rPr>
          <w:rFonts w:ascii="宋体" w:hAnsi="宋体" w:eastAsia="宋体" w:cs="宋体"/>
          <w:b/>
          <w:bCs/>
          <w:color w:val="auto"/>
          <w:spacing w:val="-3"/>
          <w:sz w:val="30"/>
          <w:szCs w:val="30"/>
          <w:highlight w:val="none"/>
        </w:rPr>
        <w:t>十、除磋商文件规定必须提供以外，供应商认为需要提供的其</w:t>
      </w:r>
      <w:bookmarkEnd w:id="22"/>
    </w:p>
    <w:p w14:paraId="73C50E3C">
      <w:pPr>
        <w:spacing w:before="227" w:line="219" w:lineRule="auto"/>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他证明材料</w:t>
      </w:r>
    </w:p>
    <w:p w14:paraId="5538B79A">
      <w:pPr>
        <w:pStyle w:val="2"/>
        <w:spacing w:line="270" w:lineRule="auto"/>
        <w:rPr>
          <w:color w:val="auto"/>
          <w:highlight w:val="none"/>
        </w:rPr>
      </w:pPr>
    </w:p>
    <w:p w14:paraId="7B8EA927">
      <w:pPr>
        <w:pStyle w:val="2"/>
        <w:spacing w:line="271" w:lineRule="auto"/>
        <w:rPr>
          <w:color w:val="auto"/>
          <w:highlight w:val="none"/>
        </w:rPr>
      </w:pPr>
    </w:p>
    <w:p w14:paraId="76DCE8E9">
      <w:pPr>
        <w:pStyle w:val="2"/>
        <w:spacing w:line="271" w:lineRule="auto"/>
        <w:rPr>
          <w:color w:val="auto"/>
          <w:highlight w:val="none"/>
        </w:rPr>
      </w:pPr>
    </w:p>
    <w:p w14:paraId="7364F009">
      <w:pPr>
        <w:spacing w:before="78" w:line="219" w:lineRule="auto"/>
        <w:ind w:left="23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7A04BCCA">
      <w:pPr>
        <w:spacing w:before="211" w:line="220" w:lineRule="auto"/>
        <w:ind w:left="4358"/>
        <w:rPr>
          <w:rFonts w:ascii="宋体" w:hAnsi="宋体" w:eastAsia="宋体" w:cs="宋体"/>
          <w:color w:val="auto"/>
          <w:sz w:val="24"/>
          <w:szCs w:val="24"/>
          <w:highlight w:val="none"/>
        </w:rPr>
      </w:pPr>
      <w:r>
        <w:rPr>
          <w:rFonts w:ascii="宋体" w:hAnsi="宋体" w:eastAsia="宋体" w:cs="宋体"/>
          <w:color w:val="auto"/>
          <w:spacing w:val="-20"/>
          <w:sz w:val="24"/>
          <w:szCs w:val="24"/>
          <w:highlight w:val="none"/>
        </w:rPr>
        <w:t>日</w:t>
      </w:r>
      <w:r>
        <w:rPr>
          <w:rFonts w:ascii="宋体" w:hAnsi="宋体" w:eastAsia="宋体" w:cs="宋体"/>
          <w:color w:val="auto"/>
          <w:spacing w:val="6"/>
          <w:sz w:val="24"/>
          <w:szCs w:val="24"/>
          <w:highlight w:val="none"/>
        </w:rPr>
        <w:t xml:space="preserve">  </w:t>
      </w:r>
      <w:r>
        <w:rPr>
          <w:rFonts w:ascii="宋体" w:hAnsi="宋体" w:eastAsia="宋体" w:cs="宋体"/>
          <w:color w:val="auto"/>
          <w:spacing w:val="-20"/>
          <w:sz w:val="24"/>
          <w:szCs w:val="24"/>
          <w:highlight w:val="none"/>
        </w:rPr>
        <w:t>期</w:t>
      </w:r>
      <w:r>
        <w:rPr>
          <w:rFonts w:ascii="宋体" w:hAnsi="宋体" w:eastAsia="宋体" w:cs="宋体"/>
          <w:color w:val="auto"/>
          <w:spacing w:val="-89"/>
          <w:sz w:val="24"/>
          <w:szCs w:val="24"/>
          <w:highlight w:val="none"/>
        </w:rPr>
        <w:t xml:space="preserve"> </w:t>
      </w:r>
      <w:r>
        <w:rPr>
          <w:rFonts w:ascii="宋体" w:hAnsi="宋体" w:eastAsia="宋体" w:cs="宋体"/>
          <w:color w:val="auto"/>
          <w:spacing w:val="-20"/>
          <w:sz w:val="24"/>
          <w:szCs w:val="24"/>
          <w:highlight w:val="none"/>
        </w:rPr>
        <w:t>：</w:t>
      </w:r>
      <w:r>
        <w:rPr>
          <w:rFonts w:ascii="宋体" w:hAnsi="宋体" w:eastAsia="宋体" w:cs="宋体"/>
          <w:color w:val="auto"/>
          <w:spacing w:val="3"/>
          <w:sz w:val="24"/>
          <w:szCs w:val="24"/>
          <w:highlight w:val="none"/>
        </w:rPr>
        <w:t xml:space="preserve">   </w:t>
      </w:r>
      <w:r>
        <w:rPr>
          <w:rFonts w:ascii="宋体" w:hAnsi="宋体" w:eastAsia="宋体" w:cs="宋体"/>
          <w:color w:val="auto"/>
          <w:spacing w:val="-20"/>
          <w:sz w:val="24"/>
          <w:szCs w:val="24"/>
          <w:highlight w:val="none"/>
        </w:rPr>
        <w:t>年</w:t>
      </w:r>
      <w:r>
        <w:rPr>
          <w:rFonts w:ascii="宋体" w:hAnsi="宋体" w:eastAsia="宋体" w:cs="宋体"/>
          <w:color w:val="auto"/>
          <w:spacing w:val="5"/>
          <w:sz w:val="24"/>
          <w:szCs w:val="24"/>
          <w:highlight w:val="none"/>
        </w:rPr>
        <w:t xml:space="preserve">   </w:t>
      </w:r>
      <w:r>
        <w:rPr>
          <w:rFonts w:ascii="宋体" w:hAnsi="宋体" w:eastAsia="宋体" w:cs="宋体"/>
          <w:color w:val="auto"/>
          <w:spacing w:val="-20"/>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20"/>
          <w:sz w:val="24"/>
          <w:szCs w:val="24"/>
          <w:highlight w:val="none"/>
        </w:rPr>
        <w:t>日</w:t>
      </w:r>
    </w:p>
    <w:p w14:paraId="2C8C4EB0">
      <w:pPr>
        <w:spacing w:line="220" w:lineRule="auto"/>
        <w:rPr>
          <w:rFonts w:ascii="宋体" w:hAnsi="宋体" w:eastAsia="宋体" w:cs="宋体"/>
          <w:color w:val="auto"/>
          <w:sz w:val="24"/>
          <w:szCs w:val="24"/>
          <w:highlight w:val="none"/>
        </w:rPr>
        <w:sectPr>
          <w:footerReference r:id="rId56" w:type="default"/>
          <w:pgSz w:w="11905" w:h="16839"/>
          <w:pgMar w:top="400" w:right="1587" w:bottom="1079" w:left="1598" w:header="0" w:footer="843" w:gutter="0"/>
          <w:cols w:space="720" w:num="1"/>
        </w:sectPr>
      </w:pPr>
    </w:p>
    <w:p w14:paraId="58809FE1">
      <w:pPr>
        <w:pStyle w:val="2"/>
        <w:spacing w:line="265" w:lineRule="auto"/>
        <w:rPr>
          <w:color w:val="auto"/>
          <w:highlight w:val="none"/>
        </w:rPr>
      </w:pPr>
    </w:p>
    <w:p w14:paraId="592C13DD">
      <w:pPr>
        <w:pStyle w:val="2"/>
        <w:spacing w:line="265" w:lineRule="auto"/>
        <w:rPr>
          <w:color w:val="auto"/>
          <w:highlight w:val="none"/>
        </w:rPr>
      </w:pPr>
    </w:p>
    <w:p w14:paraId="6E5D0F84">
      <w:pPr>
        <w:pStyle w:val="2"/>
        <w:spacing w:line="265" w:lineRule="auto"/>
        <w:rPr>
          <w:color w:val="auto"/>
          <w:highlight w:val="none"/>
        </w:rPr>
      </w:pPr>
    </w:p>
    <w:p w14:paraId="6B62AC1C">
      <w:pPr>
        <w:pStyle w:val="2"/>
        <w:spacing w:line="266" w:lineRule="auto"/>
        <w:rPr>
          <w:color w:val="auto"/>
          <w:highlight w:val="none"/>
        </w:rPr>
      </w:pPr>
    </w:p>
    <w:p w14:paraId="01A9EAA9">
      <w:pPr>
        <w:spacing w:before="100" w:line="225" w:lineRule="auto"/>
        <w:ind w:left="2337"/>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第三节 商务技术文件格式</w:t>
      </w:r>
    </w:p>
    <w:p w14:paraId="290C87BB">
      <w:pPr>
        <w:pStyle w:val="2"/>
        <w:spacing w:line="333" w:lineRule="auto"/>
        <w:rPr>
          <w:color w:val="auto"/>
          <w:highlight w:val="none"/>
        </w:rPr>
      </w:pPr>
    </w:p>
    <w:p w14:paraId="7765C0C7">
      <w:pPr>
        <w:spacing w:before="65" w:line="228" w:lineRule="auto"/>
        <w:ind w:left="6051"/>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全流程电子文件</w:t>
      </w:r>
    </w:p>
    <w:p w14:paraId="167E0A17">
      <w:pPr>
        <w:pStyle w:val="2"/>
        <w:spacing w:line="248" w:lineRule="auto"/>
        <w:rPr>
          <w:color w:val="auto"/>
          <w:highlight w:val="none"/>
        </w:rPr>
      </w:pPr>
    </w:p>
    <w:p w14:paraId="517BF5E3">
      <w:pPr>
        <w:pStyle w:val="2"/>
        <w:spacing w:line="248" w:lineRule="auto"/>
        <w:rPr>
          <w:color w:val="auto"/>
          <w:highlight w:val="none"/>
        </w:rPr>
      </w:pPr>
    </w:p>
    <w:p w14:paraId="465EBDC1">
      <w:pPr>
        <w:pStyle w:val="2"/>
        <w:spacing w:line="248" w:lineRule="auto"/>
        <w:rPr>
          <w:color w:val="auto"/>
          <w:highlight w:val="none"/>
        </w:rPr>
      </w:pPr>
    </w:p>
    <w:p w14:paraId="23F42D62">
      <w:pPr>
        <w:pStyle w:val="2"/>
        <w:spacing w:line="249" w:lineRule="auto"/>
        <w:rPr>
          <w:color w:val="auto"/>
          <w:highlight w:val="none"/>
        </w:rPr>
      </w:pPr>
    </w:p>
    <w:p w14:paraId="79537DC7">
      <w:pPr>
        <w:pStyle w:val="2"/>
        <w:spacing w:line="249" w:lineRule="auto"/>
        <w:rPr>
          <w:color w:val="auto"/>
          <w:highlight w:val="none"/>
        </w:rPr>
      </w:pPr>
    </w:p>
    <w:p w14:paraId="274E2D99">
      <w:pPr>
        <w:pStyle w:val="2"/>
        <w:spacing w:line="249" w:lineRule="auto"/>
        <w:rPr>
          <w:color w:val="auto"/>
          <w:highlight w:val="none"/>
        </w:rPr>
      </w:pPr>
    </w:p>
    <w:p w14:paraId="20A92EA7">
      <w:pPr>
        <w:spacing w:before="169" w:line="220" w:lineRule="auto"/>
        <w:ind w:left="1585"/>
        <w:rPr>
          <w:rFonts w:ascii="宋体" w:hAnsi="宋体" w:eastAsia="宋体" w:cs="宋体"/>
          <w:color w:val="auto"/>
          <w:sz w:val="52"/>
          <w:szCs w:val="52"/>
          <w:highlight w:val="none"/>
        </w:rPr>
      </w:pPr>
      <w:r>
        <w:rPr>
          <w:rFonts w:ascii="宋体" w:hAnsi="宋体" w:eastAsia="宋体" w:cs="宋体"/>
          <w:b/>
          <w:bCs/>
          <w:color w:val="auto"/>
          <w:spacing w:val="-7"/>
          <w:sz w:val="52"/>
          <w:szCs w:val="52"/>
          <w:highlight w:val="none"/>
        </w:rPr>
        <w:t>商务技术文件（封面）</w:t>
      </w:r>
    </w:p>
    <w:p w14:paraId="4CC49A27">
      <w:pPr>
        <w:pStyle w:val="2"/>
        <w:spacing w:line="246" w:lineRule="auto"/>
        <w:rPr>
          <w:color w:val="auto"/>
          <w:highlight w:val="none"/>
        </w:rPr>
      </w:pPr>
    </w:p>
    <w:p w14:paraId="2CE79D1F">
      <w:pPr>
        <w:pStyle w:val="2"/>
        <w:spacing w:line="246" w:lineRule="auto"/>
        <w:rPr>
          <w:color w:val="auto"/>
          <w:highlight w:val="none"/>
        </w:rPr>
      </w:pPr>
    </w:p>
    <w:p w14:paraId="348DEA2A">
      <w:pPr>
        <w:pStyle w:val="2"/>
        <w:spacing w:line="246" w:lineRule="auto"/>
        <w:rPr>
          <w:color w:val="auto"/>
          <w:highlight w:val="none"/>
        </w:rPr>
      </w:pPr>
    </w:p>
    <w:p w14:paraId="08524B89">
      <w:pPr>
        <w:pStyle w:val="2"/>
        <w:spacing w:line="246" w:lineRule="auto"/>
        <w:rPr>
          <w:color w:val="auto"/>
          <w:highlight w:val="none"/>
        </w:rPr>
      </w:pPr>
    </w:p>
    <w:p w14:paraId="4383C2F3">
      <w:pPr>
        <w:pStyle w:val="2"/>
        <w:spacing w:line="246" w:lineRule="auto"/>
        <w:rPr>
          <w:color w:val="auto"/>
          <w:highlight w:val="none"/>
        </w:rPr>
      </w:pPr>
    </w:p>
    <w:p w14:paraId="12C4C608">
      <w:pPr>
        <w:pStyle w:val="2"/>
        <w:spacing w:line="246" w:lineRule="auto"/>
        <w:rPr>
          <w:color w:val="auto"/>
          <w:highlight w:val="none"/>
        </w:rPr>
      </w:pPr>
    </w:p>
    <w:p w14:paraId="7B3415D2">
      <w:pPr>
        <w:pStyle w:val="2"/>
        <w:spacing w:line="246" w:lineRule="auto"/>
        <w:rPr>
          <w:color w:val="auto"/>
          <w:highlight w:val="none"/>
        </w:rPr>
      </w:pPr>
    </w:p>
    <w:p w14:paraId="542F8FCC">
      <w:pPr>
        <w:pStyle w:val="2"/>
        <w:spacing w:line="246" w:lineRule="auto"/>
        <w:rPr>
          <w:color w:val="auto"/>
          <w:highlight w:val="none"/>
        </w:rPr>
      </w:pPr>
    </w:p>
    <w:p w14:paraId="5321761F">
      <w:pPr>
        <w:pStyle w:val="2"/>
        <w:spacing w:line="246" w:lineRule="auto"/>
        <w:rPr>
          <w:color w:val="auto"/>
          <w:highlight w:val="none"/>
        </w:rPr>
      </w:pPr>
    </w:p>
    <w:p w14:paraId="7E98F8D0">
      <w:pPr>
        <w:pStyle w:val="2"/>
        <w:spacing w:line="247" w:lineRule="auto"/>
        <w:rPr>
          <w:color w:val="auto"/>
          <w:sz w:val="28"/>
          <w:szCs w:val="28"/>
          <w:highlight w:val="none"/>
        </w:rPr>
      </w:pPr>
    </w:p>
    <w:p w14:paraId="2F38E8D3">
      <w:pPr>
        <w:spacing w:before="100" w:line="226" w:lineRule="auto"/>
        <w:ind w:left="458"/>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项目名称：</w:t>
      </w:r>
    </w:p>
    <w:p w14:paraId="7C7D3E1F">
      <w:pPr>
        <w:pStyle w:val="2"/>
        <w:spacing w:line="340" w:lineRule="auto"/>
        <w:rPr>
          <w:color w:val="auto"/>
          <w:sz w:val="28"/>
          <w:szCs w:val="28"/>
          <w:highlight w:val="none"/>
        </w:rPr>
      </w:pPr>
    </w:p>
    <w:p w14:paraId="2429F68B">
      <w:pPr>
        <w:pStyle w:val="2"/>
        <w:spacing w:line="340" w:lineRule="auto"/>
        <w:rPr>
          <w:color w:val="auto"/>
          <w:sz w:val="28"/>
          <w:szCs w:val="28"/>
          <w:highlight w:val="none"/>
        </w:rPr>
      </w:pPr>
    </w:p>
    <w:p w14:paraId="0406D533">
      <w:pPr>
        <w:spacing w:before="101" w:line="225" w:lineRule="auto"/>
        <w:ind w:left="458"/>
        <w:rPr>
          <w:rFonts w:ascii="宋体" w:hAnsi="宋体" w:eastAsia="宋体" w:cs="宋体"/>
          <w:color w:val="auto"/>
          <w:sz w:val="28"/>
          <w:szCs w:val="28"/>
          <w:highlight w:val="none"/>
        </w:rPr>
      </w:pPr>
      <w:r>
        <w:rPr>
          <w:rFonts w:ascii="宋体" w:hAnsi="宋体" w:eastAsia="宋体" w:cs="宋体"/>
          <w:color w:val="auto"/>
          <w:spacing w:val="4"/>
          <w:sz w:val="28"/>
          <w:szCs w:val="28"/>
          <w:highlight w:val="none"/>
        </w:rPr>
        <w:t>项目编号：</w:t>
      </w:r>
    </w:p>
    <w:p w14:paraId="6896F0FF">
      <w:pPr>
        <w:pStyle w:val="2"/>
        <w:spacing w:line="339" w:lineRule="auto"/>
        <w:rPr>
          <w:color w:val="auto"/>
          <w:sz w:val="28"/>
          <w:szCs w:val="28"/>
          <w:highlight w:val="none"/>
        </w:rPr>
      </w:pPr>
    </w:p>
    <w:p w14:paraId="69AD96DA">
      <w:pPr>
        <w:pStyle w:val="2"/>
        <w:spacing w:line="339" w:lineRule="auto"/>
        <w:rPr>
          <w:color w:val="auto"/>
          <w:sz w:val="28"/>
          <w:szCs w:val="28"/>
          <w:highlight w:val="none"/>
        </w:rPr>
      </w:pPr>
    </w:p>
    <w:p w14:paraId="7A1007E6">
      <w:pPr>
        <w:spacing w:before="101" w:line="226" w:lineRule="auto"/>
        <w:jc w:val="right"/>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所竞分标（如有则填写，无分标时填写“无</w:t>
      </w:r>
      <w:r>
        <w:rPr>
          <w:rFonts w:ascii="宋体" w:hAnsi="宋体" w:eastAsia="宋体" w:cs="宋体"/>
          <w:color w:val="auto"/>
          <w:spacing w:val="-110"/>
          <w:sz w:val="28"/>
          <w:szCs w:val="28"/>
          <w:highlight w:val="none"/>
        </w:rPr>
        <w:t xml:space="preserve"> </w:t>
      </w:r>
      <w:r>
        <w:rPr>
          <w:rFonts w:ascii="宋体" w:hAnsi="宋体" w:eastAsia="宋体" w:cs="宋体"/>
          <w:color w:val="auto"/>
          <w:spacing w:val="5"/>
          <w:sz w:val="28"/>
          <w:szCs w:val="28"/>
          <w:highlight w:val="none"/>
        </w:rPr>
        <w:t>”或者留空</w:t>
      </w:r>
      <w:r>
        <w:rPr>
          <w:rFonts w:ascii="宋体" w:hAnsi="宋体" w:eastAsia="宋体" w:cs="宋体"/>
          <w:color w:val="auto"/>
          <w:spacing w:val="-34"/>
          <w:sz w:val="28"/>
          <w:szCs w:val="28"/>
          <w:highlight w:val="none"/>
        </w:rPr>
        <w:t>）：</w:t>
      </w:r>
    </w:p>
    <w:p w14:paraId="16B83FD2">
      <w:pPr>
        <w:pStyle w:val="2"/>
        <w:spacing w:line="280" w:lineRule="auto"/>
        <w:rPr>
          <w:color w:val="auto"/>
          <w:sz w:val="28"/>
          <w:szCs w:val="28"/>
          <w:highlight w:val="none"/>
        </w:rPr>
      </w:pPr>
    </w:p>
    <w:p w14:paraId="604E254B">
      <w:pPr>
        <w:pStyle w:val="2"/>
        <w:spacing w:line="281" w:lineRule="auto"/>
        <w:rPr>
          <w:color w:val="auto"/>
          <w:sz w:val="28"/>
          <w:szCs w:val="28"/>
          <w:highlight w:val="none"/>
        </w:rPr>
      </w:pPr>
    </w:p>
    <w:p w14:paraId="6272A633">
      <w:pPr>
        <w:spacing w:before="102" w:line="225" w:lineRule="auto"/>
        <w:ind w:left="453"/>
        <w:rPr>
          <w:rFonts w:ascii="宋体" w:hAnsi="宋体" w:eastAsia="宋体" w:cs="宋体"/>
          <w:color w:val="auto"/>
          <w:sz w:val="28"/>
          <w:szCs w:val="28"/>
          <w:highlight w:val="none"/>
        </w:rPr>
      </w:pPr>
      <w:r>
        <w:rPr>
          <w:rFonts w:ascii="宋体" w:hAnsi="宋体" w:eastAsia="宋体" w:cs="宋体"/>
          <w:color w:val="auto"/>
          <w:spacing w:val="5"/>
          <w:sz w:val="28"/>
          <w:szCs w:val="28"/>
          <w:highlight w:val="none"/>
        </w:rPr>
        <w:t>供应商名称：</w:t>
      </w:r>
    </w:p>
    <w:p w14:paraId="4BA6FAB6">
      <w:pPr>
        <w:pStyle w:val="2"/>
        <w:spacing w:line="248" w:lineRule="auto"/>
        <w:rPr>
          <w:color w:val="auto"/>
          <w:sz w:val="28"/>
          <w:szCs w:val="28"/>
          <w:highlight w:val="none"/>
        </w:rPr>
      </w:pPr>
    </w:p>
    <w:p w14:paraId="4141C0B6">
      <w:pPr>
        <w:pStyle w:val="2"/>
        <w:spacing w:line="248" w:lineRule="auto"/>
        <w:rPr>
          <w:color w:val="auto"/>
          <w:sz w:val="28"/>
          <w:szCs w:val="28"/>
          <w:highlight w:val="none"/>
        </w:rPr>
      </w:pPr>
    </w:p>
    <w:p w14:paraId="28B5D640">
      <w:pPr>
        <w:pStyle w:val="2"/>
        <w:spacing w:line="248" w:lineRule="auto"/>
        <w:rPr>
          <w:color w:val="auto"/>
          <w:sz w:val="28"/>
          <w:szCs w:val="28"/>
          <w:highlight w:val="none"/>
        </w:rPr>
      </w:pPr>
    </w:p>
    <w:p w14:paraId="7BFC7E30">
      <w:pPr>
        <w:pStyle w:val="2"/>
        <w:spacing w:line="248" w:lineRule="auto"/>
        <w:rPr>
          <w:color w:val="auto"/>
          <w:sz w:val="28"/>
          <w:szCs w:val="28"/>
          <w:highlight w:val="none"/>
        </w:rPr>
      </w:pPr>
    </w:p>
    <w:p w14:paraId="3DF1B2D7">
      <w:pPr>
        <w:pStyle w:val="2"/>
        <w:spacing w:line="248" w:lineRule="auto"/>
        <w:rPr>
          <w:color w:val="auto"/>
          <w:sz w:val="28"/>
          <w:szCs w:val="28"/>
          <w:highlight w:val="none"/>
        </w:rPr>
      </w:pPr>
    </w:p>
    <w:p w14:paraId="22EB668C">
      <w:pPr>
        <w:pStyle w:val="2"/>
        <w:spacing w:line="248" w:lineRule="auto"/>
        <w:rPr>
          <w:color w:val="auto"/>
          <w:sz w:val="28"/>
          <w:szCs w:val="28"/>
          <w:highlight w:val="none"/>
        </w:rPr>
      </w:pPr>
    </w:p>
    <w:p w14:paraId="4727EE81">
      <w:pPr>
        <w:spacing w:before="101" w:line="225" w:lineRule="auto"/>
        <w:ind w:left="3059"/>
        <w:rPr>
          <w:rFonts w:ascii="宋体" w:hAnsi="宋体" w:eastAsia="宋体" w:cs="宋体"/>
          <w:color w:val="auto"/>
          <w:sz w:val="28"/>
          <w:szCs w:val="28"/>
          <w:highlight w:val="none"/>
        </w:rPr>
      </w:pPr>
      <w:r>
        <w:rPr>
          <w:rFonts w:ascii="宋体" w:hAnsi="宋体" w:eastAsia="宋体" w:cs="宋体"/>
          <w:color w:val="auto"/>
          <w:spacing w:val="-6"/>
          <w:sz w:val="28"/>
          <w:szCs w:val="28"/>
          <w:highlight w:val="none"/>
        </w:rPr>
        <w:t>年</w:t>
      </w:r>
      <w:r>
        <w:rPr>
          <w:rFonts w:ascii="宋体" w:hAnsi="宋体" w:eastAsia="宋体" w:cs="宋体"/>
          <w:color w:val="auto"/>
          <w:spacing w:val="10"/>
          <w:sz w:val="28"/>
          <w:szCs w:val="28"/>
          <w:highlight w:val="none"/>
        </w:rPr>
        <w:t xml:space="preserve">    </w:t>
      </w:r>
      <w:r>
        <w:rPr>
          <w:rFonts w:ascii="宋体" w:hAnsi="宋体" w:eastAsia="宋体" w:cs="宋体"/>
          <w:color w:val="auto"/>
          <w:spacing w:val="-6"/>
          <w:sz w:val="28"/>
          <w:szCs w:val="28"/>
          <w:highlight w:val="none"/>
        </w:rPr>
        <w:t>月</w:t>
      </w:r>
      <w:r>
        <w:rPr>
          <w:rFonts w:ascii="宋体" w:hAnsi="宋体" w:eastAsia="宋体" w:cs="宋体"/>
          <w:color w:val="auto"/>
          <w:spacing w:val="22"/>
          <w:sz w:val="28"/>
          <w:szCs w:val="28"/>
          <w:highlight w:val="none"/>
        </w:rPr>
        <w:t xml:space="preserve">    </w:t>
      </w:r>
      <w:r>
        <w:rPr>
          <w:rFonts w:ascii="宋体" w:hAnsi="宋体" w:eastAsia="宋体" w:cs="宋体"/>
          <w:color w:val="auto"/>
          <w:spacing w:val="-6"/>
          <w:sz w:val="28"/>
          <w:szCs w:val="28"/>
          <w:highlight w:val="none"/>
        </w:rPr>
        <w:t>日</w:t>
      </w:r>
    </w:p>
    <w:p w14:paraId="25893CD7">
      <w:pPr>
        <w:spacing w:line="225" w:lineRule="auto"/>
        <w:rPr>
          <w:rFonts w:ascii="宋体" w:hAnsi="宋体" w:eastAsia="宋体" w:cs="宋体"/>
          <w:color w:val="auto"/>
          <w:sz w:val="31"/>
          <w:szCs w:val="31"/>
          <w:highlight w:val="none"/>
        </w:rPr>
        <w:sectPr>
          <w:footerReference r:id="rId57" w:type="default"/>
          <w:pgSz w:w="11905" w:h="16839"/>
          <w:pgMar w:top="400" w:right="1507" w:bottom="1019" w:left="1785" w:header="0" w:footer="859" w:gutter="0"/>
          <w:cols w:space="720" w:num="1"/>
        </w:sectPr>
      </w:pPr>
    </w:p>
    <w:p w14:paraId="49174564">
      <w:pPr>
        <w:pStyle w:val="2"/>
        <w:spacing w:line="275" w:lineRule="auto"/>
        <w:rPr>
          <w:color w:val="auto"/>
          <w:highlight w:val="none"/>
        </w:rPr>
      </w:pPr>
    </w:p>
    <w:p w14:paraId="57CC39BE">
      <w:pPr>
        <w:pStyle w:val="2"/>
        <w:spacing w:line="276" w:lineRule="auto"/>
        <w:rPr>
          <w:color w:val="auto"/>
          <w:highlight w:val="none"/>
        </w:rPr>
      </w:pPr>
    </w:p>
    <w:p w14:paraId="6A59DABF">
      <w:pPr>
        <w:pStyle w:val="2"/>
        <w:spacing w:line="276" w:lineRule="auto"/>
        <w:rPr>
          <w:color w:val="auto"/>
          <w:highlight w:val="none"/>
        </w:rPr>
      </w:pPr>
    </w:p>
    <w:p w14:paraId="49736C31">
      <w:pPr>
        <w:spacing w:before="91" w:line="221" w:lineRule="auto"/>
        <w:ind w:left="3249"/>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商务技术文件目录</w:t>
      </w:r>
    </w:p>
    <w:p w14:paraId="568D3E07">
      <w:pPr>
        <w:pStyle w:val="2"/>
        <w:spacing w:line="281" w:lineRule="auto"/>
        <w:rPr>
          <w:color w:val="auto"/>
          <w:highlight w:val="none"/>
        </w:rPr>
      </w:pPr>
    </w:p>
    <w:p w14:paraId="2A072658">
      <w:pPr>
        <w:pStyle w:val="2"/>
        <w:spacing w:line="281" w:lineRule="auto"/>
        <w:rPr>
          <w:color w:val="auto"/>
          <w:highlight w:val="none"/>
        </w:rPr>
      </w:pPr>
    </w:p>
    <w:p w14:paraId="6A010FF3">
      <w:pPr>
        <w:pStyle w:val="2"/>
        <w:spacing w:line="281" w:lineRule="auto"/>
        <w:rPr>
          <w:color w:val="auto"/>
          <w:highlight w:val="none"/>
        </w:rPr>
      </w:pPr>
    </w:p>
    <w:p w14:paraId="23CD2A95">
      <w:pPr>
        <w:spacing w:before="78" w:line="220"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一、无串通竞标行为的承诺函………………………………………………（页码）</w:t>
      </w:r>
    </w:p>
    <w:p w14:paraId="08C44DF4">
      <w:pPr>
        <w:spacing w:before="211" w:line="219"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二、法定代表人身份证明书及法定代表人有效身份证正反面复印件……（页码）</w:t>
      </w:r>
    </w:p>
    <w:p w14:paraId="5E13B82D">
      <w:pPr>
        <w:spacing w:before="212" w:line="302"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三、法定代表人授权委托书及委托代理人有效身份证正反面复印件（如有委托</w:t>
      </w:r>
      <w:r>
        <w:rPr>
          <w:rFonts w:ascii="宋体" w:hAnsi="宋体" w:eastAsia="宋体" w:cs="宋体"/>
          <w:color w:val="auto"/>
          <w:spacing w:val="-2"/>
          <w:sz w:val="20"/>
          <w:szCs w:val="20"/>
          <w:highlight w:val="none"/>
        </w:rPr>
        <w:t>时）…………………………………………………………………………………（页码）</w:t>
      </w:r>
    </w:p>
    <w:p w14:paraId="63CD06BE">
      <w:pPr>
        <w:spacing w:before="207" w:line="220"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四、商务条款偏离表……………………………</w:t>
      </w:r>
      <w:r>
        <w:rPr>
          <w:rFonts w:ascii="宋体" w:hAnsi="宋体" w:eastAsia="宋体" w:cs="宋体"/>
          <w:color w:val="auto"/>
          <w:spacing w:val="-3"/>
          <w:sz w:val="20"/>
          <w:szCs w:val="20"/>
          <w:highlight w:val="none"/>
        </w:rPr>
        <w:t>……………………………（页码）</w:t>
      </w:r>
    </w:p>
    <w:p w14:paraId="2C99ACFD">
      <w:pPr>
        <w:spacing w:before="209" w:line="220" w:lineRule="auto"/>
        <w:jc w:val="left"/>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五、企业概况表…………………………………………………………（页码）</w:t>
      </w:r>
    </w:p>
    <w:p w14:paraId="1F04420C">
      <w:pPr>
        <w:spacing w:before="213" w:line="219" w:lineRule="auto"/>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t>六、供应商类似的业绩证明文件……………</w:t>
      </w:r>
      <w:r>
        <w:rPr>
          <w:rFonts w:ascii="宋体" w:hAnsi="宋体" w:eastAsia="宋体" w:cs="宋体"/>
          <w:color w:val="auto"/>
          <w:spacing w:val="-1"/>
          <w:sz w:val="20"/>
          <w:szCs w:val="20"/>
          <w:highlight w:val="none"/>
        </w:rPr>
        <w:t>………………………（页码）</w:t>
      </w:r>
    </w:p>
    <w:p w14:paraId="58D77ED2">
      <w:pPr>
        <w:spacing w:before="210" w:line="220"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七、技术需求偏离表…………………………………………………………（页码）</w:t>
      </w:r>
    </w:p>
    <w:p w14:paraId="682AAE1A">
      <w:pPr>
        <w:spacing w:before="210" w:line="221"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八、施工组织设计……………………………………………………………（页码）</w:t>
      </w:r>
    </w:p>
    <w:p w14:paraId="0A734F21">
      <w:pPr>
        <w:spacing w:before="210" w:line="219"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九、项目管理机构……………………………………………………………（页码）</w:t>
      </w:r>
    </w:p>
    <w:p w14:paraId="35C86A12">
      <w:pPr>
        <w:spacing w:before="213" w:line="219" w:lineRule="auto"/>
        <w:jc w:val="left"/>
        <w:rPr>
          <w:rFonts w:ascii="宋体" w:hAnsi="宋体" w:eastAsia="宋体" w:cs="宋体"/>
          <w:color w:val="auto"/>
          <w:sz w:val="20"/>
          <w:szCs w:val="20"/>
          <w:highlight w:val="none"/>
        </w:rPr>
      </w:pPr>
      <w:r>
        <w:rPr>
          <w:rFonts w:ascii="宋体" w:hAnsi="宋体" w:eastAsia="宋体" w:cs="宋体"/>
          <w:color w:val="auto"/>
          <w:sz w:val="20"/>
          <w:szCs w:val="20"/>
          <w:highlight w:val="none"/>
        </w:rPr>
        <w:t>十、建设工程项目管理承诺书…………………</w:t>
      </w:r>
      <w:r>
        <w:rPr>
          <w:rFonts w:ascii="宋体" w:hAnsi="宋体" w:eastAsia="宋体" w:cs="宋体"/>
          <w:color w:val="auto"/>
          <w:spacing w:val="-1"/>
          <w:sz w:val="20"/>
          <w:szCs w:val="20"/>
          <w:highlight w:val="none"/>
        </w:rPr>
        <w:t>……………………（页码）</w:t>
      </w:r>
    </w:p>
    <w:p w14:paraId="01B64FE9">
      <w:pPr>
        <w:spacing w:before="212" w:line="219" w:lineRule="auto"/>
        <w:jc w:val="left"/>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十一、供应商认为需要提供的其他有关资料………………………………（页码）</w:t>
      </w:r>
    </w:p>
    <w:p w14:paraId="759A4B16">
      <w:pPr>
        <w:pStyle w:val="2"/>
        <w:spacing w:line="312" w:lineRule="auto"/>
        <w:jc w:val="left"/>
        <w:rPr>
          <w:color w:val="auto"/>
          <w:sz w:val="20"/>
          <w:szCs w:val="20"/>
          <w:highlight w:val="none"/>
        </w:rPr>
      </w:pPr>
    </w:p>
    <w:p w14:paraId="1B47E5ED">
      <w:pPr>
        <w:pStyle w:val="2"/>
        <w:spacing w:line="312" w:lineRule="auto"/>
        <w:jc w:val="left"/>
        <w:rPr>
          <w:color w:val="auto"/>
          <w:sz w:val="20"/>
          <w:szCs w:val="20"/>
          <w:highlight w:val="none"/>
        </w:rPr>
      </w:pPr>
    </w:p>
    <w:p w14:paraId="5BFD07A8">
      <w:pPr>
        <w:spacing w:before="78" w:line="386" w:lineRule="auto"/>
        <w:ind w:left="3" w:right="99" w:hanging="3"/>
        <w:jc w:val="left"/>
        <w:rPr>
          <w:rFonts w:ascii="宋体" w:hAnsi="宋体" w:eastAsia="宋体" w:cs="宋体"/>
          <w:color w:val="auto"/>
          <w:sz w:val="20"/>
          <w:szCs w:val="20"/>
          <w:highlight w:val="none"/>
        </w:rPr>
      </w:pPr>
      <w:r>
        <w:rPr>
          <w:rFonts w:ascii="宋体" w:hAnsi="宋体" w:eastAsia="宋体" w:cs="宋体"/>
          <w:b/>
          <w:bCs/>
          <w:color w:val="auto"/>
          <w:sz w:val="20"/>
          <w:szCs w:val="20"/>
          <w:highlight w:val="none"/>
        </w:rPr>
        <w:t>注：以上目录是编制供应商响应文件的基本格式要求，各供</w:t>
      </w:r>
      <w:r>
        <w:rPr>
          <w:rFonts w:ascii="宋体" w:hAnsi="宋体" w:eastAsia="宋体" w:cs="宋体"/>
          <w:b/>
          <w:bCs/>
          <w:color w:val="auto"/>
          <w:spacing w:val="-1"/>
          <w:sz w:val="20"/>
          <w:szCs w:val="20"/>
          <w:highlight w:val="none"/>
        </w:rPr>
        <w:t>应商可根据自身情况进</w:t>
      </w:r>
      <w:r>
        <w:rPr>
          <w:rFonts w:ascii="宋体" w:hAnsi="宋体" w:eastAsia="宋体" w:cs="宋体"/>
          <w:color w:val="auto"/>
          <w:sz w:val="20"/>
          <w:szCs w:val="20"/>
          <w:highlight w:val="none"/>
        </w:rPr>
        <w:t xml:space="preserve"> </w:t>
      </w:r>
      <w:r>
        <w:rPr>
          <w:rFonts w:ascii="宋体" w:hAnsi="宋体" w:eastAsia="宋体" w:cs="宋体"/>
          <w:b/>
          <w:bCs/>
          <w:color w:val="auto"/>
          <w:spacing w:val="-3"/>
          <w:sz w:val="20"/>
          <w:szCs w:val="20"/>
          <w:highlight w:val="none"/>
        </w:rPr>
        <w:t>一步向下增加内容或细化。</w:t>
      </w:r>
    </w:p>
    <w:p w14:paraId="652BDB8E">
      <w:pPr>
        <w:spacing w:line="386" w:lineRule="auto"/>
        <w:rPr>
          <w:rFonts w:ascii="宋体" w:hAnsi="宋体" w:eastAsia="宋体" w:cs="宋体"/>
          <w:color w:val="auto"/>
          <w:sz w:val="24"/>
          <w:szCs w:val="24"/>
          <w:highlight w:val="none"/>
        </w:rPr>
        <w:sectPr>
          <w:footerReference r:id="rId58" w:type="default"/>
          <w:pgSz w:w="11905" w:h="16839"/>
          <w:pgMar w:top="400" w:right="1488" w:bottom="1079" w:left="1595" w:header="0" w:footer="843" w:gutter="0"/>
          <w:cols w:space="720" w:num="1"/>
        </w:sectPr>
      </w:pPr>
    </w:p>
    <w:p w14:paraId="4B5A8CFA">
      <w:pPr>
        <w:pStyle w:val="2"/>
        <w:spacing w:line="263" w:lineRule="auto"/>
        <w:rPr>
          <w:color w:val="auto"/>
          <w:highlight w:val="none"/>
        </w:rPr>
      </w:pPr>
    </w:p>
    <w:p w14:paraId="3E710CC2">
      <w:pPr>
        <w:pStyle w:val="2"/>
        <w:spacing w:line="264" w:lineRule="auto"/>
        <w:rPr>
          <w:color w:val="auto"/>
          <w:highlight w:val="none"/>
        </w:rPr>
      </w:pPr>
    </w:p>
    <w:p w14:paraId="6E9B2D1B">
      <w:pPr>
        <w:pStyle w:val="2"/>
        <w:spacing w:line="264" w:lineRule="auto"/>
        <w:rPr>
          <w:color w:val="auto"/>
          <w:highlight w:val="none"/>
        </w:rPr>
      </w:pPr>
    </w:p>
    <w:p w14:paraId="77257F15">
      <w:pPr>
        <w:spacing w:before="97" w:line="220" w:lineRule="auto"/>
        <w:ind w:left="8"/>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一、无串通竞标行为的承诺函</w:t>
      </w:r>
    </w:p>
    <w:p w14:paraId="42298285">
      <w:pPr>
        <w:pStyle w:val="2"/>
        <w:spacing w:line="290" w:lineRule="auto"/>
        <w:rPr>
          <w:color w:val="auto"/>
          <w:highlight w:val="none"/>
        </w:rPr>
      </w:pPr>
    </w:p>
    <w:p w14:paraId="2C69F219">
      <w:pPr>
        <w:pStyle w:val="2"/>
        <w:spacing w:line="290" w:lineRule="auto"/>
        <w:rPr>
          <w:color w:val="auto"/>
          <w:highlight w:val="none"/>
        </w:rPr>
      </w:pPr>
    </w:p>
    <w:p w14:paraId="003A48DE">
      <w:pPr>
        <w:spacing w:before="98" w:line="220" w:lineRule="auto"/>
        <w:ind w:left="2715"/>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无串通竞标行为的承诺函</w:t>
      </w:r>
    </w:p>
    <w:p w14:paraId="2281A3CF">
      <w:pPr>
        <w:spacing w:before="315" w:line="220" w:lineRule="auto"/>
        <w:ind w:left="484"/>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一、我方承诺无下列相互串通竞标的情形：</w:t>
      </w:r>
    </w:p>
    <w:p w14:paraId="3A3EDFD6">
      <w:pPr>
        <w:spacing w:before="154" w:line="299" w:lineRule="auto"/>
        <w:ind w:right="63" w:firstLine="497"/>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1.不同供应商的响应文件由同一单位或者个人</w:t>
      </w:r>
      <w:r>
        <w:rPr>
          <w:rFonts w:ascii="宋体" w:hAnsi="宋体" w:eastAsia="宋体" w:cs="宋体"/>
          <w:color w:val="auto"/>
          <w:spacing w:val="-2"/>
          <w:sz w:val="20"/>
          <w:szCs w:val="20"/>
          <w:highlight w:val="none"/>
        </w:rPr>
        <w:t>编制；或者不同供应商报名的</w:t>
      </w:r>
      <w:r>
        <w:rPr>
          <w:rFonts w:ascii="宋体" w:hAnsi="宋体" w:eastAsia="宋体" w:cs="宋体"/>
          <w:color w:val="auto"/>
          <w:spacing w:val="-38"/>
          <w:sz w:val="20"/>
          <w:szCs w:val="20"/>
          <w:highlight w:val="none"/>
        </w:rPr>
        <w:t xml:space="preserve"> </w:t>
      </w:r>
      <w:r>
        <w:rPr>
          <w:rFonts w:ascii="宋体" w:hAnsi="宋体" w:eastAsia="宋体" w:cs="宋体"/>
          <w:color w:val="auto"/>
          <w:spacing w:val="-2"/>
          <w:sz w:val="20"/>
          <w:szCs w:val="20"/>
          <w:highlight w:val="none"/>
        </w:rPr>
        <w:t>IP</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地址一致的；或者编制响应文件硬件设备</w:t>
      </w:r>
      <w:r>
        <w:rPr>
          <w:rFonts w:ascii="宋体" w:hAnsi="宋体" w:eastAsia="宋体" w:cs="宋体"/>
          <w:color w:val="auto"/>
          <w:spacing w:val="-50"/>
          <w:sz w:val="20"/>
          <w:szCs w:val="20"/>
          <w:highlight w:val="none"/>
        </w:rPr>
        <w:t xml:space="preserve"> </w:t>
      </w:r>
      <w:r>
        <w:rPr>
          <w:rFonts w:ascii="宋体" w:hAnsi="宋体" w:eastAsia="宋体" w:cs="宋体"/>
          <w:color w:val="auto"/>
          <w:sz w:val="20"/>
          <w:szCs w:val="20"/>
          <w:highlight w:val="none"/>
        </w:rPr>
        <w:t>CPU</w:t>
      </w:r>
      <w:r>
        <w:rPr>
          <w:rFonts w:ascii="宋体" w:hAnsi="宋体" w:eastAsia="宋体" w:cs="宋体"/>
          <w:color w:val="auto"/>
          <w:spacing w:val="-47"/>
          <w:sz w:val="20"/>
          <w:szCs w:val="20"/>
          <w:highlight w:val="none"/>
        </w:rPr>
        <w:t xml:space="preserve"> </w:t>
      </w:r>
      <w:r>
        <w:rPr>
          <w:rFonts w:ascii="宋体" w:hAnsi="宋体" w:eastAsia="宋体" w:cs="宋体"/>
          <w:color w:val="auto"/>
          <w:spacing w:val="2"/>
          <w:sz w:val="20"/>
          <w:szCs w:val="20"/>
          <w:highlight w:val="none"/>
        </w:rPr>
        <w:t>编号、硬盘</w:t>
      </w:r>
      <w:r>
        <w:rPr>
          <w:rFonts w:ascii="宋体" w:hAnsi="宋体" w:eastAsia="宋体" w:cs="宋体"/>
          <w:color w:val="auto"/>
          <w:spacing w:val="1"/>
          <w:sz w:val="20"/>
          <w:szCs w:val="20"/>
          <w:highlight w:val="none"/>
        </w:rPr>
        <w:t>编号、网卡地址一致的情</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况。</w:t>
      </w:r>
    </w:p>
    <w:p w14:paraId="06F12061">
      <w:pPr>
        <w:spacing w:before="155" w:line="219" w:lineRule="auto"/>
        <w:ind w:left="48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2.不同供应商委托同一单位或者个人办理竞标事宜；</w:t>
      </w:r>
    </w:p>
    <w:p w14:paraId="7850E76C">
      <w:pPr>
        <w:spacing w:before="155" w:line="219" w:lineRule="auto"/>
        <w:ind w:left="48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3.不同的供应商的响应文件载明的项目管理员为同一个人；</w:t>
      </w:r>
    </w:p>
    <w:p w14:paraId="2089897F">
      <w:pPr>
        <w:spacing w:before="153" w:line="219" w:lineRule="auto"/>
        <w:ind w:left="48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4.不同供应商的响应文件异常一致或者竞标报</w:t>
      </w:r>
      <w:r>
        <w:rPr>
          <w:rFonts w:ascii="宋体" w:hAnsi="宋体" w:eastAsia="宋体" w:cs="宋体"/>
          <w:color w:val="auto"/>
          <w:spacing w:val="-11"/>
          <w:sz w:val="20"/>
          <w:szCs w:val="20"/>
          <w:highlight w:val="none"/>
        </w:rPr>
        <w:t>价呈规律性差异；</w:t>
      </w:r>
    </w:p>
    <w:p w14:paraId="33DB9288">
      <w:pPr>
        <w:spacing w:before="158" w:line="219" w:lineRule="auto"/>
        <w:ind w:left="48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5.不同供应商的响应文件相互混装；</w:t>
      </w:r>
    </w:p>
    <w:p w14:paraId="40D524A3">
      <w:pPr>
        <w:spacing w:before="154" w:line="219" w:lineRule="auto"/>
        <w:ind w:left="48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6.不同供应商的竞标保证金从同一单位或者个人账户转出。</w:t>
      </w:r>
    </w:p>
    <w:p w14:paraId="3D487180">
      <w:pPr>
        <w:spacing w:before="155" w:line="220" w:lineRule="auto"/>
        <w:ind w:left="484"/>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二、我方承诺无下列恶意串通的情形：</w:t>
      </w:r>
    </w:p>
    <w:p w14:paraId="4498F470">
      <w:pPr>
        <w:spacing w:before="155" w:line="279" w:lineRule="auto"/>
        <w:ind w:left="8" w:right="63" w:firstLine="49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1.供应商直接或者间接从采购人或者采购代理机构处获得其</w:t>
      </w:r>
      <w:r>
        <w:rPr>
          <w:rFonts w:ascii="宋体" w:hAnsi="宋体" w:eastAsia="宋体" w:cs="宋体"/>
          <w:color w:val="auto"/>
          <w:spacing w:val="1"/>
          <w:sz w:val="20"/>
          <w:szCs w:val="20"/>
          <w:highlight w:val="none"/>
        </w:rPr>
        <w:t>他供应商的相关信</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息并修改其响应文件；</w:t>
      </w:r>
    </w:p>
    <w:p w14:paraId="64D95BCA">
      <w:pPr>
        <w:spacing w:before="154" w:line="219" w:lineRule="auto"/>
        <w:ind w:left="48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2.供应商按照采购人或者采购代理机构的授意撤换、修改响应文件；</w:t>
      </w:r>
    </w:p>
    <w:p w14:paraId="172A0835">
      <w:pPr>
        <w:spacing w:before="156" w:line="219" w:lineRule="auto"/>
        <w:ind w:left="485"/>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3.供应商之间协商报价、技术方案等响应文件的实质性内容；</w:t>
      </w:r>
    </w:p>
    <w:p w14:paraId="2334A747">
      <w:pPr>
        <w:spacing w:before="153" w:line="279" w:lineRule="auto"/>
        <w:ind w:right="63" w:firstLine="48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4.属于同一集团、协会、商会等组织成员的供应商按照该组织要求协同参加政</w:t>
      </w:r>
      <w:r>
        <w:rPr>
          <w:rFonts w:ascii="宋体" w:hAnsi="宋体" w:eastAsia="宋体" w:cs="宋体"/>
          <w:color w:val="auto"/>
          <w:spacing w:val="11"/>
          <w:sz w:val="20"/>
          <w:szCs w:val="20"/>
          <w:highlight w:val="none"/>
        </w:rPr>
        <w:t xml:space="preserve"> </w:t>
      </w:r>
      <w:r>
        <w:rPr>
          <w:rFonts w:ascii="宋体" w:hAnsi="宋体" w:eastAsia="宋体" w:cs="宋体"/>
          <w:color w:val="auto"/>
          <w:spacing w:val="-2"/>
          <w:sz w:val="20"/>
          <w:szCs w:val="20"/>
          <w:highlight w:val="none"/>
        </w:rPr>
        <w:t>府采购活动；</w:t>
      </w:r>
    </w:p>
    <w:p w14:paraId="1D3EDE71">
      <w:pPr>
        <w:spacing w:before="156" w:line="299" w:lineRule="auto"/>
        <w:ind w:right="63" w:firstLine="48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5.供应商之间事先约定一致抬高或者压低竞</w:t>
      </w:r>
      <w:r>
        <w:rPr>
          <w:rFonts w:ascii="宋体" w:hAnsi="宋体" w:eastAsia="宋体" w:cs="宋体"/>
          <w:color w:val="auto"/>
          <w:spacing w:val="5"/>
          <w:sz w:val="20"/>
          <w:szCs w:val="20"/>
          <w:highlight w:val="none"/>
        </w:rPr>
        <w:t>标报价,或者在竞争性磋商项目中</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事先约定轮流以高价位或者低价位成交,或者事先约定由某一特定供应商成交,然后</w:t>
      </w:r>
      <w:r>
        <w:rPr>
          <w:rFonts w:ascii="宋体" w:hAnsi="宋体" w:eastAsia="宋体" w:cs="宋体"/>
          <w:color w:val="auto"/>
          <w:spacing w:val="6"/>
          <w:sz w:val="20"/>
          <w:szCs w:val="20"/>
          <w:highlight w:val="none"/>
        </w:rPr>
        <w:t xml:space="preserve"> </w:t>
      </w:r>
      <w:r>
        <w:rPr>
          <w:rFonts w:ascii="宋体" w:hAnsi="宋体" w:eastAsia="宋体" w:cs="宋体"/>
          <w:color w:val="auto"/>
          <w:spacing w:val="-2"/>
          <w:sz w:val="20"/>
          <w:szCs w:val="20"/>
          <w:highlight w:val="none"/>
        </w:rPr>
        <w:t>再参加竞标；</w:t>
      </w:r>
    </w:p>
    <w:p w14:paraId="0CD94E1B">
      <w:pPr>
        <w:spacing w:before="155" w:line="219" w:lineRule="auto"/>
        <w:ind w:left="48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6.供应商之间商定部分供应商放弃参加政府采购活动或者放弃成交；</w:t>
      </w:r>
    </w:p>
    <w:p w14:paraId="073B910F">
      <w:pPr>
        <w:spacing w:before="153" w:line="279" w:lineRule="auto"/>
        <w:ind w:left="2" w:right="51" w:firstLine="48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7.供应商与采购人或者采购代理机构之间、供应商相互之间</w:t>
      </w:r>
      <w:r>
        <w:rPr>
          <w:rFonts w:ascii="宋体" w:hAnsi="宋体" w:eastAsia="宋体" w:cs="宋体"/>
          <w:color w:val="auto"/>
          <w:spacing w:val="-5"/>
          <w:sz w:val="20"/>
          <w:szCs w:val="20"/>
          <w:highlight w:val="none"/>
        </w:rPr>
        <w:t>，为谋求特定供应商</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rPr>
        <w:t>成交或者排斥其他供应商的其他串通行为。</w:t>
      </w:r>
    </w:p>
    <w:p w14:paraId="28C17E44">
      <w:pPr>
        <w:spacing w:before="156" w:line="340" w:lineRule="auto"/>
        <w:ind w:left="2" w:firstLine="505"/>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以上情形一经核查属实，接受政府采购监管部门对我方认定存在围标串标行</w:t>
      </w:r>
      <w:r>
        <w:rPr>
          <w:rFonts w:ascii="宋体" w:hAnsi="宋体" w:eastAsia="宋体" w:cs="宋体"/>
          <w:b/>
          <w:bCs/>
          <w:color w:val="auto"/>
          <w:spacing w:val="-7"/>
          <w:sz w:val="20"/>
          <w:szCs w:val="20"/>
          <w:highlight w:val="none"/>
        </w:rPr>
        <w:t>为，</w:t>
      </w:r>
      <w:r>
        <w:rPr>
          <w:rFonts w:ascii="宋体" w:hAnsi="宋体" w:eastAsia="宋体" w:cs="宋体"/>
          <w:color w:val="auto"/>
          <w:sz w:val="20"/>
          <w:szCs w:val="20"/>
          <w:highlight w:val="none"/>
        </w:rPr>
        <w:t xml:space="preserve"> </w:t>
      </w:r>
      <w:r>
        <w:rPr>
          <w:rFonts w:ascii="宋体" w:hAnsi="宋体" w:eastAsia="宋体" w:cs="宋体"/>
          <w:b/>
          <w:bCs/>
          <w:color w:val="auto"/>
          <w:spacing w:val="-2"/>
          <w:sz w:val="20"/>
          <w:szCs w:val="20"/>
          <w:highlight w:val="none"/>
        </w:rPr>
        <w:t>我方愿意承担一切后果，并不再寻求任何旨在减轻或者免除法律责任的辩</w:t>
      </w:r>
      <w:r>
        <w:rPr>
          <w:rFonts w:ascii="宋体" w:hAnsi="宋体" w:eastAsia="宋体" w:cs="宋体"/>
          <w:b/>
          <w:bCs/>
          <w:color w:val="auto"/>
          <w:spacing w:val="-3"/>
          <w:sz w:val="20"/>
          <w:szCs w:val="20"/>
          <w:highlight w:val="none"/>
        </w:rPr>
        <w:t>解。</w:t>
      </w:r>
    </w:p>
    <w:p w14:paraId="5B6DE321">
      <w:pPr>
        <w:pStyle w:val="2"/>
        <w:spacing w:line="392" w:lineRule="auto"/>
        <w:rPr>
          <w:color w:val="auto"/>
          <w:sz w:val="20"/>
          <w:szCs w:val="20"/>
          <w:highlight w:val="none"/>
        </w:rPr>
      </w:pPr>
    </w:p>
    <w:p w14:paraId="3653C92F">
      <w:pPr>
        <w:spacing w:before="79" w:line="219" w:lineRule="auto"/>
        <w:ind w:left="409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29FC767C">
      <w:pPr>
        <w:spacing w:before="214" w:line="220" w:lineRule="auto"/>
        <w:ind w:right="12"/>
        <w:jc w:val="right"/>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102"/>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7"/>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145F4C8C">
      <w:pPr>
        <w:spacing w:line="220" w:lineRule="auto"/>
        <w:rPr>
          <w:rFonts w:ascii="宋体" w:hAnsi="宋体" w:eastAsia="宋体" w:cs="宋体"/>
          <w:color w:val="auto"/>
          <w:sz w:val="24"/>
          <w:szCs w:val="24"/>
          <w:highlight w:val="none"/>
        </w:rPr>
        <w:sectPr>
          <w:footerReference r:id="rId59" w:type="default"/>
          <w:pgSz w:w="11905" w:h="16839"/>
          <w:pgMar w:top="400" w:right="1524" w:bottom="1019" w:left="1594" w:header="0" w:footer="859" w:gutter="0"/>
          <w:cols w:space="720" w:num="1"/>
        </w:sectPr>
      </w:pPr>
    </w:p>
    <w:p w14:paraId="7E3AB10B">
      <w:pPr>
        <w:pStyle w:val="2"/>
        <w:spacing w:line="271" w:lineRule="auto"/>
        <w:rPr>
          <w:color w:val="auto"/>
          <w:highlight w:val="none"/>
        </w:rPr>
      </w:pPr>
    </w:p>
    <w:p w14:paraId="7B09B782">
      <w:pPr>
        <w:pStyle w:val="2"/>
        <w:spacing w:line="271" w:lineRule="auto"/>
        <w:rPr>
          <w:color w:val="auto"/>
          <w:highlight w:val="none"/>
        </w:rPr>
      </w:pPr>
    </w:p>
    <w:p w14:paraId="6D5DAF93">
      <w:pPr>
        <w:pStyle w:val="2"/>
        <w:spacing w:line="271" w:lineRule="auto"/>
        <w:rPr>
          <w:color w:val="auto"/>
          <w:highlight w:val="none"/>
        </w:rPr>
      </w:pPr>
    </w:p>
    <w:p w14:paraId="647032E5">
      <w:pPr>
        <w:spacing w:before="97" w:line="219" w:lineRule="auto"/>
        <w:jc w:val="right"/>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二、法定代表人身份证明书及法定代表人有效身份证正反面复印件</w:t>
      </w:r>
    </w:p>
    <w:p w14:paraId="47A58E23">
      <w:pPr>
        <w:pStyle w:val="2"/>
        <w:spacing w:line="340" w:lineRule="auto"/>
        <w:rPr>
          <w:color w:val="auto"/>
          <w:highlight w:val="none"/>
        </w:rPr>
      </w:pPr>
    </w:p>
    <w:p w14:paraId="45CD59C2">
      <w:pPr>
        <w:pStyle w:val="2"/>
        <w:spacing w:line="341" w:lineRule="auto"/>
        <w:rPr>
          <w:color w:val="auto"/>
          <w:highlight w:val="none"/>
        </w:rPr>
      </w:pPr>
    </w:p>
    <w:p w14:paraId="3C15B0C8">
      <w:pPr>
        <w:spacing w:before="100" w:line="225" w:lineRule="auto"/>
        <w:ind w:left="3085"/>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法定代表人证明书</w:t>
      </w:r>
    </w:p>
    <w:p w14:paraId="4124B7DA">
      <w:pPr>
        <w:pStyle w:val="2"/>
        <w:spacing w:line="355" w:lineRule="auto"/>
        <w:rPr>
          <w:color w:val="auto"/>
          <w:highlight w:val="none"/>
        </w:rPr>
      </w:pPr>
    </w:p>
    <w:p w14:paraId="302293D0">
      <w:pPr>
        <w:pStyle w:val="2"/>
        <w:spacing w:line="355" w:lineRule="auto"/>
        <w:rPr>
          <w:color w:val="auto"/>
          <w:sz w:val="20"/>
          <w:szCs w:val="20"/>
          <w:highlight w:val="none"/>
        </w:rPr>
      </w:pPr>
    </w:p>
    <w:p w14:paraId="1D54FED6">
      <w:pPr>
        <w:spacing w:before="78" w:line="219" w:lineRule="auto"/>
        <w:ind w:left="54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供应商名称：</w:t>
      </w:r>
      <w:r>
        <w:rPr>
          <w:rFonts w:ascii="宋体" w:hAnsi="宋体" w:eastAsia="宋体" w:cs="宋体"/>
          <w:color w:val="auto"/>
          <w:sz w:val="20"/>
          <w:szCs w:val="20"/>
          <w:highlight w:val="none"/>
          <w:u w:val="single" w:color="auto"/>
        </w:rPr>
        <w:t xml:space="preserve">                                         </w:t>
      </w:r>
    </w:p>
    <w:p w14:paraId="19834D83">
      <w:pPr>
        <w:spacing w:before="209" w:line="229" w:lineRule="auto"/>
        <w:ind w:left="540"/>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地</w:t>
      </w:r>
      <w:r>
        <w:rPr>
          <w:rFonts w:ascii="宋体" w:hAnsi="宋体" w:eastAsia="宋体" w:cs="宋体"/>
          <w:color w:val="auto"/>
          <w:spacing w:val="2"/>
          <w:sz w:val="20"/>
          <w:szCs w:val="20"/>
          <w:highlight w:val="none"/>
        </w:rPr>
        <w:t xml:space="preserve">    </w:t>
      </w:r>
      <w:r>
        <w:rPr>
          <w:rFonts w:ascii="宋体" w:hAnsi="宋体" w:eastAsia="宋体" w:cs="宋体"/>
          <w:color w:val="auto"/>
          <w:spacing w:val="-17"/>
          <w:sz w:val="20"/>
          <w:szCs w:val="20"/>
          <w:highlight w:val="none"/>
        </w:rPr>
        <w:t>址</w:t>
      </w:r>
      <w:r>
        <w:rPr>
          <w:rFonts w:ascii="宋体" w:hAnsi="宋体" w:eastAsia="宋体" w:cs="宋体"/>
          <w:color w:val="auto"/>
          <w:spacing w:val="-88"/>
          <w:sz w:val="20"/>
          <w:szCs w:val="20"/>
          <w:highlight w:val="none"/>
        </w:rPr>
        <w:t xml:space="preserve"> </w:t>
      </w:r>
      <w:r>
        <w:rPr>
          <w:rFonts w:ascii="宋体" w:hAnsi="宋体" w:eastAsia="宋体" w:cs="宋体"/>
          <w:color w:val="auto"/>
          <w:spacing w:val="-17"/>
          <w:sz w:val="20"/>
          <w:szCs w:val="20"/>
          <w:highlight w:val="none"/>
        </w:rPr>
        <w:t>：</w:t>
      </w:r>
      <w:r>
        <w:rPr>
          <w:rFonts w:ascii="宋体" w:hAnsi="宋体" w:eastAsia="宋体" w:cs="宋体"/>
          <w:color w:val="auto"/>
          <w:sz w:val="20"/>
          <w:szCs w:val="20"/>
          <w:highlight w:val="none"/>
          <w:u w:val="single" w:color="auto"/>
        </w:rPr>
        <w:t xml:space="preserve">                                           </w:t>
      </w:r>
    </w:p>
    <w:p w14:paraId="5DC2AE12">
      <w:pPr>
        <w:spacing w:before="199" w:line="220" w:lineRule="auto"/>
        <w:ind w:left="54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姓</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名</w:t>
      </w:r>
      <w:r>
        <w:rPr>
          <w:rFonts w:ascii="宋体" w:hAnsi="宋体" w:eastAsia="宋体" w:cs="宋体"/>
          <w:color w:val="auto"/>
          <w:spacing w:val="-89"/>
          <w:sz w:val="20"/>
          <w:szCs w:val="20"/>
          <w:highlight w:val="none"/>
        </w:rPr>
        <w:t xml:space="preserve"> </w:t>
      </w:r>
      <w:r>
        <w:rPr>
          <w:rFonts w:ascii="宋体" w:hAnsi="宋体" w:eastAsia="宋体" w:cs="宋体"/>
          <w:color w:val="auto"/>
          <w:spacing w:val="-10"/>
          <w:sz w:val="20"/>
          <w:szCs w:val="20"/>
          <w:highlight w:val="none"/>
        </w:rPr>
        <w:t>：</w:t>
      </w:r>
      <w:r>
        <w:rPr>
          <w:rFonts w:ascii="宋体" w:hAnsi="宋体" w:eastAsia="宋体" w:cs="宋体"/>
          <w:color w:val="auto"/>
          <w:spacing w:val="-10"/>
          <w:sz w:val="20"/>
          <w:szCs w:val="20"/>
          <w:highlight w:val="none"/>
          <w:u w:val="single" w:color="auto"/>
        </w:rPr>
        <w:t xml:space="preserve">                 </w:t>
      </w:r>
      <w:r>
        <w:rPr>
          <w:rFonts w:ascii="宋体" w:hAnsi="宋体" w:eastAsia="宋体" w:cs="宋体"/>
          <w:color w:val="auto"/>
          <w:spacing w:val="-110"/>
          <w:sz w:val="20"/>
          <w:szCs w:val="20"/>
          <w:highlight w:val="none"/>
        </w:rPr>
        <w:t xml:space="preserve"> </w:t>
      </w:r>
      <w:r>
        <w:rPr>
          <w:rFonts w:ascii="宋体" w:hAnsi="宋体" w:eastAsia="宋体" w:cs="宋体"/>
          <w:color w:val="auto"/>
          <w:spacing w:val="-10"/>
          <w:sz w:val="20"/>
          <w:szCs w:val="20"/>
          <w:highlight w:val="none"/>
        </w:rPr>
        <w:t>性</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rPr>
        <w:t>别</w:t>
      </w:r>
      <w:r>
        <w:rPr>
          <w:rFonts w:ascii="宋体" w:hAnsi="宋体" w:eastAsia="宋体" w:cs="宋体"/>
          <w:color w:val="auto"/>
          <w:spacing w:val="-90"/>
          <w:sz w:val="20"/>
          <w:szCs w:val="20"/>
          <w:highlight w:val="none"/>
        </w:rPr>
        <w:t xml:space="preserve"> </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u w:val="single" w:color="auto"/>
        </w:rPr>
        <w:t xml:space="preserve">                 </w:t>
      </w:r>
    </w:p>
    <w:p w14:paraId="59E9E172">
      <w:pPr>
        <w:spacing w:before="211" w:line="220" w:lineRule="auto"/>
        <w:ind w:left="54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年</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龄</w:t>
      </w:r>
      <w:r>
        <w:rPr>
          <w:rFonts w:ascii="宋体" w:hAnsi="宋体" w:eastAsia="宋体" w:cs="宋体"/>
          <w:color w:val="auto"/>
          <w:spacing w:val="-90"/>
          <w:sz w:val="20"/>
          <w:szCs w:val="20"/>
          <w:highlight w:val="none"/>
        </w:rPr>
        <w:t xml:space="preserve"> </w:t>
      </w:r>
      <w:r>
        <w:rPr>
          <w:rFonts w:ascii="宋体" w:hAnsi="宋体" w:eastAsia="宋体" w:cs="宋体"/>
          <w:color w:val="auto"/>
          <w:spacing w:val="-10"/>
          <w:sz w:val="20"/>
          <w:szCs w:val="20"/>
          <w:highlight w:val="none"/>
        </w:rPr>
        <w:t>：</w:t>
      </w:r>
      <w:r>
        <w:rPr>
          <w:rFonts w:ascii="宋体" w:hAnsi="宋体" w:eastAsia="宋体" w:cs="宋体"/>
          <w:color w:val="auto"/>
          <w:spacing w:val="-10"/>
          <w:sz w:val="20"/>
          <w:szCs w:val="20"/>
          <w:highlight w:val="none"/>
          <w:u w:val="single" w:color="auto"/>
        </w:rPr>
        <w:t xml:space="preserve">                 </w:t>
      </w:r>
      <w:r>
        <w:rPr>
          <w:rFonts w:ascii="宋体" w:hAnsi="宋体" w:eastAsia="宋体" w:cs="宋体"/>
          <w:color w:val="auto"/>
          <w:spacing w:val="-109"/>
          <w:sz w:val="20"/>
          <w:szCs w:val="20"/>
          <w:highlight w:val="none"/>
        </w:rPr>
        <w:t xml:space="preserve"> </w:t>
      </w:r>
      <w:r>
        <w:rPr>
          <w:rFonts w:ascii="宋体" w:hAnsi="宋体" w:eastAsia="宋体" w:cs="宋体"/>
          <w:color w:val="auto"/>
          <w:spacing w:val="-10"/>
          <w:sz w:val="20"/>
          <w:szCs w:val="20"/>
          <w:highlight w:val="none"/>
        </w:rPr>
        <w:t>职</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务</w:t>
      </w:r>
      <w:r>
        <w:rPr>
          <w:rFonts w:ascii="宋体" w:hAnsi="宋体" w:eastAsia="宋体" w:cs="宋体"/>
          <w:color w:val="auto"/>
          <w:spacing w:val="-87"/>
          <w:sz w:val="20"/>
          <w:szCs w:val="20"/>
          <w:highlight w:val="none"/>
        </w:rPr>
        <w:t xml:space="preserve"> </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u w:val="single" w:color="auto"/>
        </w:rPr>
        <w:t xml:space="preserve">                 </w:t>
      </w:r>
    </w:p>
    <w:p w14:paraId="01A2F9CA">
      <w:pPr>
        <w:spacing w:before="210" w:line="220" w:lineRule="auto"/>
        <w:ind w:left="54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身份证号码：</w:t>
      </w:r>
      <w:r>
        <w:rPr>
          <w:rFonts w:ascii="宋体" w:hAnsi="宋体" w:eastAsia="宋体" w:cs="宋体"/>
          <w:color w:val="auto"/>
          <w:sz w:val="20"/>
          <w:szCs w:val="20"/>
          <w:highlight w:val="none"/>
          <w:u w:val="single" w:color="auto"/>
        </w:rPr>
        <w:t xml:space="preserve">                                         </w:t>
      </w:r>
    </w:p>
    <w:p w14:paraId="36A7292F">
      <w:pPr>
        <w:spacing w:before="212" w:line="219" w:lineRule="auto"/>
        <w:ind w:left="48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系</w:t>
      </w:r>
      <w:r>
        <w:rPr>
          <w:rFonts w:ascii="宋体" w:hAnsi="宋体" w:eastAsia="宋体" w:cs="宋体"/>
          <w:color w:val="auto"/>
          <w:spacing w:val="-3"/>
          <w:sz w:val="20"/>
          <w:szCs w:val="20"/>
          <w:highlight w:val="none"/>
          <w:u w:val="single" w:color="auto"/>
        </w:rPr>
        <w:t xml:space="preserve">（供应商名称） </w:t>
      </w:r>
      <w:r>
        <w:rPr>
          <w:rFonts w:ascii="宋体" w:hAnsi="宋体" w:eastAsia="宋体" w:cs="宋体"/>
          <w:color w:val="auto"/>
          <w:spacing w:val="-88"/>
          <w:sz w:val="20"/>
          <w:szCs w:val="20"/>
          <w:highlight w:val="none"/>
        </w:rPr>
        <w:t xml:space="preserve"> </w:t>
      </w:r>
      <w:r>
        <w:rPr>
          <w:rFonts w:ascii="宋体" w:hAnsi="宋体" w:eastAsia="宋体" w:cs="宋体"/>
          <w:color w:val="auto"/>
          <w:spacing w:val="-3"/>
          <w:sz w:val="20"/>
          <w:szCs w:val="20"/>
          <w:highlight w:val="none"/>
        </w:rPr>
        <w:t>的法定代表人。</w:t>
      </w:r>
    </w:p>
    <w:p w14:paraId="335D738E">
      <w:pPr>
        <w:spacing w:before="211" w:line="220" w:lineRule="auto"/>
        <w:ind w:left="54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特此证明。</w:t>
      </w:r>
    </w:p>
    <w:p w14:paraId="30C375DE">
      <w:pPr>
        <w:pStyle w:val="2"/>
        <w:spacing w:line="313" w:lineRule="auto"/>
        <w:rPr>
          <w:color w:val="auto"/>
          <w:sz w:val="20"/>
          <w:szCs w:val="20"/>
          <w:highlight w:val="none"/>
        </w:rPr>
      </w:pPr>
    </w:p>
    <w:p w14:paraId="1325965A">
      <w:pPr>
        <w:pStyle w:val="2"/>
        <w:spacing w:line="313" w:lineRule="auto"/>
        <w:rPr>
          <w:color w:val="auto"/>
          <w:sz w:val="20"/>
          <w:szCs w:val="20"/>
          <w:highlight w:val="none"/>
        </w:rPr>
      </w:pPr>
    </w:p>
    <w:p w14:paraId="358ED141">
      <w:pPr>
        <w:spacing w:before="78" w:line="219" w:lineRule="auto"/>
        <w:ind w:left="558"/>
        <w:rPr>
          <w:rFonts w:ascii="宋体" w:hAnsi="宋体" w:eastAsia="宋体" w:cs="宋体"/>
          <w:color w:val="auto"/>
          <w:sz w:val="20"/>
          <w:szCs w:val="20"/>
          <w:highlight w:val="none"/>
        </w:rPr>
      </w:pPr>
      <w:r>
        <w:rPr>
          <w:color w:val="auto"/>
          <w:sz w:val="20"/>
          <w:szCs w:val="20"/>
          <w:highlight w:val="none"/>
        </w:rPr>
        <w:pict>
          <v:shape id="_x0000_s1028" o:spid="_x0000_s1028" o:spt="202" type="#_x0000_t202" style="position:absolute;left:0pt;margin-left:25.55pt;margin-top:26.1pt;height:91.4pt;width:179.25pt;z-index:251666432;mso-width-relative:page;mso-height-relative:page;" filled="f" stroked="f" coordsize="21600,21600">
            <v:path/>
            <v:fill on="f" focussize="0,0"/>
            <v:stroke on="f"/>
            <v:imagedata o:title=""/>
            <o:lock v:ext="edit" aspectratio="f"/>
            <v:textbox inset="0mm,0mm,0mm,0mm">
              <w:txbxContent>
                <w:p w14:paraId="4E194047">
                  <w:pPr>
                    <w:spacing w:line="20" w:lineRule="exact"/>
                  </w:pPr>
                </w:p>
                <w:tbl>
                  <w:tblPr>
                    <w:tblStyle w:val="8"/>
                    <w:tblW w:w="3534"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4"/>
                  </w:tblGrid>
                  <w:tr w14:paraId="75AD42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4" w:type="dxa"/>
                        <w:vAlign w:val="top"/>
                      </w:tcPr>
                      <w:p w14:paraId="5DD999CB">
                        <w:pPr>
                          <w:spacing w:line="373" w:lineRule="auto"/>
                          <w:rPr>
                            <w:rFonts w:ascii="Arial"/>
                            <w:sz w:val="21"/>
                          </w:rPr>
                        </w:pPr>
                      </w:p>
                      <w:p w14:paraId="3E60D931">
                        <w:pPr>
                          <w:pStyle w:val="9"/>
                          <w:spacing w:before="78" w:line="220" w:lineRule="auto"/>
                          <w:ind w:left="452"/>
                          <w:rPr>
                            <w:sz w:val="20"/>
                            <w:szCs w:val="20"/>
                          </w:rPr>
                        </w:pPr>
                        <w:r>
                          <w:rPr>
                            <w:spacing w:val="-1"/>
                            <w:sz w:val="24"/>
                            <w:szCs w:val="24"/>
                          </w:rPr>
                          <w:t>法</w:t>
                        </w:r>
                        <w:r>
                          <w:rPr>
                            <w:spacing w:val="-1"/>
                            <w:sz w:val="20"/>
                            <w:szCs w:val="20"/>
                          </w:rPr>
                          <w:t>定代表人身份证复印件</w:t>
                        </w:r>
                      </w:p>
                      <w:p w14:paraId="725BE4A6">
                        <w:pPr>
                          <w:pStyle w:val="9"/>
                          <w:spacing w:before="44" w:line="222" w:lineRule="auto"/>
                          <w:ind w:left="1303"/>
                          <w:rPr>
                            <w:sz w:val="24"/>
                            <w:szCs w:val="24"/>
                          </w:rPr>
                        </w:pPr>
                        <w:r>
                          <w:rPr>
                            <w:spacing w:val="-6"/>
                            <w:sz w:val="20"/>
                            <w:szCs w:val="20"/>
                          </w:rPr>
                          <w:t>（正面）</w:t>
                        </w:r>
                      </w:p>
                    </w:tc>
                  </w:tr>
                </w:tbl>
                <w:p w14:paraId="0A039B15">
                  <w:pPr>
                    <w:pStyle w:val="2"/>
                  </w:pPr>
                </w:p>
              </w:txbxContent>
            </v:textbox>
          </v:shape>
        </w:pict>
      </w:r>
      <w:r>
        <w:rPr>
          <w:rFonts w:ascii="宋体" w:hAnsi="宋体" w:eastAsia="宋体" w:cs="宋体"/>
          <w:color w:val="auto"/>
          <w:spacing w:val="-2"/>
          <w:sz w:val="20"/>
          <w:szCs w:val="20"/>
          <w:highlight w:val="none"/>
        </w:rPr>
        <w:t>附件：法定代表人有效身份证正反面复印件</w:t>
      </w:r>
    </w:p>
    <w:p w14:paraId="18382CE1">
      <w:pPr>
        <w:spacing w:line="180" w:lineRule="exact"/>
        <w:rPr>
          <w:color w:val="auto"/>
          <w:sz w:val="20"/>
          <w:szCs w:val="20"/>
          <w:highlight w:val="none"/>
        </w:rPr>
      </w:pPr>
    </w:p>
    <w:tbl>
      <w:tblPr>
        <w:tblStyle w:val="8"/>
        <w:tblW w:w="3534" w:type="dxa"/>
        <w:tblInd w:w="47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4"/>
      </w:tblGrid>
      <w:tr w14:paraId="4BF0F7D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767" w:hRule="atLeast"/>
        </w:trPr>
        <w:tc>
          <w:tcPr>
            <w:tcW w:w="3534" w:type="dxa"/>
            <w:vAlign w:val="top"/>
          </w:tcPr>
          <w:p w14:paraId="603B1EBE">
            <w:pPr>
              <w:spacing w:line="373" w:lineRule="auto"/>
              <w:rPr>
                <w:rFonts w:ascii="Arial"/>
                <w:color w:val="auto"/>
                <w:sz w:val="20"/>
                <w:szCs w:val="20"/>
                <w:highlight w:val="none"/>
              </w:rPr>
            </w:pPr>
          </w:p>
          <w:p w14:paraId="0F4FE6B9">
            <w:pPr>
              <w:pStyle w:val="9"/>
              <w:spacing w:before="78" w:line="220" w:lineRule="auto"/>
              <w:ind w:left="452"/>
              <w:rPr>
                <w:color w:val="auto"/>
                <w:sz w:val="20"/>
                <w:szCs w:val="20"/>
                <w:highlight w:val="none"/>
              </w:rPr>
            </w:pPr>
            <w:r>
              <w:rPr>
                <w:color w:val="auto"/>
                <w:spacing w:val="-1"/>
                <w:sz w:val="20"/>
                <w:szCs w:val="20"/>
                <w:highlight w:val="none"/>
              </w:rPr>
              <w:t>法定代表人身份证复印件</w:t>
            </w:r>
          </w:p>
          <w:p w14:paraId="48CB388C">
            <w:pPr>
              <w:pStyle w:val="9"/>
              <w:spacing w:before="44" w:line="222" w:lineRule="auto"/>
              <w:ind w:left="1302"/>
              <w:rPr>
                <w:color w:val="auto"/>
                <w:sz w:val="20"/>
                <w:szCs w:val="20"/>
                <w:highlight w:val="none"/>
              </w:rPr>
            </w:pPr>
            <w:r>
              <w:rPr>
                <w:color w:val="auto"/>
                <w:spacing w:val="-6"/>
                <w:sz w:val="20"/>
                <w:szCs w:val="20"/>
                <w:highlight w:val="none"/>
              </w:rPr>
              <w:t>（反面）</w:t>
            </w:r>
          </w:p>
        </w:tc>
      </w:tr>
    </w:tbl>
    <w:p w14:paraId="6FE17D94">
      <w:pPr>
        <w:pStyle w:val="2"/>
        <w:spacing w:line="271" w:lineRule="auto"/>
        <w:rPr>
          <w:color w:val="auto"/>
          <w:sz w:val="20"/>
          <w:szCs w:val="20"/>
          <w:highlight w:val="none"/>
        </w:rPr>
      </w:pPr>
    </w:p>
    <w:p w14:paraId="705A1CF8">
      <w:pPr>
        <w:pStyle w:val="2"/>
        <w:spacing w:line="272" w:lineRule="auto"/>
        <w:rPr>
          <w:color w:val="auto"/>
          <w:sz w:val="20"/>
          <w:szCs w:val="20"/>
          <w:highlight w:val="none"/>
        </w:rPr>
      </w:pPr>
    </w:p>
    <w:p w14:paraId="15A5039E">
      <w:pPr>
        <w:pStyle w:val="2"/>
        <w:spacing w:line="272" w:lineRule="auto"/>
        <w:rPr>
          <w:color w:val="auto"/>
          <w:sz w:val="20"/>
          <w:szCs w:val="20"/>
          <w:highlight w:val="none"/>
        </w:rPr>
      </w:pPr>
    </w:p>
    <w:p w14:paraId="75686E01">
      <w:pPr>
        <w:pStyle w:val="2"/>
        <w:spacing w:line="272" w:lineRule="auto"/>
        <w:rPr>
          <w:color w:val="auto"/>
          <w:sz w:val="20"/>
          <w:szCs w:val="20"/>
          <w:highlight w:val="none"/>
        </w:rPr>
      </w:pPr>
    </w:p>
    <w:p w14:paraId="54568F24">
      <w:pPr>
        <w:pStyle w:val="2"/>
        <w:spacing w:line="272" w:lineRule="auto"/>
        <w:rPr>
          <w:color w:val="auto"/>
          <w:sz w:val="20"/>
          <w:szCs w:val="20"/>
          <w:highlight w:val="none"/>
        </w:rPr>
      </w:pPr>
    </w:p>
    <w:p w14:paraId="16D9F89C">
      <w:pPr>
        <w:pStyle w:val="2"/>
        <w:spacing w:line="272" w:lineRule="auto"/>
        <w:rPr>
          <w:color w:val="auto"/>
          <w:sz w:val="20"/>
          <w:szCs w:val="20"/>
          <w:highlight w:val="none"/>
        </w:rPr>
      </w:pPr>
    </w:p>
    <w:p w14:paraId="23DC144F">
      <w:pPr>
        <w:spacing w:before="79" w:line="219" w:lineRule="auto"/>
        <w:ind w:left="4094"/>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2F269D86">
      <w:pPr>
        <w:spacing w:before="209" w:line="220" w:lineRule="auto"/>
        <w:jc w:val="right"/>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日期：   年</w:t>
      </w:r>
      <w:r>
        <w:rPr>
          <w:rFonts w:ascii="宋体" w:hAnsi="宋体" w:eastAsia="宋体" w:cs="宋体"/>
          <w:color w:val="auto"/>
          <w:spacing w:val="7"/>
          <w:sz w:val="20"/>
          <w:szCs w:val="20"/>
          <w:highlight w:val="none"/>
        </w:rPr>
        <w:t xml:space="preserve">   </w:t>
      </w:r>
      <w:r>
        <w:rPr>
          <w:rFonts w:ascii="宋体" w:hAnsi="宋体" w:eastAsia="宋体" w:cs="宋体"/>
          <w:color w:val="auto"/>
          <w:spacing w:val="-17"/>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7"/>
          <w:sz w:val="20"/>
          <w:szCs w:val="20"/>
          <w:highlight w:val="none"/>
        </w:rPr>
        <w:t>日</w:t>
      </w:r>
    </w:p>
    <w:p w14:paraId="7ECDF4BE">
      <w:pPr>
        <w:pStyle w:val="2"/>
        <w:spacing w:line="313" w:lineRule="auto"/>
        <w:rPr>
          <w:color w:val="auto"/>
          <w:sz w:val="20"/>
          <w:szCs w:val="20"/>
          <w:highlight w:val="none"/>
        </w:rPr>
      </w:pPr>
    </w:p>
    <w:p w14:paraId="3EEDEEE3">
      <w:pPr>
        <w:pStyle w:val="2"/>
        <w:spacing w:line="313" w:lineRule="auto"/>
        <w:rPr>
          <w:color w:val="auto"/>
          <w:sz w:val="20"/>
          <w:szCs w:val="20"/>
          <w:highlight w:val="none"/>
        </w:rPr>
      </w:pPr>
    </w:p>
    <w:p w14:paraId="25D50364">
      <w:pPr>
        <w:spacing w:before="78" w:line="219" w:lineRule="auto"/>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注：1.</w:t>
      </w:r>
      <w:r>
        <w:rPr>
          <w:rFonts w:ascii="宋体" w:hAnsi="宋体" w:eastAsia="宋体" w:cs="宋体"/>
          <w:color w:val="auto"/>
          <w:spacing w:val="-71"/>
          <w:sz w:val="20"/>
          <w:szCs w:val="20"/>
          <w:highlight w:val="none"/>
        </w:rPr>
        <w:t xml:space="preserve"> </w:t>
      </w:r>
      <w:r>
        <w:rPr>
          <w:rFonts w:ascii="宋体" w:hAnsi="宋体" w:eastAsia="宋体" w:cs="宋体"/>
          <w:color w:val="auto"/>
          <w:spacing w:val="-2"/>
          <w:sz w:val="20"/>
          <w:szCs w:val="20"/>
          <w:highlight w:val="none"/>
        </w:rPr>
        <w:t>自然人竞标的无需提供，联合体竞标的只需牵头人出</w:t>
      </w:r>
      <w:r>
        <w:rPr>
          <w:rFonts w:ascii="宋体" w:hAnsi="宋体" w:eastAsia="宋体" w:cs="宋体"/>
          <w:color w:val="auto"/>
          <w:spacing w:val="-3"/>
          <w:sz w:val="20"/>
          <w:szCs w:val="20"/>
          <w:highlight w:val="none"/>
        </w:rPr>
        <w:t>具。</w:t>
      </w:r>
    </w:p>
    <w:p w14:paraId="75FDC220">
      <w:pPr>
        <w:spacing w:before="213" w:line="383" w:lineRule="auto"/>
        <w:ind w:right="91" w:firstLine="481"/>
        <w:jc w:val="both"/>
        <w:rPr>
          <w:rFonts w:ascii="宋体" w:hAnsi="宋体" w:eastAsia="宋体" w:cs="宋体"/>
          <w:color w:val="auto"/>
          <w:sz w:val="20"/>
          <w:szCs w:val="20"/>
          <w:highlight w:val="none"/>
        </w:rPr>
      </w:pPr>
      <w:r>
        <w:rPr>
          <w:rFonts w:ascii="宋体" w:hAnsi="宋体" w:eastAsia="宋体" w:cs="宋体"/>
          <w:color w:val="auto"/>
          <w:sz w:val="20"/>
          <w:szCs w:val="20"/>
          <w:highlight w:val="none"/>
        </w:rPr>
        <w:t>2.供应商为其他组织或者自然人时，本磋商文</w:t>
      </w:r>
      <w:r>
        <w:rPr>
          <w:rFonts w:ascii="宋体" w:hAnsi="宋体" w:eastAsia="宋体" w:cs="宋体"/>
          <w:color w:val="auto"/>
          <w:spacing w:val="-1"/>
          <w:sz w:val="20"/>
          <w:szCs w:val="20"/>
          <w:highlight w:val="none"/>
        </w:rPr>
        <w:t>件规定的法定代表人指负责人或</w:t>
      </w:r>
      <w:r>
        <w:rPr>
          <w:rFonts w:ascii="宋体" w:hAnsi="宋体" w:eastAsia="宋体" w:cs="宋体"/>
          <w:color w:val="auto"/>
          <w:sz w:val="20"/>
          <w:szCs w:val="20"/>
          <w:highlight w:val="none"/>
        </w:rPr>
        <w:t xml:space="preserve"> 者自然人。本磋商文件所称负责人是指参加竞标的其他</w:t>
      </w:r>
      <w:r>
        <w:rPr>
          <w:rFonts w:ascii="宋体" w:hAnsi="宋体" w:eastAsia="宋体" w:cs="宋体"/>
          <w:color w:val="auto"/>
          <w:spacing w:val="-1"/>
          <w:sz w:val="20"/>
          <w:szCs w:val="20"/>
          <w:highlight w:val="none"/>
        </w:rPr>
        <w:t>组织营业执照上的负责人，</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本磋商文件所称自然人指参与竞标的自然人本人。</w:t>
      </w:r>
    </w:p>
    <w:p w14:paraId="354715C8">
      <w:pPr>
        <w:spacing w:line="383" w:lineRule="auto"/>
        <w:rPr>
          <w:rFonts w:ascii="宋体" w:hAnsi="宋体" w:eastAsia="宋体" w:cs="宋体"/>
          <w:color w:val="auto"/>
          <w:sz w:val="24"/>
          <w:szCs w:val="24"/>
          <w:highlight w:val="none"/>
        </w:rPr>
        <w:sectPr>
          <w:footerReference r:id="rId60" w:type="default"/>
          <w:pgSz w:w="11905" w:h="16839"/>
          <w:pgMar w:top="400" w:right="1587" w:bottom="1079" w:left="1595" w:header="0" w:footer="843" w:gutter="0"/>
          <w:cols w:space="720" w:num="1"/>
        </w:sectPr>
      </w:pPr>
    </w:p>
    <w:p w14:paraId="1C6F331C">
      <w:pPr>
        <w:pStyle w:val="2"/>
        <w:spacing w:line="264" w:lineRule="auto"/>
        <w:rPr>
          <w:color w:val="auto"/>
          <w:highlight w:val="none"/>
        </w:rPr>
      </w:pPr>
    </w:p>
    <w:p w14:paraId="4AE4E300">
      <w:pPr>
        <w:pStyle w:val="2"/>
        <w:spacing w:line="264" w:lineRule="auto"/>
        <w:rPr>
          <w:color w:val="auto"/>
          <w:highlight w:val="none"/>
        </w:rPr>
      </w:pPr>
    </w:p>
    <w:p w14:paraId="5B073EDE">
      <w:pPr>
        <w:pStyle w:val="2"/>
        <w:spacing w:line="264" w:lineRule="auto"/>
        <w:rPr>
          <w:color w:val="auto"/>
          <w:highlight w:val="none"/>
        </w:rPr>
      </w:pPr>
    </w:p>
    <w:p w14:paraId="395DA5FF">
      <w:pPr>
        <w:spacing w:before="98" w:line="321" w:lineRule="auto"/>
        <w:ind w:left="16" w:right="349" w:hanging="13"/>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三、法定代表人授权委托书及委托代理人有效身份证正反面复印件</w:t>
      </w:r>
      <w:r>
        <w:rPr>
          <w:rFonts w:ascii="宋体" w:hAnsi="宋体" w:eastAsia="宋体" w:cs="宋体"/>
          <w:color w:val="auto"/>
          <w:spacing w:val="16"/>
          <w:sz w:val="30"/>
          <w:szCs w:val="30"/>
          <w:highlight w:val="none"/>
        </w:rPr>
        <w:t xml:space="preserve"> </w:t>
      </w:r>
      <w:r>
        <w:rPr>
          <w:rFonts w:ascii="宋体" w:hAnsi="宋体" w:eastAsia="宋体" w:cs="宋体"/>
          <w:b/>
          <w:bCs/>
          <w:color w:val="auto"/>
          <w:spacing w:val="-7"/>
          <w:sz w:val="30"/>
          <w:szCs w:val="30"/>
          <w:highlight w:val="none"/>
        </w:rPr>
        <w:t>（如有委托时）</w:t>
      </w:r>
    </w:p>
    <w:p w14:paraId="341FD82F">
      <w:pPr>
        <w:pStyle w:val="2"/>
        <w:spacing w:line="394" w:lineRule="auto"/>
        <w:rPr>
          <w:color w:val="auto"/>
          <w:highlight w:val="none"/>
        </w:rPr>
      </w:pPr>
    </w:p>
    <w:p w14:paraId="54E74C55">
      <w:pPr>
        <w:spacing w:before="98" w:line="219" w:lineRule="auto"/>
        <w:ind w:left="2253"/>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授权委托书（非联合体竞标格式）</w:t>
      </w:r>
    </w:p>
    <w:p w14:paraId="42F91068">
      <w:pPr>
        <w:spacing w:before="164" w:line="221" w:lineRule="auto"/>
        <w:ind w:left="3472"/>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（如有委托时）</w:t>
      </w:r>
    </w:p>
    <w:p w14:paraId="0D66F492">
      <w:pPr>
        <w:pStyle w:val="2"/>
        <w:spacing w:line="477" w:lineRule="auto"/>
        <w:rPr>
          <w:color w:val="auto"/>
          <w:sz w:val="20"/>
          <w:szCs w:val="20"/>
          <w:highlight w:val="none"/>
        </w:rPr>
      </w:pPr>
    </w:p>
    <w:p w14:paraId="1F0EA987">
      <w:pPr>
        <w:spacing w:before="78" w:line="219" w:lineRule="auto"/>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致：</w:t>
      </w:r>
      <w:r>
        <w:rPr>
          <w:rFonts w:ascii="宋体" w:hAnsi="宋体" w:eastAsia="宋体" w:cs="宋体"/>
          <w:color w:val="auto"/>
          <w:spacing w:val="-1"/>
          <w:sz w:val="20"/>
          <w:szCs w:val="20"/>
          <w:highlight w:val="none"/>
          <w:u w:val="single" w:color="auto"/>
        </w:rPr>
        <w:t>广西拓正工程造价咨询有限公司</w:t>
      </w:r>
      <w:r>
        <w:rPr>
          <w:rFonts w:ascii="宋体" w:hAnsi="宋体" w:eastAsia="宋体" w:cs="宋体"/>
          <w:color w:val="auto"/>
          <w:spacing w:val="5"/>
          <w:sz w:val="20"/>
          <w:szCs w:val="20"/>
          <w:highlight w:val="none"/>
          <w:u w:val="single" w:color="auto"/>
        </w:rPr>
        <w:t xml:space="preserve"> </w:t>
      </w:r>
    </w:p>
    <w:p w14:paraId="05496580">
      <w:pPr>
        <w:spacing w:before="181" w:line="359" w:lineRule="auto"/>
        <w:ind w:left="1" w:firstLine="480"/>
        <w:jc w:val="both"/>
        <w:rPr>
          <w:rFonts w:ascii="宋体" w:hAnsi="宋体" w:eastAsia="宋体" w:cs="宋体"/>
          <w:color w:val="auto"/>
          <w:sz w:val="20"/>
          <w:szCs w:val="20"/>
          <w:highlight w:val="none"/>
        </w:rPr>
      </w:pPr>
      <w:r>
        <w:rPr>
          <w:rFonts w:ascii="宋体" w:hAnsi="宋体" w:eastAsia="宋体" w:cs="宋体"/>
          <w:color w:val="auto"/>
          <w:sz w:val="20"/>
          <w:szCs w:val="20"/>
          <w:highlight w:val="none"/>
        </w:rPr>
        <w:t>我</w:t>
      </w:r>
      <w:r>
        <w:rPr>
          <w:rFonts w:ascii="宋体" w:hAnsi="宋体" w:eastAsia="宋体" w:cs="宋体"/>
          <w:color w:val="auto"/>
          <w:spacing w:val="56"/>
          <w:sz w:val="20"/>
          <w:szCs w:val="20"/>
          <w:highlight w:val="none"/>
          <w:u w:val="single" w:color="auto"/>
        </w:rPr>
        <w:t xml:space="preserve"> </w:t>
      </w:r>
      <w:r>
        <w:rPr>
          <w:rFonts w:ascii="宋体" w:hAnsi="宋体" w:eastAsia="宋体" w:cs="宋体"/>
          <w:color w:val="auto"/>
          <w:sz w:val="20"/>
          <w:szCs w:val="20"/>
          <w:highlight w:val="none"/>
          <w:u w:val="single" w:color="auto"/>
        </w:rPr>
        <w:t>（姓名）</w:t>
      </w:r>
      <w:r>
        <w:rPr>
          <w:rFonts w:ascii="宋体" w:hAnsi="宋体" w:eastAsia="宋体" w:cs="宋体"/>
          <w:color w:val="auto"/>
          <w:spacing w:val="52"/>
          <w:sz w:val="20"/>
          <w:szCs w:val="20"/>
          <w:highlight w:val="none"/>
          <w:u w:val="single" w:color="auto"/>
        </w:rPr>
        <w:t xml:space="preserve"> </w:t>
      </w:r>
      <w:r>
        <w:rPr>
          <w:rFonts w:ascii="宋体" w:hAnsi="宋体" w:eastAsia="宋体" w:cs="宋体"/>
          <w:color w:val="auto"/>
          <w:spacing w:val="-105"/>
          <w:sz w:val="20"/>
          <w:szCs w:val="20"/>
          <w:highlight w:val="none"/>
        </w:rPr>
        <w:t xml:space="preserve"> </w:t>
      </w:r>
      <w:r>
        <w:rPr>
          <w:rFonts w:ascii="宋体" w:hAnsi="宋体" w:eastAsia="宋体" w:cs="宋体"/>
          <w:color w:val="auto"/>
          <w:sz w:val="20"/>
          <w:szCs w:val="20"/>
          <w:highlight w:val="none"/>
        </w:rPr>
        <w:t>系</w:t>
      </w:r>
      <w:r>
        <w:rPr>
          <w:rFonts w:ascii="宋体" w:hAnsi="宋体" w:eastAsia="宋体" w:cs="宋体"/>
          <w:color w:val="auto"/>
          <w:spacing w:val="52"/>
          <w:sz w:val="20"/>
          <w:szCs w:val="20"/>
          <w:highlight w:val="none"/>
          <w:u w:val="single" w:color="auto"/>
        </w:rPr>
        <w:t xml:space="preserve"> </w:t>
      </w:r>
      <w:r>
        <w:rPr>
          <w:rFonts w:ascii="宋体" w:hAnsi="宋体" w:eastAsia="宋体" w:cs="宋体"/>
          <w:color w:val="auto"/>
          <w:sz w:val="20"/>
          <w:szCs w:val="20"/>
          <w:highlight w:val="none"/>
          <w:u w:val="single" w:color="auto"/>
        </w:rPr>
        <w:t>（供应商名称）</w:t>
      </w:r>
      <w:r>
        <w:rPr>
          <w:rFonts w:ascii="宋体" w:hAnsi="宋体" w:eastAsia="宋体" w:cs="宋体"/>
          <w:color w:val="auto"/>
          <w:spacing w:val="51"/>
          <w:sz w:val="20"/>
          <w:szCs w:val="20"/>
          <w:highlight w:val="none"/>
          <w:u w:val="single" w:color="auto"/>
        </w:rPr>
        <w:t xml:space="preserve"> </w:t>
      </w:r>
      <w:r>
        <w:rPr>
          <w:rFonts w:ascii="宋体" w:hAnsi="宋体" w:eastAsia="宋体" w:cs="宋体"/>
          <w:color w:val="auto"/>
          <w:spacing w:val="-91"/>
          <w:sz w:val="20"/>
          <w:szCs w:val="20"/>
          <w:highlight w:val="none"/>
        </w:rPr>
        <w:t xml:space="preserve"> </w:t>
      </w:r>
      <w:r>
        <w:rPr>
          <w:rFonts w:ascii="宋体" w:hAnsi="宋体" w:eastAsia="宋体" w:cs="宋体"/>
          <w:color w:val="auto"/>
          <w:sz w:val="20"/>
          <w:szCs w:val="20"/>
          <w:highlight w:val="none"/>
        </w:rPr>
        <w:t>的(</w:t>
      </w:r>
      <w:r>
        <w:rPr>
          <w:rFonts w:ascii="宋体" w:hAnsi="宋体" w:eastAsia="宋体" w:cs="宋体"/>
          <w:color w:val="auto"/>
          <w:sz w:val="20"/>
          <w:szCs w:val="20"/>
          <w:highlight w:val="none"/>
          <w:u w:val="single" w:color="auto"/>
        </w:rPr>
        <w:t>□法定代表人/□负责人/□</w:t>
      </w:r>
      <w:r>
        <w:rPr>
          <w:rFonts w:ascii="宋体" w:hAnsi="宋体" w:eastAsia="宋体" w:cs="宋体"/>
          <w:color w:val="auto"/>
          <w:spacing w:val="-1"/>
          <w:sz w:val="20"/>
          <w:szCs w:val="20"/>
          <w:highlight w:val="none"/>
          <w:u w:val="single" w:color="auto"/>
        </w:rPr>
        <w:t>自然人本人</w:t>
      </w:r>
      <w:r>
        <w:rPr>
          <w:rFonts w:ascii="宋体" w:hAnsi="宋体" w:eastAsia="宋体" w:cs="宋体"/>
          <w:color w:val="auto"/>
          <w:spacing w:val="-54"/>
          <w:w w:val="85"/>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现授权</w:t>
      </w:r>
      <w:r>
        <w:rPr>
          <w:rFonts w:ascii="宋体" w:hAnsi="宋体" w:eastAsia="宋体" w:cs="宋体"/>
          <w:color w:val="auto"/>
          <w:spacing w:val="-1"/>
          <w:sz w:val="20"/>
          <w:szCs w:val="20"/>
          <w:highlight w:val="none"/>
          <w:u w:val="single" w:color="auto"/>
        </w:rPr>
        <w:t xml:space="preserve"> （姓名、职务） </w:t>
      </w:r>
      <w:r>
        <w:rPr>
          <w:rFonts w:ascii="宋体" w:hAnsi="宋体" w:eastAsia="宋体" w:cs="宋体"/>
          <w:color w:val="auto"/>
          <w:spacing w:val="-84"/>
          <w:sz w:val="20"/>
          <w:szCs w:val="20"/>
          <w:highlight w:val="none"/>
        </w:rPr>
        <w:t xml:space="preserve"> </w:t>
      </w:r>
      <w:r>
        <w:rPr>
          <w:rFonts w:ascii="宋体" w:hAnsi="宋体" w:eastAsia="宋体" w:cs="宋体"/>
          <w:color w:val="auto"/>
          <w:spacing w:val="-1"/>
          <w:sz w:val="20"/>
          <w:szCs w:val="20"/>
          <w:highlight w:val="none"/>
        </w:rPr>
        <w:t>以我方的名义参加</w:t>
      </w:r>
      <w:r>
        <w:rPr>
          <w:rFonts w:ascii="宋体" w:hAnsi="宋体" w:eastAsia="宋体" w:cs="宋体"/>
          <w:color w:val="auto"/>
          <w:spacing w:val="-1"/>
          <w:sz w:val="20"/>
          <w:szCs w:val="20"/>
          <w:highlight w:val="none"/>
          <w:u w:val="single" w:color="auto"/>
        </w:rPr>
        <w:t xml:space="preserve">    （项目名称、项目编号）   </w:t>
      </w:r>
      <w:r>
        <w:rPr>
          <w:rFonts w:ascii="宋体" w:hAnsi="宋体" w:eastAsia="宋体" w:cs="宋体"/>
          <w:color w:val="auto"/>
          <w:spacing w:val="-107"/>
          <w:sz w:val="20"/>
          <w:szCs w:val="20"/>
          <w:highlight w:val="none"/>
        </w:rPr>
        <w:t xml:space="preserve"> </w:t>
      </w:r>
      <w:r>
        <w:rPr>
          <w:rFonts w:ascii="宋体" w:hAnsi="宋体" w:eastAsia="宋体" w:cs="宋体"/>
          <w:color w:val="auto"/>
          <w:spacing w:val="-1"/>
          <w:sz w:val="20"/>
          <w:szCs w:val="20"/>
          <w:highlight w:val="none"/>
        </w:rPr>
        <w:t>项目的竞</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标活动，并代表我方全权办理针对上述项目的所有采购程序和环节的具体事务和签署相</w:t>
      </w:r>
      <w:r>
        <w:rPr>
          <w:rFonts w:ascii="宋体" w:hAnsi="宋体" w:eastAsia="宋体" w:cs="宋体"/>
          <w:color w:val="auto"/>
          <w:spacing w:val="1"/>
          <w:sz w:val="20"/>
          <w:szCs w:val="20"/>
          <w:highlight w:val="none"/>
        </w:rPr>
        <w:t xml:space="preserve"> </w:t>
      </w:r>
      <w:r>
        <w:rPr>
          <w:rFonts w:ascii="宋体" w:hAnsi="宋体" w:eastAsia="宋体" w:cs="宋体"/>
          <w:color w:val="auto"/>
          <w:spacing w:val="-3"/>
          <w:sz w:val="20"/>
          <w:szCs w:val="20"/>
          <w:highlight w:val="none"/>
        </w:rPr>
        <w:t>关文件。</w:t>
      </w:r>
    </w:p>
    <w:p w14:paraId="07C65A99">
      <w:pPr>
        <w:spacing w:line="220" w:lineRule="auto"/>
        <w:ind w:left="48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我方对委托代理人的签字事项负全部责任。</w:t>
      </w:r>
    </w:p>
    <w:p w14:paraId="0A9344F0">
      <w:pPr>
        <w:spacing w:before="182" w:line="359" w:lineRule="auto"/>
        <w:ind w:right="63" w:firstLine="48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本授权书自签署之日起生效，在撤销授权的书面通知以前，本授权书一</w:t>
      </w:r>
      <w:r>
        <w:rPr>
          <w:rFonts w:ascii="宋体" w:hAnsi="宋体" w:eastAsia="宋体" w:cs="宋体"/>
          <w:color w:val="auto"/>
          <w:spacing w:val="-4"/>
          <w:sz w:val="20"/>
          <w:szCs w:val="20"/>
          <w:highlight w:val="none"/>
        </w:rPr>
        <w:t>直有效。委</w:t>
      </w:r>
      <w:r>
        <w:rPr>
          <w:rFonts w:ascii="宋体" w:hAnsi="宋体" w:eastAsia="宋体" w:cs="宋体"/>
          <w:color w:val="auto"/>
          <w:sz w:val="20"/>
          <w:szCs w:val="20"/>
          <w:highlight w:val="none"/>
        </w:rPr>
        <w:t xml:space="preserve"> 托代理人在授权书有效期内签署的所有文件</w:t>
      </w:r>
      <w:r>
        <w:rPr>
          <w:rFonts w:ascii="宋体" w:hAnsi="宋体" w:eastAsia="宋体" w:cs="宋体"/>
          <w:color w:val="auto"/>
          <w:spacing w:val="-1"/>
          <w:sz w:val="20"/>
          <w:szCs w:val="20"/>
          <w:highlight w:val="none"/>
        </w:rPr>
        <w:t>不因授权的撤销而失效。</w:t>
      </w:r>
    </w:p>
    <w:p w14:paraId="01652640">
      <w:pPr>
        <w:spacing w:line="220" w:lineRule="auto"/>
        <w:ind w:left="48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委托代理人无转委托权，特此委托。</w:t>
      </w:r>
    </w:p>
    <w:p w14:paraId="5FE281E9">
      <w:pPr>
        <w:spacing w:before="179" w:line="219" w:lineRule="auto"/>
        <w:ind w:left="49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附：法定代表人身份证明书及委托代理人有效身份证正反面复印件</w:t>
      </w:r>
    </w:p>
    <w:p w14:paraId="7C152CF1">
      <w:pPr>
        <w:pStyle w:val="2"/>
        <w:spacing w:line="283" w:lineRule="auto"/>
        <w:rPr>
          <w:color w:val="auto"/>
          <w:sz w:val="20"/>
          <w:szCs w:val="20"/>
          <w:highlight w:val="none"/>
        </w:rPr>
      </w:pPr>
    </w:p>
    <w:p w14:paraId="39ED71E2">
      <w:pPr>
        <w:pStyle w:val="2"/>
        <w:spacing w:line="284" w:lineRule="auto"/>
        <w:rPr>
          <w:color w:val="auto"/>
          <w:sz w:val="20"/>
          <w:szCs w:val="20"/>
          <w:highlight w:val="none"/>
        </w:rPr>
      </w:pPr>
    </w:p>
    <w:p w14:paraId="26B5313B">
      <w:pPr>
        <w:spacing w:before="79" w:line="219" w:lineRule="auto"/>
        <w:ind w:left="48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委托代理人（签字或盖章</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法定代表人（签字或盖章</w:t>
      </w:r>
      <w:r>
        <w:rPr>
          <w:rFonts w:ascii="宋体" w:hAnsi="宋体" w:eastAsia="宋体" w:cs="宋体"/>
          <w:color w:val="auto"/>
          <w:sz w:val="20"/>
          <w:szCs w:val="20"/>
          <w:highlight w:val="none"/>
        </w:rPr>
        <w:t>）：</w:t>
      </w:r>
    </w:p>
    <w:p w14:paraId="43502112">
      <w:pPr>
        <w:spacing w:before="183" w:line="220" w:lineRule="auto"/>
        <w:ind w:left="48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委托代理人身份证号码：</w:t>
      </w:r>
    </w:p>
    <w:p w14:paraId="61CB0B62">
      <w:pPr>
        <w:pStyle w:val="2"/>
        <w:spacing w:line="283" w:lineRule="auto"/>
        <w:rPr>
          <w:color w:val="auto"/>
          <w:sz w:val="20"/>
          <w:szCs w:val="20"/>
          <w:highlight w:val="none"/>
        </w:rPr>
      </w:pPr>
    </w:p>
    <w:p w14:paraId="527EE22B">
      <w:pPr>
        <w:pStyle w:val="2"/>
        <w:spacing w:line="283" w:lineRule="auto"/>
        <w:rPr>
          <w:color w:val="auto"/>
          <w:sz w:val="20"/>
          <w:szCs w:val="20"/>
          <w:highlight w:val="none"/>
        </w:rPr>
      </w:pPr>
    </w:p>
    <w:p w14:paraId="7A4D2757">
      <w:pPr>
        <w:spacing w:before="78" w:line="219" w:lineRule="auto"/>
        <w:ind w:left="300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44DDA301">
      <w:pPr>
        <w:spacing w:before="181" w:line="220" w:lineRule="auto"/>
        <w:ind w:left="5211"/>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506452FC">
      <w:pPr>
        <w:spacing w:before="182" w:line="359" w:lineRule="auto"/>
        <w:ind w:left="1" w:right="63" w:hanging="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注：1.法定代表人必须在授权委托书上亲笔签字或盖章，委托代理人必须在授权委托书</w:t>
      </w:r>
      <w:r>
        <w:rPr>
          <w:rFonts w:ascii="宋体" w:hAnsi="宋体" w:eastAsia="宋体" w:cs="宋体"/>
          <w:color w:val="auto"/>
          <w:spacing w:val="5"/>
          <w:sz w:val="20"/>
          <w:szCs w:val="20"/>
          <w:highlight w:val="none"/>
        </w:rPr>
        <w:t xml:space="preserve"> </w:t>
      </w:r>
      <w:r>
        <w:rPr>
          <w:rFonts w:ascii="宋体" w:hAnsi="宋体" w:eastAsia="宋体" w:cs="宋体"/>
          <w:color w:val="auto"/>
          <w:spacing w:val="-2"/>
          <w:sz w:val="20"/>
          <w:szCs w:val="20"/>
          <w:highlight w:val="none"/>
        </w:rPr>
        <w:t>上签字或盖章，</w:t>
      </w:r>
      <w:r>
        <w:rPr>
          <w:rFonts w:ascii="宋体" w:hAnsi="宋体" w:eastAsia="宋体" w:cs="宋体"/>
          <w:b/>
          <w:bCs/>
          <w:color w:val="auto"/>
          <w:spacing w:val="-2"/>
          <w:sz w:val="20"/>
          <w:szCs w:val="20"/>
          <w:highlight w:val="none"/>
        </w:rPr>
        <w:t>否则其响应文件按无效响应处理。</w:t>
      </w:r>
    </w:p>
    <w:p w14:paraId="55AFEA80">
      <w:pPr>
        <w:spacing w:before="2" w:line="312" w:lineRule="auto"/>
        <w:ind w:right="63" w:firstLine="48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2.供应商为其他组织或者自然人时，本磋商文件规定的法定代表人指负责</w:t>
      </w:r>
      <w:r>
        <w:rPr>
          <w:rFonts w:ascii="宋体" w:hAnsi="宋体" w:eastAsia="宋体" w:cs="宋体"/>
          <w:color w:val="auto"/>
          <w:spacing w:val="-4"/>
          <w:sz w:val="20"/>
          <w:szCs w:val="20"/>
          <w:highlight w:val="none"/>
        </w:rPr>
        <w:t>人或者自</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然人。本磋商文件所称负责人是指参加竞标的其他组织营业执照上的负责人，本磋商文</w:t>
      </w:r>
      <w:r>
        <w:rPr>
          <w:rFonts w:ascii="宋体" w:hAnsi="宋体" w:eastAsia="宋体" w:cs="宋体"/>
          <w:color w:val="auto"/>
          <w:spacing w:val="3"/>
          <w:sz w:val="20"/>
          <w:szCs w:val="20"/>
          <w:highlight w:val="none"/>
        </w:rPr>
        <w:t xml:space="preserve"> </w:t>
      </w:r>
      <w:r>
        <w:rPr>
          <w:rFonts w:ascii="宋体" w:hAnsi="宋体" w:eastAsia="宋体" w:cs="宋体"/>
          <w:color w:val="auto"/>
          <w:spacing w:val="-1"/>
          <w:sz w:val="20"/>
          <w:szCs w:val="20"/>
          <w:highlight w:val="none"/>
        </w:rPr>
        <w:t>件所称自然人指参与竞标的自然人本人。</w:t>
      </w:r>
    </w:p>
    <w:p w14:paraId="11354CBF">
      <w:pPr>
        <w:spacing w:before="182" w:line="291" w:lineRule="auto"/>
        <w:ind w:left="2" w:right="63" w:firstLine="482"/>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3.法人、其他组织竞标时“我方</w:t>
      </w:r>
      <w:r>
        <w:rPr>
          <w:rFonts w:ascii="宋体" w:hAnsi="宋体" w:eastAsia="宋体" w:cs="宋体"/>
          <w:color w:val="auto"/>
          <w:spacing w:val="-84"/>
          <w:sz w:val="20"/>
          <w:szCs w:val="20"/>
          <w:highlight w:val="none"/>
        </w:rPr>
        <w:t xml:space="preserve"> </w:t>
      </w:r>
      <w:r>
        <w:rPr>
          <w:rFonts w:ascii="宋体" w:hAnsi="宋体" w:eastAsia="宋体" w:cs="宋体"/>
          <w:color w:val="auto"/>
          <w:spacing w:val="-12"/>
          <w:sz w:val="20"/>
          <w:szCs w:val="20"/>
          <w:highlight w:val="none"/>
        </w:rPr>
        <w:t>”是指“我单位</w:t>
      </w:r>
      <w:r>
        <w:rPr>
          <w:rFonts w:ascii="宋体" w:hAnsi="宋体" w:eastAsia="宋体" w:cs="宋体"/>
          <w:color w:val="auto"/>
          <w:spacing w:val="-88"/>
          <w:sz w:val="20"/>
          <w:szCs w:val="20"/>
          <w:highlight w:val="none"/>
        </w:rPr>
        <w:t xml:space="preserve"> </w:t>
      </w:r>
      <w:r>
        <w:rPr>
          <w:rFonts w:ascii="宋体" w:hAnsi="宋体" w:eastAsia="宋体" w:cs="宋体"/>
          <w:color w:val="auto"/>
          <w:spacing w:val="-12"/>
          <w:sz w:val="20"/>
          <w:szCs w:val="20"/>
          <w:highlight w:val="none"/>
        </w:rPr>
        <w:t>”，自然人竞标时“我方</w:t>
      </w:r>
      <w:r>
        <w:rPr>
          <w:rFonts w:ascii="宋体" w:hAnsi="宋体" w:eastAsia="宋体" w:cs="宋体"/>
          <w:color w:val="auto"/>
          <w:spacing w:val="-88"/>
          <w:sz w:val="20"/>
          <w:szCs w:val="20"/>
          <w:highlight w:val="none"/>
        </w:rPr>
        <w:t xml:space="preserve"> </w:t>
      </w:r>
      <w:r>
        <w:rPr>
          <w:rFonts w:ascii="宋体" w:hAnsi="宋体" w:eastAsia="宋体" w:cs="宋体"/>
          <w:color w:val="auto"/>
          <w:spacing w:val="-12"/>
          <w:sz w:val="20"/>
          <w:szCs w:val="20"/>
          <w:highlight w:val="none"/>
        </w:rPr>
        <w:t>”是指“本</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人</w:t>
      </w:r>
      <w:r>
        <w:rPr>
          <w:rFonts w:ascii="宋体" w:hAnsi="宋体" w:eastAsia="宋体" w:cs="宋体"/>
          <w:color w:val="auto"/>
          <w:spacing w:val="-88"/>
          <w:sz w:val="20"/>
          <w:szCs w:val="20"/>
          <w:highlight w:val="none"/>
        </w:rPr>
        <w:t xml:space="preserve"> </w:t>
      </w:r>
      <w:r>
        <w:rPr>
          <w:rFonts w:ascii="宋体" w:hAnsi="宋体" w:eastAsia="宋体" w:cs="宋体"/>
          <w:color w:val="auto"/>
          <w:spacing w:val="-4"/>
          <w:sz w:val="20"/>
          <w:szCs w:val="20"/>
          <w:highlight w:val="none"/>
        </w:rPr>
        <w:t>”。</w:t>
      </w:r>
    </w:p>
    <w:p w14:paraId="633599ED">
      <w:pPr>
        <w:spacing w:line="291" w:lineRule="auto"/>
        <w:rPr>
          <w:rFonts w:ascii="宋体" w:hAnsi="宋体" w:eastAsia="宋体" w:cs="宋体"/>
          <w:color w:val="auto"/>
          <w:sz w:val="24"/>
          <w:szCs w:val="24"/>
          <w:highlight w:val="none"/>
        </w:rPr>
        <w:sectPr>
          <w:footerReference r:id="rId61" w:type="default"/>
          <w:pgSz w:w="11910" w:h="16840"/>
          <w:pgMar w:top="400" w:right="1353" w:bottom="1079" w:left="1481" w:header="0" w:footer="843" w:gutter="0"/>
          <w:cols w:space="720" w:num="1"/>
        </w:sectPr>
      </w:pPr>
    </w:p>
    <w:p w14:paraId="078FAF66">
      <w:pPr>
        <w:pStyle w:val="2"/>
        <w:spacing w:line="338" w:lineRule="auto"/>
        <w:rPr>
          <w:color w:val="auto"/>
          <w:highlight w:val="none"/>
        </w:rPr>
      </w:pPr>
    </w:p>
    <w:p w14:paraId="307A155C">
      <w:pPr>
        <w:pStyle w:val="2"/>
        <w:spacing w:line="338" w:lineRule="auto"/>
        <w:rPr>
          <w:color w:val="auto"/>
          <w:highlight w:val="none"/>
        </w:rPr>
      </w:pPr>
    </w:p>
    <w:p w14:paraId="6839974F">
      <w:pPr>
        <w:spacing w:before="98" w:line="220" w:lineRule="auto"/>
        <w:ind w:left="31"/>
        <w:rPr>
          <w:rFonts w:ascii="宋体" w:hAnsi="宋体" w:eastAsia="宋体" w:cs="宋体"/>
          <w:color w:val="auto"/>
          <w:sz w:val="30"/>
          <w:szCs w:val="30"/>
          <w:highlight w:val="none"/>
        </w:rPr>
      </w:pPr>
      <w:r>
        <w:rPr>
          <w:rFonts w:ascii="宋体" w:hAnsi="宋体" w:eastAsia="宋体" w:cs="宋体"/>
          <w:b/>
          <w:bCs/>
          <w:color w:val="auto"/>
          <w:spacing w:val="-7"/>
          <w:sz w:val="30"/>
          <w:szCs w:val="30"/>
          <w:highlight w:val="none"/>
        </w:rPr>
        <w:t>四、商务条款偏离表</w:t>
      </w:r>
    </w:p>
    <w:p w14:paraId="041548AB">
      <w:pPr>
        <w:spacing w:before="324" w:line="220" w:lineRule="auto"/>
        <w:ind w:left="3465"/>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商务条款偏离表</w:t>
      </w:r>
    </w:p>
    <w:p w14:paraId="5AF087DD">
      <w:pPr>
        <w:pStyle w:val="2"/>
        <w:spacing w:line="475" w:lineRule="auto"/>
        <w:rPr>
          <w:color w:val="auto"/>
          <w:highlight w:val="none"/>
        </w:rPr>
      </w:pPr>
    </w:p>
    <w:p w14:paraId="75EC8F62">
      <w:pPr>
        <w:spacing w:before="78" w:line="219" w:lineRule="auto"/>
        <w:rPr>
          <w:rFonts w:ascii="宋体" w:hAnsi="宋体" w:eastAsia="宋体" w:cs="宋体"/>
          <w:color w:val="auto"/>
          <w:sz w:val="20"/>
          <w:szCs w:val="20"/>
          <w:highlight w:val="none"/>
        </w:rPr>
      </w:pPr>
      <w:r>
        <w:rPr>
          <w:color w:val="auto"/>
          <w:sz w:val="20"/>
          <w:szCs w:val="20"/>
          <w:highlight w:val="none"/>
        </w:rPr>
        <w:pict>
          <v:shape id="_x0000_s1029" o:spid="_x0000_s1029" style="position:absolute;left:0pt;margin-left:83.85pt;margin-top:15.4pt;height:0.6pt;width:96pt;z-index:251668480;mso-width-relative:page;mso-height-relative:page;" filled="f" stroked="t" coordsize="1920,12" path="m0,5l1920,5e">
            <v:fill on="f" focussize="0,0"/>
            <v:stroke weight="0.6pt" color="#000000" miterlimit="2" joinstyle="bevel"/>
            <v:imagedata o:title=""/>
            <o:lock v:ext="edit"/>
          </v:shape>
        </w:pict>
      </w:r>
      <w:r>
        <w:rPr>
          <w:rFonts w:ascii="宋体" w:hAnsi="宋体" w:eastAsia="宋体" w:cs="宋体"/>
          <w:color w:val="auto"/>
          <w:spacing w:val="-2"/>
          <w:sz w:val="20"/>
          <w:szCs w:val="20"/>
          <w:highlight w:val="none"/>
        </w:rPr>
        <w:t>采购项目编号：</w:t>
      </w:r>
    </w:p>
    <w:p w14:paraId="42DFB28A">
      <w:pPr>
        <w:spacing w:before="180" w:line="219" w:lineRule="auto"/>
        <w:rPr>
          <w:rFonts w:ascii="宋体" w:hAnsi="宋体" w:eastAsia="宋体" w:cs="宋体"/>
          <w:color w:val="auto"/>
          <w:sz w:val="20"/>
          <w:szCs w:val="20"/>
          <w:highlight w:val="none"/>
        </w:rPr>
      </w:pPr>
      <w:r>
        <w:rPr>
          <w:color w:val="auto"/>
          <w:sz w:val="20"/>
          <w:szCs w:val="20"/>
          <w:highlight w:val="none"/>
        </w:rPr>
        <w:pict>
          <v:shape id="_x0000_s1030" o:spid="_x0000_s1030" style="position:absolute;left:0pt;margin-left:83.85pt;margin-top:20.7pt;height:0.65pt;width:102pt;z-index:251667456;mso-width-relative:page;mso-height-relative:page;" filled="f" stroked="t" coordsize="2040,12" path="m0,5l2039,5e">
            <v:fill on="f" focussize="0,0"/>
            <v:stroke weight="0.6pt" color="#000000" miterlimit="2" joinstyle="bevel"/>
            <v:imagedata o:title=""/>
            <o:lock v:ext="edit"/>
          </v:shape>
        </w:pict>
      </w:r>
      <w:r>
        <w:rPr>
          <w:rFonts w:ascii="宋体" w:hAnsi="宋体" w:eastAsia="宋体" w:cs="宋体"/>
          <w:color w:val="auto"/>
          <w:spacing w:val="-2"/>
          <w:sz w:val="20"/>
          <w:szCs w:val="20"/>
          <w:highlight w:val="none"/>
        </w:rPr>
        <w:t>采购项目名称：</w:t>
      </w:r>
    </w:p>
    <w:p w14:paraId="1C9ABEDB">
      <w:pPr>
        <w:spacing w:before="182" w:line="221" w:lineRule="auto"/>
        <w:ind w:left="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分标号（此处有分标时填写具体分标号，无分标时填写“无</w:t>
      </w:r>
      <w:r>
        <w:rPr>
          <w:rFonts w:ascii="宋体" w:hAnsi="宋体" w:eastAsia="宋体" w:cs="宋体"/>
          <w:color w:val="auto"/>
          <w:spacing w:val="-69"/>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color="auto"/>
        </w:rPr>
        <w:t xml:space="preserve">        </w:t>
      </w:r>
    </w:p>
    <w:p w14:paraId="42472DC2">
      <w:pPr>
        <w:spacing w:line="238" w:lineRule="exact"/>
        <w:rPr>
          <w:color w:val="auto"/>
          <w:sz w:val="20"/>
          <w:szCs w:val="20"/>
          <w:highlight w:val="none"/>
        </w:rPr>
      </w:pPr>
    </w:p>
    <w:tbl>
      <w:tblPr>
        <w:tblStyle w:val="8"/>
        <w:tblW w:w="8614" w:type="dxa"/>
        <w:tblInd w:w="1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447"/>
        <w:gridCol w:w="3194"/>
        <w:gridCol w:w="1278"/>
      </w:tblGrid>
      <w:tr w14:paraId="557B5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95" w:type="dxa"/>
            <w:textDirection w:val="tbRlV"/>
            <w:vAlign w:val="top"/>
          </w:tcPr>
          <w:p w14:paraId="261ED473">
            <w:pPr>
              <w:pStyle w:val="9"/>
              <w:spacing w:before="224" w:line="205" w:lineRule="auto"/>
              <w:ind w:left="72"/>
              <w:rPr>
                <w:color w:val="auto"/>
                <w:sz w:val="20"/>
                <w:szCs w:val="20"/>
                <w:highlight w:val="none"/>
              </w:rPr>
            </w:pPr>
            <w:r>
              <w:rPr>
                <w:color w:val="auto"/>
                <w:sz w:val="20"/>
                <w:szCs w:val="20"/>
                <w:highlight w:val="none"/>
              </w:rPr>
              <w:t>项</w:t>
            </w:r>
            <w:r>
              <w:rPr>
                <w:color w:val="auto"/>
                <w:spacing w:val="-22"/>
                <w:sz w:val="20"/>
                <w:szCs w:val="20"/>
                <w:highlight w:val="none"/>
              </w:rPr>
              <w:t xml:space="preserve"> </w:t>
            </w:r>
            <w:r>
              <w:rPr>
                <w:color w:val="auto"/>
                <w:sz w:val="20"/>
                <w:szCs w:val="20"/>
                <w:highlight w:val="none"/>
              </w:rPr>
              <w:t>号</w:t>
            </w:r>
          </w:p>
        </w:tc>
        <w:tc>
          <w:tcPr>
            <w:tcW w:w="3447" w:type="dxa"/>
            <w:vAlign w:val="top"/>
          </w:tcPr>
          <w:p w14:paraId="173A240B">
            <w:pPr>
              <w:pStyle w:val="9"/>
              <w:spacing w:before="242" w:line="220" w:lineRule="auto"/>
              <w:ind w:left="291"/>
              <w:rPr>
                <w:color w:val="auto"/>
                <w:sz w:val="20"/>
                <w:szCs w:val="20"/>
                <w:highlight w:val="none"/>
              </w:rPr>
            </w:pPr>
            <w:r>
              <w:rPr>
                <w:color w:val="auto"/>
                <w:spacing w:val="-2"/>
                <w:sz w:val="20"/>
                <w:szCs w:val="20"/>
                <w:highlight w:val="none"/>
              </w:rPr>
              <w:t>竞争性磋商文件的商务需求</w:t>
            </w:r>
          </w:p>
        </w:tc>
        <w:tc>
          <w:tcPr>
            <w:tcW w:w="3194" w:type="dxa"/>
            <w:vAlign w:val="top"/>
          </w:tcPr>
          <w:p w14:paraId="767A6610">
            <w:pPr>
              <w:pStyle w:val="9"/>
              <w:spacing w:before="242" w:line="220" w:lineRule="auto"/>
              <w:ind w:left="297"/>
              <w:rPr>
                <w:color w:val="auto"/>
                <w:sz w:val="20"/>
                <w:szCs w:val="20"/>
                <w:highlight w:val="none"/>
              </w:rPr>
            </w:pPr>
            <w:r>
              <w:rPr>
                <w:color w:val="auto"/>
                <w:spacing w:val="-2"/>
                <w:sz w:val="20"/>
                <w:szCs w:val="20"/>
                <w:highlight w:val="none"/>
              </w:rPr>
              <w:t>响应文件承诺的商务条款</w:t>
            </w:r>
          </w:p>
        </w:tc>
        <w:tc>
          <w:tcPr>
            <w:tcW w:w="1278" w:type="dxa"/>
            <w:vAlign w:val="top"/>
          </w:tcPr>
          <w:p w14:paraId="530129A2">
            <w:pPr>
              <w:pStyle w:val="9"/>
              <w:spacing w:before="242" w:line="220" w:lineRule="auto"/>
              <w:ind w:left="165"/>
              <w:rPr>
                <w:color w:val="auto"/>
                <w:sz w:val="20"/>
                <w:szCs w:val="20"/>
                <w:highlight w:val="none"/>
              </w:rPr>
            </w:pPr>
            <w:r>
              <w:rPr>
                <w:color w:val="auto"/>
                <w:spacing w:val="-3"/>
                <w:sz w:val="20"/>
                <w:szCs w:val="20"/>
                <w:highlight w:val="none"/>
              </w:rPr>
              <w:t>偏离说明</w:t>
            </w:r>
          </w:p>
        </w:tc>
      </w:tr>
      <w:tr w14:paraId="030B2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3" w:hRule="atLeast"/>
        </w:trPr>
        <w:tc>
          <w:tcPr>
            <w:tcW w:w="695" w:type="dxa"/>
            <w:vAlign w:val="top"/>
          </w:tcPr>
          <w:p w14:paraId="7AD3F65F">
            <w:pPr>
              <w:pStyle w:val="9"/>
              <w:spacing w:before="66" w:line="242" w:lineRule="auto"/>
              <w:ind w:left="134"/>
              <w:rPr>
                <w:color w:val="auto"/>
                <w:sz w:val="20"/>
                <w:szCs w:val="20"/>
                <w:highlight w:val="none"/>
              </w:rPr>
            </w:pPr>
            <w:r>
              <w:rPr>
                <w:color w:val="auto"/>
                <w:sz w:val="20"/>
                <w:szCs w:val="20"/>
                <w:highlight w:val="none"/>
              </w:rPr>
              <w:t>1</w:t>
            </w:r>
          </w:p>
        </w:tc>
        <w:tc>
          <w:tcPr>
            <w:tcW w:w="3447" w:type="dxa"/>
            <w:vAlign w:val="top"/>
          </w:tcPr>
          <w:p w14:paraId="06F24563">
            <w:pPr>
              <w:pStyle w:val="9"/>
              <w:spacing w:before="66" w:line="242" w:lineRule="auto"/>
              <w:ind w:left="130"/>
              <w:rPr>
                <w:color w:val="auto"/>
                <w:sz w:val="20"/>
                <w:szCs w:val="20"/>
                <w:highlight w:val="none"/>
              </w:rPr>
            </w:pPr>
            <w:r>
              <w:rPr>
                <w:color w:val="auto"/>
                <w:spacing w:val="-18"/>
                <w:sz w:val="20"/>
                <w:szCs w:val="20"/>
                <w:highlight w:val="none"/>
              </w:rPr>
              <w:t>1</w:t>
            </w:r>
            <w:r>
              <w:rPr>
                <w:color w:val="auto"/>
                <w:spacing w:val="12"/>
                <w:sz w:val="20"/>
                <w:szCs w:val="20"/>
                <w:highlight w:val="none"/>
              </w:rPr>
              <w:t xml:space="preserve">  </w:t>
            </w:r>
            <w:r>
              <w:rPr>
                <w:color w:val="auto"/>
                <w:spacing w:val="-18"/>
                <w:sz w:val="20"/>
                <w:szCs w:val="20"/>
                <w:highlight w:val="none"/>
              </w:rPr>
              <w:t>……</w:t>
            </w:r>
          </w:p>
          <w:p w14:paraId="034BC35E">
            <w:pPr>
              <w:pStyle w:val="9"/>
              <w:spacing w:before="26" w:line="242" w:lineRule="auto"/>
              <w:ind w:left="115"/>
              <w:rPr>
                <w:color w:val="auto"/>
                <w:sz w:val="20"/>
                <w:szCs w:val="20"/>
                <w:highlight w:val="none"/>
              </w:rPr>
            </w:pPr>
            <w:r>
              <w:rPr>
                <w:color w:val="auto"/>
                <w:spacing w:val="-13"/>
                <w:sz w:val="20"/>
                <w:szCs w:val="20"/>
                <w:highlight w:val="none"/>
              </w:rPr>
              <w:t>2</w:t>
            </w:r>
            <w:r>
              <w:rPr>
                <w:color w:val="auto"/>
                <w:spacing w:val="12"/>
                <w:sz w:val="20"/>
                <w:szCs w:val="20"/>
                <w:highlight w:val="none"/>
              </w:rPr>
              <w:t xml:space="preserve">  </w:t>
            </w:r>
            <w:r>
              <w:rPr>
                <w:color w:val="auto"/>
                <w:spacing w:val="-13"/>
                <w:sz w:val="20"/>
                <w:szCs w:val="20"/>
                <w:highlight w:val="none"/>
              </w:rPr>
              <w:t>……</w:t>
            </w:r>
          </w:p>
          <w:p w14:paraId="36B830D3">
            <w:pPr>
              <w:pStyle w:val="9"/>
              <w:spacing w:before="26"/>
              <w:ind w:left="117"/>
              <w:rPr>
                <w:color w:val="auto"/>
                <w:sz w:val="20"/>
                <w:szCs w:val="20"/>
                <w:highlight w:val="none"/>
              </w:rPr>
            </w:pPr>
            <w:r>
              <w:rPr>
                <w:color w:val="auto"/>
                <w:spacing w:val="-13"/>
                <w:sz w:val="20"/>
                <w:szCs w:val="20"/>
                <w:highlight w:val="none"/>
              </w:rPr>
              <w:t>3</w:t>
            </w:r>
            <w:r>
              <w:rPr>
                <w:color w:val="auto"/>
                <w:spacing w:val="12"/>
                <w:sz w:val="20"/>
                <w:szCs w:val="20"/>
                <w:highlight w:val="none"/>
              </w:rPr>
              <w:t xml:space="preserve">  </w:t>
            </w:r>
            <w:r>
              <w:rPr>
                <w:color w:val="auto"/>
                <w:spacing w:val="-13"/>
                <w:sz w:val="20"/>
                <w:szCs w:val="20"/>
                <w:highlight w:val="none"/>
              </w:rPr>
              <w:t>……</w:t>
            </w:r>
          </w:p>
          <w:p w14:paraId="44C13FB1">
            <w:pPr>
              <w:spacing w:before="118" w:line="56" w:lineRule="exact"/>
              <w:ind w:firstLine="128"/>
              <w:rPr>
                <w:color w:val="auto"/>
                <w:sz w:val="20"/>
                <w:szCs w:val="20"/>
                <w:highlight w:val="none"/>
              </w:rPr>
            </w:pPr>
            <w:r>
              <w:rPr>
                <w:color w:val="auto"/>
                <w:position w:val="-1"/>
                <w:sz w:val="20"/>
                <w:szCs w:val="20"/>
                <w:highlight w:val="none"/>
              </w:rPr>
              <w:drawing>
                <wp:inline distT="0" distB="0" distL="0" distR="0">
                  <wp:extent cx="263525" cy="349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58"/>
                          <a:stretch>
                            <a:fillRect/>
                          </a:stretch>
                        </pic:blipFill>
                        <pic:spPr>
                          <a:xfrm>
                            <a:off x="0" y="0"/>
                            <a:ext cx="264102" cy="35274"/>
                          </a:xfrm>
                          <a:prstGeom prst="rect">
                            <a:avLst/>
                          </a:prstGeom>
                        </pic:spPr>
                      </pic:pic>
                    </a:graphicData>
                  </a:graphic>
                </wp:inline>
              </w:drawing>
            </w:r>
          </w:p>
        </w:tc>
        <w:tc>
          <w:tcPr>
            <w:tcW w:w="3194" w:type="dxa"/>
            <w:vAlign w:val="top"/>
          </w:tcPr>
          <w:p w14:paraId="29789DD9">
            <w:pPr>
              <w:pStyle w:val="9"/>
              <w:spacing w:before="66" w:line="242" w:lineRule="auto"/>
              <w:ind w:left="132"/>
              <w:rPr>
                <w:color w:val="auto"/>
                <w:sz w:val="20"/>
                <w:szCs w:val="20"/>
                <w:highlight w:val="none"/>
              </w:rPr>
            </w:pPr>
            <w:r>
              <w:rPr>
                <w:color w:val="auto"/>
                <w:spacing w:val="-18"/>
                <w:sz w:val="20"/>
                <w:szCs w:val="20"/>
                <w:highlight w:val="none"/>
              </w:rPr>
              <w:t>1</w:t>
            </w:r>
            <w:r>
              <w:rPr>
                <w:color w:val="auto"/>
                <w:spacing w:val="12"/>
                <w:sz w:val="20"/>
                <w:szCs w:val="20"/>
                <w:highlight w:val="none"/>
              </w:rPr>
              <w:t xml:space="preserve">  </w:t>
            </w:r>
            <w:r>
              <w:rPr>
                <w:color w:val="auto"/>
                <w:spacing w:val="-18"/>
                <w:sz w:val="20"/>
                <w:szCs w:val="20"/>
                <w:highlight w:val="none"/>
              </w:rPr>
              <w:t>……</w:t>
            </w:r>
          </w:p>
          <w:p w14:paraId="6943499C">
            <w:pPr>
              <w:pStyle w:val="9"/>
              <w:spacing w:before="26" w:line="242" w:lineRule="auto"/>
              <w:ind w:left="117"/>
              <w:rPr>
                <w:color w:val="auto"/>
                <w:sz w:val="20"/>
                <w:szCs w:val="20"/>
                <w:highlight w:val="none"/>
              </w:rPr>
            </w:pPr>
            <w:r>
              <w:rPr>
                <w:color w:val="auto"/>
                <w:spacing w:val="-13"/>
                <w:sz w:val="20"/>
                <w:szCs w:val="20"/>
                <w:highlight w:val="none"/>
              </w:rPr>
              <w:t>2</w:t>
            </w:r>
            <w:r>
              <w:rPr>
                <w:color w:val="auto"/>
                <w:spacing w:val="12"/>
                <w:sz w:val="20"/>
                <w:szCs w:val="20"/>
                <w:highlight w:val="none"/>
              </w:rPr>
              <w:t xml:space="preserve">  </w:t>
            </w:r>
            <w:r>
              <w:rPr>
                <w:color w:val="auto"/>
                <w:spacing w:val="-13"/>
                <w:sz w:val="20"/>
                <w:szCs w:val="20"/>
                <w:highlight w:val="none"/>
              </w:rPr>
              <w:t>……</w:t>
            </w:r>
          </w:p>
          <w:p w14:paraId="4EBD2DCF">
            <w:pPr>
              <w:pStyle w:val="9"/>
              <w:spacing w:before="26"/>
              <w:ind w:left="119"/>
              <w:rPr>
                <w:color w:val="auto"/>
                <w:sz w:val="20"/>
                <w:szCs w:val="20"/>
                <w:highlight w:val="none"/>
              </w:rPr>
            </w:pPr>
            <w:r>
              <w:rPr>
                <w:color w:val="auto"/>
                <w:spacing w:val="-13"/>
                <w:sz w:val="20"/>
                <w:szCs w:val="20"/>
                <w:highlight w:val="none"/>
              </w:rPr>
              <w:t>3</w:t>
            </w:r>
            <w:r>
              <w:rPr>
                <w:color w:val="auto"/>
                <w:spacing w:val="12"/>
                <w:sz w:val="20"/>
                <w:szCs w:val="20"/>
                <w:highlight w:val="none"/>
              </w:rPr>
              <w:t xml:space="preserve">  </w:t>
            </w:r>
            <w:r>
              <w:rPr>
                <w:color w:val="auto"/>
                <w:spacing w:val="-13"/>
                <w:sz w:val="20"/>
                <w:szCs w:val="20"/>
                <w:highlight w:val="none"/>
              </w:rPr>
              <w:t>……</w:t>
            </w:r>
          </w:p>
          <w:p w14:paraId="52F0FD0E">
            <w:pPr>
              <w:spacing w:before="118" w:line="56" w:lineRule="exact"/>
              <w:ind w:firstLine="129"/>
              <w:rPr>
                <w:color w:val="auto"/>
                <w:sz w:val="20"/>
                <w:szCs w:val="20"/>
                <w:highlight w:val="none"/>
              </w:rPr>
            </w:pPr>
            <w:r>
              <w:rPr>
                <w:color w:val="auto"/>
                <w:position w:val="-1"/>
                <w:sz w:val="20"/>
                <w:szCs w:val="20"/>
                <w:highlight w:val="none"/>
              </w:rPr>
              <w:drawing>
                <wp:inline distT="0" distB="0" distL="0" distR="0">
                  <wp:extent cx="276860" cy="349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58"/>
                          <a:stretch>
                            <a:fillRect/>
                          </a:stretch>
                        </pic:blipFill>
                        <pic:spPr>
                          <a:xfrm>
                            <a:off x="0" y="0"/>
                            <a:ext cx="277202" cy="35274"/>
                          </a:xfrm>
                          <a:prstGeom prst="rect">
                            <a:avLst/>
                          </a:prstGeom>
                        </pic:spPr>
                      </pic:pic>
                    </a:graphicData>
                  </a:graphic>
                </wp:inline>
              </w:drawing>
            </w:r>
          </w:p>
        </w:tc>
        <w:tc>
          <w:tcPr>
            <w:tcW w:w="1278" w:type="dxa"/>
            <w:vAlign w:val="top"/>
          </w:tcPr>
          <w:p w14:paraId="00BD0A05">
            <w:pPr>
              <w:rPr>
                <w:rFonts w:ascii="Arial"/>
                <w:color w:val="auto"/>
                <w:sz w:val="20"/>
                <w:szCs w:val="20"/>
                <w:highlight w:val="none"/>
              </w:rPr>
            </w:pPr>
          </w:p>
        </w:tc>
      </w:tr>
      <w:tr w14:paraId="45A90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trPr>
        <w:tc>
          <w:tcPr>
            <w:tcW w:w="695" w:type="dxa"/>
            <w:vAlign w:val="top"/>
          </w:tcPr>
          <w:p w14:paraId="745441C7">
            <w:pPr>
              <w:pStyle w:val="9"/>
              <w:spacing w:before="246" w:line="99" w:lineRule="exact"/>
              <w:ind w:left="123"/>
              <w:rPr>
                <w:color w:val="auto"/>
                <w:sz w:val="20"/>
                <w:szCs w:val="20"/>
                <w:highlight w:val="none"/>
              </w:rPr>
            </w:pPr>
            <w:r>
              <w:rPr>
                <w:color w:val="auto"/>
                <w:position w:val="1"/>
                <w:sz w:val="20"/>
                <w:szCs w:val="20"/>
                <w:highlight w:val="none"/>
              </w:rPr>
              <w:t>...</w:t>
            </w:r>
          </w:p>
        </w:tc>
        <w:tc>
          <w:tcPr>
            <w:tcW w:w="3447" w:type="dxa"/>
            <w:vAlign w:val="top"/>
          </w:tcPr>
          <w:p w14:paraId="44F26619">
            <w:pPr>
              <w:pStyle w:val="9"/>
              <w:spacing w:before="69" w:line="242" w:lineRule="auto"/>
              <w:ind w:left="130"/>
              <w:rPr>
                <w:color w:val="auto"/>
                <w:sz w:val="20"/>
                <w:szCs w:val="20"/>
                <w:highlight w:val="none"/>
              </w:rPr>
            </w:pPr>
            <w:r>
              <w:rPr>
                <w:color w:val="auto"/>
                <w:spacing w:val="-18"/>
                <w:sz w:val="20"/>
                <w:szCs w:val="20"/>
                <w:highlight w:val="none"/>
              </w:rPr>
              <w:t>1</w:t>
            </w:r>
            <w:r>
              <w:rPr>
                <w:color w:val="auto"/>
                <w:spacing w:val="12"/>
                <w:sz w:val="20"/>
                <w:szCs w:val="20"/>
                <w:highlight w:val="none"/>
              </w:rPr>
              <w:t xml:space="preserve">  </w:t>
            </w:r>
            <w:r>
              <w:rPr>
                <w:color w:val="auto"/>
                <w:spacing w:val="-18"/>
                <w:sz w:val="20"/>
                <w:szCs w:val="20"/>
                <w:highlight w:val="none"/>
              </w:rPr>
              <w:t>……</w:t>
            </w:r>
          </w:p>
          <w:p w14:paraId="62615530">
            <w:pPr>
              <w:pStyle w:val="9"/>
              <w:spacing w:before="26" w:line="242" w:lineRule="auto"/>
              <w:ind w:left="115"/>
              <w:rPr>
                <w:color w:val="auto"/>
                <w:sz w:val="20"/>
                <w:szCs w:val="20"/>
                <w:highlight w:val="none"/>
              </w:rPr>
            </w:pPr>
            <w:r>
              <w:rPr>
                <w:color w:val="auto"/>
                <w:spacing w:val="-13"/>
                <w:sz w:val="20"/>
                <w:szCs w:val="20"/>
                <w:highlight w:val="none"/>
              </w:rPr>
              <w:t>2</w:t>
            </w:r>
            <w:r>
              <w:rPr>
                <w:color w:val="auto"/>
                <w:spacing w:val="12"/>
                <w:sz w:val="20"/>
                <w:szCs w:val="20"/>
                <w:highlight w:val="none"/>
              </w:rPr>
              <w:t xml:space="preserve">  </w:t>
            </w:r>
            <w:r>
              <w:rPr>
                <w:color w:val="auto"/>
                <w:spacing w:val="-13"/>
                <w:sz w:val="20"/>
                <w:szCs w:val="20"/>
                <w:highlight w:val="none"/>
              </w:rPr>
              <w:t>……</w:t>
            </w:r>
          </w:p>
          <w:p w14:paraId="0D5EFF0D">
            <w:pPr>
              <w:pStyle w:val="9"/>
              <w:spacing w:before="24"/>
              <w:ind w:left="117"/>
              <w:rPr>
                <w:color w:val="auto"/>
                <w:sz w:val="20"/>
                <w:szCs w:val="20"/>
                <w:highlight w:val="none"/>
              </w:rPr>
            </w:pPr>
            <w:r>
              <w:rPr>
                <w:color w:val="auto"/>
                <w:spacing w:val="-13"/>
                <w:sz w:val="20"/>
                <w:szCs w:val="20"/>
                <w:highlight w:val="none"/>
              </w:rPr>
              <w:t>3</w:t>
            </w:r>
            <w:r>
              <w:rPr>
                <w:color w:val="auto"/>
                <w:spacing w:val="12"/>
                <w:sz w:val="20"/>
                <w:szCs w:val="20"/>
                <w:highlight w:val="none"/>
              </w:rPr>
              <w:t xml:space="preserve">  </w:t>
            </w:r>
            <w:r>
              <w:rPr>
                <w:color w:val="auto"/>
                <w:spacing w:val="-13"/>
                <w:sz w:val="20"/>
                <w:szCs w:val="20"/>
                <w:highlight w:val="none"/>
              </w:rPr>
              <w:t>……</w:t>
            </w:r>
          </w:p>
          <w:p w14:paraId="2CC04CC5">
            <w:pPr>
              <w:spacing w:before="121" w:line="55" w:lineRule="exact"/>
              <w:ind w:firstLine="128"/>
              <w:rPr>
                <w:color w:val="auto"/>
                <w:sz w:val="20"/>
                <w:szCs w:val="20"/>
                <w:highlight w:val="none"/>
              </w:rPr>
            </w:pPr>
            <w:r>
              <w:rPr>
                <w:color w:val="auto"/>
                <w:position w:val="-1"/>
                <w:sz w:val="20"/>
                <w:szCs w:val="20"/>
                <w:highlight w:val="none"/>
              </w:rPr>
              <w:drawing>
                <wp:inline distT="0" distB="0" distL="0" distR="0">
                  <wp:extent cx="263525" cy="349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59"/>
                          <a:stretch>
                            <a:fillRect/>
                          </a:stretch>
                        </pic:blipFill>
                        <pic:spPr>
                          <a:xfrm>
                            <a:off x="0" y="0"/>
                            <a:ext cx="264102" cy="35274"/>
                          </a:xfrm>
                          <a:prstGeom prst="rect">
                            <a:avLst/>
                          </a:prstGeom>
                        </pic:spPr>
                      </pic:pic>
                    </a:graphicData>
                  </a:graphic>
                </wp:inline>
              </w:drawing>
            </w:r>
          </w:p>
        </w:tc>
        <w:tc>
          <w:tcPr>
            <w:tcW w:w="3194" w:type="dxa"/>
            <w:vAlign w:val="top"/>
          </w:tcPr>
          <w:p w14:paraId="2488F3B9">
            <w:pPr>
              <w:pStyle w:val="9"/>
              <w:spacing w:before="69" w:line="242" w:lineRule="auto"/>
              <w:ind w:left="132"/>
              <w:rPr>
                <w:color w:val="auto"/>
                <w:sz w:val="20"/>
                <w:szCs w:val="20"/>
                <w:highlight w:val="none"/>
              </w:rPr>
            </w:pPr>
            <w:r>
              <w:rPr>
                <w:color w:val="auto"/>
                <w:spacing w:val="-18"/>
                <w:sz w:val="20"/>
                <w:szCs w:val="20"/>
                <w:highlight w:val="none"/>
              </w:rPr>
              <w:t>1</w:t>
            </w:r>
            <w:r>
              <w:rPr>
                <w:color w:val="auto"/>
                <w:spacing w:val="12"/>
                <w:sz w:val="20"/>
                <w:szCs w:val="20"/>
                <w:highlight w:val="none"/>
              </w:rPr>
              <w:t xml:space="preserve">  </w:t>
            </w:r>
            <w:r>
              <w:rPr>
                <w:color w:val="auto"/>
                <w:spacing w:val="-18"/>
                <w:sz w:val="20"/>
                <w:szCs w:val="20"/>
                <w:highlight w:val="none"/>
              </w:rPr>
              <w:t>……</w:t>
            </w:r>
          </w:p>
          <w:p w14:paraId="1D6D32F2">
            <w:pPr>
              <w:pStyle w:val="9"/>
              <w:spacing w:before="26" w:line="242" w:lineRule="auto"/>
              <w:ind w:left="117"/>
              <w:rPr>
                <w:color w:val="auto"/>
                <w:sz w:val="20"/>
                <w:szCs w:val="20"/>
                <w:highlight w:val="none"/>
              </w:rPr>
            </w:pPr>
            <w:r>
              <w:rPr>
                <w:color w:val="auto"/>
                <w:spacing w:val="-13"/>
                <w:sz w:val="20"/>
                <w:szCs w:val="20"/>
                <w:highlight w:val="none"/>
              </w:rPr>
              <w:t>2</w:t>
            </w:r>
            <w:r>
              <w:rPr>
                <w:color w:val="auto"/>
                <w:spacing w:val="12"/>
                <w:sz w:val="20"/>
                <w:szCs w:val="20"/>
                <w:highlight w:val="none"/>
              </w:rPr>
              <w:t xml:space="preserve">  </w:t>
            </w:r>
            <w:r>
              <w:rPr>
                <w:color w:val="auto"/>
                <w:spacing w:val="-13"/>
                <w:sz w:val="20"/>
                <w:szCs w:val="20"/>
                <w:highlight w:val="none"/>
              </w:rPr>
              <w:t>……</w:t>
            </w:r>
          </w:p>
          <w:p w14:paraId="27ED2192">
            <w:pPr>
              <w:pStyle w:val="9"/>
              <w:spacing w:before="24"/>
              <w:ind w:left="119"/>
              <w:rPr>
                <w:color w:val="auto"/>
                <w:sz w:val="20"/>
                <w:szCs w:val="20"/>
                <w:highlight w:val="none"/>
              </w:rPr>
            </w:pPr>
            <w:r>
              <w:rPr>
                <w:color w:val="auto"/>
                <w:spacing w:val="-13"/>
                <w:sz w:val="20"/>
                <w:szCs w:val="20"/>
                <w:highlight w:val="none"/>
              </w:rPr>
              <w:t>3</w:t>
            </w:r>
            <w:r>
              <w:rPr>
                <w:color w:val="auto"/>
                <w:spacing w:val="12"/>
                <w:sz w:val="20"/>
                <w:szCs w:val="20"/>
                <w:highlight w:val="none"/>
              </w:rPr>
              <w:t xml:space="preserve">  </w:t>
            </w:r>
            <w:r>
              <w:rPr>
                <w:color w:val="auto"/>
                <w:spacing w:val="-13"/>
                <w:sz w:val="20"/>
                <w:szCs w:val="20"/>
                <w:highlight w:val="none"/>
              </w:rPr>
              <w:t>……</w:t>
            </w:r>
          </w:p>
          <w:p w14:paraId="0B63C883">
            <w:pPr>
              <w:spacing w:before="121" w:line="55" w:lineRule="exact"/>
              <w:ind w:firstLine="129"/>
              <w:rPr>
                <w:color w:val="auto"/>
                <w:sz w:val="20"/>
                <w:szCs w:val="20"/>
                <w:highlight w:val="none"/>
              </w:rPr>
            </w:pPr>
            <w:r>
              <w:rPr>
                <w:color w:val="auto"/>
                <w:position w:val="-1"/>
                <w:sz w:val="20"/>
                <w:szCs w:val="20"/>
                <w:highlight w:val="none"/>
              </w:rPr>
              <w:drawing>
                <wp:inline distT="0" distB="0" distL="0" distR="0">
                  <wp:extent cx="276860" cy="349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59"/>
                          <a:stretch>
                            <a:fillRect/>
                          </a:stretch>
                        </pic:blipFill>
                        <pic:spPr>
                          <a:xfrm>
                            <a:off x="0" y="0"/>
                            <a:ext cx="277202" cy="35274"/>
                          </a:xfrm>
                          <a:prstGeom prst="rect">
                            <a:avLst/>
                          </a:prstGeom>
                        </pic:spPr>
                      </pic:pic>
                    </a:graphicData>
                  </a:graphic>
                </wp:inline>
              </w:drawing>
            </w:r>
          </w:p>
        </w:tc>
        <w:tc>
          <w:tcPr>
            <w:tcW w:w="1278" w:type="dxa"/>
            <w:vAlign w:val="top"/>
          </w:tcPr>
          <w:p w14:paraId="52B219BF">
            <w:pPr>
              <w:rPr>
                <w:rFonts w:ascii="Arial"/>
                <w:color w:val="auto"/>
                <w:sz w:val="20"/>
                <w:szCs w:val="20"/>
                <w:highlight w:val="none"/>
              </w:rPr>
            </w:pPr>
          </w:p>
        </w:tc>
      </w:tr>
    </w:tbl>
    <w:p w14:paraId="316CD0CE">
      <w:pPr>
        <w:spacing w:before="142" w:line="231" w:lineRule="auto"/>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5204873A">
      <w:pPr>
        <w:spacing w:before="148" w:line="228" w:lineRule="auto"/>
        <w:ind w:left="1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1.说明：应对照磋商文件“第二章 采购需求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”中的商务条款逐条作出明确响应，并作出偏离说明。</w:t>
      </w:r>
    </w:p>
    <w:p w14:paraId="5A0F8A36">
      <w:pPr>
        <w:spacing w:before="154" w:line="321" w:lineRule="auto"/>
        <w:ind w:left="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2.供应商应根据自身的承诺，对照磋商文件要求，在“偏离说明</w:t>
      </w:r>
      <w:r>
        <w:rPr>
          <w:rFonts w:ascii="宋体" w:hAnsi="宋体" w:eastAsia="宋体" w:cs="宋体"/>
          <w:color w:val="auto"/>
          <w:spacing w:val="-70"/>
          <w:sz w:val="20"/>
          <w:szCs w:val="20"/>
          <w:highlight w:val="none"/>
        </w:rPr>
        <w:t xml:space="preserve"> </w:t>
      </w:r>
      <w:r>
        <w:rPr>
          <w:rFonts w:ascii="宋体" w:hAnsi="宋体" w:eastAsia="宋体" w:cs="宋体"/>
          <w:color w:val="auto"/>
          <w:spacing w:val="10"/>
          <w:sz w:val="20"/>
          <w:szCs w:val="20"/>
          <w:highlight w:val="none"/>
        </w:rPr>
        <w:t>”中注明“正偏</w:t>
      </w:r>
      <w:r>
        <w:rPr>
          <w:rFonts w:ascii="宋体" w:hAnsi="宋体" w:eastAsia="宋体" w:cs="宋体"/>
          <w:color w:val="auto"/>
          <w:spacing w:val="9"/>
          <w:sz w:val="20"/>
          <w:szCs w:val="20"/>
          <w:highlight w:val="none"/>
        </w:rPr>
        <w:t>离</w:t>
      </w:r>
      <w:r>
        <w:rPr>
          <w:rFonts w:ascii="宋体" w:hAnsi="宋体" w:eastAsia="宋体" w:cs="宋体"/>
          <w:color w:val="auto"/>
          <w:spacing w:val="-73"/>
          <w:sz w:val="20"/>
          <w:szCs w:val="20"/>
          <w:highlight w:val="none"/>
        </w:rPr>
        <w:t xml:space="preserve"> </w:t>
      </w:r>
      <w:r>
        <w:rPr>
          <w:rFonts w:ascii="宋体" w:hAnsi="宋体" w:eastAsia="宋体" w:cs="宋体"/>
          <w:color w:val="auto"/>
          <w:spacing w:val="9"/>
          <w:sz w:val="20"/>
          <w:szCs w:val="20"/>
          <w:highlight w:val="none"/>
        </w:rPr>
        <w:t>”、“负偏离</w:t>
      </w:r>
      <w:r>
        <w:rPr>
          <w:rFonts w:ascii="宋体" w:hAnsi="宋体" w:eastAsia="宋体" w:cs="宋体"/>
          <w:color w:val="auto"/>
          <w:spacing w:val="-72"/>
          <w:sz w:val="20"/>
          <w:szCs w:val="20"/>
          <w:highlight w:val="none"/>
        </w:rPr>
        <w:t xml:space="preserve"> </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或者“无偏离</w:t>
      </w:r>
      <w:r>
        <w:rPr>
          <w:rFonts w:ascii="宋体" w:hAnsi="宋体" w:eastAsia="宋体" w:cs="宋体"/>
          <w:color w:val="auto"/>
          <w:spacing w:val="-61"/>
          <w:sz w:val="20"/>
          <w:szCs w:val="20"/>
          <w:highlight w:val="none"/>
        </w:rPr>
        <w:t xml:space="preserve"> </w:t>
      </w:r>
      <w:r>
        <w:rPr>
          <w:rFonts w:ascii="宋体" w:hAnsi="宋体" w:eastAsia="宋体" w:cs="宋体"/>
          <w:color w:val="auto"/>
          <w:spacing w:val="8"/>
          <w:sz w:val="20"/>
          <w:szCs w:val="20"/>
          <w:highlight w:val="none"/>
        </w:rPr>
        <w:t>”。既不属于“正偏离</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”也不属于“负偏离</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”即为“无偏离</w:t>
      </w:r>
      <w:r>
        <w:rPr>
          <w:rFonts w:ascii="宋体" w:hAnsi="宋体" w:eastAsia="宋体" w:cs="宋体"/>
          <w:color w:val="auto"/>
          <w:spacing w:val="-68"/>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当响应文件的商务</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内容低于竞争性磋商文件要求时，竞标人应当如实写明“负偏离</w:t>
      </w:r>
      <w:r>
        <w:rPr>
          <w:rFonts w:ascii="宋体" w:hAnsi="宋体" w:eastAsia="宋体" w:cs="宋体"/>
          <w:color w:val="auto"/>
          <w:spacing w:val="-72"/>
          <w:sz w:val="20"/>
          <w:szCs w:val="20"/>
          <w:highlight w:val="none"/>
        </w:rPr>
        <w:t xml:space="preserve"> </w:t>
      </w:r>
      <w:r>
        <w:rPr>
          <w:rFonts w:ascii="宋体" w:hAnsi="宋体" w:eastAsia="宋体" w:cs="宋体"/>
          <w:color w:val="auto"/>
          <w:spacing w:val="8"/>
          <w:sz w:val="20"/>
          <w:szCs w:val="20"/>
          <w:highlight w:val="none"/>
        </w:rPr>
        <w:t>”，否则视为虚假应标。</w:t>
      </w:r>
    </w:p>
    <w:p w14:paraId="613D109B">
      <w:pPr>
        <w:spacing w:before="157" w:line="226" w:lineRule="auto"/>
        <w:ind w:left="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3.表格内容均需按要求填写，不得留空，否则按竞</w:t>
      </w:r>
      <w:r>
        <w:rPr>
          <w:rFonts w:ascii="宋体" w:hAnsi="宋体" w:eastAsia="宋体" w:cs="宋体"/>
          <w:color w:val="auto"/>
          <w:spacing w:val="8"/>
          <w:sz w:val="20"/>
          <w:szCs w:val="20"/>
          <w:highlight w:val="none"/>
        </w:rPr>
        <w:t>标无效处理。</w:t>
      </w:r>
    </w:p>
    <w:p w14:paraId="3CC3DBF2">
      <w:pPr>
        <w:pStyle w:val="2"/>
        <w:spacing w:line="272" w:lineRule="auto"/>
        <w:rPr>
          <w:color w:val="auto"/>
          <w:sz w:val="20"/>
          <w:szCs w:val="20"/>
          <w:highlight w:val="none"/>
        </w:rPr>
      </w:pPr>
    </w:p>
    <w:p w14:paraId="47C2ABC9">
      <w:pPr>
        <w:pStyle w:val="2"/>
        <w:spacing w:line="272" w:lineRule="auto"/>
        <w:rPr>
          <w:color w:val="auto"/>
          <w:sz w:val="20"/>
          <w:szCs w:val="20"/>
          <w:highlight w:val="none"/>
        </w:rPr>
      </w:pPr>
    </w:p>
    <w:p w14:paraId="7636C0B1">
      <w:pPr>
        <w:pStyle w:val="2"/>
        <w:spacing w:line="273" w:lineRule="auto"/>
        <w:rPr>
          <w:color w:val="auto"/>
          <w:sz w:val="20"/>
          <w:szCs w:val="20"/>
          <w:highlight w:val="none"/>
        </w:rPr>
      </w:pPr>
    </w:p>
    <w:p w14:paraId="5E08CADE">
      <w:pPr>
        <w:pStyle w:val="2"/>
        <w:spacing w:line="273" w:lineRule="auto"/>
        <w:rPr>
          <w:color w:val="auto"/>
          <w:sz w:val="20"/>
          <w:szCs w:val="20"/>
          <w:highlight w:val="none"/>
        </w:rPr>
      </w:pPr>
    </w:p>
    <w:p w14:paraId="7D21D572">
      <w:pPr>
        <w:pStyle w:val="2"/>
        <w:spacing w:line="273" w:lineRule="auto"/>
        <w:rPr>
          <w:color w:val="auto"/>
          <w:sz w:val="20"/>
          <w:szCs w:val="20"/>
          <w:highlight w:val="none"/>
        </w:rPr>
      </w:pPr>
    </w:p>
    <w:p w14:paraId="11965F6C">
      <w:pPr>
        <w:spacing w:before="79" w:line="219" w:lineRule="auto"/>
        <w:ind w:left="384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3DC48BD0">
      <w:pPr>
        <w:spacing w:before="183" w:line="220" w:lineRule="auto"/>
        <w:ind w:left="6112"/>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25"/>
          <w:sz w:val="20"/>
          <w:szCs w:val="20"/>
          <w:highlight w:val="none"/>
        </w:rPr>
        <w:t xml:space="preserve">  </w:t>
      </w:r>
      <w:r>
        <w:rPr>
          <w:rFonts w:ascii="宋体" w:hAnsi="宋体" w:eastAsia="宋体" w:cs="宋体"/>
          <w:color w:val="auto"/>
          <w:spacing w:val="-13"/>
          <w:sz w:val="20"/>
          <w:szCs w:val="20"/>
          <w:highlight w:val="none"/>
        </w:rPr>
        <w:t>日</w:t>
      </w:r>
    </w:p>
    <w:p w14:paraId="0FD8CA8B">
      <w:pPr>
        <w:spacing w:line="220" w:lineRule="auto"/>
        <w:rPr>
          <w:rFonts w:ascii="宋体" w:hAnsi="宋体" w:eastAsia="宋体" w:cs="宋体"/>
          <w:color w:val="auto"/>
          <w:sz w:val="24"/>
          <w:szCs w:val="24"/>
          <w:highlight w:val="none"/>
        </w:rPr>
        <w:sectPr>
          <w:footerReference r:id="rId62" w:type="default"/>
          <w:pgSz w:w="11910" w:h="16840"/>
          <w:pgMar w:top="400" w:right="1307" w:bottom="1079" w:left="1481" w:header="0" w:footer="843" w:gutter="0"/>
          <w:cols w:space="720" w:num="1"/>
        </w:sectPr>
      </w:pPr>
    </w:p>
    <w:p w14:paraId="7A9D4301">
      <w:pPr>
        <w:pStyle w:val="2"/>
        <w:spacing w:line="338" w:lineRule="auto"/>
        <w:rPr>
          <w:color w:val="auto"/>
          <w:highlight w:val="none"/>
        </w:rPr>
      </w:pPr>
    </w:p>
    <w:p w14:paraId="2CC273AD">
      <w:pPr>
        <w:pStyle w:val="2"/>
        <w:spacing w:line="338" w:lineRule="auto"/>
        <w:rPr>
          <w:color w:val="auto"/>
          <w:highlight w:val="none"/>
        </w:rPr>
      </w:pPr>
    </w:p>
    <w:p w14:paraId="1DB9F67E">
      <w:pPr>
        <w:spacing w:before="98" w:line="220" w:lineRule="auto"/>
        <w:ind w:left="7"/>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五、企业概况表</w:t>
      </w:r>
    </w:p>
    <w:p w14:paraId="5DC4A022">
      <w:pPr>
        <w:spacing w:line="181" w:lineRule="exact"/>
        <w:rPr>
          <w:color w:val="auto"/>
          <w:highlight w:val="none"/>
        </w:rPr>
      </w:pPr>
    </w:p>
    <w:tbl>
      <w:tblPr>
        <w:tblStyle w:val="8"/>
        <w:tblW w:w="8812" w:type="dxa"/>
        <w:tblInd w:w="9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12"/>
        <w:gridCol w:w="1317"/>
        <w:gridCol w:w="1381"/>
        <w:gridCol w:w="1399"/>
        <w:gridCol w:w="1512"/>
        <w:gridCol w:w="1191"/>
      </w:tblGrid>
      <w:tr w14:paraId="67A5F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012" w:type="dxa"/>
            <w:vAlign w:val="top"/>
          </w:tcPr>
          <w:p w14:paraId="7690249C">
            <w:pPr>
              <w:spacing w:before="148" w:line="229" w:lineRule="auto"/>
              <w:ind w:left="391"/>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企业注册名称</w:t>
            </w:r>
          </w:p>
        </w:tc>
        <w:tc>
          <w:tcPr>
            <w:tcW w:w="4097" w:type="dxa"/>
            <w:gridSpan w:val="3"/>
            <w:vAlign w:val="top"/>
          </w:tcPr>
          <w:p w14:paraId="5879926C">
            <w:pPr>
              <w:rPr>
                <w:rFonts w:ascii="Arial"/>
                <w:color w:val="auto"/>
                <w:sz w:val="20"/>
                <w:szCs w:val="20"/>
                <w:highlight w:val="none"/>
              </w:rPr>
            </w:pPr>
          </w:p>
        </w:tc>
        <w:tc>
          <w:tcPr>
            <w:tcW w:w="1512" w:type="dxa"/>
            <w:vAlign w:val="top"/>
          </w:tcPr>
          <w:p w14:paraId="41280AAB">
            <w:pPr>
              <w:spacing w:before="148" w:line="232" w:lineRule="auto"/>
              <w:ind w:left="364"/>
              <w:rPr>
                <w:rFonts w:ascii="仿宋" w:hAnsi="仿宋" w:eastAsia="仿宋" w:cs="仿宋"/>
                <w:color w:val="auto"/>
                <w:sz w:val="20"/>
                <w:szCs w:val="20"/>
                <w:highlight w:val="none"/>
              </w:rPr>
            </w:pPr>
            <w:r>
              <w:rPr>
                <w:rFonts w:ascii="仿宋" w:hAnsi="仿宋" w:eastAsia="仿宋" w:cs="仿宋"/>
                <w:b/>
                <w:bCs/>
                <w:color w:val="auto"/>
                <w:spacing w:val="3"/>
                <w:sz w:val="20"/>
                <w:szCs w:val="20"/>
                <w:highlight w:val="none"/>
              </w:rPr>
              <w:t>注册资金</w:t>
            </w:r>
          </w:p>
        </w:tc>
        <w:tc>
          <w:tcPr>
            <w:tcW w:w="1191" w:type="dxa"/>
            <w:vAlign w:val="top"/>
          </w:tcPr>
          <w:p w14:paraId="5A37482C">
            <w:pPr>
              <w:rPr>
                <w:rFonts w:ascii="Arial"/>
                <w:color w:val="auto"/>
                <w:sz w:val="20"/>
                <w:szCs w:val="20"/>
                <w:highlight w:val="none"/>
              </w:rPr>
            </w:pPr>
          </w:p>
        </w:tc>
      </w:tr>
      <w:tr w14:paraId="4075A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12" w:type="dxa"/>
            <w:vAlign w:val="top"/>
          </w:tcPr>
          <w:p w14:paraId="159C9C21">
            <w:pPr>
              <w:spacing w:before="150" w:line="232" w:lineRule="auto"/>
              <w:ind w:left="600"/>
              <w:rPr>
                <w:rFonts w:ascii="仿宋" w:hAnsi="仿宋" w:eastAsia="仿宋" w:cs="仿宋"/>
                <w:color w:val="auto"/>
                <w:sz w:val="20"/>
                <w:szCs w:val="20"/>
                <w:highlight w:val="none"/>
              </w:rPr>
            </w:pPr>
            <w:r>
              <w:rPr>
                <w:rFonts w:ascii="仿宋" w:hAnsi="仿宋" w:eastAsia="仿宋" w:cs="仿宋"/>
                <w:b/>
                <w:bCs/>
                <w:color w:val="auto"/>
                <w:spacing w:val="3"/>
                <w:sz w:val="20"/>
                <w:szCs w:val="20"/>
                <w:highlight w:val="none"/>
              </w:rPr>
              <w:t>注册地址</w:t>
            </w:r>
          </w:p>
        </w:tc>
        <w:tc>
          <w:tcPr>
            <w:tcW w:w="6800" w:type="dxa"/>
            <w:gridSpan w:val="5"/>
            <w:vAlign w:val="top"/>
          </w:tcPr>
          <w:p w14:paraId="188A4D90">
            <w:pPr>
              <w:rPr>
                <w:rFonts w:ascii="Arial"/>
                <w:color w:val="auto"/>
                <w:sz w:val="20"/>
                <w:szCs w:val="20"/>
                <w:highlight w:val="none"/>
              </w:rPr>
            </w:pPr>
          </w:p>
        </w:tc>
      </w:tr>
      <w:tr w14:paraId="0A00D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2012" w:type="dxa"/>
            <w:vAlign w:val="top"/>
          </w:tcPr>
          <w:p w14:paraId="084D0CD0">
            <w:pPr>
              <w:spacing w:before="147" w:line="233" w:lineRule="auto"/>
              <w:ind w:left="491"/>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联系人姓名</w:t>
            </w:r>
          </w:p>
        </w:tc>
        <w:tc>
          <w:tcPr>
            <w:tcW w:w="1317" w:type="dxa"/>
            <w:vAlign w:val="top"/>
          </w:tcPr>
          <w:p w14:paraId="68019B92">
            <w:pPr>
              <w:rPr>
                <w:rFonts w:ascii="Arial"/>
                <w:color w:val="auto"/>
                <w:sz w:val="20"/>
                <w:szCs w:val="20"/>
                <w:highlight w:val="none"/>
              </w:rPr>
            </w:pPr>
          </w:p>
        </w:tc>
        <w:tc>
          <w:tcPr>
            <w:tcW w:w="1381" w:type="dxa"/>
            <w:vAlign w:val="top"/>
          </w:tcPr>
          <w:p w14:paraId="0B961164">
            <w:pPr>
              <w:spacing w:before="146" w:line="232" w:lineRule="auto"/>
              <w:ind w:left="516"/>
              <w:rPr>
                <w:rFonts w:ascii="仿宋" w:hAnsi="仿宋" w:eastAsia="仿宋" w:cs="仿宋"/>
                <w:color w:val="auto"/>
                <w:sz w:val="20"/>
                <w:szCs w:val="20"/>
                <w:highlight w:val="none"/>
              </w:rPr>
            </w:pPr>
            <w:r>
              <w:rPr>
                <w:rFonts w:ascii="仿宋" w:hAnsi="仿宋" w:eastAsia="仿宋" w:cs="仿宋"/>
                <w:b/>
                <w:bCs/>
                <w:color w:val="auto"/>
                <w:spacing w:val="-11"/>
                <w:sz w:val="20"/>
                <w:szCs w:val="20"/>
                <w:highlight w:val="none"/>
              </w:rPr>
              <w:t>电话</w:t>
            </w:r>
          </w:p>
        </w:tc>
        <w:tc>
          <w:tcPr>
            <w:tcW w:w="1399" w:type="dxa"/>
            <w:vAlign w:val="top"/>
          </w:tcPr>
          <w:p w14:paraId="445D6280">
            <w:pPr>
              <w:rPr>
                <w:rFonts w:ascii="Arial"/>
                <w:color w:val="auto"/>
                <w:sz w:val="20"/>
                <w:szCs w:val="20"/>
                <w:highlight w:val="none"/>
              </w:rPr>
            </w:pPr>
          </w:p>
        </w:tc>
        <w:tc>
          <w:tcPr>
            <w:tcW w:w="1512" w:type="dxa"/>
            <w:vAlign w:val="top"/>
          </w:tcPr>
          <w:p w14:paraId="740F4EB6">
            <w:pPr>
              <w:spacing w:before="147" w:line="229" w:lineRule="auto"/>
              <w:ind w:left="322"/>
              <w:rPr>
                <w:rFonts w:ascii="仿宋" w:hAnsi="仿宋" w:eastAsia="仿宋" w:cs="仿宋"/>
                <w:color w:val="auto"/>
                <w:sz w:val="20"/>
                <w:szCs w:val="20"/>
                <w:highlight w:val="none"/>
              </w:rPr>
            </w:pPr>
            <w:r>
              <w:rPr>
                <w:rFonts w:ascii="仿宋" w:hAnsi="仿宋" w:eastAsia="仿宋" w:cs="仿宋"/>
                <w:b/>
                <w:bCs/>
                <w:color w:val="auto"/>
                <w:spacing w:val="-6"/>
                <w:sz w:val="20"/>
                <w:szCs w:val="20"/>
                <w:highlight w:val="none"/>
              </w:rPr>
              <w:t>企业性质</w:t>
            </w:r>
          </w:p>
        </w:tc>
        <w:tc>
          <w:tcPr>
            <w:tcW w:w="1191" w:type="dxa"/>
            <w:vAlign w:val="top"/>
          </w:tcPr>
          <w:p w14:paraId="53766D2A">
            <w:pPr>
              <w:rPr>
                <w:rFonts w:ascii="Arial"/>
                <w:color w:val="auto"/>
                <w:sz w:val="20"/>
                <w:szCs w:val="20"/>
                <w:highlight w:val="none"/>
              </w:rPr>
            </w:pPr>
          </w:p>
        </w:tc>
      </w:tr>
      <w:tr w14:paraId="71B9D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0B4B9162">
            <w:pPr>
              <w:spacing w:before="151" w:line="232" w:lineRule="auto"/>
              <w:ind w:left="390"/>
              <w:rPr>
                <w:rFonts w:ascii="仿宋" w:hAnsi="仿宋" w:eastAsia="仿宋" w:cs="仿宋"/>
                <w:color w:val="auto"/>
                <w:sz w:val="20"/>
                <w:szCs w:val="20"/>
                <w:highlight w:val="none"/>
              </w:rPr>
            </w:pPr>
            <w:r>
              <w:rPr>
                <w:rFonts w:ascii="仿宋" w:hAnsi="仿宋" w:eastAsia="仿宋" w:cs="仿宋"/>
                <w:b/>
                <w:bCs/>
                <w:color w:val="auto"/>
                <w:spacing w:val="4"/>
                <w:sz w:val="20"/>
                <w:szCs w:val="20"/>
                <w:highlight w:val="none"/>
              </w:rPr>
              <w:t>法人代表姓名</w:t>
            </w:r>
          </w:p>
        </w:tc>
        <w:tc>
          <w:tcPr>
            <w:tcW w:w="1317" w:type="dxa"/>
            <w:vAlign w:val="top"/>
          </w:tcPr>
          <w:p w14:paraId="768B9E4E">
            <w:pPr>
              <w:rPr>
                <w:rFonts w:ascii="Arial"/>
                <w:color w:val="auto"/>
                <w:sz w:val="20"/>
                <w:szCs w:val="20"/>
                <w:highlight w:val="none"/>
              </w:rPr>
            </w:pPr>
          </w:p>
        </w:tc>
        <w:tc>
          <w:tcPr>
            <w:tcW w:w="1381" w:type="dxa"/>
            <w:vAlign w:val="top"/>
          </w:tcPr>
          <w:p w14:paraId="0124DBE8">
            <w:pPr>
              <w:spacing w:before="152" w:line="229" w:lineRule="auto"/>
              <w:ind w:left="280"/>
              <w:rPr>
                <w:rFonts w:ascii="仿宋" w:hAnsi="仿宋" w:eastAsia="仿宋" w:cs="仿宋"/>
                <w:color w:val="auto"/>
                <w:sz w:val="20"/>
                <w:szCs w:val="20"/>
                <w:highlight w:val="none"/>
              </w:rPr>
            </w:pPr>
            <w:r>
              <w:rPr>
                <w:rFonts w:ascii="仿宋" w:hAnsi="仿宋" w:eastAsia="仿宋" w:cs="仿宋"/>
                <w:b/>
                <w:bCs/>
                <w:color w:val="auto"/>
                <w:spacing w:val="4"/>
                <w:sz w:val="20"/>
                <w:szCs w:val="20"/>
                <w:highlight w:val="none"/>
              </w:rPr>
              <w:t>技术职称</w:t>
            </w:r>
          </w:p>
        </w:tc>
        <w:tc>
          <w:tcPr>
            <w:tcW w:w="1399" w:type="dxa"/>
            <w:vAlign w:val="top"/>
          </w:tcPr>
          <w:p w14:paraId="54789496">
            <w:pPr>
              <w:rPr>
                <w:rFonts w:ascii="Arial"/>
                <w:color w:val="auto"/>
                <w:sz w:val="20"/>
                <w:szCs w:val="20"/>
                <w:highlight w:val="none"/>
              </w:rPr>
            </w:pPr>
          </w:p>
        </w:tc>
        <w:tc>
          <w:tcPr>
            <w:tcW w:w="1512" w:type="dxa"/>
            <w:vAlign w:val="top"/>
          </w:tcPr>
          <w:p w14:paraId="47C2C527">
            <w:pPr>
              <w:spacing w:before="151" w:line="232" w:lineRule="auto"/>
              <w:ind w:left="344"/>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联系电话</w:t>
            </w:r>
          </w:p>
        </w:tc>
        <w:tc>
          <w:tcPr>
            <w:tcW w:w="1191" w:type="dxa"/>
            <w:vAlign w:val="top"/>
          </w:tcPr>
          <w:p w14:paraId="254578E8">
            <w:pPr>
              <w:rPr>
                <w:rFonts w:ascii="Arial"/>
                <w:color w:val="auto"/>
                <w:sz w:val="20"/>
                <w:szCs w:val="20"/>
                <w:highlight w:val="none"/>
              </w:rPr>
            </w:pPr>
          </w:p>
        </w:tc>
      </w:tr>
      <w:tr w14:paraId="496C2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1401CDF2">
            <w:pPr>
              <w:spacing w:before="150" w:line="231" w:lineRule="auto"/>
              <w:ind w:left="281"/>
              <w:rPr>
                <w:rFonts w:ascii="仿宋" w:hAnsi="仿宋" w:eastAsia="仿宋" w:cs="仿宋"/>
                <w:color w:val="auto"/>
                <w:sz w:val="20"/>
                <w:szCs w:val="20"/>
                <w:highlight w:val="none"/>
              </w:rPr>
            </w:pPr>
            <w:r>
              <w:rPr>
                <w:rFonts w:ascii="仿宋" w:hAnsi="仿宋" w:eastAsia="仿宋" w:cs="仿宋"/>
                <w:b/>
                <w:bCs/>
                <w:color w:val="auto"/>
                <w:spacing w:val="6"/>
                <w:sz w:val="20"/>
                <w:szCs w:val="20"/>
                <w:highlight w:val="none"/>
              </w:rPr>
              <w:t>技术负责人姓名</w:t>
            </w:r>
          </w:p>
        </w:tc>
        <w:tc>
          <w:tcPr>
            <w:tcW w:w="1317" w:type="dxa"/>
            <w:vAlign w:val="top"/>
          </w:tcPr>
          <w:p w14:paraId="6231BD28">
            <w:pPr>
              <w:rPr>
                <w:rFonts w:ascii="Arial"/>
                <w:color w:val="auto"/>
                <w:sz w:val="20"/>
                <w:szCs w:val="20"/>
                <w:highlight w:val="none"/>
              </w:rPr>
            </w:pPr>
          </w:p>
        </w:tc>
        <w:tc>
          <w:tcPr>
            <w:tcW w:w="1381" w:type="dxa"/>
            <w:vAlign w:val="top"/>
          </w:tcPr>
          <w:p w14:paraId="507FA1B6">
            <w:pPr>
              <w:spacing w:before="151" w:line="229" w:lineRule="auto"/>
              <w:ind w:left="280"/>
              <w:rPr>
                <w:rFonts w:ascii="仿宋" w:hAnsi="仿宋" w:eastAsia="仿宋" w:cs="仿宋"/>
                <w:color w:val="auto"/>
                <w:sz w:val="20"/>
                <w:szCs w:val="20"/>
                <w:highlight w:val="none"/>
              </w:rPr>
            </w:pPr>
            <w:r>
              <w:rPr>
                <w:rFonts w:ascii="仿宋" w:hAnsi="仿宋" w:eastAsia="仿宋" w:cs="仿宋"/>
                <w:b/>
                <w:bCs/>
                <w:color w:val="auto"/>
                <w:spacing w:val="4"/>
                <w:sz w:val="20"/>
                <w:szCs w:val="20"/>
                <w:highlight w:val="none"/>
              </w:rPr>
              <w:t>技术职称</w:t>
            </w:r>
          </w:p>
        </w:tc>
        <w:tc>
          <w:tcPr>
            <w:tcW w:w="1399" w:type="dxa"/>
            <w:vAlign w:val="top"/>
          </w:tcPr>
          <w:p w14:paraId="02751162">
            <w:pPr>
              <w:rPr>
                <w:rFonts w:ascii="Arial"/>
                <w:color w:val="auto"/>
                <w:sz w:val="20"/>
                <w:szCs w:val="20"/>
                <w:highlight w:val="none"/>
              </w:rPr>
            </w:pPr>
          </w:p>
        </w:tc>
        <w:tc>
          <w:tcPr>
            <w:tcW w:w="1512" w:type="dxa"/>
            <w:vAlign w:val="top"/>
          </w:tcPr>
          <w:p w14:paraId="1C83A86D">
            <w:pPr>
              <w:spacing w:before="150" w:line="232" w:lineRule="auto"/>
              <w:ind w:left="344"/>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联系电话</w:t>
            </w:r>
          </w:p>
        </w:tc>
        <w:tc>
          <w:tcPr>
            <w:tcW w:w="1191" w:type="dxa"/>
            <w:vAlign w:val="top"/>
          </w:tcPr>
          <w:p w14:paraId="3BA2111D">
            <w:pPr>
              <w:rPr>
                <w:rFonts w:ascii="Arial"/>
                <w:color w:val="auto"/>
                <w:sz w:val="20"/>
                <w:szCs w:val="20"/>
                <w:highlight w:val="none"/>
              </w:rPr>
            </w:pPr>
          </w:p>
        </w:tc>
      </w:tr>
      <w:tr w14:paraId="76BD9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388D54A2">
            <w:pPr>
              <w:spacing w:before="152" w:line="232" w:lineRule="auto"/>
              <w:ind w:left="384"/>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企业资质等级</w:t>
            </w:r>
          </w:p>
        </w:tc>
        <w:tc>
          <w:tcPr>
            <w:tcW w:w="1317" w:type="dxa"/>
            <w:vAlign w:val="top"/>
          </w:tcPr>
          <w:p w14:paraId="6F68F4ED">
            <w:pPr>
              <w:rPr>
                <w:rFonts w:ascii="Arial"/>
                <w:color w:val="auto"/>
                <w:sz w:val="20"/>
                <w:szCs w:val="20"/>
                <w:highlight w:val="none"/>
              </w:rPr>
            </w:pPr>
          </w:p>
        </w:tc>
        <w:tc>
          <w:tcPr>
            <w:tcW w:w="1381" w:type="dxa"/>
            <w:vAlign w:val="top"/>
          </w:tcPr>
          <w:p w14:paraId="7271A9F1">
            <w:pPr>
              <w:spacing w:before="147" w:line="232" w:lineRule="auto"/>
              <w:ind w:left="492"/>
              <w:rPr>
                <w:rFonts w:ascii="仿宋" w:hAnsi="仿宋" w:eastAsia="仿宋" w:cs="仿宋"/>
                <w:color w:val="auto"/>
                <w:sz w:val="20"/>
                <w:szCs w:val="20"/>
                <w:highlight w:val="none"/>
              </w:rPr>
            </w:pPr>
            <w:r>
              <w:rPr>
                <w:rFonts w:ascii="仿宋" w:hAnsi="仿宋" w:eastAsia="仿宋" w:cs="仿宋"/>
                <w:b/>
                <w:bCs/>
                <w:color w:val="auto"/>
                <w:spacing w:val="1"/>
                <w:sz w:val="20"/>
                <w:szCs w:val="20"/>
                <w:highlight w:val="none"/>
              </w:rPr>
              <w:t>证号</w:t>
            </w:r>
          </w:p>
        </w:tc>
        <w:tc>
          <w:tcPr>
            <w:tcW w:w="4102" w:type="dxa"/>
            <w:gridSpan w:val="3"/>
            <w:vAlign w:val="top"/>
          </w:tcPr>
          <w:p w14:paraId="1A0B4EA4">
            <w:pPr>
              <w:rPr>
                <w:rFonts w:ascii="Arial"/>
                <w:color w:val="auto"/>
                <w:sz w:val="20"/>
                <w:szCs w:val="20"/>
                <w:highlight w:val="none"/>
              </w:rPr>
            </w:pPr>
          </w:p>
        </w:tc>
      </w:tr>
      <w:tr w14:paraId="5B793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24EDAFCF">
            <w:pPr>
              <w:spacing w:before="150" w:line="231" w:lineRule="auto"/>
              <w:ind w:left="177"/>
              <w:rPr>
                <w:rFonts w:ascii="仿宋" w:hAnsi="仿宋" w:eastAsia="仿宋" w:cs="仿宋"/>
                <w:color w:val="auto"/>
                <w:sz w:val="20"/>
                <w:szCs w:val="20"/>
                <w:highlight w:val="none"/>
              </w:rPr>
            </w:pPr>
            <w:r>
              <w:rPr>
                <w:rFonts w:ascii="仿宋" w:hAnsi="仿宋" w:eastAsia="仿宋" w:cs="仿宋"/>
                <w:b/>
                <w:bCs/>
                <w:color w:val="auto"/>
                <w:spacing w:val="6"/>
                <w:sz w:val="20"/>
                <w:szCs w:val="20"/>
                <w:highlight w:val="none"/>
              </w:rPr>
              <w:t>安全生产许可证号</w:t>
            </w:r>
          </w:p>
        </w:tc>
        <w:tc>
          <w:tcPr>
            <w:tcW w:w="6800" w:type="dxa"/>
            <w:gridSpan w:val="5"/>
            <w:vAlign w:val="top"/>
          </w:tcPr>
          <w:p w14:paraId="762B720C">
            <w:pPr>
              <w:rPr>
                <w:rFonts w:ascii="Arial"/>
                <w:color w:val="auto"/>
                <w:sz w:val="20"/>
                <w:szCs w:val="20"/>
                <w:highlight w:val="none"/>
              </w:rPr>
            </w:pPr>
          </w:p>
        </w:tc>
      </w:tr>
      <w:tr w14:paraId="52C1D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31DD37E3">
            <w:pPr>
              <w:spacing w:before="152" w:line="230" w:lineRule="auto"/>
              <w:ind w:left="385"/>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上级主管部门</w:t>
            </w:r>
          </w:p>
        </w:tc>
        <w:tc>
          <w:tcPr>
            <w:tcW w:w="6800" w:type="dxa"/>
            <w:gridSpan w:val="5"/>
            <w:vAlign w:val="top"/>
          </w:tcPr>
          <w:p w14:paraId="4DE6F78B">
            <w:pPr>
              <w:rPr>
                <w:rFonts w:ascii="Arial"/>
                <w:color w:val="auto"/>
                <w:sz w:val="20"/>
                <w:szCs w:val="20"/>
                <w:highlight w:val="none"/>
              </w:rPr>
            </w:pPr>
          </w:p>
        </w:tc>
      </w:tr>
      <w:tr w14:paraId="2A722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6730F354">
            <w:pPr>
              <w:spacing w:before="150" w:line="232" w:lineRule="auto"/>
              <w:ind w:left="507"/>
              <w:rPr>
                <w:rFonts w:ascii="仿宋" w:hAnsi="仿宋" w:eastAsia="仿宋" w:cs="仿宋"/>
                <w:color w:val="auto"/>
                <w:sz w:val="20"/>
                <w:szCs w:val="20"/>
                <w:highlight w:val="none"/>
              </w:rPr>
            </w:pPr>
            <w:r>
              <w:rPr>
                <w:rFonts w:ascii="仿宋" w:hAnsi="仿宋" w:eastAsia="仿宋" w:cs="仿宋"/>
                <w:b/>
                <w:bCs/>
                <w:color w:val="auto"/>
                <w:spacing w:val="2"/>
                <w:sz w:val="20"/>
                <w:szCs w:val="20"/>
                <w:highlight w:val="none"/>
              </w:rPr>
              <w:t>员工总人数</w:t>
            </w:r>
          </w:p>
        </w:tc>
        <w:tc>
          <w:tcPr>
            <w:tcW w:w="6800" w:type="dxa"/>
            <w:gridSpan w:val="5"/>
            <w:vAlign w:val="top"/>
          </w:tcPr>
          <w:p w14:paraId="4B60BAB6">
            <w:pPr>
              <w:rPr>
                <w:rFonts w:ascii="Arial"/>
                <w:color w:val="auto"/>
                <w:sz w:val="20"/>
                <w:szCs w:val="20"/>
                <w:highlight w:val="none"/>
              </w:rPr>
            </w:pPr>
          </w:p>
        </w:tc>
      </w:tr>
      <w:tr w14:paraId="16B95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694B5A0A">
            <w:pPr>
              <w:spacing w:before="151" w:line="231" w:lineRule="auto"/>
              <w:ind w:left="286"/>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注册建造师人数</w:t>
            </w:r>
          </w:p>
        </w:tc>
        <w:tc>
          <w:tcPr>
            <w:tcW w:w="6800" w:type="dxa"/>
            <w:gridSpan w:val="5"/>
            <w:vAlign w:val="top"/>
          </w:tcPr>
          <w:p w14:paraId="261AAC91">
            <w:pPr>
              <w:rPr>
                <w:rFonts w:ascii="Arial"/>
                <w:color w:val="auto"/>
                <w:sz w:val="20"/>
                <w:szCs w:val="20"/>
                <w:highlight w:val="none"/>
              </w:rPr>
            </w:pPr>
          </w:p>
        </w:tc>
      </w:tr>
      <w:tr w14:paraId="6EA67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0B9967AE">
            <w:pPr>
              <w:spacing w:before="151" w:line="229" w:lineRule="auto"/>
              <w:ind w:left="390"/>
              <w:rPr>
                <w:rFonts w:ascii="仿宋" w:hAnsi="仿宋" w:eastAsia="仿宋" w:cs="仿宋"/>
                <w:color w:val="auto"/>
                <w:sz w:val="20"/>
                <w:szCs w:val="20"/>
                <w:highlight w:val="none"/>
              </w:rPr>
            </w:pPr>
            <w:r>
              <w:rPr>
                <w:rFonts w:ascii="仿宋" w:hAnsi="仿宋" w:eastAsia="仿宋" w:cs="仿宋"/>
                <w:b/>
                <w:bCs/>
                <w:color w:val="auto"/>
                <w:spacing w:val="4"/>
                <w:sz w:val="20"/>
                <w:szCs w:val="20"/>
                <w:highlight w:val="none"/>
              </w:rPr>
              <w:t>高级职称人数</w:t>
            </w:r>
          </w:p>
        </w:tc>
        <w:tc>
          <w:tcPr>
            <w:tcW w:w="6800" w:type="dxa"/>
            <w:gridSpan w:val="5"/>
            <w:vAlign w:val="top"/>
          </w:tcPr>
          <w:p w14:paraId="19E36608">
            <w:pPr>
              <w:rPr>
                <w:rFonts w:ascii="Arial"/>
                <w:color w:val="auto"/>
                <w:sz w:val="20"/>
                <w:szCs w:val="20"/>
                <w:highlight w:val="none"/>
              </w:rPr>
            </w:pPr>
          </w:p>
        </w:tc>
      </w:tr>
      <w:tr w14:paraId="1DD7D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68DF0B86">
            <w:pPr>
              <w:spacing w:before="152" w:line="229" w:lineRule="auto"/>
              <w:ind w:left="410"/>
              <w:rPr>
                <w:rFonts w:ascii="仿宋" w:hAnsi="仿宋" w:eastAsia="仿宋" w:cs="仿宋"/>
                <w:color w:val="auto"/>
                <w:sz w:val="20"/>
                <w:szCs w:val="20"/>
                <w:highlight w:val="none"/>
              </w:rPr>
            </w:pPr>
            <w:r>
              <w:rPr>
                <w:rFonts w:ascii="仿宋" w:hAnsi="仿宋" w:eastAsia="仿宋" w:cs="仿宋"/>
                <w:b/>
                <w:bCs/>
                <w:color w:val="auto"/>
                <w:spacing w:val="1"/>
                <w:sz w:val="20"/>
                <w:szCs w:val="20"/>
                <w:highlight w:val="none"/>
              </w:rPr>
              <w:t>中级职称人数</w:t>
            </w:r>
          </w:p>
        </w:tc>
        <w:tc>
          <w:tcPr>
            <w:tcW w:w="6800" w:type="dxa"/>
            <w:gridSpan w:val="5"/>
            <w:vAlign w:val="top"/>
          </w:tcPr>
          <w:p w14:paraId="36EC856D">
            <w:pPr>
              <w:rPr>
                <w:rFonts w:ascii="Arial"/>
                <w:color w:val="auto"/>
                <w:sz w:val="20"/>
                <w:szCs w:val="20"/>
                <w:highlight w:val="none"/>
              </w:rPr>
            </w:pPr>
          </w:p>
        </w:tc>
      </w:tr>
      <w:tr w14:paraId="78559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012" w:type="dxa"/>
            <w:vAlign w:val="top"/>
          </w:tcPr>
          <w:p w14:paraId="402CDDB1">
            <w:pPr>
              <w:spacing w:before="151" w:line="229" w:lineRule="auto"/>
              <w:ind w:left="383"/>
              <w:rPr>
                <w:rFonts w:ascii="仿宋" w:hAnsi="仿宋" w:eastAsia="仿宋" w:cs="仿宋"/>
                <w:color w:val="auto"/>
                <w:sz w:val="20"/>
                <w:szCs w:val="20"/>
                <w:highlight w:val="none"/>
              </w:rPr>
            </w:pPr>
            <w:r>
              <w:rPr>
                <w:rFonts w:ascii="仿宋" w:hAnsi="仿宋" w:eastAsia="仿宋" w:cs="仿宋"/>
                <w:b/>
                <w:bCs/>
                <w:color w:val="auto"/>
                <w:spacing w:val="6"/>
                <w:sz w:val="20"/>
                <w:szCs w:val="20"/>
                <w:highlight w:val="none"/>
              </w:rPr>
              <w:t>初级职称人数</w:t>
            </w:r>
          </w:p>
        </w:tc>
        <w:tc>
          <w:tcPr>
            <w:tcW w:w="6800" w:type="dxa"/>
            <w:gridSpan w:val="5"/>
            <w:vAlign w:val="top"/>
          </w:tcPr>
          <w:p w14:paraId="76BE3611">
            <w:pPr>
              <w:rPr>
                <w:rFonts w:ascii="Arial"/>
                <w:color w:val="auto"/>
                <w:sz w:val="20"/>
                <w:szCs w:val="20"/>
                <w:highlight w:val="none"/>
              </w:rPr>
            </w:pPr>
          </w:p>
        </w:tc>
      </w:tr>
      <w:tr w14:paraId="5059C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8" w:hRule="atLeast"/>
        </w:trPr>
        <w:tc>
          <w:tcPr>
            <w:tcW w:w="2012" w:type="dxa"/>
            <w:vAlign w:val="top"/>
          </w:tcPr>
          <w:p w14:paraId="30E0903B">
            <w:pPr>
              <w:spacing w:line="256" w:lineRule="auto"/>
              <w:rPr>
                <w:rFonts w:ascii="Arial"/>
                <w:color w:val="auto"/>
                <w:sz w:val="20"/>
                <w:szCs w:val="20"/>
                <w:highlight w:val="none"/>
              </w:rPr>
            </w:pPr>
          </w:p>
          <w:p w14:paraId="60519204">
            <w:pPr>
              <w:spacing w:line="256" w:lineRule="auto"/>
              <w:rPr>
                <w:rFonts w:ascii="Arial"/>
                <w:color w:val="auto"/>
                <w:sz w:val="20"/>
                <w:szCs w:val="20"/>
                <w:highlight w:val="none"/>
              </w:rPr>
            </w:pPr>
          </w:p>
          <w:p w14:paraId="63E61C7D">
            <w:pPr>
              <w:spacing w:before="65" w:line="232" w:lineRule="auto"/>
              <w:ind w:left="599"/>
              <w:rPr>
                <w:rFonts w:ascii="仿宋" w:hAnsi="仿宋" w:eastAsia="仿宋" w:cs="仿宋"/>
                <w:color w:val="auto"/>
                <w:sz w:val="20"/>
                <w:szCs w:val="20"/>
                <w:highlight w:val="none"/>
              </w:rPr>
            </w:pPr>
            <w:r>
              <w:rPr>
                <w:rFonts w:ascii="仿宋" w:hAnsi="仿宋" w:eastAsia="仿宋" w:cs="仿宋"/>
                <w:b/>
                <w:bCs/>
                <w:color w:val="auto"/>
                <w:spacing w:val="5"/>
                <w:sz w:val="20"/>
                <w:szCs w:val="20"/>
                <w:highlight w:val="none"/>
              </w:rPr>
              <w:t>经营范围</w:t>
            </w:r>
          </w:p>
        </w:tc>
        <w:tc>
          <w:tcPr>
            <w:tcW w:w="6800" w:type="dxa"/>
            <w:gridSpan w:val="5"/>
            <w:vAlign w:val="top"/>
          </w:tcPr>
          <w:p w14:paraId="5766252C">
            <w:pPr>
              <w:rPr>
                <w:rFonts w:ascii="Arial"/>
                <w:color w:val="auto"/>
                <w:sz w:val="20"/>
                <w:szCs w:val="20"/>
                <w:highlight w:val="none"/>
              </w:rPr>
            </w:pPr>
          </w:p>
        </w:tc>
      </w:tr>
      <w:tr w14:paraId="3BC36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0" w:hRule="atLeast"/>
        </w:trPr>
        <w:tc>
          <w:tcPr>
            <w:tcW w:w="2012" w:type="dxa"/>
            <w:vAlign w:val="top"/>
          </w:tcPr>
          <w:p w14:paraId="0270B7CF">
            <w:pPr>
              <w:spacing w:line="265" w:lineRule="auto"/>
              <w:rPr>
                <w:rFonts w:ascii="Arial"/>
                <w:color w:val="auto"/>
                <w:sz w:val="20"/>
                <w:szCs w:val="20"/>
                <w:highlight w:val="none"/>
              </w:rPr>
            </w:pPr>
          </w:p>
          <w:p w14:paraId="3570F782">
            <w:pPr>
              <w:spacing w:line="265" w:lineRule="auto"/>
              <w:rPr>
                <w:rFonts w:ascii="Arial"/>
                <w:color w:val="auto"/>
                <w:sz w:val="20"/>
                <w:szCs w:val="20"/>
                <w:highlight w:val="none"/>
              </w:rPr>
            </w:pPr>
          </w:p>
          <w:p w14:paraId="4C65377A">
            <w:pPr>
              <w:spacing w:line="265" w:lineRule="auto"/>
              <w:rPr>
                <w:rFonts w:ascii="Arial"/>
                <w:color w:val="auto"/>
                <w:sz w:val="20"/>
                <w:szCs w:val="20"/>
                <w:highlight w:val="none"/>
              </w:rPr>
            </w:pPr>
          </w:p>
          <w:p w14:paraId="7D91BBCB">
            <w:pPr>
              <w:spacing w:line="266" w:lineRule="auto"/>
              <w:rPr>
                <w:rFonts w:ascii="Arial"/>
                <w:color w:val="auto"/>
                <w:sz w:val="20"/>
                <w:szCs w:val="20"/>
                <w:highlight w:val="none"/>
              </w:rPr>
            </w:pPr>
          </w:p>
          <w:p w14:paraId="35303245">
            <w:pPr>
              <w:spacing w:line="266" w:lineRule="auto"/>
              <w:rPr>
                <w:rFonts w:ascii="Arial"/>
                <w:color w:val="auto"/>
                <w:sz w:val="20"/>
                <w:szCs w:val="20"/>
                <w:highlight w:val="none"/>
              </w:rPr>
            </w:pPr>
          </w:p>
          <w:p w14:paraId="0F02863E">
            <w:pPr>
              <w:spacing w:line="266" w:lineRule="auto"/>
              <w:rPr>
                <w:rFonts w:ascii="Arial"/>
                <w:color w:val="auto"/>
                <w:sz w:val="20"/>
                <w:szCs w:val="20"/>
                <w:highlight w:val="none"/>
              </w:rPr>
            </w:pPr>
          </w:p>
          <w:p w14:paraId="0169D513">
            <w:pPr>
              <w:spacing w:before="65" w:line="229" w:lineRule="auto"/>
              <w:ind w:left="600"/>
              <w:rPr>
                <w:rFonts w:ascii="仿宋" w:hAnsi="仿宋" w:eastAsia="仿宋" w:cs="仿宋"/>
                <w:color w:val="auto"/>
                <w:sz w:val="20"/>
                <w:szCs w:val="20"/>
                <w:highlight w:val="none"/>
              </w:rPr>
            </w:pPr>
            <w:r>
              <w:rPr>
                <w:rFonts w:ascii="仿宋" w:hAnsi="仿宋" w:eastAsia="仿宋" w:cs="仿宋"/>
                <w:b/>
                <w:bCs/>
                <w:color w:val="auto"/>
                <w:spacing w:val="4"/>
                <w:sz w:val="20"/>
                <w:szCs w:val="20"/>
                <w:highlight w:val="none"/>
              </w:rPr>
              <w:t>企业简介</w:t>
            </w:r>
          </w:p>
        </w:tc>
        <w:tc>
          <w:tcPr>
            <w:tcW w:w="6800" w:type="dxa"/>
            <w:gridSpan w:val="5"/>
            <w:vAlign w:val="top"/>
          </w:tcPr>
          <w:p w14:paraId="57693BBA">
            <w:pPr>
              <w:rPr>
                <w:rFonts w:ascii="Arial"/>
                <w:color w:val="auto"/>
                <w:sz w:val="20"/>
                <w:szCs w:val="20"/>
                <w:highlight w:val="none"/>
              </w:rPr>
            </w:pPr>
          </w:p>
        </w:tc>
      </w:tr>
    </w:tbl>
    <w:p w14:paraId="73AC5C70">
      <w:pPr>
        <w:pStyle w:val="2"/>
        <w:spacing w:line="269" w:lineRule="auto"/>
        <w:rPr>
          <w:color w:val="auto"/>
          <w:sz w:val="20"/>
          <w:szCs w:val="20"/>
          <w:highlight w:val="none"/>
        </w:rPr>
      </w:pPr>
    </w:p>
    <w:p w14:paraId="192FA79E">
      <w:pPr>
        <w:pStyle w:val="2"/>
        <w:spacing w:line="270" w:lineRule="auto"/>
        <w:rPr>
          <w:color w:val="auto"/>
          <w:sz w:val="20"/>
          <w:szCs w:val="20"/>
          <w:highlight w:val="none"/>
        </w:rPr>
      </w:pPr>
    </w:p>
    <w:p w14:paraId="77567D93">
      <w:pPr>
        <w:spacing w:before="78" w:line="219" w:lineRule="auto"/>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p>
    <w:p w14:paraId="7291B5BA">
      <w:pPr>
        <w:spacing w:before="180" w:line="220" w:lineRule="auto"/>
        <w:ind w:left="6161"/>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25"/>
          <w:sz w:val="20"/>
          <w:szCs w:val="20"/>
          <w:highlight w:val="none"/>
        </w:rPr>
        <w:t xml:space="preserve">  </w:t>
      </w:r>
      <w:r>
        <w:rPr>
          <w:rFonts w:ascii="宋体" w:hAnsi="宋体" w:eastAsia="宋体" w:cs="宋体"/>
          <w:color w:val="auto"/>
          <w:spacing w:val="-13"/>
          <w:sz w:val="20"/>
          <w:szCs w:val="20"/>
          <w:highlight w:val="none"/>
        </w:rPr>
        <w:t>日</w:t>
      </w:r>
    </w:p>
    <w:p w14:paraId="4AA78F8C">
      <w:pPr>
        <w:spacing w:line="220" w:lineRule="auto"/>
        <w:rPr>
          <w:rFonts w:ascii="宋体" w:hAnsi="宋体" w:eastAsia="宋体" w:cs="宋体"/>
          <w:color w:val="auto"/>
          <w:sz w:val="24"/>
          <w:szCs w:val="24"/>
          <w:highlight w:val="none"/>
        </w:rPr>
        <w:sectPr>
          <w:footerReference r:id="rId63" w:type="default"/>
          <w:pgSz w:w="11910" w:h="16840"/>
          <w:pgMar w:top="400" w:right="1518" w:bottom="1079" w:left="1482" w:header="0" w:footer="843" w:gutter="0"/>
          <w:cols w:space="720" w:num="1"/>
        </w:sectPr>
      </w:pPr>
    </w:p>
    <w:p w14:paraId="1159EB3C">
      <w:pPr>
        <w:pStyle w:val="2"/>
        <w:spacing w:line="338" w:lineRule="auto"/>
        <w:rPr>
          <w:color w:val="auto"/>
          <w:highlight w:val="none"/>
        </w:rPr>
      </w:pPr>
    </w:p>
    <w:p w14:paraId="5C248114">
      <w:pPr>
        <w:pStyle w:val="2"/>
        <w:spacing w:line="339" w:lineRule="auto"/>
        <w:rPr>
          <w:color w:val="auto"/>
          <w:highlight w:val="none"/>
        </w:rPr>
      </w:pPr>
    </w:p>
    <w:p w14:paraId="503058A7">
      <w:pPr>
        <w:spacing w:before="97" w:line="219" w:lineRule="auto"/>
        <w:ind w:left="126"/>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六、供应商类似的业绩证明文件</w:t>
      </w:r>
    </w:p>
    <w:p w14:paraId="569C15DC">
      <w:pPr>
        <w:pStyle w:val="2"/>
        <w:spacing w:line="295" w:lineRule="auto"/>
        <w:rPr>
          <w:color w:val="auto"/>
          <w:highlight w:val="none"/>
        </w:rPr>
      </w:pPr>
    </w:p>
    <w:p w14:paraId="07E22B56">
      <w:pPr>
        <w:spacing w:before="97" w:line="221" w:lineRule="auto"/>
        <w:ind w:left="3337"/>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相关项目业绩一览表</w:t>
      </w:r>
    </w:p>
    <w:p w14:paraId="2CF0963B">
      <w:pPr>
        <w:spacing w:line="179" w:lineRule="exact"/>
        <w:rPr>
          <w:color w:val="auto"/>
          <w:sz w:val="20"/>
          <w:szCs w:val="20"/>
          <w:highlight w:val="none"/>
        </w:rPr>
      </w:pPr>
    </w:p>
    <w:tbl>
      <w:tblPr>
        <w:tblStyle w:val="8"/>
        <w:tblW w:w="87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2259"/>
        <w:gridCol w:w="2146"/>
        <w:gridCol w:w="1482"/>
        <w:gridCol w:w="2089"/>
      </w:tblGrid>
      <w:tr w14:paraId="667CB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52" w:type="dxa"/>
            <w:vAlign w:val="top"/>
          </w:tcPr>
          <w:p w14:paraId="1ADE294E">
            <w:pPr>
              <w:pStyle w:val="9"/>
              <w:spacing w:before="194" w:line="222" w:lineRule="auto"/>
              <w:ind w:left="142"/>
              <w:rPr>
                <w:color w:val="auto"/>
                <w:sz w:val="20"/>
                <w:szCs w:val="20"/>
                <w:highlight w:val="none"/>
              </w:rPr>
            </w:pPr>
            <w:r>
              <w:rPr>
                <w:color w:val="auto"/>
                <w:spacing w:val="-5"/>
                <w:sz w:val="20"/>
                <w:szCs w:val="20"/>
                <w:highlight w:val="none"/>
              </w:rPr>
              <w:t>序号</w:t>
            </w:r>
          </w:p>
        </w:tc>
        <w:tc>
          <w:tcPr>
            <w:tcW w:w="2259" w:type="dxa"/>
            <w:vAlign w:val="top"/>
          </w:tcPr>
          <w:p w14:paraId="54231CA5">
            <w:pPr>
              <w:pStyle w:val="9"/>
              <w:spacing w:before="195" w:line="219" w:lineRule="auto"/>
              <w:ind w:left="534"/>
              <w:rPr>
                <w:color w:val="auto"/>
                <w:sz w:val="20"/>
                <w:szCs w:val="20"/>
                <w:highlight w:val="none"/>
              </w:rPr>
            </w:pPr>
            <w:r>
              <w:rPr>
                <w:color w:val="auto"/>
                <w:spacing w:val="-2"/>
                <w:sz w:val="20"/>
                <w:szCs w:val="20"/>
                <w:highlight w:val="none"/>
              </w:rPr>
              <w:t>采购人名称</w:t>
            </w:r>
          </w:p>
        </w:tc>
        <w:tc>
          <w:tcPr>
            <w:tcW w:w="2146" w:type="dxa"/>
            <w:vAlign w:val="top"/>
          </w:tcPr>
          <w:p w14:paraId="3E31F9F0">
            <w:pPr>
              <w:pStyle w:val="9"/>
              <w:spacing w:before="194" w:line="221" w:lineRule="auto"/>
              <w:ind w:left="603"/>
              <w:rPr>
                <w:color w:val="auto"/>
                <w:sz w:val="20"/>
                <w:szCs w:val="20"/>
                <w:highlight w:val="none"/>
              </w:rPr>
            </w:pPr>
            <w:r>
              <w:rPr>
                <w:color w:val="auto"/>
                <w:spacing w:val="-4"/>
                <w:sz w:val="20"/>
                <w:szCs w:val="20"/>
                <w:highlight w:val="none"/>
              </w:rPr>
              <w:t>项目名称</w:t>
            </w:r>
          </w:p>
        </w:tc>
        <w:tc>
          <w:tcPr>
            <w:tcW w:w="1482" w:type="dxa"/>
            <w:vAlign w:val="top"/>
          </w:tcPr>
          <w:p w14:paraId="5AE5F566">
            <w:pPr>
              <w:pStyle w:val="9"/>
              <w:spacing w:before="38" w:line="220" w:lineRule="auto"/>
              <w:ind w:left="269"/>
              <w:rPr>
                <w:color w:val="auto"/>
                <w:sz w:val="20"/>
                <w:szCs w:val="20"/>
                <w:highlight w:val="none"/>
              </w:rPr>
            </w:pPr>
            <w:r>
              <w:rPr>
                <w:color w:val="auto"/>
                <w:spacing w:val="-3"/>
                <w:sz w:val="20"/>
                <w:szCs w:val="20"/>
                <w:highlight w:val="none"/>
              </w:rPr>
              <w:t>合同金额</w:t>
            </w:r>
          </w:p>
          <w:p w14:paraId="787E228F">
            <w:pPr>
              <w:pStyle w:val="9"/>
              <w:spacing w:before="25" w:line="208" w:lineRule="auto"/>
              <w:ind w:left="280"/>
              <w:rPr>
                <w:color w:val="auto"/>
                <w:sz w:val="20"/>
                <w:szCs w:val="20"/>
                <w:highlight w:val="none"/>
              </w:rPr>
            </w:pPr>
            <w:r>
              <w:rPr>
                <w:color w:val="auto"/>
                <w:spacing w:val="-6"/>
                <w:sz w:val="20"/>
                <w:szCs w:val="20"/>
                <w:highlight w:val="none"/>
              </w:rPr>
              <w:t>（万元）</w:t>
            </w:r>
          </w:p>
        </w:tc>
        <w:tc>
          <w:tcPr>
            <w:tcW w:w="2089" w:type="dxa"/>
            <w:vAlign w:val="top"/>
          </w:tcPr>
          <w:p w14:paraId="07D27B9E">
            <w:pPr>
              <w:pStyle w:val="9"/>
              <w:spacing w:before="38" w:line="224" w:lineRule="auto"/>
              <w:ind w:left="572" w:right="201" w:hanging="361"/>
              <w:rPr>
                <w:color w:val="auto"/>
                <w:sz w:val="20"/>
                <w:szCs w:val="20"/>
                <w:highlight w:val="none"/>
              </w:rPr>
            </w:pPr>
            <w:r>
              <w:rPr>
                <w:color w:val="auto"/>
                <w:spacing w:val="-2"/>
                <w:sz w:val="20"/>
                <w:szCs w:val="20"/>
                <w:highlight w:val="none"/>
              </w:rPr>
              <w:t>采购人联系人及</w:t>
            </w:r>
            <w:r>
              <w:rPr>
                <w:color w:val="auto"/>
                <w:spacing w:val="4"/>
                <w:sz w:val="20"/>
                <w:szCs w:val="20"/>
                <w:highlight w:val="none"/>
              </w:rPr>
              <w:t xml:space="preserve"> </w:t>
            </w:r>
            <w:r>
              <w:rPr>
                <w:color w:val="auto"/>
                <w:spacing w:val="-3"/>
                <w:sz w:val="20"/>
                <w:szCs w:val="20"/>
                <w:highlight w:val="none"/>
              </w:rPr>
              <w:t>联系电话</w:t>
            </w:r>
          </w:p>
        </w:tc>
      </w:tr>
      <w:tr w14:paraId="1CA97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2" w:type="dxa"/>
            <w:vAlign w:val="top"/>
          </w:tcPr>
          <w:p w14:paraId="4F23E543">
            <w:pPr>
              <w:rPr>
                <w:rFonts w:ascii="Arial"/>
                <w:color w:val="auto"/>
                <w:sz w:val="20"/>
                <w:szCs w:val="20"/>
                <w:highlight w:val="none"/>
              </w:rPr>
            </w:pPr>
          </w:p>
        </w:tc>
        <w:tc>
          <w:tcPr>
            <w:tcW w:w="2259" w:type="dxa"/>
            <w:vAlign w:val="top"/>
          </w:tcPr>
          <w:p w14:paraId="67913783">
            <w:pPr>
              <w:rPr>
                <w:rFonts w:ascii="Arial"/>
                <w:color w:val="auto"/>
                <w:sz w:val="20"/>
                <w:szCs w:val="20"/>
                <w:highlight w:val="none"/>
              </w:rPr>
            </w:pPr>
          </w:p>
        </w:tc>
        <w:tc>
          <w:tcPr>
            <w:tcW w:w="2146" w:type="dxa"/>
            <w:vAlign w:val="top"/>
          </w:tcPr>
          <w:p w14:paraId="588AC293">
            <w:pPr>
              <w:rPr>
                <w:rFonts w:ascii="Arial"/>
                <w:color w:val="auto"/>
                <w:sz w:val="20"/>
                <w:szCs w:val="20"/>
                <w:highlight w:val="none"/>
              </w:rPr>
            </w:pPr>
          </w:p>
        </w:tc>
        <w:tc>
          <w:tcPr>
            <w:tcW w:w="1482" w:type="dxa"/>
            <w:vAlign w:val="top"/>
          </w:tcPr>
          <w:p w14:paraId="0D5D1C65">
            <w:pPr>
              <w:rPr>
                <w:rFonts w:ascii="Arial"/>
                <w:color w:val="auto"/>
                <w:sz w:val="20"/>
                <w:szCs w:val="20"/>
                <w:highlight w:val="none"/>
              </w:rPr>
            </w:pPr>
          </w:p>
        </w:tc>
        <w:tc>
          <w:tcPr>
            <w:tcW w:w="2089" w:type="dxa"/>
            <w:vAlign w:val="top"/>
          </w:tcPr>
          <w:p w14:paraId="41A99750">
            <w:pPr>
              <w:rPr>
                <w:rFonts w:ascii="Arial"/>
                <w:color w:val="auto"/>
                <w:sz w:val="20"/>
                <w:szCs w:val="20"/>
                <w:highlight w:val="none"/>
              </w:rPr>
            </w:pPr>
          </w:p>
        </w:tc>
      </w:tr>
      <w:tr w14:paraId="59DC1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2" w:type="dxa"/>
            <w:vAlign w:val="top"/>
          </w:tcPr>
          <w:p w14:paraId="2724292F">
            <w:pPr>
              <w:rPr>
                <w:rFonts w:ascii="Arial"/>
                <w:color w:val="auto"/>
                <w:sz w:val="20"/>
                <w:szCs w:val="20"/>
                <w:highlight w:val="none"/>
              </w:rPr>
            </w:pPr>
          </w:p>
        </w:tc>
        <w:tc>
          <w:tcPr>
            <w:tcW w:w="2259" w:type="dxa"/>
            <w:vAlign w:val="top"/>
          </w:tcPr>
          <w:p w14:paraId="7E800CE3">
            <w:pPr>
              <w:rPr>
                <w:rFonts w:ascii="Arial"/>
                <w:color w:val="auto"/>
                <w:sz w:val="20"/>
                <w:szCs w:val="20"/>
                <w:highlight w:val="none"/>
              </w:rPr>
            </w:pPr>
          </w:p>
        </w:tc>
        <w:tc>
          <w:tcPr>
            <w:tcW w:w="2146" w:type="dxa"/>
            <w:vAlign w:val="top"/>
          </w:tcPr>
          <w:p w14:paraId="59800BCB">
            <w:pPr>
              <w:rPr>
                <w:rFonts w:ascii="Arial"/>
                <w:color w:val="auto"/>
                <w:sz w:val="20"/>
                <w:szCs w:val="20"/>
                <w:highlight w:val="none"/>
              </w:rPr>
            </w:pPr>
          </w:p>
        </w:tc>
        <w:tc>
          <w:tcPr>
            <w:tcW w:w="1482" w:type="dxa"/>
            <w:vAlign w:val="top"/>
          </w:tcPr>
          <w:p w14:paraId="2AE83E2D">
            <w:pPr>
              <w:rPr>
                <w:rFonts w:ascii="Arial"/>
                <w:color w:val="auto"/>
                <w:sz w:val="20"/>
                <w:szCs w:val="20"/>
                <w:highlight w:val="none"/>
              </w:rPr>
            </w:pPr>
          </w:p>
        </w:tc>
        <w:tc>
          <w:tcPr>
            <w:tcW w:w="2089" w:type="dxa"/>
            <w:vAlign w:val="top"/>
          </w:tcPr>
          <w:p w14:paraId="376B6630">
            <w:pPr>
              <w:rPr>
                <w:rFonts w:ascii="Arial"/>
                <w:color w:val="auto"/>
                <w:sz w:val="20"/>
                <w:szCs w:val="20"/>
                <w:highlight w:val="none"/>
              </w:rPr>
            </w:pPr>
          </w:p>
        </w:tc>
      </w:tr>
      <w:tr w14:paraId="79AED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2" w:type="dxa"/>
            <w:vAlign w:val="top"/>
          </w:tcPr>
          <w:p w14:paraId="44CB91A1">
            <w:pPr>
              <w:rPr>
                <w:rFonts w:ascii="Arial"/>
                <w:color w:val="auto"/>
                <w:sz w:val="20"/>
                <w:szCs w:val="20"/>
                <w:highlight w:val="none"/>
              </w:rPr>
            </w:pPr>
          </w:p>
        </w:tc>
        <w:tc>
          <w:tcPr>
            <w:tcW w:w="2259" w:type="dxa"/>
            <w:vAlign w:val="top"/>
          </w:tcPr>
          <w:p w14:paraId="78C03EC5">
            <w:pPr>
              <w:rPr>
                <w:rFonts w:ascii="Arial"/>
                <w:color w:val="auto"/>
                <w:sz w:val="20"/>
                <w:szCs w:val="20"/>
                <w:highlight w:val="none"/>
              </w:rPr>
            </w:pPr>
          </w:p>
        </w:tc>
        <w:tc>
          <w:tcPr>
            <w:tcW w:w="2146" w:type="dxa"/>
            <w:vAlign w:val="top"/>
          </w:tcPr>
          <w:p w14:paraId="44BA34D6">
            <w:pPr>
              <w:rPr>
                <w:rFonts w:ascii="Arial"/>
                <w:color w:val="auto"/>
                <w:sz w:val="20"/>
                <w:szCs w:val="20"/>
                <w:highlight w:val="none"/>
              </w:rPr>
            </w:pPr>
          </w:p>
        </w:tc>
        <w:tc>
          <w:tcPr>
            <w:tcW w:w="1482" w:type="dxa"/>
            <w:vAlign w:val="top"/>
          </w:tcPr>
          <w:p w14:paraId="0EAABA29">
            <w:pPr>
              <w:rPr>
                <w:rFonts w:ascii="Arial"/>
                <w:color w:val="auto"/>
                <w:sz w:val="20"/>
                <w:szCs w:val="20"/>
                <w:highlight w:val="none"/>
              </w:rPr>
            </w:pPr>
          </w:p>
        </w:tc>
        <w:tc>
          <w:tcPr>
            <w:tcW w:w="2089" w:type="dxa"/>
            <w:vAlign w:val="top"/>
          </w:tcPr>
          <w:p w14:paraId="47638EA7">
            <w:pPr>
              <w:rPr>
                <w:rFonts w:ascii="Arial"/>
                <w:color w:val="auto"/>
                <w:sz w:val="20"/>
                <w:szCs w:val="20"/>
                <w:highlight w:val="none"/>
              </w:rPr>
            </w:pPr>
          </w:p>
        </w:tc>
      </w:tr>
      <w:tr w14:paraId="4556B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52" w:type="dxa"/>
            <w:vAlign w:val="top"/>
          </w:tcPr>
          <w:p w14:paraId="48AF889B">
            <w:pPr>
              <w:rPr>
                <w:rFonts w:ascii="Arial"/>
                <w:color w:val="auto"/>
                <w:sz w:val="20"/>
                <w:szCs w:val="20"/>
                <w:highlight w:val="none"/>
              </w:rPr>
            </w:pPr>
          </w:p>
        </w:tc>
        <w:tc>
          <w:tcPr>
            <w:tcW w:w="2259" w:type="dxa"/>
            <w:vAlign w:val="top"/>
          </w:tcPr>
          <w:p w14:paraId="51D91BD9">
            <w:pPr>
              <w:rPr>
                <w:rFonts w:ascii="Arial"/>
                <w:color w:val="auto"/>
                <w:sz w:val="20"/>
                <w:szCs w:val="20"/>
                <w:highlight w:val="none"/>
              </w:rPr>
            </w:pPr>
          </w:p>
        </w:tc>
        <w:tc>
          <w:tcPr>
            <w:tcW w:w="2146" w:type="dxa"/>
            <w:vAlign w:val="top"/>
          </w:tcPr>
          <w:p w14:paraId="733F1E3F">
            <w:pPr>
              <w:rPr>
                <w:rFonts w:ascii="Arial"/>
                <w:color w:val="auto"/>
                <w:sz w:val="20"/>
                <w:szCs w:val="20"/>
                <w:highlight w:val="none"/>
              </w:rPr>
            </w:pPr>
          </w:p>
        </w:tc>
        <w:tc>
          <w:tcPr>
            <w:tcW w:w="1482" w:type="dxa"/>
            <w:vAlign w:val="top"/>
          </w:tcPr>
          <w:p w14:paraId="285ADF49">
            <w:pPr>
              <w:rPr>
                <w:rFonts w:ascii="Arial"/>
                <w:color w:val="auto"/>
                <w:sz w:val="20"/>
                <w:szCs w:val="20"/>
                <w:highlight w:val="none"/>
              </w:rPr>
            </w:pPr>
          </w:p>
        </w:tc>
        <w:tc>
          <w:tcPr>
            <w:tcW w:w="2089" w:type="dxa"/>
            <w:vAlign w:val="top"/>
          </w:tcPr>
          <w:p w14:paraId="3B617802">
            <w:pPr>
              <w:rPr>
                <w:rFonts w:ascii="Arial"/>
                <w:color w:val="auto"/>
                <w:sz w:val="20"/>
                <w:szCs w:val="20"/>
                <w:highlight w:val="none"/>
              </w:rPr>
            </w:pPr>
          </w:p>
        </w:tc>
      </w:tr>
      <w:tr w14:paraId="339ED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52" w:type="dxa"/>
            <w:vAlign w:val="top"/>
          </w:tcPr>
          <w:p w14:paraId="79ECA36E">
            <w:pPr>
              <w:rPr>
                <w:rFonts w:ascii="Arial"/>
                <w:color w:val="auto"/>
                <w:sz w:val="20"/>
                <w:szCs w:val="20"/>
                <w:highlight w:val="none"/>
              </w:rPr>
            </w:pPr>
          </w:p>
        </w:tc>
        <w:tc>
          <w:tcPr>
            <w:tcW w:w="2259" w:type="dxa"/>
            <w:vAlign w:val="top"/>
          </w:tcPr>
          <w:p w14:paraId="498FE19E">
            <w:pPr>
              <w:rPr>
                <w:rFonts w:ascii="Arial"/>
                <w:color w:val="auto"/>
                <w:sz w:val="20"/>
                <w:szCs w:val="20"/>
                <w:highlight w:val="none"/>
              </w:rPr>
            </w:pPr>
          </w:p>
        </w:tc>
        <w:tc>
          <w:tcPr>
            <w:tcW w:w="2146" w:type="dxa"/>
            <w:vAlign w:val="top"/>
          </w:tcPr>
          <w:p w14:paraId="6C664D24">
            <w:pPr>
              <w:rPr>
                <w:rFonts w:ascii="Arial"/>
                <w:color w:val="auto"/>
                <w:sz w:val="20"/>
                <w:szCs w:val="20"/>
                <w:highlight w:val="none"/>
              </w:rPr>
            </w:pPr>
          </w:p>
        </w:tc>
        <w:tc>
          <w:tcPr>
            <w:tcW w:w="1482" w:type="dxa"/>
            <w:vAlign w:val="top"/>
          </w:tcPr>
          <w:p w14:paraId="71995360">
            <w:pPr>
              <w:rPr>
                <w:rFonts w:ascii="Arial"/>
                <w:color w:val="auto"/>
                <w:sz w:val="20"/>
                <w:szCs w:val="20"/>
                <w:highlight w:val="none"/>
              </w:rPr>
            </w:pPr>
          </w:p>
        </w:tc>
        <w:tc>
          <w:tcPr>
            <w:tcW w:w="2089" w:type="dxa"/>
            <w:vAlign w:val="top"/>
          </w:tcPr>
          <w:p w14:paraId="6318F753">
            <w:pPr>
              <w:rPr>
                <w:rFonts w:ascii="Arial"/>
                <w:color w:val="auto"/>
                <w:sz w:val="20"/>
                <w:szCs w:val="20"/>
                <w:highlight w:val="none"/>
              </w:rPr>
            </w:pPr>
          </w:p>
        </w:tc>
      </w:tr>
    </w:tbl>
    <w:p w14:paraId="76396379">
      <w:pPr>
        <w:pStyle w:val="2"/>
        <w:spacing w:line="423" w:lineRule="auto"/>
        <w:rPr>
          <w:color w:val="auto"/>
          <w:sz w:val="20"/>
          <w:szCs w:val="20"/>
          <w:highlight w:val="none"/>
        </w:rPr>
      </w:pPr>
    </w:p>
    <w:p w14:paraId="72EEBD8A">
      <w:pPr>
        <w:spacing w:before="78" w:line="360" w:lineRule="auto"/>
        <w:ind w:left="199" w:hanging="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注：供应商可按上述的格式自行编制，须随</w:t>
      </w:r>
      <w:r>
        <w:rPr>
          <w:rFonts w:ascii="宋体" w:hAnsi="宋体" w:eastAsia="宋体" w:cs="宋体"/>
          <w:color w:val="auto"/>
          <w:spacing w:val="1"/>
          <w:sz w:val="20"/>
          <w:szCs w:val="20"/>
          <w:highlight w:val="none"/>
        </w:rPr>
        <w:t>表提交相应的合同或中标（成交）通知书</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复印件。</w:t>
      </w:r>
    </w:p>
    <w:p w14:paraId="26B725EF">
      <w:pPr>
        <w:pStyle w:val="2"/>
        <w:spacing w:line="325" w:lineRule="auto"/>
        <w:rPr>
          <w:color w:val="auto"/>
          <w:sz w:val="20"/>
          <w:szCs w:val="20"/>
          <w:highlight w:val="none"/>
        </w:rPr>
      </w:pPr>
    </w:p>
    <w:p w14:paraId="1CA3F871">
      <w:pPr>
        <w:spacing w:before="78" w:line="219" w:lineRule="auto"/>
        <w:ind w:left="453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p>
    <w:p w14:paraId="190BD6E3">
      <w:pPr>
        <w:spacing w:before="183" w:line="220" w:lineRule="auto"/>
        <w:ind w:left="6523"/>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8"/>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25"/>
          <w:sz w:val="24"/>
          <w:szCs w:val="24"/>
          <w:highlight w:val="none"/>
        </w:rPr>
        <w:t xml:space="preserve">  </w:t>
      </w:r>
      <w:r>
        <w:rPr>
          <w:rFonts w:ascii="宋体" w:hAnsi="宋体" w:eastAsia="宋体" w:cs="宋体"/>
          <w:color w:val="auto"/>
          <w:spacing w:val="-13"/>
          <w:sz w:val="24"/>
          <w:szCs w:val="24"/>
          <w:highlight w:val="none"/>
        </w:rPr>
        <w:t>日</w:t>
      </w:r>
    </w:p>
    <w:p w14:paraId="60ED7EC3">
      <w:pPr>
        <w:spacing w:line="220" w:lineRule="auto"/>
        <w:rPr>
          <w:rFonts w:ascii="宋体" w:hAnsi="宋体" w:eastAsia="宋体" w:cs="宋体"/>
          <w:color w:val="auto"/>
          <w:sz w:val="24"/>
          <w:szCs w:val="24"/>
          <w:highlight w:val="none"/>
        </w:rPr>
        <w:sectPr>
          <w:footerReference r:id="rId64" w:type="default"/>
          <w:pgSz w:w="11910" w:h="16840"/>
          <w:pgMar w:top="400" w:right="1417" w:bottom="1079" w:left="1361" w:header="0" w:footer="843" w:gutter="0"/>
          <w:cols w:space="720" w:num="1"/>
        </w:sectPr>
      </w:pPr>
    </w:p>
    <w:p w14:paraId="1215E44C">
      <w:pPr>
        <w:pStyle w:val="2"/>
        <w:spacing w:line="338" w:lineRule="auto"/>
        <w:rPr>
          <w:color w:val="auto"/>
          <w:highlight w:val="none"/>
        </w:rPr>
      </w:pPr>
    </w:p>
    <w:p w14:paraId="6394BC54">
      <w:pPr>
        <w:pStyle w:val="2"/>
        <w:spacing w:line="338" w:lineRule="auto"/>
        <w:rPr>
          <w:color w:val="auto"/>
          <w:highlight w:val="none"/>
        </w:rPr>
      </w:pPr>
    </w:p>
    <w:p w14:paraId="0F258C68">
      <w:pPr>
        <w:spacing w:before="98" w:line="220" w:lineRule="auto"/>
        <w:ind w:left="3155"/>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七、技术需求偏离表</w:t>
      </w:r>
    </w:p>
    <w:p w14:paraId="57D71A94">
      <w:pPr>
        <w:spacing w:before="180" w:line="220" w:lineRule="auto"/>
        <w:ind w:left="3460"/>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技术需求偏离表</w:t>
      </w:r>
    </w:p>
    <w:p w14:paraId="13C1AB30">
      <w:pPr>
        <w:spacing w:before="35" w:line="219" w:lineRule="auto"/>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采购项目编号：</w:t>
      </w:r>
      <w:r>
        <w:rPr>
          <w:rFonts w:ascii="宋体" w:hAnsi="宋体" w:eastAsia="宋体" w:cs="宋体"/>
          <w:color w:val="auto"/>
          <w:sz w:val="20"/>
          <w:szCs w:val="20"/>
          <w:highlight w:val="none"/>
          <w:u w:val="single" w:color="auto"/>
        </w:rPr>
        <w:t xml:space="preserve">                </w:t>
      </w:r>
    </w:p>
    <w:p w14:paraId="6453AE06">
      <w:pPr>
        <w:spacing w:before="180" w:line="219" w:lineRule="auto"/>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采购项目名称：</w:t>
      </w:r>
      <w:r>
        <w:rPr>
          <w:rFonts w:ascii="宋体" w:hAnsi="宋体" w:eastAsia="宋体" w:cs="宋体"/>
          <w:color w:val="auto"/>
          <w:sz w:val="20"/>
          <w:szCs w:val="20"/>
          <w:highlight w:val="none"/>
          <w:u w:val="single" w:color="auto"/>
        </w:rPr>
        <w:t xml:space="preserve">                 </w:t>
      </w:r>
    </w:p>
    <w:p w14:paraId="68E3F005">
      <w:pPr>
        <w:spacing w:before="182" w:line="221" w:lineRule="auto"/>
        <w:ind w:left="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分标号（此处有分标时填写具体分标号，无分标时填写“无</w:t>
      </w:r>
      <w:r>
        <w:rPr>
          <w:rFonts w:ascii="宋体" w:hAnsi="宋体" w:eastAsia="宋体" w:cs="宋体"/>
          <w:color w:val="auto"/>
          <w:spacing w:val="-69"/>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color="auto"/>
        </w:rPr>
        <w:t xml:space="preserve">        </w:t>
      </w:r>
    </w:p>
    <w:p w14:paraId="0332CABC">
      <w:pPr>
        <w:spacing w:line="239" w:lineRule="exact"/>
        <w:rPr>
          <w:color w:val="auto"/>
          <w:sz w:val="20"/>
          <w:szCs w:val="20"/>
          <w:highlight w:val="none"/>
        </w:rPr>
      </w:pPr>
    </w:p>
    <w:tbl>
      <w:tblPr>
        <w:tblStyle w:val="8"/>
        <w:tblW w:w="8810"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3629"/>
        <w:gridCol w:w="3208"/>
        <w:gridCol w:w="1278"/>
      </w:tblGrid>
      <w:tr w14:paraId="3198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95" w:type="dxa"/>
            <w:textDirection w:val="tbRlV"/>
            <w:vAlign w:val="top"/>
          </w:tcPr>
          <w:p w14:paraId="1588C4B8">
            <w:pPr>
              <w:pStyle w:val="9"/>
              <w:spacing w:before="225" w:line="205" w:lineRule="auto"/>
              <w:ind w:left="71"/>
              <w:rPr>
                <w:color w:val="auto"/>
                <w:sz w:val="20"/>
                <w:szCs w:val="20"/>
                <w:highlight w:val="none"/>
              </w:rPr>
            </w:pPr>
            <w:r>
              <w:rPr>
                <w:color w:val="auto"/>
                <w:sz w:val="20"/>
                <w:szCs w:val="20"/>
                <w:highlight w:val="none"/>
              </w:rPr>
              <w:t>项</w:t>
            </w:r>
            <w:r>
              <w:rPr>
                <w:color w:val="auto"/>
                <w:spacing w:val="-20"/>
                <w:sz w:val="20"/>
                <w:szCs w:val="20"/>
                <w:highlight w:val="none"/>
              </w:rPr>
              <w:t xml:space="preserve"> </w:t>
            </w:r>
            <w:r>
              <w:rPr>
                <w:color w:val="auto"/>
                <w:sz w:val="20"/>
                <w:szCs w:val="20"/>
                <w:highlight w:val="none"/>
              </w:rPr>
              <w:t>号</w:t>
            </w:r>
          </w:p>
        </w:tc>
        <w:tc>
          <w:tcPr>
            <w:tcW w:w="3629" w:type="dxa"/>
            <w:vAlign w:val="top"/>
          </w:tcPr>
          <w:p w14:paraId="6BD11469">
            <w:pPr>
              <w:pStyle w:val="9"/>
              <w:spacing w:before="242" w:line="219" w:lineRule="auto"/>
              <w:ind w:left="501"/>
              <w:rPr>
                <w:color w:val="auto"/>
                <w:sz w:val="20"/>
                <w:szCs w:val="20"/>
                <w:highlight w:val="none"/>
              </w:rPr>
            </w:pPr>
            <w:r>
              <w:rPr>
                <w:color w:val="auto"/>
                <w:spacing w:val="-2"/>
                <w:sz w:val="20"/>
                <w:szCs w:val="20"/>
                <w:highlight w:val="none"/>
              </w:rPr>
              <w:t>竞争性磋商文件采购需求</w:t>
            </w:r>
          </w:p>
        </w:tc>
        <w:tc>
          <w:tcPr>
            <w:tcW w:w="3208" w:type="dxa"/>
            <w:vAlign w:val="top"/>
          </w:tcPr>
          <w:p w14:paraId="2F0A98CB">
            <w:pPr>
              <w:pStyle w:val="9"/>
              <w:spacing w:before="242" w:line="219" w:lineRule="auto"/>
              <w:ind w:left="424"/>
              <w:rPr>
                <w:color w:val="auto"/>
                <w:sz w:val="20"/>
                <w:szCs w:val="20"/>
                <w:highlight w:val="none"/>
              </w:rPr>
            </w:pPr>
            <w:r>
              <w:rPr>
                <w:color w:val="auto"/>
                <w:spacing w:val="-3"/>
                <w:sz w:val="20"/>
                <w:szCs w:val="20"/>
                <w:highlight w:val="none"/>
              </w:rPr>
              <w:t>响应文件采购需求承诺</w:t>
            </w:r>
          </w:p>
        </w:tc>
        <w:tc>
          <w:tcPr>
            <w:tcW w:w="1278" w:type="dxa"/>
            <w:vAlign w:val="top"/>
          </w:tcPr>
          <w:p w14:paraId="26CF8C31">
            <w:pPr>
              <w:pStyle w:val="9"/>
              <w:spacing w:before="241" w:line="220" w:lineRule="auto"/>
              <w:ind w:left="165"/>
              <w:rPr>
                <w:color w:val="auto"/>
                <w:sz w:val="20"/>
                <w:szCs w:val="20"/>
                <w:highlight w:val="none"/>
              </w:rPr>
            </w:pPr>
            <w:r>
              <w:rPr>
                <w:color w:val="auto"/>
                <w:spacing w:val="-3"/>
                <w:sz w:val="20"/>
                <w:szCs w:val="20"/>
                <w:highlight w:val="none"/>
              </w:rPr>
              <w:t>偏离说明</w:t>
            </w:r>
          </w:p>
        </w:tc>
      </w:tr>
      <w:tr w14:paraId="6178C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3" w:hRule="atLeast"/>
        </w:trPr>
        <w:tc>
          <w:tcPr>
            <w:tcW w:w="695" w:type="dxa"/>
            <w:vAlign w:val="top"/>
          </w:tcPr>
          <w:p w14:paraId="30FAB459">
            <w:pPr>
              <w:rPr>
                <w:rFonts w:ascii="Arial"/>
                <w:color w:val="auto"/>
                <w:sz w:val="20"/>
                <w:szCs w:val="20"/>
                <w:highlight w:val="none"/>
              </w:rPr>
            </w:pPr>
          </w:p>
        </w:tc>
        <w:tc>
          <w:tcPr>
            <w:tcW w:w="3629" w:type="dxa"/>
            <w:vAlign w:val="top"/>
          </w:tcPr>
          <w:p w14:paraId="5A91B50B">
            <w:pPr>
              <w:rPr>
                <w:rFonts w:ascii="Arial"/>
                <w:color w:val="auto"/>
                <w:sz w:val="20"/>
                <w:szCs w:val="20"/>
                <w:highlight w:val="none"/>
              </w:rPr>
            </w:pPr>
          </w:p>
        </w:tc>
        <w:tc>
          <w:tcPr>
            <w:tcW w:w="3208" w:type="dxa"/>
            <w:vAlign w:val="top"/>
          </w:tcPr>
          <w:p w14:paraId="6638813A">
            <w:pPr>
              <w:rPr>
                <w:rFonts w:ascii="Arial"/>
                <w:color w:val="auto"/>
                <w:sz w:val="20"/>
                <w:szCs w:val="20"/>
                <w:highlight w:val="none"/>
              </w:rPr>
            </w:pPr>
          </w:p>
        </w:tc>
        <w:tc>
          <w:tcPr>
            <w:tcW w:w="1278" w:type="dxa"/>
            <w:vAlign w:val="top"/>
          </w:tcPr>
          <w:p w14:paraId="00287E85">
            <w:pPr>
              <w:rPr>
                <w:rFonts w:ascii="Arial"/>
                <w:color w:val="auto"/>
                <w:sz w:val="20"/>
                <w:szCs w:val="20"/>
                <w:highlight w:val="none"/>
              </w:rPr>
            </w:pPr>
          </w:p>
        </w:tc>
      </w:tr>
      <w:tr w14:paraId="50405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695" w:type="dxa"/>
            <w:vAlign w:val="top"/>
          </w:tcPr>
          <w:p w14:paraId="7B7E15DD">
            <w:pPr>
              <w:rPr>
                <w:rFonts w:ascii="Arial"/>
                <w:color w:val="auto"/>
                <w:sz w:val="20"/>
                <w:szCs w:val="20"/>
                <w:highlight w:val="none"/>
              </w:rPr>
            </w:pPr>
          </w:p>
        </w:tc>
        <w:tc>
          <w:tcPr>
            <w:tcW w:w="3629" w:type="dxa"/>
            <w:vAlign w:val="top"/>
          </w:tcPr>
          <w:p w14:paraId="266C9D20">
            <w:pPr>
              <w:rPr>
                <w:rFonts w:ascii="Arial"/>
                <w:color w:val="auto"/>
                <w:sz w:val="20"/>
                <w:szCs w:val="20"/>
                <w:highlight w:val="none"/>
              </w:rPr>
            </w:pPr>
          </w:p>
        </w:tc>
        <w:tc>
          <w:tcPr>
            <w:tcW w:w="3208" w:type="dxa"/>
            <w:vAlign w:val="top"/>
          </w:tcPr>
          <w:p w14:paraId="7E78830F">
            <w:pPr>
              <w:rPr>
                <w:rFonts w:ascii="Arial"/>
                <w:color w:val="auto"/>
                <w:sz w:val="20"/>
                <w:szCs w:val="20"/>
                <w:highlight w:val="none"/>
              </w:rPr>
            </w:pPr>
          </w:p>
        </w:tc>
        <w:tc>
          <w:tcPr>
            <w:tcW w:w="1278" w:type="dxa"/>
            <w:vAlign w:val="top"/>
          </w:tcPr>
          <w:p w14:paraId="0E3C1F8C">
            <w:pPr>
              <w:rPr>
                <w:rFonts w:ascii="Arial"/>
                <w:color w:val="auto"/>
                <w:sz w:val="20"/>
                <w:szCs w:val="20"/>
                <w:highlight w:val="none"/>
              </w:rPr>
            </w:pPr>
          </w:p>
        </w:tc>
      </w:tr>
      <w:tr w14:paraId="08412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trPr>
        <w:tc>
          <w:tcPr>
            <w:tcW w:w="695" w:type="dxa"/>
            <w:vAlign w:val="top"/>
          </w:tcPr>
          <w:p w14:paraId="5B05B78A">
            <w:pPr>
              <w:rPr>
                <w:rFonts w:ascii="Arial"/>
                <w:color w:val="auto"/>
                <w:sz w:val="20"/>
                <w:szCs w:val="20"/>
                <w:highlight w:val="none"/>
              </w:rPr>
            </w:pPr>
          </w:p>
        </w:tc>
        <w:tc>
          <w:tcPr>
            <w:tcW w:w="3629" w:type="dxa"/>
            <w:vAlign w:val="top"/>
          </w:tcPr>
          <w:p w14:paraId="04EF2F97">
            <w:pPr>
              <w:rPr>
                <w:rFonts w:ascii="Arial"/>
                <w:color w:val="auto"/>
                <w:sz w:val="20"/>
                <w:szCs w:val="20"/>
                <w:highlight w:val="none"/>
              </w:rPr>
            </w:pPr>
          </w:p>
        </w:tc>
        <w:tc>
          <w:tcPr>
            <w:tcW w:w="3208" w:type="dxa"/>
            <w:vAlign w:val="top"/>
          </w:tcPr>
          <w:p w14:paraId="4DF0ED59">
            <w:pPr>
              <w:rPr>
                <w:rFonts w:ascii="Arial"/>
                <w:color w:val="auto"/>
                <w:sz w:val="20"/>
                <w:szCs w:val="20"/>
                <w:highlight w:val="none"/>
              </w:rPr>
            </w:pPr>
          </w:p>
        </w:tc>
        <w:tc>
          <w:tcPr>
            <w:tcW w:w="1278" w:type="dxa"/>
            <w:vAlign w:val="top"/>
          </w:tcPr>
          <w:p w14:paraId="60ECC836">
            <w:pPr>
              <w:rPr>
                <w:rFonts w:ascii="Arial"/>
                <w:color w:val="auto"/>
                <w:sz w:val="20"/>
                <w:szCs w:val="20"/>
                <w:highlight w:val="none"/>
              </w:rPr>
            </w:pPr>
          </w:p>
        </w:tc>
      </w:tr>
    </w:tbl>
    <w:p w14:paraId="6B939F33">
      <w:pPr>
        <w:spacing w:before="109" w:line="231" w:lineRule="auto"/>
        <w:ind w:left="419"/>
        <w:rPr>
          <w:rFonts w:ascii="宋体" w:hAnsi="宋体" w:eastAsia="宋体" w:cs="宋体"/>
          <w:color w:val="auto"/>
          <w:sz w:val="20"/>
          <w:szCs w:val="20"/>
          <w:highlight w:val="none"/>
        </w:rPr>
      </w:pPr>
      <w:r>
        <w:rPr>
          <w:rFonts w:ascii="宋体" w:hAnsi="宋体" w:eastAsia="宋体" w:cs="宋体"/>
          <w:color w:val="auto"/>
          <w:sz w:val="20"/>
          <w:szCs w:val="20"/>
          <w:highlight w:val="none"/>
        </w:rPr>
        <w:t>注：</w:t>
      </w:r>
    </w:p>
    <w:p w14:paraId="1F559153">
      <w:pPr>
        <w:spacing w:before="110" w:line="280" w:lineRule="auto"/>
        <w:ind w:firstLine="4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1.说明：应对照磋商文件“第二章</w:t>
      </w:r>
      <w:r>
        <w:rPr>
          <w:rFonts w:ascii="宋体" w:hAnsi="宋体" w:eastAsia="宋体" w:cs="宋体"/>
          <w:color w:val="auto"/>
          <w:spacing w:val="-73"/>
          <w:sz w:val="20"/>
          <w:szCs w:val="20"/>
          <w:highlight w:val="none"/>
        </w:rPr>
        <w:t xml:space="preserve"> </w:t>
      </w:r>
      <w:r>
        <w:rPr>
          <w:rFonts w:ascii="宋体" w:hAnsi="宋体" w:eastAsia="宋体" w:cs="宋体"/>
          <w:color w:val="auto"/>
          <w:spacing w:val="7"/>
          <w:sz w:val="20"/>
          <w:szCs w:val="20"/>
          <w:highlight w:val="none"/>
        </w:rPr>
        <w:t>”中“采购需求</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”的技术需求</w:t>
      </w:r>
      <w:r>
        <w:rPr>
          <w:rFonts w:ascii="宋体" w:hAnsi="宋体" w:eastAsia="宋体" w:cs="宋体"/>
          <w:b/>
          <w:bCs/>
          <w:color w:val="auto"/>
          <w:spacing w:val="7"/>
          <w:sz w:val="20"/>
          <w:szCs w:val="20"/>
          <w:highlight w:val="none"/>
        </w:rPr>
        <w:t>（工程量清单</w:t>
      </w:r>
      <w:r>
        <w:rPr>
          <w:rFonts w:ascii="宋体" w:hAnsi="宋体" w:eastAsia="宋体" w:cs="宋体"/>
          <w:b/>
          <w:bCs/>
          <w:color w:val="auto"/>
          <w:spacing w:val="6"/>
          <w:sz w:val="20"/>
          <w:szCs w:val="20"/>
          <w:highlight w:val="none"/>
        </w:rPr>
        <w:t>的内容可以另册</w:t>
      </w:r>
      <w:r>
        <w:rPr>
          <w:rFonts w:ascii="宋体" w:hAnsi="宋体" w:eastAsia="宋体" w:cs="宋体"/>
          <w:color w:val="auto"/>
          <w:sz w:val="20"/>
          <w:szCs w:val="20"/>
          <w:highlight w:val="none"/>
        </w:rPr>
        <w:t xml:space="preserve"> </w:t>
      </w:r>
      <w:r>
        <w:rPr>
          <w:rFonts w:ascii="宋体" w:hAnsi="宋体" w:eastAsia="宋体" w:cs="宋体"/>
          <w:b/>
          <w:bCs/>
          <w:color w:val="auto"/>
          <w:spacing w:val="8"/>
          <w:sz w:val="20"/>
          <w:szCs w:val="20"/>
          <w:highlight w:val="none"/>
        </w:rPr>
        <w:t>提供）</w:t>
      </w:r>
      <w:r>
        <w:rPr>
          <w:rFonts w:ascii="宋体" w:hAnsi="宋体" w:eastAsia="宋体" w:cs="宋体"/>
          <w:color w:val="auto"/>
          <w:spacing w:val="8"/>
          <w:sz w:val="20"/>
          <w:szCs w:val="20"/>
          <w:highlight w:val="none"/>
        </w:rPr>
        <w:t>逐条作出明确响应，并作出偏离说明。</w:t>
      </w:r>
    </w:p>
    <w:p w14:paraId="7F48ECE0">
      <w:pPr>
        <w:spacing w:before="115" w:line="296" w:lineRule="auto"/>
        <w:ind w:left="3"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2.供应商应根据自身的承诺，对照磋商文件要求，在“偏离说明</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”中注明</w:t>
      </w:r>
      <w:r>
        <w:rPr>
          <w:rFonts w:ascii="宋体" w:hAnsi="宋体" w:eastAsia="宋体" w:cs="宋体"/>
          <w:color w:val="auto"/>
          <w:spacing w:val="7"/>
          <w:sz w:val="20"/>
          <w:szCs w:val="20"/>
          <w:highlight w:val="none"/>
        </w:rPr>
        <w:t>“正偏离</w:t>
      </w:r>
      <w:r>
        <w:rPr>
          <w:rFonts w:ascii="宋体" w:hAnsi="宋体" w:eastAsia="宋体" w:cs="宋体"/>
          <w:color w:val="auto"/>
          <w:spacing w:val="-72"/>
          <w:sz w:val="20"/>
          <w:szCs w:val="20"/>
          <w:highlight w:val="none"/>
        </w:rPr>
        <w:t xml:space="preserve"> </w:t>
      </w:r>
      <w:r>
        <w:rPr>
          <w:rFonts w:ascii="宋体" w:hAnsi="宋体" w:eastAsia="宋体" w:cs="宋体"/>
          <w:color w:val="auto"/>
          <w:spacing w:val="7"/>
          <w:sz w:val="20"/>
          <w:szCs w:val="20"/>
          <w:highlight w:val="none"/>
        </w:rPr>
        <w:t>”、“负偏</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离</w:t>
      </w:r>
      <w:r>
        <w:rPr>
          <w:rFonts w:ascii="宋体" w:hAnsi="宋体" w:eastAsia="宋体" w:cs="宋体"/>
          <w:color w:val="auto"/>
          <w:spacing w:val="-55"/>
          <w:sz w:val="20"/>
          <w:szCs w:val="20"/>
          <w:highlight w:val="none"/>
        </w:rPr>
        <w:t xml:space="preserve"> </w:t>
      </w:r>
      <w:r>
        <w:rPr>
          <w:rFonts w:ascii="宋体" w:hAnsi="宋体" w:eastAsia="宋体" w:cs="宋体"/>
          <w:color w:val="auto"/>
          <w:spacing w:val="7"/>
          <w:sz w:val="20"/>
          <w:szCs w:val="20"/>
          <w:highlight w:val="none"/>
        </w:rPr>
        <w:t>”或者“无偏离</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”。既不属于“正偏离</w:t>
      </w:r>
      <w:r>
        <w:rPr>
          <w:rFonts w:ascii="宋体" w:hAnsi="宋体" w:eastAsia="宋体" w:cs="宋体"/>
          <w:color w:val="auto"/>
          <w:spacing w:val="-67"/>
          <w:sz w:val="20"/>
          <w:szCs w:val="20"/>
          <w:highlight w:val="none"/>
        </w:rPr>
        <w:t xml:space="preserve"> </w:t>
      </w:r>
      <w:r>
        <w:rPr>
          <w:rFonts w:ascii="宋体" w:hAnsi="宋体" w:eastAsia="宋体" w:cs="宋体"/>
          <w:color w:val="auto"/>
          <w:spacing w:val="7"/>
          <w:sz w:val="20"/>
          <w:szCs w:val="20"/>
          <w:highlight w:val="none"/>
        </w:rPr>
        <w:t>”也不属于“负偏离</w:t>
      </w:r>
      <w:r>
        <w:rPr>
          <w:rFonts w:ascii="宋体" w:hAnsi="宋体" w:eastAsia="宋体" w:cs="宋体"/>
          <w:color w:val="auto"/>
          <w:spacing w:val="-68"/>
          <w:sz w:val="20"/>
          <w:szCs w:val="20"/>
          <w:highlight w:val="none"/>
        </w:rPr>
        <w:t xml:space="preserve"> </w:t>
      </w:r>
      <w:r>
        <w:rPr>
          <w:rFonts w:ascii="宋体" w:hAnsi="宋体" w:eastAsia="宋体" w:cs="宋体"/>
          <w:color w:val="auto"/>
          <w:spacing w:val="7"/>
          <w:sz w:val="20"/>
          <w:szCs w:val="20"/>
          <w:highlight w:val="none"/>
        </w:rPr>
        <w:t>”即为“无偏离</w:t>
      </w:r>
      <w:r>
        <w:rPr>
          <w:rFonts w:ascii="宋体" w:hAnsi="宋体" w:eastAsia="宋体" w:cs="宋体"/>
          <w:color w:val="auto"/>
          <w:spacing w:val="-67"/>
          <w:sz w:val="20"/>
          <w:szCs w:val="20"/>
          <w:highlight w:val="none"/>
        </w:rPr>
        <w:t xml:space="preserve"> </w:t>
      </w:r>
      <w:r>
        <w:rPr>
          <w:rFonts w:ascii="宋体" w:hAnsi="宋体" w:eastAsia="宋体" w:cs="宋体"/>
          <w:color w:val="auto"/>
          <w:spacing w:val="7"/>
          <w:sz w:val="20"/>
          <w:szCs w:val="20"/>
          <w:highlight w:val="none"/>
        </w:rPr>
        <w:t>”。</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当响应文件的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商务内容低于竞争性磋商文件要求时，竞标人应当如实写明“负偏离</w:t>
      </w:r>
      <w:r>
        <w:rPr>
          <w:rFonts w:ascii="宋体" w:hAnsi="宋体" w:eastAsia="宋体" w:cs="宋体"/>
          <w:color w:val="auto"/>
          <w:spacing w:val="-73"/>
          <w:sz w:val="20"/>
          <w:szCs w:val="20"/>
          <w:highlight w:val="none"/>
        </w:rPr>
        <w:t xml:space="preserve"> </w:t>
      </w:r>
      <w:r>
        <w:rPr>
          <w:rFonts w:ascii="宋体" w:hAnsi="宋体" w:eastAsia="宋体" w:cs="宋体"/>
          <w:color w:val="auto"/>
          <w:spacing w:val="9"/>
          <w:sz w:val="20"/>
          <w:szCs w:val="20"/>
          <w:highlight w:val="none"/>
        </w:rPr>
        <w:t>”，否则视为虚假应标</w:t>
      </w:r>
    </w:p>
    <w:p w14:paraId="0784C899">
      <w:pPr>
        <w:spacing w:before="116" w:line="226" w:lineRule="auto"/>
        <w:ind w:left="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3.表格内容均需按要求填写并盖章，不得留空，否则按竞标无效处</w:t>
      </w:r>
      <w:r>
        <w:rPr>
          <w:rFonts w:ascii="宋体" w:hAnsi="宋体" w:eastAsia="宋体" w:cs="宋体"/>
          <w:color w:val="auto"/>
          <w:spacing w:val="8"/>
          <w:sz w:val="20"/>
          <w:szCs w:val="20"/>
          <w:highlight w:val="none"/>
        </w:rPr>
        <w:t>理。</w:t>
      </w:r>
    </w:p>
    <w:p w14:paraId="5E3EE287">
      <w:pPr>
        <w:spacing w:before="115" w:line="228" w:lineRule="auto"/>
        <w:ind w:left="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4.如技术偏离表中的竞标响应与佐证材料不一致的，</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以佐证</w:t>
      </w:r>
      <w:r>
        <w:rPr>
          <w:rFonts w:ascii="宋体" w:hAnsi="宋体" w:eastAsia="宋体" w:cs="宋体"/>
          <w:color w:val="auto"/>
          <w:spacing w:val="7"/>
          <w:sz w:val="20"/>
          <w:szCs w:val="20"/>
          <w:highlight w:val="none"/>
        </w:rPr>
        <w:t>材料为准。</w:t>
      </w:r>
    </w:p>
    <w:p w14:paraId="0C8E7E73">
      <w:pPr>
        <w:pStyle w:val="2"/>
        <w:spacing w:line="426" w:lineRule="auto"/>
        <w:rPr>
          <w:color w:val="auto"/>
          <w:highlight w:val="none"/>
        </w:rPr>
      </w:pPr>
    </w:p>
    <w:p w14:paraId="0801A5D5">
      <w:pPr>
        <w:spacing w:before="79" w:line="219" w:lineRule="auto"/>
        <w:ind w:left="409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358F4C13">
      <w:pPr>
        <w:spacing w:before="183" w:line="220" w:lineRule="auto"/>
        <w:ind w:left="6378"/>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25"/>
          <w:sz w:val="20"/>
          <w:szCs w:val="20"/>
          <w:highlight w:val="none"/>
        </w:rPr>
        <w:t xml:space="preserve">  </w:t>
      </w:r>
      <w:r>
        <w:rPr>
          <w:rFonts w:ascii="宋体" w:hAnsi="宋体" w:eastAsia="宋体" w:cs="宋体"/>
          <w:color w:val="auto"/>
          <w:spacing w:val="-13"/>
          <w:sz w:val="20"/>
          <w:szCs w:val="20"/>
          <w:highlight w:val="none"/>
        </w:rPr>
        <w:t>日</w:t>
      </w:r>
    </w:p>
    <w:p w14:paraId="515BEFDC">
      <w:pPr>
        <w:spacing w:line="220" w:lineRule="auto"/>
        <w:rPr>
          <w:rFonts w:ascii="宋体" w:hAnsi="宋体" w:eastAsia="宋体" w:cs="宋体"/>
          <w:color w:val="auto"/>
          <w:sz w:val="20"/>
          <w:szCs w:val="20"/>
          <w:highlight w:val="none"/>
        </w:rPr>
        <w:sectPr>
          <w:footerReference r:id="rId65" w:type="default"/>
          <w:pgSz w:w="11910" w:h="16840"/>
          <w:pgMar w:top="400" w:right="1419" w:bottom="1079" w:left="1481" w:header="0" w:footer="843" w:gutter="0"/>
          <w:cols w:space="720" w:num="1"/>
        </w:sectPr>
      </w:pPr>
    </w:p>
    <w:p w14:paraId="2C7A8770">
      <w:pPr>
        <w:pStyle w:val="2"/>
        <w:spacing w:line="338" w:lineRule="auto"/>
        <w:rPr>
          <w:color w:val="auto"/>
          <w:highlight w:val="none"/>
        </w:rPr>
      </w:pPr>
    </w:p>
    <w:p w14:paraId="14C414B7">
      <w:pPr>
        <w:pStyle w:val="2"/>
        <w:spacing w:line="338" w:lineRule="auto"/>
        <w:rPr>
          <w:color w:val="auto"/>
          <w:highlight w:val="none"/>
        </w:rPr>
      </w:pPr>
    </w:p>
    <w:p w14:paraId="382470CA">
      <w:pPr>
        <w:spacing w:before="97" w:line="221" w:lineRule="auto"/>
        <w:ind w:left="8"/>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八、施工组织设计</w:t>
      </w:r>
    </w:p>
    <w:p w14:paraId="7D07E988">
      <w:pPr>
        <w:spacing w:before="211" w:line="377" w:lineRule="auto"/>
        <w:ind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1.投标人编制施工组织设计时，应采用文字并结合图表形式说明工程的施工组织、施</w:t>
      </w:r>
      <w:r>
        <w:rPr>
          <w:rFonts w:ascii="宋体" w:hAnsi="宋体" w:eastAsia="宋体" w:cs="宋体"/>
          <w:color w:val="auto"/>
          <w:spacing w:val="8"/>
          <w:sz w:val="20"/>
          <w:szCs w:val="20"/>
          <w:highlight w:val="none"/>
        </w:rPr>
        <w:t>工方法、</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技术组织措施，同时应对关键工序、复杂环节重点提</w:t>
      </w:r>
      <w:r>
        <w:rPr>
          <w:rFonts w:ascii="宋体" w:hAnsi="宋体" w:eastAsia="宋体" w:cs="宋体"/>
          <w:color w:val="auto"/>
          <w:spacing w:val="9"/>
          <w:sz w:val="20"/>
          <w:szCs w:val="20"/>
          <w:highlight w:val="none"/>
        </w:rPr>
        <w:t>出相应技术措施，如冬雨季施工技术、减少噪</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音、降低环境污染、地下管线及其它地上地下</w:t>
      </w:r>
      <w:r>
        <w:rPr>
          <w:rFonts w:ascii="宋体" w:hAnsi="宋体" w:eastAsia="宋体" w:cs="宋体"/>
          <w:color w:val="auto"/>
          <w:spacing w:val="9"/>
          <w:sz w:val="20"/>
          <w:szCs w:val="20"/>
          <w:highlight w:val="none"/>
        </w:rPr>
        <w:t>设施的保护加固措施等。施工组织设计还应结合工程</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特点提出切实可行的工程质量、工程进度、安</w:t>
      </w:r>
      <w:r>
        <w:rPr>
          <w:rFonts w:ascii="宋体" w:hAnsi="宋体" w:eastAsia="宋体" w:cs="宋体"/>
          <w:color w:val="auto"/>
          <w:spacing w:val="9"/>
          <w:sz w:val="20"/>
          <w:szCs w:val="20"/>
          <w:highlight w:val="none"/>
        </w:rPr>
        <w:t>全生产、防汛度汛、文明施工、水土保持、环境保护</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管理方案。</w:t>
      </w:r>
    </w:p>
    <w:p w14:paraId="0D3ED948">
      <w:pPr>
        <w:spacing w:line="227" w:lineRule="auto"/>
        <w:ind w:left="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施工组织设计应附的文字说明如下(包括但不限于以下内容，否则响应文件无效)：</w:t>
      </w:r>
    </w:p>
    <w:p w14:paraId="36E2326E">
      <w:pPr>
        <w:spacing w:before="161" w:line="230"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（1）主要施工方法</w:t>
      </w:r>
    </w:p>
    <w:p w14:paraId="7BC1FBF1">
      <w:pPr>
        <w:spacing w:before="16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（2）拟投入的主要物资计划</w:t>
      </w:r>
    </w:p>
    <w:p w14:paraId="511C6B40">
      <w:pPr>
        <w:spacing w:before="16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（3）拟投入的主要施工机械、设备计划</w:t>
      </w:r>
    </w:p>
    <w:p w14:paraId="11FA9A23">
      <w:pPr>
        <w:spacing w:before="162"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（4）劳动力安排计划</w:t>
      </w:r>
    </w:p>
    <w:p w14:paraId="7E38A269">
      <w:pPr>
        <w:spacing w:before="16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（5）确保工程质量的技术组织措施</w:t>
      </w:r>
    </w:p>
    <w:p w14:paraId="469DB111">
      <w:pPr>
        <w:spacing w:before="16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（6）确保安全生产的技术组织措施</w:t>
      </w:r>
    </w:p>
    <w:p w14:paraId="23C8AFC4">
      <w:pPr>
        <w:spacing w:before="16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（7）确保工期的技术组织措施</w:t>
      </w:r>
    </w:p>
    <w:p w14:paraId="3ED0BAEE">
      <w:pPr>
        <w:spacing w:before="163" w:line="229"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（8）工程施工的重点和难点及保证措施</w:t>
      </w:r>
    </w:p>
    <w:p w14:paraId="31D686EF">
      <w:pPr>
        <w:pStyle w:val="2"/>
        <w:spacing w:line="247" w:lineRule="auto"/>
        <w:rPr>
          <w:color w:val="auto"/>
          <w:highlight w:val="none"/>
        </w:rPr>
      </w:pPr>
    </w:p>
    <w:p w14:paraId="07F808F2">
      <w:pPr>
        <w:spacing w:before="65" w:line="84" w:lineRule="exact"/>
        <w:ind w:left="425"/>
        <w:rPr>
          <w:rFonts w:ascii="宋体" w:hAnsi="宋体" w:eastAsia="宋体" w:cs="宋体"/>
          <w:color w:val="auto"/>
          <w:sz w:val="20"/>
          <w:szCs w:val="20"/>
          <w:highlight w:val="none"/>
        </w:rPr>
      </w:pPr>
      <w:r>
        <w:rPr>
          <w:rFonts w:ascii="宋体" w:hAnsi="宋体" w:eastAsia="宋体" w:cs="宋体"/>
          <w:color w:val="auto"/>
          <w:spacing w:val="4"/>
          <w:position w:val="1"/>
          <w:sz w:val="20"/>
          <w:szCs w:val="20"/>
          <w:highlight w:val="none"/>
        </w:rPr>
        <w:t>......</w:t>
      </w:r>
    </w:p>
    <w:p w14:paraId="409BEF98">
      <w:pPr>
        <w:pStyle w:val="2"/>
        <w:spacing w:line="254" w:lineRule="auto"/>
        <w:rPr>
          <w:color w:val="auto"/>
          <w:highlight w:val="none"/>
        </w:rPr>
      </w:pPr>
    </w:p>
    <w:p w14:paraId="3CA23FE3">
      <w:pPr>
        <w:pStyle w:val="2"/>
        <w:spacing w:line="255" w:lineRule="auto"/>
        <w:rPr>
          <w:color w:val="auto"/>
          <w:highlight w:val="none"/>
        </w:rPr>
      </w:pPr>
    </w:p>
    <w:p w14:paraId="67CE4880">
      <w:pPr>
        <w:spacing w:before="66" w:line="228" w:lineRule="auto"/>
        <w:ind w:left="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2.施工组织设计除采用文字表述外应附下列图表，图表及格式要求附后。</w:t>
      </w:r>
    </w:p>
    <w:p w14:paraId="3883C251">
      <w:pPr>
        <w:spacing w:before="163" w:line="228" w:lineRule="auto"/>
        <w:ind w:left="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附件一：拟投入本合同工程的主要施工设备表</w:t>
      </w:r>
    </w:p>
    <w:p w14:paraId="3C7E286F">
      <w:pPr>
        <w:spacing w:before="161" w:line="228" w:lineRule="auto"/>
        <w:ind w:left="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附件二：拟投入本合同工程的试验和检测仪</w:t>
      </w:r>
      <w:r>
        <w:rPr>
          <w:rFonts w:ascii="宋体" w:hAnsi="宋体" w:eastAsia="宋体" w:cs="宋体"/>
          <w:color w:val="auto"/>
          <w:spacing w:val="8"/>
          <w:sz w:val="20"/>
          <w:szCs w:val="20"/>
          <w:highlight w:val="none"/>
        </w:rPr>
        <w:t>器设备表</w:t>
      </w:r>
    </w:p>
    <w:p w14:paraId="2B1BEB26">
      <w:pPr>
        <w:spacing w:before="161" w:line="228" w:lineRule="auto"/>
        <w:ind w:left="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附件三：拟投入本合同工程的劳动力计划表</w:t>
      </w:r>
    </w:p>
    <w:p w14:paraId="0516C394">
      <w:pPr>
        <w:spacing w:before="161" w:line="228" w:lineRule="auto"/>
        <w:ind w:left="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附件四、拟投入本合同工程的材料进场计划表</w:t>
      </w:r>
    </w:p>
    <w:p w14:paraId="42344E2B">
      <w:pPr>
        <w:spacing w:before="161" w:line="228" w:lineRule="auto"/>
        <w:ind w:left="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附件五：计划开工日期、完工日期和施工进度网</w:t>
      </w:r>
      <w:r>
        <w:rPr>
          <w:rFonts w:ascii="宋体" w:hAnsi="宋体" w:eastAsia="宋体" w:cs="宋体"/>
          <w:color w:val="auto"/>
          <w:spacing w:val="8"/>
          <w:sz w:val="20"/>
          <w:szCs w:val="20"/>
          <w:highlight w:val="none"/>
        </w:rPr>
        <w:t>络图(或横递图)</w:t>
      </w:r>
    </w:p>
    <w:p w14:paraId="52C89422">
      <w:pPr>
        <w:spacing w:before="161" w:line="228" w:lineRule="auto"/>
        <w:ind w:left="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附件六：施工总平面图</w:t>
      </w:r>
    </w:p>
    <w:p w14:paraId="69C76B45">
      <w:pPr>
        <w:spacing w:before="164" w:line="228" w:lineRule="auto"/>
        <w:ind w:left="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附件七：临时用地表</w:t>
      </w:r>
    </w:p>
    <w:p w14:paraId="03C1D734">
      <w:pPr>
        <w:spacing w:line="228" w:lineRule="auto"/>
        <w:rPr>
          <w:rFonts w:ascii="宋体" w:hAnsi="宋体" w:eastAsia="宋体" w:cs="宋体"/>
          <w:color w:val="auto"/>
          <w:sz w:val="20"/>
          <w:szCs w:val="20"/>
          <w:highlight w:val="none"/>
        </w:rPr>
        <w:sectPr>
          <w:footerReference r:id="rId66" w:type="default"/>
          <w:pgSz w:w="11910" w:h="16840"/>
          <w:pgMar w:top="400" w:right="1417" w:bottom="1079" w:left="1481" w:header="0" w:footer="843" w:gutter="0"/>
          <w:cols w:space="720" w:num="1"/>
        </w:sectPr>
      </w:pPr>
    </w:p>
    <w:p w14:paraId="56A572D1">
      <w:pPr>
        <w:pStyle w:val="2"/>
        <w:spacing w:line="347" w:lineRule="auto"/>
        <w:rPr>
          <w:color w:val="auto"/>
          <w:highlight w:val="none"/>
        </w:rPr>
      </w:pPr>
    </w:p>
    <w:p w14:paraId="302939E8">
      <w:pPr>
        <w:pStyle w:val="2"/>
        <w:spacing w:line="348" w:lineRule="auto"/>
        <w:rPr>
          <w:color w:val="auto"/>
          <w:highlight w:val="none"/>
        </w:rPr>
      </w:pPr>
    </w:p>
    <w:p w14:paraId="02C58D1D">
      <w:pPr>
        <w:spacing w:before="65" w:line="228" w:lineRule="auto"/>
        <w:ind w:left="194"/>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附件一：拟投入本标段的主要施工设备表</w:t>
      </w:r>
    </w:p>
    <w:p w14:paraId="2BF6C02F">
      <w:pPr>
        <w:spacing w:before="297" w:line="228" w:lineRule="auto"/>
        <w:ind w:left="3212"/>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拟投入本标段的主要施工设备表</w:t>
      </w:r>
    </w:p>
    <w:p w14:paraId="061CB903">
      <w:pPr>
        <w:spacing w:before="24"/>
        <w:rPr>
          <w:color w:val="auto"/>
          <w:highlight w:val="none"/>
        </w:rPr>
      </w:pPr>
    </w:p>
    <w:tbl>
      <w:tblPr>
        <w:tblStyle w:val="8"/>
        <w:tblW w:w="93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2"/>
        <w:gridCol w:w="1132"/>
        <w:gridCol w:w="864"/>
        <w:gridCol w:w="868"/>
        <w:gridCol w:w="863"/>
        <w:gridCol w:w="863"/>
        <w:gridCol w:w="864"/>
        <w:gridCol w:w="863"/>
        <w:gridCol w:w="864"/>
        <w:gridCol w:w="864"/>
        <w:gridCol w:w="878"/>
      </w:tblGrid>
      <w:tr w14:paraId="5C55B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432" w:type="dxa"/>
            <w:textDirection w:val="tbRlV"/>
            <w:vAlign w:val="top"/>
          </w:tcPr>
          <w:p w14:paraId="4E636950">
            <w:pPr>
              <w:pStyle w:val="9"/>
              <w:spacing w:before="109" w:line="218" w:lineRule="auto"/>
              <w:ind w:left="183"/>
              <w:rPr>
                <w:color w:val="auto"/>
                <w:highlight w:val="none"/>
              </w:rPr>
            </w:pPr>
            <w:r>
              <w:rPr>
                <w:color w:val="auto"/>
                <w:spacing w:val="9"/>
                <w:highlight w:val="none"/>
              </w:rPr>
              <w:t>序</w:t>
            </w:r>
            <w:r>
              <w:rPr>
                <w:color w:val="auto"/>
                <w:spacing w:val="-46"/>
                <w:highlight w:val="none"/>
              </w:rPr>
              <w:t xml:space="preserve"> </w:t>
            </w:r>
            <w:r>
              <w:rPr>
                <w:color w:val="auto"/>
                <w:spacing w:val="9"/>
                <w:highlight w:val="none"/>
              </w:rPr>
              <w:t>号</w:t>
            </w:r>
          </w:p>
        </w:tc>
        <w:tc>
          <w:tcPr>
            <w:tcW w:w="1132" w:type="dxa"/>
            <w:vAlign w:val="top"/>
          </w:tcPr>
          <w:p w14:paraId="4C190559">
            <w:pPr>
              <w:pStyle w:val="9"/>
              <w:spacing w:before="182" w:line="228" w:lineRule="auto"/>
              <w:ind w:left="43"/>
              <w:rPr>
                <w:color w:val="auto"/>
                <w:highlight w:val="none"/>
              </w:rPr>
            </w:pPr>
            <w:r>
              <w:rPr>
                <w:color w:val="auto"/>
                <w:spacing w:val="8"/>
                <w:highlight w:val="none"/>
              </w:rPr>
              <w:t>施工机械名</w:t>
            </w:r>
          </w:p>
          <w:p w14:paraId="04623F3B">
            <w:pPr>
              <w:pStyle w:val="9"/>
              <w:spacing w:before="21" w:line="231" w:lineRule="auto"/>
              <w:ind w:left="463"/>
              <w:rPr>
                <w:color w:val="auto"/>
                <w:highlight w:val="none"/>
              </w:rPr>
            </w:pPr>
            <w:r>
              <w:rPr>
                <w:color w:val="auto"/>
                <w:spacing w:val="1"/>
                <w:highlight w:val="none"/>
              </w:rPr>
              <w:t>称</w:t>
            </w:r>
          </w:p>
        </w:tc>
        <w:tc>
          <w:tcPr>
            <w:tcW w:w="864" w:type="dxa"/>
            <w:vAlign w:val="top"/>
          </w:tcPr>
          <w:p w14:paraId="02EBC95A">
            <w:pPr>
              <w:pStyle w:val="9"/>
              <w:spacing w:before="144" w:line="230" w:lineRule="auto"/>
              <w:ind w:left="22"/>
              <w:rPr>
                <w:color w:val="auto"/>
                <w:highlight w:val="none"/>
              </w:rPr>
            </w:pPr>
            <w:r>
              <w:rPr>
                <w:color w:val="auto"/>
                <w:spacing w:val="5"/>
                <w:highlight w:val="none"/>
              </w:rPr>
              <w:t>型号、规</w:t>
            </w:r>
          </w:p>
          <w:p w14:paraId="53348890">
            <w:pPr>
              <w:pStyle w:val="9"/>
              <w:spacing w:before="22" w:line="228" w:lineRule="auto"/>
              <w:ind w:left="330"/>
              <w:rPr>
                <w:color w:val="auto"/>
                <w:highlight w:val="none"/>
              </w:rPr>
            </w:pPr>
            <w:r>
              <w:rPr>
                <w:color w:val="auto"/>
                <w:highlight w:val="none"/>
              </w:rPr>
              <w:t>格</w:t>
            </w:r>
          </w:p>
        </w:tc>
        <w:tc>
          <w:tcPr>
            <w:tcW w:w="868" w:type="dxa"/>
            <w:vAlign w:val="top"/>
          </w:tcPr>
          <w:p w14:paraId="247F4C62">
            <w:pPr>
              <w:spacing w:line="244" w:lineRule="auto"/>
              <w:rPr>
                <w:rFonts w:ascii="Arial"/>
                <w:color w:val="auto"/>
                <w:sz w:val="21"/>
                <w:highlight w:val="none"/>
              </w:rPr>
            </w:pPr>
          </w:p>
          <w:p w14:paraId="4E3B3753">
            <w:pPr>
              <w:pStyle w:val="9"/>
              <w:spacing w:before="65" w:line="228" w:lineRule="auto"/>
              <w:ind w:left="228"/>
              <w:rPr>
                <w:color w:val="auto"/>
                <w:highlight w:val="none"/>
              </w:rPr>
            </w:pPr>
            <w:r>
              <w:rPr>
                <w:color w:val="auto"/>
                <w:spacing w:val="3"/>
                <w:highlight w:val="none"/>
              </w:rPr>
              <w:t>数量</w:t>
            </w:r>
          </w:p>
        </w:tc>
        <w:tc>
          <w:tcPr>
            <w:tcW w:w="863" w:type="dxa"/>
            <w:vAlign w:val="top"/>
          </w:tcPr>
          <w:p w14:paraId="7376FCFA">
            <w:pPr>
              <w:spacing w:line="248" w:lineRule="auto"/>
              <w:rPr>
                <w:rFonts w:ascii="Arial"/>
                <w:color w:val="auto"/>
                <w:sz w:val="21"/>
                <w:highlight w:val="none"/>
              </w:rPr>
            </w:pPr>
          </w:p>
          <w:p w14:paraId="25BD457D">
            <w:pPr>
              <w:pStyle w:val="9"/>
              <w:spacing w:before="65" w:line="228" w:lineRule="auto"/>
              <w:ind w:left="17"/>
              <w:rPr>
                <w:color w:val="auto"/>
                <w:highlight w:val="none"/>
              </w:rPr>
            </w:pPr>
            <w:r>
              <w:rPr>
                <w:color w:val="auto"/>
                <w:spacing w:val="7"/>
                <w:highlight w:val="none"/>
              </w:rPr>
              <w:t>制造年份</w:t>
            </w:r>
          </w:p>
        </w:tc>
        <w:tc>
          <w:tcPr>
            <w:tcW w:w="863" w:type="dxa"/>
            <w:vAlign w:val="top"/>
          </w:tcPr>
          <w:p w14:paraId="00C63E4B">
            <w:pPr>
              <w:pStyle w:val="9"/>
              <w:spacing w:before="183" w:line="253" w:lineRule="auto"/>
              <w:ind w:left="25" w:right="8" w:hanging="10"/>
              <w:rPr>
                <w:color w:val="auto"/>
                <w:highlight w:val="none"/>
              </w:rPr>
            </w:pPr>
            <w:r>
              <w:rPr>
                <w:color w:val="auto"/>
                <w:spacing w:val="8"/>
                <w:highlight w:val="none"/>
              </w:rPr>
              <w:t>额定功率</w:t>
            </w:r>
            <w:r>
              <w:rPr>
                <w:color w:val="auto"/>
                <w:spacing w:val="1"/>
                <w:highlight w:val="none"/>
              </w:rPr>
              <w:t xml:space="preserve"> （</w:t>
            </w:r>
            <w:r>
              <w:rPr>
                <w:color w:val="auto"/>
                <w:highlight w:val="none"/>
              </w:rPr>
              <w:t>KW</w:t>
            </w:r>
            <w:r>
              <w:rPr>
                <w:color w:val="auto"/>
                <w:spacing w:val="1"/>
                <w:highlight w:val="none"/>
              </w:rPr>
              <w:t>）</w:t>
            </w:r>
          </w:p>
        </w:tc>
        <w:tc>
          <w:tcPr>
            <w:tcW w:w="864" w:type="dxa"/>
            <w:vAlign w:val="top"/>
          </w:tcPr>
          <w:p w14:paraId="7749EEC4">
            <w:pPr>
              <w:pStyle w:val="9"/>
              <w:spacing w:before="173" w:line="228" w:lineRule="auto"/>
              <w:ind w:left="39"/>
              <w:rPr>
                <w:color w:val="auto"/>
                <w:highlight w:val="none"/>
              </w:rPr>
            </w:pPr>
            <w:r>
              <w:rPr>
                <w:color w:val="auto"/>
                <w:spacing w:val="2"/>
                <w:highlight w:val="none"/>
              </w:rPr>
              <w:t>国别、产</w:t>
            </w:r>
          </w:p>
          <w:p w14:paraId="22C007C1">
            <w:pPr>
              <w:pStyle w:val="9"/>
              <w:spacing w:before="25" w:line="238" w:lineRule="auto"/>
              <w:ind w:left="333"/>
              <w:rPr>
                <w:color w:val="auto"/>
                <w:highlight w:val="none"/>
              </w:rPr>
            </w:pPr>
            <w:r>
              <w:rPr>
                <w:color w:val="auto"/>
                <w:highlight w:val="none"/>
              </w:rPr>
              <w:t>地</w:t>
            </w:r>
          </w:p>
        </w:tc>
        <w:tc>
          <w:tcPr>
            <w:tcW w:w="863" w:type="dxa"/>
            <w:vAlign w:val="top"/>
          </w:tcPr>
          <w:p w14:paraId="688D53F0">
            <w:pPr>
              <w:spacing w:line="244" w:lineRule="auto"/>
              <w:rPr>
                <w:rFonts w:ascii="Arial"/>
                <w:color w:val="auto"/>
                <w:sz w:val="21"/>
                <w:highlight w:val="none"/>
              </w:rPr>
            </w:pPr>
          </w:p>
          <w:p w14:paraId="3E5AD7B8">
            <w:pPr>
              <w:pStyle w:val="9"/>
              <w:spacing w:before="65" w:line="228" w:lineRule="auto"/>
              <w:ind w:left="20"/>
              <w:rPr>
                <w:color w:val="auto"/>
                <w:highlight w:val="none"/>
              </w:rPr>
            </w:pPr>
            <w:r>
              <w:rPr>
                <w:color w:val="auto"/>
                <w:spacing w:val="6"/>
                <w:highlight w:val="none"/>
              </w:rPr>
              <w:t>生产能力</w:t>
            </w:r>
          </w:p>
        </w:tc>
        <w:tc>
          <w:tcPr>
            <w:tcW w:w="864" w:type="dxa"/>
            <w:vAlign w:val="top"/>
          </w:tcPr>
          <w:p w14:paraId="2A3CF8E1">
            <w:pPr>
              <w:spacing w:line="243" w:lineRule="auto"/>
              <w:rPr>
                <w:rFonts w:ascii="Arial"/>
                <w:color w:val="auto"/>
                <w:sz w:val="21"/>
                <w:highlight w:val="none"/>
              </w:rPr>
            </w:pPr>
          </w:p>
          <w:p w14:paraId="1F7F35F6">
            <w:pPr>
              <w:pStyle w:val="9"/>
              <w:spacing w:before="65" w:line="229" w:lineRule="auto"/>
              <w:ind w:left="20"/>
              <w:rPr>
                <w:color w:val="auto"/>
                <w:highlight w:val="none"/>
              </w:rPr>
            </w:pPr>
            <w:r>
              <w:rPr>
                <w:color w:val="auto"/>
                <w:spacing w:val="7"/>
                <w:highlight w:val="none"/>
              </w:rPr>
              <w:t>进场时间</w:t>
            </w:r>
          </w:p>
        </w:tc>
        <w:tc>
          <w:tcPr>
            <w:tcW w:w="864" w:type="dxa"/>
            <w:vAlign w:val="top"/>
          </w:tcPr>
          <w:p w14:paraId="7D892AA5">
            <w:pPr>
              <w:spacing w:line="243" w:lineRule="auto"/>
              <w:rPr>
                <w:rFonts w:ascii="Arial"/>
                <w:color w:val="auto"/>
                <w:sz w:val="21"/>
                <w:highlight w:val="none"/>
              </w:rPr>
            </w:pPr>
          </w:p>
          <w:p w14:paraId="05D56987">
            <w:pPr>
              <w:pStyle w:val="9"/>
              <w:spacing w:before="65" w:line="229" w:lineRule="auto"/>
              <w:ind w:left="22"/>
              <w:rPr>
                <w:color w:val="auto"/>
                <w:highlight w:val="none"/>
              </w:rPr>
            </w:pPr>
            <w:r>
              <w:rPr>
                <w:color w:val="auto"/>
                <w:spacing w:val="7"/>
                <w:highlight w:val="none"/>
              </w:rPr>
              <w:t>退场时间</w:t>
            </w:r>
          </w:p>
        </w:tc>
        <w:tc>
          <w:tcPr>
            <w:tcW w:w="878" w:type="dxa"/>
            <w:vAlign w:val="top"/>
          </w:tcPr>
          <w:p w14:paraId="1F97B393">
            <w:pPr>
              <w:pStyle w:val="9"/>
              <w:spacing w:before="185" w:line="230" w:lineRule="auto"/>
              <w:ind w:left="26"/>
              <w:rPr>
                <w:color w:val="auto"/>
                <w:highlight w:val="none"/>
              </w:rPr>
            </w:pPr>
            <w:r>
              <w:rPr>
                <w:color w:val="auto"/>
                <w:spacing w:val="6"/>
                <w:highlight w:val="none"/>
              </w:rPr>
              <w:t>用于施工</w:t>
            </w:r>
          </w:p>
          <w:p w14:paraId="3F1B9805">
            <w:pPr>
              <w:pStyle w:val="9"/>
              <w:spacing w:before="8" w:line="228" w:lineRule="auto"/>
              <w:ind w:left="238"/>
              <w:rPr>
                <w:color w:val="auto"/>
                <w:highlight w:val="none"/>
              </w:rPr>
            </w:pPr>
            <w:r>
              <w:rPr>
                <w:color w:val="auto"/>
                <w:spacing w:val="3"/>
                <w:highlight w:val="none"/>
              </w:rPr>
              <w:t>部位</w:t>
            </w:r>
          </w:p>
        </w:tc>
      </w:tr>
      <w:tr w14:paraId="27C5A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32" w:type="dxa"/>
            <w:vAlign w:val="top"/>
          </w:tcPr>
          <w:p w14:paraId="26721F4F">
            <w:pPr>
              <w:rPr>
                <w:rFonts w:ascii="Arial"/>
                <w:color w:val="auto"/>
                <w:sz w:val="21"/>
                <w:highlight w:val="none"/>
              </w:rPr>
            </w:pPr>
          </w:p>
        </w:tc>
        <w:tc>
          <w:tcPr>
            <w:tcW w:w="1132" w:type="dxa"/>
            <w:vAlign w:val="top"/>
          </w:tcPr>
          <w:p w14:paraId="1EC14169">
            <w:pPr>
              <w:rPr>
                <w:rFonts w:ascii="Arial"/>
                <w:color w:val="auto"/>
                <w:sz w:val="21"/>
                <w:highlight w:val="none"/>
              </w:rPr>
            </w:pPr>
          </w:p>
        </w:tc>
        <w:tc>
          <w:tcPr>
            <w:tcW w:w="864" w:type="dxa"/>
            <w:vAlign w:val="top"/>
          </w:tcPr>
          <w:p w14:paraId="4A22BB84">
            <w:pPr>
              <w:rPr>
                <w:rFonts w:ascii="Arial"/>
                <w:color w:val="auto"/>
                <w:sz w:val="21"/>
                <w:highlight w:val="none"/>
              </w:rPr>
            </w:pPr>
          </w:p>
        </w:tc>
        <w:tc>
          <w:tcPr>
            <w:tcW w:w="868" w:type="dxa"/>
            <w:vAlign w:val="top"/>
          </w:tcPr>
          <w:p w14:paraId="3639BA38">
            <w:pPr>
              <w:rPr>
                <w:rFonts w:ascii="Arial"/>
                <w:color w:val="auto"/>
                <w:sz w:val="21"/>
                <w:highlight w:val="none"/>
              </w:rPr>
            </w:pPr>
          </w:p>
        </w:tc>
        <w:tc>
          <w:tcPr>
            <w:tcW w:w="863" w:type="dxa"/>
            <w:vAlign w:val="top"/>
          </w:tcPr>
          <w:p w14:paraId="6D6D7B76">
            <w:pPr>
              <w:rPr>
                <w:rFonts w:ascii="Arial"/>
                <w:color w:val="auto"/>
                <w:sz w:val="21"/>
                <w:highlight w:val="none"/>
              </w:rPr>
            </w:pPr>
          </w:p>
        </w:tc>
        <w:tc>
          <w:tcPr>
            <w:tcW w:w="863" w:type="dxa"/>
            <w:vAlign w:val="top"/>
          </w:tcPr>
          <w:p w14:paraId="50ADF8FD">
            <w:pPr>
              <w:rPr>
                <w:rFonts w:ascii="Arial"/>
                <w:color w:val="auto"/>
                <w:sz w:val="21"/>
                <w:highlight w:val="none"/>
              </w:rPr>
            </w:pPr>
          </w:p>
        </w:tc>
        <w:tc>
          <w:tcPr>
            <w:tcW w:w="864" w:type="dxa"/>
            <w:vAlign w:val="top"/>
          </w:tcPr>
          <w:p w14:paraId="171976EA">
            <w:pPr>
              <w:rPr>
                <w:rFonts w:ascii="Arial"/>
                <w:color w:val="auto"/>
                <w:sz w:val="21"/>
                <w:highlight w:val="none"/>
              </w:rPr>
            </w:pPr>
          </w:p>
        </w:tc>
        <w:tc>
          <w:tcPr>
            <w:tcW w:w="863" w:type="dxa"/>
            <w:vAlign w:val="top"/>
          </w:tcPr>
          <w:p w14:paraId="3221A422">
            <w:pPr>
              <w:rPr>
                <w:rFonts w:ascii="Arial"/>
                <w:color w:val="auto"/>
                <w:sz w:val="21"/>
                <w:highlight w:val="none"/>
              </w:rPr>
            </w:pPr>
          </w:p>
        </w:tc>
        <w:tc>
          <w:tcPr>
            <w:tcW w:w="864" w:type="dxa"/>
            <w:vAlign w:val="top"/>
          </w:tcPr>
          <w:p w14:paraId="4095E510">
            <w:pPr>
              <w:rPr>
                <w:rFonts w:ascii="Arial"/>
                <w:color w:val="auto"/>
                <w:sz w:val="21"/>
                <w:highlight w:val="none"/>
              </w:rPr>
            </w:pPr>
          </w:p>
        </w:tc>
        <w:tc>
          <w:tcPr>
            <w:tcW w:w="864" w:type="dxa"/>
            <w:vAlign w:val="top"/>
          </w:tcPr>
          <w:p w14:paraId="122C2662">
            <w:pPr>
              <w:rPr>
                <w:rFonts w:ascii="Arial"/>
                <w:color w:val="auto"/>
                <w:sz w:val="21"/>
                <w:highlight w:val="none"/>
              </w:rPr>
            </w:pPr>
          </w:p>
        </w:tc>
        <w:tc>
          <w:tcPr>
            <w:tcW w:w="878" w:type="dxa"/>
            <w:vAlign w:val="top"/>
          </w:tcPr>
          <w:p w14:paraId="52E05D58">
            <w:pPr>
              <w:rPr>
                <w:rFonts w:ascii="Arial"/>
                <w:color w:val="auto"/>
                <w:sz w:val="21"/>
                <w:highlight w:val="none"/>
              </w:rPr>
            </w:pPr>
          </w:p>
        </w:tc>
      </w:tr>
      <w:tr w14:paraId="7A206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32" w:type="dxa"/>
            <w:vAlign w:val="top"/>
          </w:tcPr>
          <w:p w14:paraId="47F246E9">
            <w:pPr>
              <w:rPr>
                <w:rFonts w:ascii="Arial"/>
                <w:color w:val="auto"/>
                <w:sz w:val="21"/>
                <w:highlight w:val="none"/>
              </w:rPr>
            </w:pPr>
          </w:p>
        </w:tc>
        <w:tc>
          <w:tcPr>
            <w:tcW w:w="1132" w:type="dxa"/>
            <w:vAlign w:val="top"/>
          </w:tcPr>
          <w:p w14:paraId="696E7B64">
            <w:pPr>
              <w:rPr>
                <w:rFonts w:ascii="Arial"/>
                <w:color w:val="auto"/>
                <w:sz w:val="21"/>
                <w:highlight w:val="none"/>
              </w:rPr>
            </w:pPr>
          </w:p>
        </w:tc>
        <w:tc>
          <w:tcPr>
            <w:tcW w:w="864" w:type="dxa"/>
            <w:vAlign w:val="top"/>
          </w:tcPr>
          <w:p w14:paraId="2459C796">
            <w:pPr>
              <w:rPr>
                <w:rFonts w:ascii="Arial"/>
                <w:color w:val="auto"/>
                <w:sz w:val="21"/>
                <w:highlight w:val="none"/>
              </w:rPr>
            </w:pPr>
          </w:p>
        </w:tc>
        <w:tc>
          <w:tcPr>
            <w:tcW w:w="868" w:type="dxa"/>
            <w:vAlign w:val="top"/>
          </w:tcPr>
          <w:p w14:paraId="40F5D472">
            <w:pPr>
              <w:rPr>
                <w:rFonts w:ascii="Arial"/>
                <w:color w:val="auto"/>
                <w:sz w:val="21"/>
                <w:highlight w:val="none"/>
              </w:rPr>
            </w:pPr>
          </w:p>
        </w:tc>
        <w:tc>
          <w:tcPr>
            <w:tcW w:w="863" w:type="dxa"/>
            <w:vAlign w:val="top"/>
          </w:tcPr>
          <w:p w14:paraId="182070D0">
            <w:pPr>
              <w:rPr>
                <w:rFonts w:ascii="Arial"/>
                <w:color w:val="auto"/>
                <w:sz w:val="21"/>
                <w:highlight w:val="none"/>
              </w:rPr>
            </w:pPr>
          </w:p>
        </w:tc>
        <w:tc>
          <w:tcPr>
            <w:tcW w:w="863" w:type="dxa"/>
            <w:vAlign w:val="top"/>
          </w:tcPr>
          <w:p w14:paraId="7C82EF64">
            <w:pPr>
              <w:rPr>
                <w:rFonts w:ascii="Arial"/>
                <w:color w:val="auto"/>
                <w:sz w:val="21"/>
                <w:highlight w:val="none"/>
              </w:rPr>
            </w:pPr>
          </w:p>
        </w:tc>
        <w:tc>
          <w:tcPr>
            <w:tcW w:w="864" w:type="dxa"/>
            <w:vAlign w:val="top"/>
          </w:tcPr>
          <w:p w14:paraId="744FD65B">
            <w:pPr>
              <w:rPr>
                <w:rFonts w:ascii="Arial"/>
                <w:color w:val="auto"/>
                <w:sz w:val="21"/>
                <w:highlight w:val="none"/>
              </w:rPr>
            </w:pPr>
          </w:p>
        </w:tc>
        <w:tc>
          <w:tcPr>
            <w:tcW w:w="863" w:type="dxa"/>
            <w:vAlign w:val="top"/>
          </w:tcPr>
          <w:p w14:paraId="42E6AEB8">
            <w:pPr>
              <w:rPr>
                <w:rFonts w:ascii="Arial"/>
                <w:color w:val="auto"/>
                <w:sz w:val="21"/>
                <w:highlight w:val="none"/>
              </w:rPr>
            </w:pPr>
          </w:p>
        </w:tc>
        <w:tc>
          <w:tcPr>
            <w:tcW w:w="864" w:type="dxa"/>
            <w:vAlign w:val="top"/>
          </w:tcPr>
          <w:p w14:paraId="667A2EE2">
            <w:pPr>
              <w:rPr>
                <w:rFonts w:ascii="Arial"/>
                <w:color w:val="auto"/>
                <w:sz w:val="21"/>
                <w:highlight w:val="none"/>
              </w:rPr>
            </w:pPr>
          </w:p>
        </w:tc>
        <w:tc>
          <w:tcPr>
            <w:tcW w:w="864" w:type="dxa"/>
            <w:vAlign w:val="top"/>
          </w:tcPr>
          <w:p w14:paraId="4132EA60">
            <w:pPr>
              <w:rPr>
                <w:rFonts w:ascii="Arial"/>
                <w:color w:val="auto"/>
                <w:sz w:val="21"/>
                <w:highlight w:val="none"/>
              </w:rPr>
            </w:pPr>
          </w:p>
        </w:tc>
        <w:tc>
          <w:tcPr>
            <w:tcW w:w="878" w:type="dxa"/>
            <w:vAlign w:val="top"/>
          </w:tcPr>
          <w:p w14:paraId="575A19CA">
            <w:pPr>
              <w:rPr>
                <w:rFonts w:ascii="Arial"/>
                <w:color w:val="auto"/>
                <w:sz w:val="21"/>
                <w:highlight w:val="none"/>
              </w:rPr>
            </w:pPr>
          </w:p>
        </w:tc>
      </w:tr>
      <w:tr w14:paraId="28C78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32" w:type="dxa"/>
            <w:vAlign w:val="top"/>
          </w:tcPr>
          <w:p w14:paraId="30C1FF2F">
            <w:pPr>
              <w:rPr>
                <w:rFonts w:ascii="Arial"/>
                <w:color w:val="auto"/>
                <w:sz w:val="21"/>
                <w:highlight w:val="none"/>
              </w:rPr>
            </w:pPr>
          </w:p>
        </w:tc>
        <w:tc>
          <w:tcPr>
            <w:tcW w:w="1132" w:type="dxa"/>
            <w:vAlign w:val="top"/>
          </w:tcPr>
          <w:p w14:paraId="6FD08FC3">
            <w:pPr>
              <w:rPr>
                <w:rFonts w:ascii="Arial"/>
                <w:color w:val="auto"/>
                <w:sz w:val="21"/>
                <w:highlight w:val="none"/>
              </w:rPr>
            </w:pPr>
          </w:p>
        </w:tc>
        <w:tc>
          <w:tcPr>
            <w:tcW w:w="864" w:type="dxa"/>
            <w:vAlign w:val="top"/>
          </w:tcPr>
          <w:p w14:paraId="6D4EC295">
            <w:pPr>
              <w:rPr>
                <w:rFonts w:ascii="Arial"/>
                <w:color w:val="auto"/>
                <w:sz w:val="21"/>
                <w:highlight w:val="none"/>
              </w:rPr>
            </w:pPr>
          </w:p>
        </w:tc>
        <w:tc>
          <w:tcPr>
            <w:tcW w:w="868" w:type="dxa"/>
            <w:vAlign w:val="top"/>
          </w:tcPr>
          <w:p w14:paraId="7E28CCD3">
            <w:pPr>
              <w:rPr>
                <w:rFonts w:ascii="Arial"/>
                <w:color w:val="auto"/>
                <w:sz w:val="21"/>
                <w:highlight w:val="none"/>
              </w:rPr>
            </w:pPr>
          </w:p>
        </w:tc>
        <w:tc>
          <w:tcPr>
            <w:tcW w:w="863" w:type="dxa"/>
            <w:vAlign w:val="top"/>
          </w:tcPr>
          <w:p w14:paraId="1DB5581F">
            <w:pPr>
              <w:rPr>
                <w:rFonts w:ascii="Arial"/>
                <w:color w:val="auto"/>
                <w:sz w:val="21"/>
                <w:highlight w:val="none"/>
              </w:rPr>
            </w:pPr>
          </w:p>
        </w:tc>
        <w:tc>
          <w:tcPr>
            <w:tcW w:w="863" w:type="dxa"/>
            <w:vAlign w:val="top"/>
          </w:tcPr>
          <w:p w14:paraId="45C91CC1">
            <w:pPr>
              <w:rPr>
                <w:rFonts w:ascii="Arial"/>
                <w:color w:val="auto"/>
                <w:sz w:val="21"/>
                <w:highlight w:val="none"/>
              </w:rPr>
            </w:pPr>
          </w:p>
        </w:tc>
        <w:tc>
          <w:tcPr>
            <w:tcW w:w="864" w:type="dxa"/>
            <w:vAlign w:val="top"/>
          </w:tcPr>
          <w:p w14:paraId="7FEB0FC0">
            <w:pPr>
              <w:rPr>
                <w:rFonts w:ascii="Arial"/>
                <w:color w:val="auto"/>
                <w:sz w:val="21"/>
                <w:highlight w:val="none"/>
              </w:rPr>
            </w:pPr>
          </w:p>
        </w:tc>
        <w:tc>
          <w:tcPr>
            <w:tcW w:w="863" w:type="dxa"/>
            <w:vAlign w:val="top"/>
          </w:tcPr>
          <w:p w14:paraId="1BFA09A0">
            <w:pPr>
              <w:rPr>
                <w:rFonts w:ascii="Arial"/>
                <w:color w:val="auto"/>
                <w:sz w:val="21"/>
                <w:highlight w:val="none"/>
              </w:rPr>
            </w:pPr>
          </w:p>
        </w:tc>
        <w:tc>
          <w:tcPr>
            <w:tcW w:w="864" w:type="dxa"/>
            <w:vAlign w:val="top"/>
          </w:tcPr>
          <w:p w14:paraId="4EDE6152">
            <w:pPr>
              <w:rPr>
                <w:rFonts w:ascii="Arial"/>
                <w:color w:val="auto"/>
                <w:sz w:val="21"/>
                <w:highlight w:val="none"/>
              </w:rPr>
            </w:pPr>
          </w:p>
        </w:tc>
        <w:tc>
          <w:tcPr>
            <w:tcW w:w="864" w:type="dxa"/>
            <w:vAlign w:val="top"/>
          </w:tcPr>
          <w:p w14:paraId="4CAB29FE">
            <w:pPr>
              <w:rPr>
                <w:rFonts w:ascii="Arial"/>
                <w:color w:val="auto"/>
                <w:sz w:val="21"/>
                <w:highlight w:val="none"/>
              </w:rPr>
            </w:pPr>
          </w:p>
        </w:tc>
        <w:tc>
          <w:tcPr>
            <w:tcW w:w="878" w:type="dxa"/>
            <w:vAlign w:val="top"/>
          </w:tcPr>
          <w:p w14:paraId="1ED0E98E">
            <w:pPr>
              <w:rPr>
                <w:rFonts w:ascii="Arial"/>
                <w:color w:val="auto"/>
                <w:sz w:val="21"/>
                <w:highlight w:val="none"/>
              </w:rPr>
            </w:pPr>
          </w:p>
        </w:tc>
      </w:tr>
      <w:tr w14:paraId="43744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432" w:type="dxa"/>
            <w:vAlign w:val="top"/>
          </w:tcPr>
          <w:p w14:paraId="38D29C86">
            <w:pPr>
              <w:rPr>
                <w:rFonts w:ascii="Arial"/>
                <w:color w:val="auto"/>
                <w:sz w:val="21"/>
                <w:highlight w:val="none"/>
              </w:rPr>
            </w:pPr>
          </w:p>
        </w:tc>
        <w:tc>
          <w:tcPr>
            <w:tcW w:w="1132" w:type="dxa"/>
            <w:vAlign w:val="top"/>
          </w:tcPr>
          <w:p w14:paraId="50BDC43B">
            <w:pPr>
              <w:rPr>
                <w:rFonts w:ascii="Arial"/>
                <w:color w:val="auto"/>
                <w:sz w:val="21"/>
                <w:highlight w:val="none"/>
              </w:rPr>
            </w:pPr>
          </w:p>
        </w:tc>
        <w:tc>
          <w:tcPr>
            <w:tcW w:w="864" w:type="dxa"/>
            <w:vAlign w:val="top"/>
          </w:tcPr>
          <w:p w14:paraId="4E2B059B">
            <w:pPr>
              <w:rPr>
                <w:rFonts w:ascii="Arial"/>
                <w:color w:val="auto"/>
                <w:sz w:val="21"/>
                <w:highlight w:val="none"/>
              </w:rPr>
            </w:pPr>
          </w:p>
        </w:tc>
        <w:tc>
          <w:tcPr>
            <w:tcW w:w="868" w:type="dxa"/>
            <w:vAlign w:val="top"/>
          </w:tcPr>
          <w:p w14:paraId="61D2E855">
            <w:pPr>
              <w:rPr>
                <w:rFonts w:ascii="Arial"/>
                <w:color w:val="auto"/>
                <w:sz w:val="21"/>
                <w:highlight w:val="none"/>
              </w:rPr>
            </w:pPr>
          </w:p>
        </w:tc>
        <w:tc>
          <w:tcPr>
            <w:tcW w:w="863" w:type="dxa"/>
            <w:vAlign w:val="top"/>
          </w:tcPr>
          <w:p w14:paraId="4AE9D131">
            <w:pPr>
              <w:rPr>
                <w:rFonts w:ascii="Arial"/>
                <w:color w:val="auto"/>
                <w:sz w:val="21"/>
                <w:highlight w:val="none"/>
              </w:rPr>
            </w:pPr>
          </w:p>
        </w:tc>
        <w:tc>
          <w:tcPr>
            <w:tcW w:w="863" w:type="dxa"/>
            <w:vAlign w:val="top"/>
          </w:tcPr>
          <w:p w14:paraId="4DAC5A92">
            <w:pPr>
              <w:rPr>
                <w:rFonts w:ascii="Arial"/>
                <w:color w:val="auto"/>
                <w:sz w:val="21"/>
                <w:highlight w:val="none"/>
              </w:rPr>
            </w:pPr>
          </w:p>
        </w:tc>
        <w:tc>
          <w:tcPr>
            <w:tcW w:w="864" w:type="dxa"/>
            <w:vAlign w:val="top"/>
          </w:tcPr>
          <w:p w14:paraId="0ED4E36D">
            <w:pPr>
              <w:rPr>
                <w:rFonts w:ascii="Arial"/>
                <w:color w:val="auto"/>
                <w:sz w:val="21"/>
                <w:highlight w:val="none"/>
              </w:rPr>
            </w:pPr>
          </w:p>
        </w:tc>
        <w:tc>
          <w:tcPr>
            <w:tcW w:w="863" w:type="dxa"/>
            <w:vAlign w:val="top"/>
          </w:tcPr>
          <w:p w14:paraId="54B1F0ED">
            <w:pPr>
              <w:rPr>
                <w:rFonts w:ascii="Arial"/>
                <w:color w:val="auto"/>
                <w:sz w:val="21"/>
                <w:highlight w:val="none"/>
              </w:rPr>
            </w:pPr>
          </w:p>
        </w:tc>
        <w:tc>
          <w:tcPr>
            <w:tcW w:w="864" w:type="dxa"/>
            <w:vAlign w:val="top"/>
          </w:tcPr>
          <w:p w14:paraId="089E9481">
            <w:pPr>
              <w:rPr>
                <w:rFonts w:ascii="Arial"/>
                <w:color w:val="auto"/>
                <w:sz w:val="21"/>
                <w:highlight w:val="none"/>
              </w:rPr>
            </w:pPr>
          </w:p>
        </w:tc>
        <w:tc>
          <w:tcPr>
            <w:tcW w:w="864" w:type="dxa"/>
            <w:vAlign w:val="top"/>
          </w:tcPr>
          <w:p w14:paraId="2D39CD9F">
            <w:pPr>
              <w:rPr>
                <w:rFonts w:ascii="Arial"/>
                <w:color w:val="auto"/>
                <w:sz w:val="21"/>
                <w:highlight w:val="none"/>
              </w:rPr>
            </w:pPr>
          </w:p>
        </w:tc>
        <w:tc>
          <w:tcPr>
            <w:tcW w:w="878" w:type="dxa"/>
            <w:vAlign w:val="top"/>
          </w:tcPr>
          <w:p w14:paraId="22516B76">
            <w:pPr>
              <w:rPr>
                <w:rFonts w:ascii="Arial"/>
                <w:color w:val="auto"/>
                <w:sz w:val="21"/>
                <w:highlight w:val="none"/>
              </w:rPr>
            </w:pPr>
          </w:p>
        </w:tc>
      </w:tr>
      <w:tr w14:paraId="5238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432" w:type="dxa"/>
            <w:vAlign w:val="top"/>
          </w:tcPr>
          <w:p w14:paraId="47E9FF21">
            <w:pPr>
              <w:rPr>
                <w:rFonts w:ascii="Arial"/>
                <w:color w:val="auto"/>
                <w:sz w:val="21"/>
                <w:highlight w:val="none"/>
              </w:rPr>
            </w:pPr>
          </w:p>
        </w:tc>
        <w:tc>
          <w:tcPr>
            <w:tcW w:w="1132" w:type="dxa"/>
            <w:vAlign w:val="top"/>
          </w:tcPr>
          <w:p w14:paraId="2746FB02">
            <w:pPr>
              <w:rPr>
                <w:rFonts w:ascii="Arial"/>
                <w:color w:val="auto"/>
                <w:sz w:val="21"/>
                <w:highlight w:val="none"/>
              </w:rPr>
            </w:pPr>
          </w:p>
        </w:tc>
        <w:tc>
          <w:tcPr>
            <w:tcW w:w="864" w:type="dxa"/>
            <w:vAlign w:val="top"/>
          </w:tcPr>
          <w:p w14:paraId="6C839DF3">
            <w:pPr>
              <w:rPr>
                <w:rFonts w:ascii="Arial"/>
                <w:color w:val="auto"/>
                <w:sz w:val="21"/>
                <w:highlight w:val="none"/>
              </w:rPr>
            </w:pPr>
          </w:p>
        </w:tc>
        <w:tc>
          <w:tcPr>
            <w:tcW w:w="868" w:type="dxa"/>
            <w:vAlign w:val="top"/>
          </w:tcPr>
          <w:p w14:paraId="25B05A8C">
            <w:pPr>
              <w:rPr>
                <w:rFonts w:ascii="Arial"/>
                <w:color w:val="auto"/>
                <w:sz w:val="21"/>
                <w:highlight w:val="none"/>
              </w:rPr>
            </w:pPr>
          </w:p>
        </w:tc>
        <w:tc>
          <w:tcPr>
            <w:tcW w:w="863" w:type="dxa"/>
            <w:vAlign w:val="top"/>
          </w:tcPr>
          <w:p w14:paraId="4CBCC598">
            <w:pPr>
              <w:rPr>
                <w:rFonts w:ascii="Arial"/>
                <w:color w:val="auto"/>
                <w:sz w:val="21"/>
                <w:highlight w:val="none"/>
              </w:rPr>
            </w:pPr>
          </w:p>
        </w:tc>
        <w:tc>
          <w:tcPr>
            <w:tcW w:w="863" w:type="dxa"/>
            <w:vAlign w:val="top"/>
          </w:tcPr>
          <w:p w14:paraId="1E5924C3">
            <w:pPr>
              <w:rPr>
                <w:rFonts w:ascii="Arial"/>
                <w:color w:val="auto"/>
                <w:sz w:val="21"/>
                <w:highlight w:val="none"/>
              </w:rPr>
            </w:pPr>
          </w:p>
        </w:tc>
        <w:tc>
          <w:tcPr>
            <w:tcW w:w="864" w:type="dxa"/>
            <w:vAlign w:val="top"/>
          </w:tcPr>
          <w:p w14:paraId="6271BA76">
            <w:pPr>
              <w:rPr>
                <w:rFonts w:ascii="Arial"/>
                <w:color w:val="auto"/>
                <w:sz w:val="21"/>
                <w:highlight w:val="none"/>
              </w:rPr>
            </w:pPr>
          </w:p>
        </w:tc>
        <w:tc>
          <w:tcPr>
            <w:tcW w:w="863" w:type="dxa"/>
            <w:vAlign w:val="top"/>
          </w:tcPr>
          <w:p w14:paraId="40DC28E7">
            <w:pPr>
              <w:rPr>
                <w:rFonts w:ascii="Arial"/>
                <w:color w:val="auto"/>
                <w:sz w:val="21"/>
                <w:highlight w:val="none"/>
              </w:rPr>
            </w:pPr>
          </w:p>
        </w:tc>
        <w:tc>
          <w:tcPr>
            <w:tcW w:w="864" w:type="dxa"/>
            <w:vAlign w:val="top"/>
          </w:tcPr>
          <w:p w14:paraId="2B5A6453">
            <w:pPr>
              <w:rPr>
                <w:rFonts w:ascii="Arial"/>
                <w:color w:val="auto"/>
                <w:sz w:val="21"/>
                <w:highlight w:val="none"/>
              </w:rPr>
            </w:pPr>
          </w:p>
        </w:tc>
        <w:tc>
          <w:tcPr>
            <w:tcW w:w="864" w:type="dxa"/>
            <w:vAlign w:val="top"/>
          </w:tcPr>
          <w:p w14:paraId="1B569064">
            <w:pPr>
              <w:rPr>
                <w:rFonts w:ascii="Arial"/>
                <w:color w:val="auto"/>
                <w:sz w:val="21"/>
                <w:highlight w:val="none"/>
              </w:rPr>
            </w:pPr>
          </w:p>
        </w:tc>
        <w:tc>
          <w:tcPr>
            <w:tcW w:w="878" w:type="dxa"/>
            <w:vAlign w:val="top"/>
          </w:tcPr>
          <w:p w14:paraId="5F2CD5F2">
            <w:pPr>
              <w:rPr>
                <w:rFonts w:ascii="Arial"/>
                <w:color w:val="auto"/>
                <w:sz w:val="21"/>
                <w:highlight w:val="none"/>
              </w:rPr>
            </w:pPr>
          </w:p>
        </w:tc>
      </w:tr>
    </w:tbl>
    <w:p w14:paraId="3A5B6774">
      <w:pPr>
        <w:spacing w:before="222" w:line="228" w:lineRule="auto"/>
        <w:ind w:left="18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备注：表中内容须按要求填写，并不得留空，否则按无效响应处</w:t>
      </w:r>
      <w:r>
        <w:rPr>
          <w:rFonts w:ascii="宋体" w:hAnsi="宋体" w:eastAsia="宋体" w:cs="宋体"/>
          <w:b/>
          <w:bCs/>
          <w:color w:val="auto"/>
          <w:spacing w:val="7"/>
          <w:sz w:val="20"/>
          <w:szCs w:val="20"/>
          <w:highlight w:val="none"/>
        </w:rPr>
        <w:t>理。</w:t>
      </w:r>
    </w:p>
    <w:p w14:paraId="422B7249">
      <w:pPr>
        <w:pStyle w:val="2"/>
        <w:spacing w:line="319" w:lineRule="auto"/>
        <w:rPr>
          <w:color w:val="auto"/>
          <w:highlight w:val="none"/>
        </w:rPr>
      </w:pPr>
    </w:p>
    <w:p w14:paraId="62B20507">
      <w:pPr>
        <w:pStyle w:val="2"/>
        <w:spacing w:line="319" w:lineRule="auto"/>
        <w:rPr>
          <w:color w:val="auto"/>
          <w:highlight w:val="none"/>
        </w:rPr>
      </w:pPr>
    </w:p>
    <w:p w14:paraId="0153F965">
      <w:pPr>
        <w:spacing w:before="78" w:line="219" w:lineRule="auto"/>
        <w:ind w:left="427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0AC65F0E">
      <w:pPr>
        <w:spacing w:before="180" w:line="220" w:lineRule="auto"/>
        <w:ind w:left="6521"/>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8"/>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25"/>
          <w:sz w:val="24"/>
          <w:szCs w:val="24"/>
          <w:highlight w:val="none"/>
        </w:rPr>
        <w:t xml:space="preserve">  </w:t>
      </w:r>
      <w:r>
        <w:rPr>
          <w:rFonts w:ascii="宋体" w:hAnsi="宋体" w:eastAsia="宋体" w:cs="宋体"/>
          <w:color w:val="auto"/>
          <w:spacing w:val="-13"/>
          <w:sz w:val="24"/>
          <w:szCs w:val="24"/>
          <w:highlight w:val="none"/>
        </w:rPr>
        <w:t>日</w:t>
      </w:r>
    </w:p>
    <w:p w14:paraId="5D6E07E4">
      <w:pPr>
        <w:spacing w:before="177" w:line="228" w:lineRule="auto"/>
        <w:ind w:left="194"/>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附件二：拟投入本合同工程的试验和检测仪器设备表</w:t>
      </w:r>
    </w:p>
    <w:p w14:paraId="2B8B60EC">
      <w:pPr>
        <w:spacing w:before="298" w:line="228" w:lineRule="auto"/>
        <w:ind w:left="2684"/>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拟投入本合同工程的试验和检测仪器设备表</w:t>
      </w:r>
    </w:p>
    <w:p w14:paraId="29D481EF">
      <w:pPr>
        <w:spacing w:before="25"/>
        <w:rPr>
          <w:color w:val="auto"/>
          <w:highlight w:val="none"/>
        </w:rPr>
      </w:pPr>
    </w:p>
    <w:tbl>
      <w:tblPr>
        <w:tblStyle w:val="8"/>
        <w:tblW w:w="8595" w:type="dxa"/>
        <w:tblInd w:w="38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0"/>
        <w:gridCol w:w="1655"/>
        <w:gridCol w:w="906"/>
        <w:gridCol w:w="907"/>
        <w:gridCol w:w="906"/>
        <w:gridCol w:w="911"/>
        <w:gridCol w:w="902"/>
        <w:gridCol w:w="907"/>
        <w:gridCol w:w="921"/>
      </w:tblGrid>
      <w:tr w14:paraId="618D7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580" w:type="dxa"/>
            <w:vAlign w:val="top"/>
          </w:tcPr>
          <w:p w14:paraId="024CE9B3">
            <w:pPr>
              <w:spacing w:line="257" w:lineRule="auto"/>
              <w:rPr>
                <w:rFonts w:ascii="Arial"/>
                <w:color w:val="auto"/>
                <w:sz w:val="21"/>
                <w:highlight w:val="none"/>
              </w:rPr>
            </w:pPr>
          </w:p>
          <w:p w14:paraId="5829A452">
            <w:pPr>
              <w:pStyle w:val="9"/>
              <w:spacing w:before="65" w:line="230" w:lineRule="auto"/>
              <w:ind w:left="85"/>
              <w:rPr>
                <w:color w:val="auto"/>
                <w:highlight w:val="none"/>
              </w:rPr>
            </w:pPr>
            <w:r>
              <w:rPr>
                <w:color w:val="auto"/>
                <w:spacing w:val="5"/>
                <w:highlight w:val="none"/>
              </w:rPr>
              <w:t>序号</w:t>
            </w:r>
          </w:p>
        </w:tc>
        <w:tc>
          <w:tcPr>
            <w:tcW w:w="1655" w:type="dxa"/>
            <w:vAlign w:val="top"/>
          </w:tcPr>
          <w:p w14:paraId="2F56F079">
            <w:pPr>
              <w:spacing w:line="258" w:lineRule="auto"/>
              <w:rPr>
                <w:rFonts w:ascii="Arial"/>
                <w:color w:val="auto"/>
                <w:sz w:val="21"/>
                <w:highlight w:val="none"/>
              </w:rPr>
            </w:pPr>
          </w:p>
          <w:p w14:paraId="0B0D9099">
            <w:pPr>
              <w:pStyle w:val="9"/>
              <w:spacing w:before="65" w:line="228" w:lineRule="auto"/>
              <w:ind w:left="203"/>
              <w:rPr>
                <w:color w:val="auto"/>
                <w:highlight w:val="none"/>
              </w:rPr>
            </w:pPr>
            <w:r>
              <w:rPr>
                <w:color w:val="auto"/>
                <w:spacing w:val="8"/>
                <w:highlight w:val="none"/>
              </w:rPr>
              <w:t>仪器设备名称</w:t>
            </w:r>
          </w:p>
        </w:tc>
        <w:tc>
          <w:tcPr>
            <w:tcW w:w="906" w:type="dxa"/>
            <w:vAlign w:val="top"/>
          </w:tcPr>
          <w:p w14:paraId="15B5E5F9">
            <w:pPr>
              <w:pStyle w:val="9"/>
              <w:spacing w:before="187" w:line="230" w:lineRule="auto"/>
              <w:ind w:left="44"/>
              <w:rPr>
                <w:color w:val="auto"/>
                <w:highlight w:val="none"/>
              </w:rPr>
            </w:pPr>
            <w:r>
              <w:rPr>
                <w:color w:val="auto"/>
                <w:spacing w:val="6"/>
                <w:highlight w:val="none"/>
              </w:rPr>
              <w:t>型号、规</w:t>
            </w:r>
          </w:p>
          <w:p w14:paraId="2624AFAF">
            <w:pPr>
              <w:pStyle w:val="9"/>
              <w:spacing w:before="25" w:line="228" w:lineRule="auto"/>
              <w:ind w:left="352"/>
              <w:rPr>
                <w:color w:val="auto"/>
                <w:highlight w:val="none"/>
              </w:rPr>
            </w:pPr>
            <w:r>
              <w:rPr>
                <w:color w:val="auto"/>
                <w:highlight w:val="none"/>
              </w:rPr>
              <w:t>格</w:t>
            </w:r>
          </w:p>
        </w:tc>
        <w:tc>
          <w:tcPr>
            <w:tcW w:w="907" w:type="dxa"/>
            <w:vAlign w:val="top"/>
          </w:tcPr>
          <w:p w14:paraId="1570A0D1">
            <w:pPr>
              <w:spacing w:line="258" w:lineRule="auto"/>
              <w:rPr>
                <w:rFonts w:ascii="Arial"/>
                <w:color w:val="auto"/>
                <w:sz w:val="21"/>
                <w:highlight w:val="none"/>
              </w:rPr>
            </w:pPr>
          </w:p>
          <w:p w14:paraId="57436D72">
            <w:pPr>
              <w:pStyle w:val="9"/>
              <w:spacing w:before="65" w:line="228" w:lineRule="auto"/>
              <w:ind w:left="249"/>
              <w:rPr>
                <w:color w:val="auto"/>
                <w:highlight w:val="none"/>
              </w:rPr>
            </w:pPr>
            <w:r>
              <w:rPr>
                <w:color w:val="auto"/>
                <w:spacing w:val="3"/>
                <w:highlight w:val="none"/>
              </w:rPr>
              <w:t>数量</w:t>
            </w:r>
          </w:p>
        </w:tc>
        <w:tc>
          <w:tcPr>
            <w:tcW w:w="906" w:type="dxa"/>
            <w:vAlign w:val="top"/>
          </w:tcPr>
          <w:p w14:paraId="52C2979C">
            <w:pPr>
              <w:pStyle w:val="9"/>
              <w:spacing w:before="188" w:line="228" w:lineRule="auto"/>
              <w:ind w:left="59"/>
              <w:rPr>
                <w:color w:val="auto"/>
                <w:highlight w:val="none"/>
              </w:rPr>
            </w:pPr>
            <w:r>
              <w:rPr>
                <w:color w:val="auto"/>
                <w:spacing w:val="2"/>
                <w:highlight w:val="none"/>
              </w:rPr>
              <w:t>国别、产</w:t>
            </w:r>
          </w:p>
          <w:p w14:paraId="4BFA8865">
            <w:pPr>
              <w:pStyle w:val="9"/>
              <w:spacing w:before="25" w:line="238" w:lineRule="auto"/>
              <w:ind w:left="353"/>
              <w:rPr>
                <w:color w:val="auto"/>
                <w:highlight w:val="none"/>
              </w:rPr>
            </w:pPr>
            <w:r>
              <w:rPr>
                <w:color w:val="auto"/>
                <w:highlight w:val="none"/>
              </w:rPr>
              <w:t>地</w:t>
            </w:r>
          </w:p>
        </w:tc>
        <w:tc>
          <w:tcPr>
            <w:tcW w:w="911" w:type="dxa"/>
            <w:vAlign w:val="top"/>
          </w:tcPr>
          <w:p w14:paraId="0FED83AA">
            <w:pPr>
              <w:spacing w:line="258" w:lineRule="auto"/>
              <w:rPr>
                <w:rFonts w:ascii="Arial"/>
                <w:color w:val="auto"/>
                <w:sz w:val="21"/>
                <w:highlight w:val="none"/>
              </w:rPr>
            </w:pPr>
          </w:p>
          <w:p w14:paraId="5AA27D77">
            <w:pPr>
              <w:pStyle w:val="9"/>
              <w:spacing w:before="65" w:line="228" w:lineRule="auto"/>
              <w:ind w:left="43"/>
              <w:rPr>
                <w:color w:val="auto"/>
                <w:highlight w:val="none"/>
              </w:rPr>
            </w:pPr>
            <w:r>
              <w:rPr>
                <w:color w:val="auto"/>
                <w:spacing w:val="7"/>
                <w:highlight w:val="none"/>
              </w:rPr>
              <w:t>制造年份</w:t>
            </w:r>
          </w:p>
        </w:tc>
        <w:tc>
          <w:tcPr>
            <w:tcW w:w="902" w:type="dxa"/>
            <w:vAlign w:val="top"/>
          </w:tcPr>
          <w:p w14:paraId="1DDC441D">
            <w:pPr>
              <w:pStyle w:val="9"/>
              <w:spacing w:before="197" w:line="245" w:lineRule="auto"/>
              <w:ind w:left="257" w:right="28" w:hanging="197"/>
              <w:rPr>
                <w:color w:val="auto"/>
                <w:highlight w:val="none"/>
              </w:rPr>
            </w:pPr>
            <w:r>
              <w:rPr>
                <w:color w:val="auto"/>
                <w:spacing w:val="2"/>
                <w:highlight w:val="none"/>
              </w:rPr>
              <w:t>己使用台</w:t>
            </w:r>
            <w:r>
              <w:rPr>
                <w:color w:val="auto"/>
                <w:highlight w:val="none"/>
              </w:rPr>
              <w:t xml:space="preserve"> </w:t>
            </w:r>
            <w:r>
              <w:rPr>
                <w:color w:val="auto"/>
                <w:spacing w:val="-1"/>
                <w:highlight w:val="none"/>
              </w:rPr>
              <w:t>时数</w:t>
            </w:r>
          </w:p>
        </w:tc>
        <w:tc>
          <w:tcPr>
            <w:tcW w:w="907" w:type="dxa"/>
            <w:vAlign w:val="top"/>
          </w:tcPr>
          <w:p w14:paraId="244D84B5">
            <w:pPr>
              <w:spacing w:line="257" w:lineRule="auto"/>
              <w:rPr>
                <w:rFonts w:ascii="Arial"/>
                <w:color w:val="auto"/>
                <w:sz w:val="21"/>
                <w:highlight w:val="none"/>
              </w:rPr>
            </w:pPr>
          </w:p>
          <w:p w14:paraId="59B00443">
            <w:pPr>
              <w:pStyle w:val="9"/>
              <w:spacing w:before="65" w:line="230" w:lineRule="auto"/>
              <w:ind w:left="252"/>
              <w:rPr>
                <w:color w:val="auto"/>
                <w:highlight w:val="none"/>
              </w:rPr>
            </w:pPr>
            <w:r>
              <w:rPr>
                <w:color w:val="auto"/>
                <w:spacing w:val="3"/>
                <w:highlight w:val="none"/>
              </w:rPr>
              <w:t>用途</w:t>
            </w:r>
          </w:p>
        </w:tc>
        <w:tc>
          <w:tcPr>
            <w:tcW w:w="921" w:type="dxa"/>
            <w:vAlign w:val="top"/>
          </w:tcPr>
          <w:p w14:paraId="557C9A99">
            <w:pPr>
              <w:spacing w:line="257" w:lineRule="auto"/>
              <w:rPr>
                <w:rFonts w:ascii="Arial"/>
                <w:color w:val="auto"/>
                <w:sz w:val="21"/>
                <w:highlight w:val="none"/>
              </w:rPr>
            </w:pPr>
          </w:p>
          <w:p w14:paraId="7DD77889">
            <w:pPr>
              <w:pStyle w:val="9"/>
              <w:spacing w:before="65" w:line="230" w:lineRule="auto"/>
              <w:ind w:left="258"/>
              <w:rPr>
                <w:color w:val="auto"/>
                <w:highlight w:val="none"/>
              </w:rPr>
            </w:pPr>
            <w:r>
              <w:rPr>
                <w:color w:val="auto"/>
                <w:spacing w:val="3"/>
                <w:highlight w:val="none"/>
              </w:rPr>
              <w:t>备注</w:t>
            </w:r>
          </w:p>
        </w:tc>
      </w:tr>
      <w:tr w14:paraId="6A31D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80" w:type="dxa"/>
            <w:vAlign w:val="top"/>
          </w:tcPr>
          <w:p w14:paraId="16631044">
            <w:pPr>
              <w:rPr>
                <w:rFonts w:ascii="Arial"/>
                <w:color w:val="auto"/>
                <w:sz w:val="21"/>
                <w:highlight w:val="none"/>
              </w:rPr>
            </w:pPr>
          </w:p>
        </w:tc>
        <w:tc>
          <w:tcPr>
            <w:tcW w:w="1655" w:type="dxa"/>
            <w:vAlign w:val="top"/>
          </w:tcPr>
          <w:p w14:paraId="0886D66A">
            <w:pPr>
              <w:rPr>
                <w:rFonts w:ascii="Arial"/>
                <w:color w:val="auto"/>
                <w:sz w:val="21"/>
                <w:highlight w:val="none"/>
              </w:rPr>
            </w:pPr>
          </w:p>
        </w:tc>
        <w:tc>
          <w:tcPr>
            <w:tcW w:w="906" w:type="dxa"/>
            <w:vAlign w:val="top"/>
          </w:tcPr>
          <w:p w14:paraId="50A5CF9E">
            <w:pPr>
              <w:rPr>
                <w:rFonts w:ascii="Arial"/>
                <w:color w:val="auto"/>
                <w:sz w:val="21"/>
                <w:highlight w:val="none"/>
              </w:rPr>
            </w:pPr>
          </w:p>
        </w:tc>
        <w:tc>
          <w:tcPr>
            <w:tcW w:w="907" w:type="dxa"/>
            <w:vAlign w:val="top"/>
          </w:tcPr>
          <w:p w14:paraId="43C6C954">
            <w:pPr>
              <w:rPr>
                <w:rFonts w:ascii="Arial"/>
                <w:color w:val="auto"/>
                <w:sz w:val="21"/>
                <w:highlight w:val="none"/>
              </w:rPr>
            </w:pPr>
          </w:p>
        </w:tc>
        <w:tc>
          <w:tcPr>
            <w:tcW w:w="906" w:type="dxa"/>
            <w:vAlign w:val="top"/>
          </w:tcPr>
          <w:p w14:paraId="5E6F8837">
            <w:pPr>
              <w:rPr>
                <w:rFonts w:ascii="Arial"/>
                <w:color w:val="auto"/>
                <w:sz w:val="21"/>
                <w:highlight w:val="none"/>
              </w:rPr>
            </w:pPr>
          </w:p>
        </w:tc>
        <w:tc>
          <w:tcPr>
            <w:tcW w:w="911" w:type="dxa"/>
            <w:vAlign w:val="top"/>
          </w:tcPr>
          <w:p w14:paraId="33F80FDA">
            <w:pPr>
              <w:rPr>
                <w:rFonts w:ascii="Arial"/>
                <w:color w:val="auto"/>
                <w:sz w:val="21"/>
                <w:highlight w:val="none"/>
              </w:rPr>
            </w:pPr>
          </w:p>
        </w:tc>
        <w:tc>
          <w:tcPr>
            <w:tcW w:w="902" w:type="dxa"/>
            <w:vAlign w:val="top"/>
          </w:tcPr>
          <w:p w14:paraId="6899732D">
            <w:pPr>
              <w:rPr>
                <w:rFonts w:ascii="Arial"/>
                <w:color w:val="auto"/>
                <w:sz w:val="21"/>
                <w:highlight w:val="none"/>
              </w:rPr>
            </w:pPr>
          </w:p>
        </w:tc>
        <w:tc>
          <w:tcPr>
            <w:tcW w:w="907" w:type="dxa"/>
            <w:vAlign w:val="top"/>
          </w:tcPr>
          <w:p w14:paraId="7289B0D8">
            <w:pPr>
              <w:rPr>
                <w:rFonts w:ascii="Arial"/>
                <w:color w:val="auto"/>
                <w:sz w:val="21"/>
                <w:highlight w:val="none"/>
              </w:rPr>
            </w:pPr>
          </w:p>
        </w:tc>
        <w:tc>
          <w:tcPr>
            <w:tcW w:w="921" w:type="dxa"/>
            <w:vAlign w:val="top"/>
          </w:tcPr>
          <w:p w14:paraId="78381637">
            <w:pPr>
              <w:rPr>
                <w:rFonts w:ascii="Arial"/>
                <w:color w:val="auto"/>
                <w:sz w:val="21"/>
                <w:highlight w:val="none"/>
              </w:rPr>
            </w:pPr>
          </w:p>
        </w:tc>
      </w:tr>
      <w:tr w14:paraId="3EE4D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80" w:type="dxa"/>
            <w:vAlign w:val="top"/>
          </w:tcPr>
          <w:p w14:paraId="62460EE1">
            <w:pPr>
              <w:rPr>
                <w:rFonts w:ascii="Arial"/>
                <w:color w:val="auto"/>
                <w:sz w:val="21"/>
                <w:highlight w:val="none"/>
              </w:rPr>
            </w:pPr>
          </w:p>
        </w:tc>
        <w:tc>
          <w:tcPr>
            <w:tcW w:w="1655" w:type="dxa"/>
            <w:vAlign w:val="top"/>
          </w:tcPr>
          <w:p w14:paraId="676B41FD">
            <w:pPr>
              <w:rPr>
                <w:rFonts w:ascii="Arial"/>
                <w:color w:val="auto"/>
                <w:sz w:val="21"/>
                <w:highlight w:val="none"/>
              </w:rPr>
            </w:pPr>
          </w:p>
        </w:tc>
        <w:tc>
          <w:tcPr>
            <w:tcW w:w="906" w:type="dxa"/>
            <w:vAlign w:val="top"/>
          </w:tcPr>
          <w:p w14:paraId="2BEB9982">
            <w:pPr>
              <w:rPr>
                <w:rFonts w:ascii="Arial"/>
                <w:color w:val="auto"/>
                <w:sz w:val="21"/>
                <w:highlight w:val="none"/>
              </w:rPr>
            </w:pPr>
          </w:p>
        </w:tc>
        <w:tc>
          <w:tcPr>
            <w:tcW w:w="907" w:type="dxa"/>
            <w:vAlign w:val="top"/>
          </w:tcPr>
          <w:p w14:paraId="474EC1D1">
            <w:pPr>
              <w:rPr>
                <w:rFonts w:ascii="Arial"/>
                <w:color w:val="auto"/>
                <w:sz w:val="21"/>
                <w:highlight w:val="none"/>
              </w:rPr>
            </w:pPr>
          </w:p>
        </w:tc>
        <w:tc>
          <w:tcPr>
            <w:tcW w:w="906" w:type="dxa"/>
            <w:vAlign w:val="top"/>
          </w:tcPr>
          <w:p w14:paraId="5114DF99">
            <w:pPr>
              <w:rPr>
                <w:rFonts w:ascii="Arial"/>
                <w:color w:val="auto"/>
                <w:sz w:val="21"/>
                <w:highlight w:val="none"/>
              </w:rPr>
            </w:pPr>
          </w:p>
        </w:tc>
        <w:tc>
          <w:tcPr>
            <w:tcW w:w="911" w:type="dxa"/>
            <w:vAlign w:val="top"/>
          </w:tcPr>
          <w:p w14:paraId="36C4AC8F">
            <w:pPr>
              <w:rPr>
                <w:rFonts w:ascii="Arial"/>
                <w:color w:val="auto"/>
                <w:sz w:val="21"/>
                <w:highlight w:val="none"/>
              </w:rPr>
            </w:pPr>
          </w:p>
        </w:tc>
        <w:tc>
          <w:tcPr>
            <w:tcW w:w="902" w:type="dxa"/>
            <w:vAlign w:val="top"/>
          </w:tcPr>
          <w:p w14:paraId="5107FAA4">
            <w:pPr>
              <w:rPr>
                <w:rFonts w:ascii="Arial"/>
                <w:color w:val="auto"/>
                <w:sz w:val="21"/>
                <w:highlight w:val="none"/>
              </w:rPr>
            </w:pPr>
          </w:p>
        </w:tc>
        <w:tc>
          <w:tcPr>
            <w:tcW w:w="907" w:type="dxa"/>
            <w:vAlign w:val="top"/>
          </w:tcPr>
          <w:p w14:paraId="0ED8677F">
            <w:pPr>
              <w:rPr>
                <w:rFonts w:ascii="Arial"/>
                <w:color w:val="auto"/>
                <w:sz w:val="21"/>
                <w:highlight w:val="none"/>
              </w:rPr>
            </w:pPr>
          </w:p>
        </w:tc>
        <w:tc>
          <w:tcPr>
            <w:tcW w:w="921" w:type="dxa"/>
            <w:vAlign w:val="top"/>
          </w:tcPr>
          <w:p w14:paraId="19C8B28E">
            <w:pPr>
              <w:rPr>
                <w:rFonts w:ascii="Arial"/>
                <w:color w:val="auto"/>
                <w:sz w:val="21"/>
                <w:highlight w:val="none"/>
              </w:rPr>
            </w:pPr>
          </w:p>
        </w:tc>
      </w:tr>
      <w:tr w14:paraId="2E143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80" w:type="dxa"/>
            <w:vAlign w:val="top"/>
          </w:tcPr>
          <w:p w14:paraId="0A63DC75">
            <w:pPr>
              <w:rPr>
                <w:rFonts w:ascii="Arial"/>
                <w:color w:val="auto"/>
                <w:sz w:val="21"/>
                <w:highlight w:val="none"/>
              </w:rPr>
            </w:pPr>
          </w:p>
        </w:tc>
        <w:tc>
          <w:tcPr>
            <w:tcW w:w="1655" w:type="dxa"/>
            <w:vAlign w:val="top"/>
          </w:tcPr>
          <w:p w14:paraId="0F5C3721">
            <w:pPr>
              <w:rPr>
                <w:rFonts w:ascii="Arial"/>
                <w:color w:val="auto"/>
                <w:sz w:val="21"/>
                <w:highlight w:val="none"/>
              </w:rPr>
            </w:pPr>
          </w:p>
        </w:tc>
        <w:tc>
          <w:tcPr>
            <w:tcW w:w="906" w:type="dxa"/>
            <w:vAlign w:val="top"/>
          </w:tcPr>
          <w:p w14:paraId="60504862">
            <w:pPr>
              <w:rPr>
                <w:rFonts w:ascii="Arial"/>
                <w:color w:val="auto"/>
                <w:sz w:val="21"/>
                <w:highlight w:val="none"/>
              </w:rPr>
            </w:pPr>
          </w:p>
        </w:tc>
        <w:tc>
          <w:tcPr>
            <w:tcW w:w="907" w:type="dxa"/>
            <w:vAlign w:val="top"/>
          </w:tcPr>
          <w:p w14:paraId="6ABE4F59">
            <w:pPr>
              <w:rPr>
                <w:rFonts w:ascii="Arial"/>
                <w:color w:val="auto"/>
                <w:sz w:val="21"/>
                <w:highlight w:val="none"/>
              </w:rPr>
            </w:pPr>
          </w:p>
        </w:tc>
        <w:tc>
          <w:tcPr>
            <w:tcW w:w="906" w:type="dxa"/>
            <w:vAlign w:val="top"/>
          </w:tcPr>
          <w:p w14:paraId="5B59D5F7">
            <w:pPr>
              <w:rPr>
                <w:rFonts w:ascii="Arial"/>
                <w:color w:val="auto"/>
                <w:sz w:val="21"/>
                <w:highlight w:val="none"/>
              </w:rPr>
            </w:pPr>
          </w:p>
        </w:tc>
        <w:tc>
          <w:tcPr>
            <w:tcW w:w="911" w:type="dxa"/>
            <w:vAlign w:val="top"/>
          </w:tcPr>
          <w:p w14:paraId="3BC7D536">
            <w:pPr>
              <w:rPr>
                <w:rFonts w:ascii="Arial"/>
                <w:color w:val="auto"/>
                <w:sz w:val="21"/>
                <w:highlight w:val="none"/>
              </w:rPr>
            </w:pPr>
          </w:p>
        </w:tc>
        <w:tc>
          <w:tcPr>
            <w:tcW w:w="902" w:type="dxa"/>
            <w:vAlign w:val="top"/>
          </w:tcPr>
          <w:p w14:paraId="5160D769">
            <w:pPr>
              <w:rPr>
                <w:rFonts w:ascii="Arial"/>
                <w:color w:val="auto"/>
                <w:sz w:val="21"/>
                <w:highlight w:val="none"/>
              </w:rPr>
            </w:pPr>
          </w:p>
        </w:tc>
        <w:tc>
          <w:tcPr>
            <w:tcW w:w="907" w:type="dxa"/>
            <w:vAlign w:val="top"/>
          </w:tcPr>
          <w:p w14:paraId="071CD480">
            <w:pPr>
              <w:rPr>
                <w:rFonts w:ascii="Arial"/>
                <w:color w:val="auto"/>
                <w:sz w:val="21"/>
                <w:highlight w:val="none"/>
              </w:rPr>
            </w:pPr>
          </w:p>
        </w:tc>
        <w:tc>
          <w:tcPr>
            <w:tcW w:w="921" w:type="dxa"/>
            <w:vAlign w:val="top"/>
          </w:tcPr>
          <w:p w14:paraId="6EA7BB7E">
            <w:pPr>
              <w:rPr>
                <w:rFonts w:ascii="Arial"/>
                <w:color w:val="auto"/>
                <w:sz w:val="21"/>
                <w:highlight w:val="none"/>
              </w:rPr>
            </w:pPr>
          </w:p>
        </w:tc>
      </w:tr>
      <w:tr w14:paraId="79795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580" w:type="dxa"/>
            <w:vAlign w:val="top"/>
          </w:tcPr>
          <w:p w14:paraId="32E73C0D">
            <w:pPr>
              <w:rPr>
                <w:rFonts w:ascii="Arial"/>
                <w:color w:val="auto"/>
                <w:sz w:val="21"/>
                <w:highlight w:val="none"/>
              </w:rPr>
            </w:pPr>
          </w:p>
        </w:tc>
        <w:tc>
          <w:tcPr>
            <w:tcW w:w="1655" w:type="dxa"/>
            <w:vAlign w:val="top"/>
          </w:tcPr>
          <w:p w14:paraId="3325E71C">
            <w:pPr>
              <w:rPr>
                <w:rFonts w:ascii="Arial"/>
                <w:color w:val="auto"/>
                <w:sz w:val="21"/>
                <w:highlight w:val="none"/>
              </w:rPr>
            </w:pPr>
          </w:p>
        </w:tc>
        <w:tc>
          <w:tcPr>
            <w:tcW w:w="906" w:type="dxa"/>
            <w:vAlign w:val="top"/>
          </w:tcPr>
          <w:p w14:paraId="3B9D2411">
            <w:pPr>
              <w:rPr>
                <w:rFonts w:ascii="Arial"/>
                <w:color w:val="auto"/>
                <w:sz w:val="21"/>
                <w:highlight w:val="none"/>
              </w:rPr>
            </w:pPr>
          </w:p>
        </w:tc>
        <w:tc>
          <w:tcPr>
            <w:tcW w:w="907" w:type="dxa"/>
            <w:vAlign w:val="top"/>
          </w:tcPr>
          <w:p w14:paraId="1D6AFEA9">
            <w:pPr>
              <w:rPr>
                <w:rFonts w:ascii="Arial"/>
                <w:color w:val="auto"/>
                <w:sz w:val="21"/>
                <w:highlight w:val="none"/>
              </w:rPr>
            </w:pPr>
          </w:p>
        </w:tc>
        <w:tc>
          <w:tcPr>
            <w:tcW w:w="906" w:type="dxa"/>
            <w:vAlign w:val="top"/>
          </w:tcPr>
          <w:p w14:paraId="24C8F971">
            <w:pPr>
              <w:rPr>
                <w:rFonts w:ascii="Arial"/>
                <w:color w:val="auto"/>
                <w:sz w:val="21"/>
                <w:highlight w:val="none"/>
              </w:rPr>
            </w:pPr>
          </w:p>
        </w:tc>
        <w:tc>
          <w:tcPr>
            <w:tcW w:w="911" w:type="dxa"/>
            <w:vAlign w:val="top"/>
          </w:tcPr>
          <w:p w14:paraId="27BDB132">
            <w:pPr>
              <w:rPr>
                <w:rFonts w:ascii="Arial"/>
                <w:color w:val="auto"/>
                <w:sz w:val="21"/>
                <w:highlight w:val="none"/>
              </w:rPr>
            </w:pPr>
          </w:p>
        </w:tc>
        <w:tc>
          <w:tcPr>
            <w:tcW w:w="902" w:type="dxa"/>
            <w:vAlign w:val="top"/>
          </w:tcPr>
          <w:p w14:paraId="1802C108">
            <w:pPr>
              <w:rPr>
                <w:rFonts w:ascii="Arial"/>
                <w:color w:val="auto"/>
                <w:sz w:val="21"/>
                <w:highlight w:val="none"/>
              </w:rPr>
            </w:pPr>
          </w:p>
        </w:tc>
        <w:tc>
          <w:tcPr>
            <w:tcW w:w="907" w:type="dxa"/>
            <w:vAlign w:val="top"/>
          </w:tcPr>
          <w:p w14:paraId="01DD4346">
            <w:pPr>
              <w:rPr>
                <w:rFonts w:ascii="Arial"/>
                <w:color w:val="auto"/>
                <w:sz w:val="21"/>
                <w:highlight w:val="none"/>
              </w:rPr>
            </w:pPr>
          </w:p>
        </w:tc>
        <w:tc>
          <w:tcPr>
            <w:tcW w:w="921" w:type="dxa"/>
            <w:vAlign w:val="top"/>
          </w:tcPr>
          <w:p w14:paraId="3174BF98">
            <w:pPr>
              <w:rPr>
                <w:rFonts w:ascii="Arial"/>
                <w:color w:val="auto"/>
                <w:sz w:val="21"/>
                <w:highlight w:val="none"/>
              </w:rPr>
            </w:pPr>
          </w:p>
        </w:tc>
      </w:tr>
      <w:tr w14:paraId="4945B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80" w:type="dxa"/>
            <w:vAlign w:val="top"/>
          </w:tcPr>
          <w:p w14:paraId="59423CB9">
            <w:pPr>
              <w:rPr>
                <w:rFonts w:ascii="Arial"/>
                <w:color w:val="auto"/>
                <w:sz w:val="21"/>
                <w:highlight w:val="none"/>
              </w:rPr>
            </w:pPr>
          </w:p>
        </w:tc>
        <w:tc>
          <w:tcPr>
            <w:tcW w:w="1655" w:type="dxa"/>
            <w:vAlign w:val="top"/>
          </w:tcPr>
          <w:p w14:paraId="652F953B">
            <w:pPr>
              <w:rPr>
                <w:rFonts w:ascii="Arial"/>
                <w:color w:val="auto"/>
                <w:sz w:val="21"/>
                <w:highlight w:val="none"/>
              </w:rPr>
            </w:pPr>
          </w:p>
        </w:tc>
        <w:tc>
          <w:tcPr>
            <w:tcW w:w="906" w:type="dxa"/>
            <w:vAlign w:val="top"/>
          </w:tcPr>
          <w:p w14:paraId="0AA4B640">
            <w:pPr>
              <w:rPr>
                <w:rFonts w:ascii="Arial"/>
                <w:color w:val="auto"/>
                <w:sz w:val="21"/>
                <w:highlight w:val="none"/>
              </w:rPr>
            </w:pPr>
          </w:p>
        </w:tc>
        <w:tc>
          <w:tcPr>
            <w:tcW w:w="907" w:type="dxa"/>
            <w:vAlign w:val="top"/>
          </w:tcPr>
          <w:p w14:paraId="24989916">
            <w:pPr>
              <w:rPr>
                <w:rFonts w:ascii="Arial"/>
                <w:color w:val="auto"/>
                <w:sz w:val="21"/>
                <w:highlight w:val="none"/>
              </w:rPr>
            </w:pPr>
          </w:p>
        </w:tc>
        <w:tc>
          <w:tcPr>
            <w:tcW w:w="906" w:type="dxa"/>
            <w:vAlign w:val="top"/>
          </w:tcPr>
          <w:p w14:paraId="7653DB89">
            <w:pPr>
              <w:rPr>
                <w:rFonts w:ascii="Arial"/>
                <w:color w:val="auto"/>
                <w:sz w:val="21"/>
                <w:highlight w:val="none"/>
              </w:rPr>
            </w:pPr>
          </w:p>
        </w:tc>
        <w:tc>
          <w:tcPr>
            <w:tcW w:w="911" w:type="dxa"/>
            <w:vAlign w:val="top"/>
          </w:tcPr>
          <w:p w14:paraId="740C5681">
            <w:pPr>
              <w:rPr>
                <w:rFonts w:ascii="Arial"/>
                <w:color w:val="auto"/>
                <w:sz w:val="21"/>
                <w:highlight w:val="none"/>
              </w:rPr>
            </w:pPr>
          </w:p>
        </w:tc>
        <w:tc>
          <w:tcPr>
            <w:tcW w:w="902" w:type="dxa"/>
            <w:vAlign w:val="top"/>
          </w:tcPr>
          <w:p w14:paraId="4A8D923C">
            <w:pPr>
              <w:rPr>
                <w:rFonts w:ascii="Arial"/>
                <w:color w:val="auto"/>
                <w:sz w:val="21"/>
                <w:highlight w:val="none"/>
              </w:rPr>
            </w:pPr>
          </w:p>
        </w:tc>
        <w:tc>
          <w:tcPr>
            <w:tcW w:w="907" w:type="dxa"/>
            <w:vAlign w:val="top"/>
          </w:tcPr>
          <w:p w14:paraId="02F0F5A5">
            <w:pPr>
              <w:rPr>
                <w:rFonts w:ascii="Arial"/>
                <w:color w:val="auto"/>
                <w:sz w:val="21"/>
                <w:highlight w:val="none"/>
              </w:rPr>
            </w:pPr>
          </w:p>
        </w:tc>
        <w:tc>
          <w:tcPr>
            <w:tcW w:w="921" w:type="dxa"/>
            <w:vAlign w:val="top"/>
          </w:tcPr>
          <w:p w14:paraId="3D5AF440">
            <w:pPr>
              <w:rPr>
                <w:rFonts w:ascii="Arial"/>
                <w:color w:val="auto"/>
                <w:sz w:val="21"/>
                <w:highlight w:val="none"/>
              </w:rPr>
            </w:pPr>
          </w:p>
        </w:tc>
      </w:tr>
    </w:tbl>
    <w:p w14:paraId="4E6EDD6D">
      <w:pPr>
        <w:pStyle w:val="2"/>
        <w:spacing w:line="453" w:lineRule="auto"/>
        <w:rPr>
          <w:color w:val="auto"/>
          <w:highlight w:val="none"/>
        </w:rPr>
      </w:pPr>
    </w:p>
    <w:p w14:paraId="3806059D">
      <w:pPr>
        <w:spacing w:before="66" w:line="228" w:lineRule="auto"/>
        <w:ind w:left="18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备注：表中内容须按要求填写，并不得留空，否则按无效响应处</w:t>
      </w:r>
      <w:r>
        <w:rPr>
          <w:rFonts w:ascii="宋体" w:hAnsi="宋体" w:eastAsia="宋体" w:cs="宋体"/>
          <w:b/>
          <w:bCs/>
          <w:color w:val="auto"/>
          <w:spacing w:val="7"/>
          <w:sz w:val="20"/>
          <w:szCs w:val="20"/>
          <w:highlight w:val="none"/>
        </w:rPr>
        <w:t>理。</w:t>
      </w:r>
    </w:p>
    <w:p w14:paraId="524AECD5">
      <w:pPr>
        <w:pStyle w:val="2"/>
        <w:spacing w:line="250" w:lineRule="auto"/>
        <w:rPr>
          <w:color w:val="auto"/>
          <w:highlight w:val="none"/>
        </w:rPr>
      </w:pPr>
    </w:p>
    <w:p w14:paraId="2874624F">
      <w:pPr>
        <w:pStyle w:val="2"/>
        <w:spacing w:line="250" w:lineRule="auto"/>
        <w:rPr>
          <w:color w:val="auto"/>
          <w:highlight w:val="none"/>
        </w:rPr>
      </w:pPr>
    </w:p>
    <w:p w14:paraId="37192AF6">
      <w:pPr>
        <w:pStyle w:val="2"/>
        <w:spacing w:line="250" w:lineRule="auto"/>
        <w:rPr>
          <w:color w:val="auto"/>
          <w:highlight w:val="none"/>
        </w:rPr>
      </w:pPr>
    </w:p>
    <w:p w14:paraId="609898CE">
      <w:pPr>
        <w:pStyle w:val="2"/>
        <w:spacing w:line="250" w:lineRule="auto"/>
        <w:rPr>
          <w:color w:val="auto"/>
          <w:highlight w:val="none"/>
        </w:rPr>
      </w:pPr>
    </w:p>
    <w:p w14:paraId="293604B8">
      <w:pPr>
        <w:spacing w:before="79" w:line="219" w:lineRule="auto"/>
        <w:ind w:left="427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6A92025F">
      <w:pPr>
        <w:spacing w:before="183" w:line="220" w:lineRule="auto"/>
        <w:ind w:left="6521"/>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8"/>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25"/>
          <w:sz w:val="24"/>
          <w:szCs w:val="24"/>
          <w:highlight w:val="none"/>
        </w:rPr>
        <w:t xml:space="preserve">  </w:t>
      </w:r>
      <w:r>
        <w:rPr>
          <w:rFonts w:ascii="宋体" w:hAnsi="宋体" w:eastAsia="宋体" w:cs="宋体"/>
          <w:color w:val="auto"/>
          <w:spacing w:val="-13"/>
          <w:sz w:val="24"/>
          <w:szCs w:val="24"/>
          <w:highlight w:val="none"/>
        </w:rPr>
        <w:t>日</w:t>
      </w:r>
    </w:p>
    <w:p w14:paraId="004FCA9E">
      <w:pPr>
        <w:spacing w:line="220" w:lineRule="auto"/>
        <w:rPr>
          <w:rFonts w:ascii="宋体" w:hAnsi="宋体" w:eastAsia="宋体" w:cs="宋体"/>
          <w:color w:val="auto"/>
          <w:sz w:val="24"/>
          <w:szCs w:val="24"/>
          <w:highlight w:val="none"/>
        </w:rPr>
        <w:sectPr>
          <w:footerReference r:id="rId67" w:type="default"/>
          <w:pgSz w:w="11910" w:h="16840"/>
          <w:pgMar w:top="400" w:right="1246" w:bottom="1079" w:left="1303" w:header="0" w:footer="843" w:gutter="0"/>
          <w:cols w:space="720" w:num="1"/>
        </w:sectPr>
      </w:pPr>
    </w:p>
    <w:p w14:paraId="448F52E5">
      <w:pPr>
        <w:pStyle w:val="2"/>
        <w:spacing w:line="347" w:lineRule="auto"/>
        <w:rPr>
          <w:color w:val="auto"/>
          <w:highlight w:val="none"/>
        </w:rPr>
      </w:pPr>
    </w:p>
    <w:p w14:paraId="78F01C69">
      <w:pPr>
        <w:pStyle w:val="2"/>
        <w:spacing w:line="348" w:lineRule="auto"/>
        <w:rPr>
          <w:color w:val="auto"/>
          <w:highlight w:val="none"/>
        </w:rPr>
      </w:pPr>
    </w:p>
    <w:p w14:paraId="72AEACB7">
      <w:pPr>
        <w:spacing w:before="65" w:line="228" w:lineRule="auto"/>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附件三：拟投入本合同工程的劳动力计划表</w:t>
      </w:r>
    </w:p>
    <w:p w14:paraId="4F9DD060">
      <w:pPr>
        <w:spacing w:before="297" w:line="228" w:lineRule="auto"/>
        <w:ind w:left="2911"/>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拟投入本合同工程的劳动力计划表</w:t>
      </w:r>
    </w:p>
    <w:p w14:paraId="2A6BDF52">
      <w:pPr>
        <w:spacing w:before="15"/>
        <w:rPr>
          <w:color w:val="auto"/>
          <w:sz w:val="20"/>
          <w:szCs w:val="20"/>
          <w:highlight w:val="none"/>
        </w:rPr>
      </w:pPr>
    </w:p>
    <w:tbl>
      <w:tblPr>
        <w:tblStyle w:val="8"/>
        <w:tblW w:w="8367" w:type="dxa"/>
        <w:tblInd w:w="2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1"/>
        <w:gridCol w:w="1420"/>
        <w:gridCol w:w="643"/>
        <w:gridCol w:w="647"/>
        <w:gridCol w:w="643"/>
        <w:gridCol w:w="647"/>
        <w:gridCol w:w="648"/>
        <w:gridCol w:w="1132"/>
        <w:gridCol w:w="1146"/>
      </w:tblGrid>
      <w:tr w14:paraId="16A6F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2861" w:type="dxa"/>
            <w:gridSpan w:val="2"/>
            <w:tcBorders>
              <w:bottom w:val="nil"/>
            </w:tcBorders>
            <w:vAlign w:val="top"/>
          </w:tcPr>
          <w:p w14:paraId="72D319FE">
            <w:pPr>
              <w:pStyle w:val="9"/>
              <w:spacing w:before="46" w:line="228" w:lineRule="auto"/>
              <w:ind w:left="1091" w:right="10" w:firstLine="1220"/>
              <w:rPr>
                <w:color w:val="auto"/>
                <w:sz w:val="20"/>
                <w:szCs w:val="20"/>
                <w:highlight w:val="none"/>
              </w:rPr>
            </w:pPr>
            <w:r>
              <w:rPr>
                <w:color w:val="auto"/>
                <w:sz w:val="20"/>
                <w:szCs w:val="20"/>
                <w:highlight w:val="none"/>
              </w:rPr>
              <w:drawing>
                <wp:anchor distT="0" distB="0" distL="0" distR="0" simplePos="0" relativeHeight="251669504" behindDoc="1" locked="0" layoutInCell="1" allowOverlap="1">
                  <wp:simplePos x="0" y="0"/>
                  <wp:positionH relativeFrom="column">
                    <wp:posOffset>-3175</wp:posOffset>
                  </wp:positionH>
                  <wp:positionV relativeFrom="paragraph">
                    <wp:posOffset>-1905</wp:posOffset>
                  </wp:positionV>
                  <wp:extent cx="1846580" cy="73723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0"/>
                          <a:stretch>
                            <a:fillRect/>
                          </a:stretch>
                        </pic:blipFill>
                        <pic:spPr>
                          <a:xfrm>
                            <a:off x="0" y="0"/>
                            <a:ext cx="1846275" cy="737006"/>
                          </a:xfrm>
                          <a:prstGeom prst="rect">
                            <a:avLst/>
                          </a:prstGeom>
                        </pic:spPr>
                      </pic:pic>
                    </a:graphicData>
                  </a:graphic>
                </wp:anchor>
              </w:drawing>
            </w:r>
            <w:r>
              <w:rPr>
                <w:color w:val="auto"/>
                <w:spacing w:val="-1"/>
                <w:sz w:val="20"/>
                <w:szCs w:val="20"/>
                <w:highlight w:val="none"/>
              </w:rPr>
              <w:t>工</w:t>
            </w:r>
            <w:r>
              <w:rPr>
                <w:color w:val="auto"/>
                <w:spacing w:val="35"/>
                <w:sz w:val="20"/>
                <w:szCs w:val="20"/>
                <w:highlight w:val="none"/>
              </w:rPr>
              <w:t xml:space="preserve"> </w:t>
            </w:r>
            <w:r>
              <w:rPr>
                <w:color w:val="auto"/>
                <w:spacing w:val="-1"/>
                <w:sz w:val="20"/>
                <w:szCs w:val="20"/>
                <w:highlight w:val="none"/>
              </w:rPr>
              <w:t>种</w:t>
            </w:r>
            <w:r>
              <w:rPr>
                <w:color w:val="auto"/>
                <w:sz w:val="20"/>
                <w:szCs w:val="20"/>
                <w:highlight w:val="none"/>
              </w:rPr>
              <w:t xml:space="preserve"> </w:t>
            </w:r>
            <w:r>
              <w:rPr>
                <w:color w:val="auto"/>
                <w:spacing w:val="3"/>
                <w:sz w:val="20"/>
                <w:szCs w:val="20"/>
                <w:highlight w:val="none"/>
              </w:rPr>
              <w:t>人数</w:t>
            </w:r>
          </w:p>
        </w:tc>
        <w:tc>
          <w:tcPr>
            <w:tcW w:w="643" w:type="dxa"/>
            <w:vMerge w:val="restart"/>
            <w:tcBorders>
              <w:bottom w:val="nil"/>
            </w:tcBorders>
            <w:vAlign w:val="top"/>
          </w:tcPr>
          <w:p w14:paraId="2C6BAF60">
            <w:pPr>
              <w:rPr>
                <w:rFonts w:ascii="Arial"/>
                <w:color w:val="auto"/>
                <w:sz w:val="20"/>
                <w:szCs w:val="20"/>
                <w:highlight w:val="none"/>
              </w:rPr>
            </w:pPr>
          </w:p>
        </w:tc>
        <w:tc>
          <w:tcPr>
            <w:tcW w:w="647" w:type="dxa"/>
            <w:vMerge w:val="restart"/>
            <w:tcBorders>
              <w:bottom w:val="nil"/>
            </w:tcBorders>
            <w:vAlign w:val="top"/>
          </w:tcPr>
          <w:p w14:paraId="3EA1E319">
            <w:pPr>
              <w:rPr>
                <w:rFonts w:ascii="Arial"/>
                <w:color w:val="auto"/>
                <w:sz w:val="20"/>
                <w:szCs w:val="20"/>
                <w:highlight w:val="none"/>
              </w:rPr>
            </w:pPr>
          </w:p>
        </w:tc>
        <w:tc>
          <w:tcPr>
            <w:tcW w:w="643" w:type="dxa"/>
            <w:vMerge w:val="restart"/>
            <w:tcBorders>
              <w:bottom w:val="nil"/>
            </w:tcBorders>
            <w:vAlign w:val="top"/>
          </w:tcPr>
          <w:p w14:paraId="351C6873">
            <w:pPr>
              <w:rPr>
                <w:rFonts w:ascii="Arial"/>
                <w:color w:val="auto"/>
                <w:sz w:val="20"/>
                <w:szCs w:val="20"/>
                <w:highlight w:val="none"/>
              </w:rPr>
            </w:pPr>
          </w:p>
        </w:tc>
        <w:tc>
          <w:tcPr>
            <w:tcW w:w="647" w:type="dxa"/>
            <w:vMerge w:val="restart"/>
            <w:tcBorders>
              <w:bottom w:val="nil"/>
            </w:tcBorders>
            <w:vAlign w:val="top"/>
          </w:tcPr>
          <w:p w14:paraId="2D2D732F">
            <w:pPr>
              <w:rPr>
                <w:rFonts w:ascii="Arial"/>
                <w:color w:val="auto"/>
                <w:sz w:val="20"/>
                <w:szCs w:val="20"/>
                <w:highlight w:val="none"/>
              </w:rPr>
            </w:pPr>
          </w:p>
        </w:tc>
        <w:tc>
          <w:tcPr>
            <w:tcW w:w="648" w:type="dxa"/>
            <w:vMerge w:val="restart"/>
            <w:tcBorders>
              <w:bottom w:val="nil"/>
            </w:tcBorders>
            <w:vAlign w:val="top"/>
          </w:tcPr>
          <w:p w14:paraId="26B9A8A9">
            <w:pPr>
              <w:rPr>
                <w:rFonts w:ascii="Arial"/>
                <w:color w:val="auto"/>
                <w:sz w:val="20"/>
                <w:szCs w:val="20"/>
                <w:highlight w:val="none"/>
              </w:rPr>
            </w:pPr>
          </w:p>
        </w:tc>
        <w:tc>
          <w:tcPr>
            <w:tcW w:w="2278" w:type="dxa"/>
            <w:gridSpan w:val="2"/>
            <w:vAlign w:val="top"/>
          </w:tcPr>
          <w:p w14:paraId="277AA318">
            <w:pPr>
              <w:pStyle w:val="9"/>
              <w:spacing w:before="192" w:line="230" w:lineRule="auto"/>
              <w:ind w:left="884"/>
              <w:rPr>
                <w:color w:val="auto"/>
                <w:sz w:val="20"/>
                <w:szCs w:val="20"/>
                <w:highlight w:val="none"/>
              </w:rPr>
            </w:pPr>
            <w:r>
              <w:rPr>
                <w:color w:val="auto"/>
                <w:sz w:val="20"/>
                <w:szCs w:val="20"/>
                <w:highlight w:val="none"/>
              </w:rPr>
              <w:t>合</w:t>
            </w:r>
            <w:r>
              <w:rPr>
                <w:color w:val="auto"/>
                <w:spacing w:val="13"/>
                <w:sz w:val="20"/>
                <w:szCs w:val="20"/>
                <w:highlight w:val="none"/>
              </w:rPr>
              <w:t xml:space="preserve"> </w:t>
            </w:r>
            <w:r>
              <w:rPr>
                <w:color w:val="auto"/>
                <w:sz w:val="20"/>
                <w:szCs w:val="20"/>
                <w:highlight w:val="none"/>
              </w:rPr>
              <w:t>计</w:t>
            </w:r>
          </w:p>
        </w:tc>
      </w:tr>
      <w:tr w14:paraId="595D6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861" w:type="dxa"/>
            <w:gridSpan w:val="2"/>
            <w:tcBorders>
              <w:top w:val="nil"/>
            </w:tcBorders>
            <w:vAlign w:val="top"/>
          </w:tcPr>
          <w:p w14:paraId="4EA82D4C">
            <w:pPr>
              <w:pStyle w:val="9"/>
              <w:spacing w:before="22" w:line="231" w:lineRule="auto"/>
              <w:ind w:left="218"/>
              <w:rPr>
                <w:color w:val="auto"/>
                <w:sz w:val="20"/>
                <w:szCs w:val="20"/>
                <w:highlight w:val="none"/>
              </w:rPr>
            </w:pPr>
            <w:r>
              <w:rPr>
                <w:color w:val="auto"/>
                <w:spacing w:val="-1"/>
                <w:sz w:val="20"/>
                <w:szCs w:val="20"/>
                <w:highlight w:val="none"/>
              </w:rPr>
              <w:t>时间</w:t>
            </w:r>
          </w:p>
        </w:tc>
        <w:tc>
          <w:tcPr>
            <w:tcW w:w="643" w:type="dxa"/>
            <w:vMerge w:val="continue"/>
            <w:tcBorders>
              <w:top w:val="nil"/>
            </w:tcBorders>
            <w:vAlign w:val="top"/>
          </w:tcPr>
          <w:p w14:paraId="4F23D4D5">
            <w:pPr>
              <w:rPr>
                <w:rFonts w:ascii="Arial"/>
                <w:color w:val="auto"/>
                <w:sz w:val="20"/>
                <w:szCs w:val="20"/>
                <w:highlight w:val="none"/>
              </w:rPr>
            </w:pPr>
          </w:p>
        </w:tc>
        <w:tc>
          <w:tcPr>
            <w:tcW w:w="647" w:type="dxa"/>
            <w:vMerge w:val="continue"/>
            <w:tcBorders>
              <w:top w:val="nil"/>
            </w:tcBorders>
            <w:vAlign w:val="top"/>
          </w:tcPr>
          <w:p w14:paraId="2EEF8244">
            <w:pPr>
              <w:rPr>
                <w:rFonts w:ascii="Arial"/>
                <w:color w:val="auto"/>
                <w:sz w:val="20"/>
                <w:szCs w:val="20"/>
                <w:highlight w:val="none"/>
              </w:rPr>
            </w:pPr>
          </w:p>
        </w:tc>
        <w:tc>
          <w:tcPr>
            <w:tcW w:w="643" w:type="dxa"/>
            <w:vMerge w:val="continue"/>
            <w:tcBorders>
              <w:top w:val="nil"/>
            </w:tcBorders>
            <w:vAlign w:val="top"/>
          </w:tcPr>
          <w:p w14:paraId="0AD69786">
            <w:pPr>
              <w:rPr>
                <w:rFonts w:ascii="Arial"/>
                <w:color w:val="auto"/>
                <w:sz w:val="20"/>
                <w:szCs w:val="20"/>
                <w:highlight w:val="none"/>
              </w:rPr>
            </w:pPr>
          </w:p>
        </w:tc>
        <w:tc>
          <w:tcPr>
            <w:tcW w:w="647" w:type="dxa"/>
            <w:vMerge w:val="continue"/>
            <w:tcBorders>
              <w:top w:val="nil"/>
            </w:tcBorders>
            <w:vAlign w:val="top"/>
          </w:tcPr>
          <w:p w14:paraId="552CACD0">
            <w:pPr>
              <w:rPr>
                <w:rFonts w:ascii="Arial"/>
                <w:color w:val="auto"/>
                <w:sz w:val="20"/>
                <w:szCs w:val="20"/>
                <w:highlight w:val="none"/>
              </w:rPr>
            </w:pPr>
          </w:p>
        </w:tc>
        <w:tc>
          <w:tcPr>
            <w:tcW w:w="648" w:type="dxa"/>
            <w:vMerge w:val="continue"/>
            <w:tcBorders>
              <w:top w:val="nil"/>
            </w:tcBorders>
            <w:vAlign w:val="top"/>
          </w:tcPr>
          <w:p w14:paraId="4518AF93">
            <w:pPr>
              <w:rPr>
                <w:rFonts w:ascii="Arial"/>
                <w:color w:val="auto"/>
                <w:sz w:val="20"/>
                <w:szCs w:val="20"/>
                <w:highlight w:val="none"/>
              </w:rPr>
            </w:pPr>
          </w:p>
        </w:tc>
        <w:tc>
          <w:tcPr>
            <w:tcW w:w="1132" w:type="dxa"/>
            <w:vAlign w:val="top"/>
          </w:tcPr>
          <w:p w14:paraId="1C7382E7">
            <w:pPr>
              <w:pStyle w:val="9"/>
              <w:spacing w:before="208" w:line="228" w:lineRule="auto"/>
              <w:ind w:left="364"/>
              <w:rPr>
                <w:color w:val="auto"/>
                <w:sz w:val="20"/>
                <w:szCs w:val="20"/>
                <w:highlight w:val="none"/>
              </w:rPr>
            </w:pPr>
            <w:r>
              <w:rPr>
                <w:color w:val="auto"/>
                <w:spacing w:val="3"/>
                <w:sz w:val="20"/>
                <w:szCs w:val="20"/>
                <w:highlight w:val="none"/>
              </w:rPr>
              <w:t>人数</w:t>
            </w:r>
          </w:p>
        </w:tc>
        <w:tc>
          <w:tcPr>
            <w:tcW w:w="1146" w:type="dxa"/>
            <w:vAlign w:val="top"/>
          </w:tcPr>
          <w:p w14:paraId="42AD0214">
            <w:pPr>
              <w:pStyle w:val="9"/>
              <w:spacing w:before="208" w:line="228" w:lineRule="auto"/>
              <w:ind w:left="55"/>
              <w:rPr>
                <w:color w:val="auto"/>
                <w:sz w:val="20"/>
                <w:szCs w:val="20"/>
                <w:highlight w:val="none"/>
              </w:rPr>
            </w:pPr>
            <w:r>
              <w:rPr>
                <w:color w:val="auto"/>
                <w:spacing w:val="7"/>
                <w:sz w:val="20"/>
                <w:szCs w:val="20"/>
                <w:highlight w:val="none"/>
              </w:rPr>
              <w:t>人工工日数</w:t>
            </w:r>
          </w:p>
        </w:tc>
      </w:tr>
      <w:tr w14:paraId="10D78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41" w:type="dxa"/>
            <w:vMerge w:val="restart"/>
            <w:tcBorders>
              <w:bottom w:val="nil"/>
            </w:tcBorders>
            <w:vAlign w:val="top"/>
          </w:tcPr>
          <w:p w14:paraId="79D2E1D1">
            <w:pPr>
              <w:spacing w:line="247" w:lineRule="auto"/>
              <w:rPr>
                <w:rFonts w:ascii="Arial"/>
                <w:color w:val="auto"/>
                <w:sz w:val="20"/>
                <w:szCs w:val="20"/>
                <w:highlight w:val="none"/>
              </w:rPr>
            </w:pPr>
          </w:p>
          <w:p w14:paraId="4FBAA400">
            <w:pPr>
              <w:spacing w:line="247" w:lineRule="auto"/>
              <w:rPr>
                <w:rFonts w:ascii="Arial"/>
                <w:color w:val="auto"/>
                <w:sz w:val="20"/>
                <w:szCs w:val="20"/>
                <w:highlight w:val="none"/>
              </w:rPr>
            </w:pPr>
          </w:p>
          <w:p w14:paraId="2D099925">
            <w:pPr>
              <w:spacing w:line="247" w:lineRule="auto"/>
              <w:rPr>
                <w:rFonts w:ascii="Arial"/>
                <w:color w:val="auto"/>
                <w:sz w:val="20"/>
                <w:szCs w:val="20"/>
                <w:highlight w:val="none"/>
              </w:rPr>
            </w:pPr>
          </w:p>
          <w:p w14:paraId="231627C2">
            <w:pPr>
              <w:spacing w:line="247" w:lineRule="auto"/>
              <w:rPr>
                <w:rFonts w:ascii="Arial"/>
                <w:color w:val="auto"/>
                <w:sz w:val="20"/>
                <w:szCs w:val="20"/>
                <w:highlight w:val="none"/>
              </w:rPr>
            </w:pPr>
          </w:p>
          <w:p w14:paraId="3D768436">
            <w:pPr>
              <w:spacing w:line="247" w:lineRule="auto"/>
              <w:rPr>
                <w:rFonts w:ascii="Arial"/>
                <w:color w:val="auto"/>
                <w:sz w:val="20"/>
                <w:szCs w:val="20"/>
                <w:highlight w:val="none"/>
              </w:rPr>
            </w:pPr>
          </w:p>
          <w:p w14:paraId="4A2A6B4A">
            <w:pPr>
              <w:pStyle w:val="9"/>
              <w:spacing w:before="65" w:line="228" w:lineRule="auto"/>
              <w:ind w:left="1150"/>
              <w:rPr>
                <w:color w:val="auto"/>
                <w:sz w:val="20"/>
                <w:szCs w:val="20"/>
                <w:highlight w:val="none"/>
              </w:rPr>
            </w:pPr>
            <w:r>
              <w:rPr>
                <w:color w:val="auto"/>
                <w:sz w:val="20"/>
                <w:szCs w:val="20"/>
                <w:highlight w:val="none"/>
              </w:rPr>
              <w:t>年</w:t>
            </w:r>
          </w:p>
        </w:tc>
        <w:tc>
          <w:tcPr>
            <w:tcW w:w="1420" w:type="dxa"/>
            <w:vAlign w:val="top"/>
          </w:tcPr>
          <w:p w14:paraId="5E74CC0C">
            <w:pPr>
              <w:pStyle w:val="9"/>
              <w:spacing w:before="173" w:line="228" w:lineRule="auto"/>
              <w:ind w:left="1139"/>
              <w:rPr>
                <w:color w:val="auto"/>
                <w:sz w:val="20"/>
                <w:szCs w:val="20"/>
                <w:highlight w:val="none"/>
              </w:rPr>
            </w:pPr>
            <w:r>
              <w:rPr>
                <w:color w:val="auto"/>
                <w:sz w:val="20"/>
                <w:szCs w:val="20"/>
                <w:highlight w:val="none"/>
              </w:rPr>
              <w:t>月</w:t>
            </w:r>
          </w:p>
        </w:tc>
        <w:tc>
          <w:tcPr>
            <w:tcW w:w="643" w:type="dxa"/>
            <w:vAlign w:val="top"/>
          </w:tcPr>
          <w:p w14:paraId="5DDC7145">
            <w:pPr>
              <w:rPr>
                <w:rFonts w:ascii="Arial"/>
                <w:color w:val="auto"/>
                <w:sz w:val="20"/>
                <w:szCs w:val="20"/>
                <w:highlight w:val="none"/>
              </w:rPr>
            </w:pPr>
          </w:p>
        </w:tc>
        <w:tc>
          <w:tcPr>
            <w:tcW w:w="647" w:type="dxa"/>
            <w:vAlign w:val="top"/>
          </w:tcPr>
          <w:p w14:paraId="47397B3F">
            <w:pPr>
              <w:rPr>
                <w:rFonts w:ascii="Arial"/>
                <w:color w:val="auto"/>
                <w:sz w:val="20"/>
                <w:szCs w:val="20"/>
                <w:highlight w:val="none"/>
              </w:rPr>
            </w:pPr>
          </w:p>
        </w:tc>
        <w:tc>
          <w:tcPr>
            <w:tcW w:w="643" w:type="dxa"/>
            <w:vAlign w:val="top"/>
          </w:tcPr>
          <w:p w14:paraId="3361217F">
            <w:pPr>
              <w:rPr>
                <w:rFonts w:ascii="Arial"/>
                <w:color w:val="auto"/>
                <w:sz w:val="20"/>
                <w:szCs w:val="20"/>
                <w:highlight w:val="none"/>
              </w:rPr>
            </w:pPr>
          </w:p>
        </w:tc>
        <w:tc>
          <w:tcPr>
            <w:tcW w:w="647" w:type="dxa"/>
            <w:vAlign w:val="top"/>
          </w:tcPr>
          <w:p w14:paraId="643A3672">
            <w:pPr>
              <w:rPr>
                <w:rFonts w:ascii="Arial"/>
                <w:color w:val="auto"/>
                <w:sz w:val="20"/>
                <w:szCs w:val="20"/>
                <w:highlight w:val="none"/>
              </w:rPr>
            </w:pPr>
          </w:p>
        </w:tc>
        <w:tc>
          <w:tcPr>
            <w:tcW w:w="648" w:type="dxa"/>
            <w:vAlign w:val="top"/>
          </w:tcPr>
          <w:p w14:paraId="3F050488">
            <w:pPr>
              <w:rPr>
                <w:rFonts w:ascii="Arial"/>
                <w:color w:val="auto"/>
                <w:sz w:val="20"/>
                <w:szCs w:val="20"/>
                <w:highlight w:val="none"/>
              </w:rPr>
            </w:pPr>
          </w:p>
        </w:tc>
        <w:tc>
          <w:tcPr>
            <w:tcW w:w="1132" w:type="dxa"/>
            <w:vAlign w:val="top"/>
          </w:tcPr>
          <w:p w14:paraId="23F8A566">
            <w:pPr>
              <w:rPr>
                <w:rFonts w:ascii="Arial"/>
                <w:color w:val="auto"/>
                <w:sz w:val="20"/>
                <w:szCs w:val="20"/>
                <w:highlight w:val="none"/>
              </w:rPr>
            </w:pPr>
          </w:p>
        </w:tc>
        <w:tc>
          <w:tcPr>
            <w:tcW w:w="1146" w:type="dxa"/>
            <w:vAlign w:val="top"/>
          </w:tcPr>
          <w:p w14:paraId="3D858B05">
            <w:pPr>
              <w:rPr>
                <w:rFonts w:ascii="Arial"/>
                <w:color w:val="auto"/>
                <w:sz w:val="20"/>
                <w:szCs w:val="20"/>
                <w:highlight w:val="none"/>
              </w:rPr>
            </w:pPr>
          </w:p>
        </w:tc>
      </w:tr>
      <w:tr w14:paraId="5D42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41" w:type="dxa"/>
            <w:vMerge w:val="continue"/>
            <w:tcBorders>
              <w:top w:val="nil"/>
              <w:bottom w:val="nil"/>
            </w:tcBorders>
            <w:vAlign w:val="top"/>
          </w:tcPr>
          <w:p w14:paraId="45A3A23E">
            <w:pPr>
              <w:rPr>
                <w:rFonts w:ascii="Arial"/>
                <w:color w:val="auto"/>
                <w:sz w:val="20"/>
                <w:szCs w:val="20"/>
                <w:highlight w:val="none"/>
              </w:rPr>
            </w:pPr>
          </w:p>
        </w:tc>
        <w:tc>
          <w:tcPr>
            <w:tcW w:w="1420" w:type="dxa"/>
            <w:vAlign w:val="top"/>
          </w:tcPr>
          <w:p w14:paraId="389A1B9D">
            <w:pPr>
              <w:pStyle w:val="9"/>
              <w:spacing w:before="174" w:line="228" w:lineRule="auto"/>
              <w:ind w:left="1139"/>
              <w:rPr>
                <w:color w:val="auto"/>
                <w:sz w:val="20"/>
                <w:szCs w:val="20"/>
                <w:highlight w:val="none"/>
              </w:rPr>
            </w:pPr>
            <w:r>
              <w:rPr>
                <w:color w:val="auto"/>
                <w:sz w:val="20"/>
                <w:szCs w:val="20"/>
                <w:highlight w:val="none"/>
              </w:rPr>
              <w:t>月</w:t>
            </w:r>
          </w:p>
        </w:tc>
        <w:tc>
          <w:tcPr>
            <w:tcW w:w="643" w:type="dxa"/>
            <w:vAlign w:val="top"/>
          </w:tcPr>
          <w:p w14:paraId="152BDDBF">
            <w:pPr>
              <w:rPr>
                <w:rFonts w:ascii="Arial"/>
                <w:color w:val="auto"/>
                <w:sz w:val="20"/>
                <w:szCs w:val="20"/>
                <w:highlight w:val="none"/>
              </w:rPr>
            </w:pPr>
          </w:p>
        </w:tc>
        <w:tc>
          <w:tcPr>
            <w:tcW w:w="647" w:type="dxa"/>
            <w:vAlign w:val="top"/>
          </w:tcPr>
          <w:p w14:paraId="2275F98D">
            <w:pPr>
              <w:rPr>
                <w:rFonts w:ascii="Arial"/>
                <w:color w:val="auto"/>
                <w:sz w:val="20"/>
                <w:szCs w:val="20"/>
                <w:highlight w:val="none"/>
              </w:rPr>
            </w:pPr>
          </w:p>
        </w:tc>
        <w:tc>
          <w:tcPr>
            <w:tcW w:w="643" w:type="dxa"/>
            <w:vAlign w:val="top"/>
          </w:tcPr>
          <w:p w14:paraId="7FCE371D">
            <w:pPr>
              <w:rPr>
                <w:rFonts w:ascii="Arial"/>
                <w:color w:val="auto"/>
                <w:sz w:val="20"/>
                <w:szCs w:val="20"/>
                <w:highlight w:val="none"/>
              </w:rPr>
            </w:pPr>
          </w:p>
        </w:tc>
        <w:tc>
          <w:tcPr>
            <w:tcW w:w="647" w:type="dxa"/>
            <w:vAlign w:val="top"/>
          </w:tcPr>
          <w:p w14:paraId="60BD81B5">
            <w:pPr>
              <w:rPr>
                <w:rFonts w:ascii="Arial"/>
                <w:color w:val="auto"/>
                <w:sz w:val="20"/>
                <w:szCs w:val="20"/>
                <w:highlight w:val="none"/>
              </w:rPr>
            </w:pPr>
          </w:p>
        </w:tc>
        <w:tc>
          <w:tcPr>
            <w:tcW w:w="648" w:type="dxa"/>
            <w:vAlign w:val="top"/>
          </w:tcPr>
          <w:p w14:paraId="66DF619E">
            <w:pPr>
              <w:rPr>
                <w:rFonts w:ascii="Arial"/>
                <w:color w:val="auto"/>
                <w:sz w:val="20"/>
                <w:szCs w:val="20"/>
                <w:highlight w:val="none"/>
              </w:rPr>
            </w:pPr>
          </w:p>
        </w:tc>
        <w:tc>
          <w:tcPr>
            <w:tcW w:w="1132" w:type="dxa"/>
            <w:vAlign w:val="top"/>
          </w:tcPr>
          <w:p w14:paraId="5FA3EA24">
            <w:pPr>
              <w:rPr>
                <w:rFonts w:ascii="Arial"/>
                <w:color w:val="auto"/>
                <w:sz w:val="20"/>
                <w:szCs w:val="20"/>
                <w:highlight w:val="none"/>
              </w:rPr>
            </w:pPr>
          </w:p>
        </w:tc>
        <w:tc>
          <w:tcPr>
            <w:tcW w:w="1146" w:type="dxa"/>
            <w:vAlign w:val="top"/>
          </w:tcPr>
          <w:p w14:paraId="3CEA9F7D">
            <w:pPr>
              <w:rPr>
                <w:rFonts w:ascii="Arial"/>
                <w:color w:val="auto"/>
                <w:sz w:val="20"/>
                <w:szCs w:val="20"/>
                <w:highlight w:val="none"/>
              </w:rPr>
            </w:pPr>
          </w:p>
        </w:tc>
      </w:tr>
      <w:tr w14:paraId="20D2D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441" w:type="dxa"/>
            <w:vMerge w:val="continue"/>
            <w:tcBorders>
              <w:top w:val="nil"/>
              <w:bottom w:val="nil"/>
            </w:tcBorders>
            <w:vAlign w:val="top"/>
          </w:tcPr>
          <w:p w14:paraId="2C12D74D">
            <w:pPr>
              <w:rPr>
                <w:rFonts w:ascii="Arial"/>
                <w:color w:val="auto"/>
                <w:sz w:val="20"/>
                <w:szCs w:val="20"/>
                <w:highlight w:val="none"/>
              </w:rPr>
            </w:pPr>
          </w:p>
        </w:tc>
        <w:tc>
          <w:tcPr>
            <w:tcW w:w="1420" w:type="dxa"/>
            <w:vAlign w:val="top"/>
          </w:tcPr>
          <w:p w14:paraId="39FC1BBE">
            <w:pPr>
              <w:pStyle w:val="9"/>
              <w:spacing w:before="175" w:line="228" w:lineRule="auto"/>
              <w:ind w:left="1139"/>
              <w:rPr>
                <w:color w:val="auto"/>
                <w:sz w:val="20"/>
                <w:szCs w:val="20"/>
                <w:highlight w:val="none"/>
              </w:rPr>
            </w:pPr>
            <w:r>
              <w:rPr>
                <w:color w:val="auto"/>
                <w:sz w:val="20"/>
                <w:szCs w:val="20"/>
                <w:highlight w:val="none"/>
              </w:rPr>
              <w:t>月</w:t>
            </w:r>
          </w:p>
        </w:tc>
        <w:tc>
          <w:tcPr>
            <w:tcW w:w="643" w:type="dxa"/>
            <w:vAlign w:val="top"/>
          </w:tcPr>
          <w:p w14:paraId="60A7E919">
            <w:pPr>
              <w:rPr>
                <w:rFonts w:ascii="Arial"/>
                <w:color w:val="auto"/>
                <w:sz w:val="20"/>
                <w:szCs w:val="20"/>
                <w:highlight w:val="none"/>
              </w:rPr>
            </w:pPr>
          </w:p>
        </w:tc>
        <w:tc>
          <w:tcPr>
            <w:tcW w:w="647" w:type="dxa"/>
            <w:vAlign w:val="top"/>
          </w:tcPr>
          <w:p w14:paraId="42DB3317">
            <w:pPr>
              <w:rPr>
                <w:rFonts w:ascii="Arial"/>
                <w:color w:val="auto"/>
                <w:sz w:val="20"/>
                <w:szCs w:val="20"/>
                <w:highlight w:val="none"/>
              </w:rPr>
            </w:pPr>
          </w:p>
        </w:tc>
        <w:tc>
          <w:tcPr>
            <w:tcW w:w="643" w:type="dxa"/>
            <w:vAlign w:val="top"/>
          </w:tcPr>
          <w:p w14:paraId="1ACEA80B">
            <w:pPr>
              <w:rPr>
                <w:rFonts w:ascii="Arial"/>
                <w:color w:val="auto"/>
                <w:sz w:val="20"/>
                <w:szCs w:val="20"/>
                <w:highlight w:val="none"/>
              </w:rPr>
            </w:pPr>
          </w:p>
        </w:tc>
        <w:tc>
          <w:tcPr>
            <w:tcW w:w="647" w:type="dxa"/>
            <w:vAlign w:val="top"/>
          </w:tcPr>
          <w:p w14:paraId="683AA0BF">
            <w:pPr>
              <w:rPr>
                <w:rFonts w:ascii="Arial"/>
                <w:color w:val="auto"/>
                <w:sz w:val="20"/>
                <w:szCs w:val="20"/>
                <w:highlight w:val="none"/>
              </w:rPr>
            </w:pPr>
          </w:p>
        </w:tc>
        <w:tc>
          <w:tcPr>
            <w:tcW w:w="648" w:type="dxa"/>
            <w:vAlign w:val="top"/>
          </w:tcPr>
          <w:p w14:paraId="24E6E31E">
            <w:pPr>
              <w:rPr>
                <w:rFonts w:ascii="Arial"/>
                <w:color w:val="auto"/>
                <w:sz w:val="20"/>
                <w:szCs w:val="20"/>
                <w:highlight w:val="none"/>
              </w:rPr>
            </w:pPr>
          </w:p>
        </w:tc>
        <w:tc>
          <w:tcPr>
            <w:tcW w:w="1132" w:type="dxa"/>
            <w:vAlign w:val="top"/>
          </w:tcPr>
          <w:p w14:paraId="787E93A2">
            <w:pPr>
              <w:rPr>
                <w:rFonts w:ascii="Arial"/>
                <w:color w:val="auto"/>
                <w:sz w:val="20"/>
                <w:szCs w:val="20"/>
                <w:highlight w:val="none"/>
              </w:rPr>
            </w:pPr>
          </w:p>
        </w:tc>
        <w:tc>
          <w:tcPr>
            <w:tcW w:w="1146" w:type="dxa"/>
            <w:vAlign w:val="top"/>
          </w:tcPr>
          <w:p w14:paraId="24F801F7">
            <w:pPr>
              <w:rPr>
                <w:rFonts w:ascii="Arial"/>
                <w:color w:val="auto"/>
                <w:sz w:val="20"/>
                <w:szCs w:val="20"/>
                <w:highlight w:val="none"/>
              </w:rPr>
            </w:pPr>
          </w:p>
        </w:tc>
      </w:tr>
      <w:tr w14:paraId="688EC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441" w:type="dxa"/>
            <w:vMerge w:val="continue"/>
            <w:tcBorders>
              <w:top w:val="nil"/>
              <w:bottom w:val="nil"/>
            </w:tcBorders>
            <w:vAlign w:val="top"/>
          </w:tcPr>
          <w:p w14:paraId="3552EEE0">
            <w:pPr>
              <w:rPr>
                <w:rFonts w:ascii="Arial"/>
                <w:color w:val="auto"/>
                <w:sz w:val="20"/>
                <w:szCs w:val="20"/>
                <w:highlight w:val="none"/>
              </w:rPr>
            </w:pPr>
          </w:p>
        </w:tc>
        <w:tc>
          <w:tcPr>
            <w:tcW w:w="1420" w:type="dxa"/>
            <w:vAlign w:val="top"/>
          </w:tcPr>
          <w:p w14:paraId="426338BD">
            <w:pPr>
              <w:pStyle w:val="9"/>
              <w:spacing w:before="176" w:line="228" w:lineRule="auto"/>
              <w:ind w:left="1139"/>
              <w:rPr>
                <w:color w:val="auto"/>
                <w:sz w:val="20"/>
                <w:szCs w:val="20"/>
                <w:highlight w:val="none"/>
              </w:rPr>
            </w:pPr>
            <w:r>
              <w:rPr>
                <w:color w:val="auto"/>
                <w:sz w:val="20"/>
                <w:szCs w:val="20"/>
                <w:highlight w:val="none"/>
              </w:rPr>
              <w:t>月</w:t>
            </w:r>
          </w:p>
        </w:tc>
        <w:tc>
          <w:tcPr>
            <w:tcW w:w="643" w:type="dxa"/>
            <w:vAlign w:val="top"/>
          </w:tcPr>
          <w:p w14:paraId="6E902F2B">
            <w:pPr>
              <w:rPr>
                <w:rFonts w:ascii="Arial"/>
                <w:color w:val="auto"/>
                <w:sz w:val="20"/>
                <w:szCs w:val="20"/>
                <w:highlight w:val="none"/>
              </w:rPr>
            </w:pPr>
          </w:p>
        </w:tc>
        <w:tc>
          <w:tcPr>
            <w:tcW w:w="647" w:type="dxa"/>
            <w:vAlign w:val="top"/>
          </w:tcPr>
          <w:p w14:paraId="1E2CC5EC">
            <w:pPr>
              <w:rPr>
                <w:rFonts w:ascii="Arial"/>
                <w:color w:val="auto"/>
                <w:sz w:val="20"/>
                <w:szCs w:val="20"/>
                <w:highlight w:val="none"/>
              </w:rPr>
            </w:pPr>
          </w:p>
        </w:tc>
        <w:tc>
          <w:tcPr>
            <w:tcW w:w="643" w:type="dxa"/>
            <w:vAlign w:val="top"/>
          </w:tcPr>
          <w:p w14:paraId="489A8852">
            <w:pPr>
              <w:rPr>
                <w:rFonts w:ascii="Arial"/>
                <w:color w:val="auto"/>
                <w:sz w:val="20"/>
                <w:szCs w:val="20"/>
                <w:highlight w:val="none"/>
              </w:rPr>
            </w:pPr>
          </w:p>
        </w:tc>
        <w:tc>
          <w:tcPr>
            <w:tcW w:w="647" w:type="dxa"/>
            <w:vAlign w:val="top"/>
          </w:tcPr>
          <w:p w14:paraId="2D37B965">
            <w:pPr>
              <w:rPr>
                <w:rFonts w:ascii="Arial"/>
                <w:color w:val="auto"/>
                <w:sz w:val="20"/>
                <w:szCs w:val="20"/>
                <w:highlight w:val="none"/>
              </w:rPr>
            </w:pPr>
          </w:p>
        </w:tc>
        <w:tc>
          <w:tcPr>
            <w:tcW w:w="648" w:type="dxa"/>
            <w:vAlign w:val="top"/>
          </w:tcPr>
          <w:p w14:paraId="1B4730ED">
            <w:pPr>
              <w:rPr>
                <w:rFonts w:ascii="Arial"/>
                <w:color w:val="auto"/>
                <w:sz w:val="20"/>
                <w:szCs w:val="20"/>
                <w:highlight w:val="none"/>
              </w:rPr>
            </w:pPr>
          </w:p>
        </w:tc>
        <w:tc>
          <w:tcPr>
            <w:tcW w:w="1132" w:type="dxa"/>
            <w:vAlign w:val="top"/>
          </w:tcPr>
          <w:p w14:paraId="58302B76">
            <w:pPr>
              <w:rPr>
                <w:rFonts w:ascii="Arial"/>
                <w:color w:val="auto"/>
                <w:sz w:val="20"/>
                <w:szCs w:val="20"/>
                <w:highlight w:val="none"/>
              </w:rPr>
            </w:pPr>
          </w:p>
        </w:tc>
        <w:tc>
          <w:tcPr>
            <w:tcW w:w="1146" w:type="dxa"/>
            <w:vAlign w:val="top"/>
          </w:tcPr>
          <w:p w14:paraId="5134451D">
            <w:pPr>
              <w:rPr>
                <w:rFonts w:ascii="Arial"/>
                <w:color w:val="auto"/>
                <w:sz w:val="20"/>
                <w:szCs w:val="20"/>
                <w:highlight w:val="none"/>
              </w:rPr>
            </w:pPr>
          </w:p>
        </w:tc>
      </w:tr>
      <w:tr w14:paraId="6D250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41" w:type="dxa"/>
            <w:vMerge w:val="continue"/>
            <w:tcBorders>
              <w:top w:val="nil"/>
            </w:tcBorders>
            <w:vAlign w:val="top"/>
          </w:tcPr>
          <w:p w14:paraId="6ED79075">
            <w:pPr>
              <w:rPr>
                <w:rFonts w:ascii="Arial"/>
                <w:color w:val="auto"/>
                <w:sz w:val="20"/>
                <w:szCs w:val="20"/>
                <w:highlight w:val="none"/>
              </w:rPr>
            </w:pPr>
          </w:p>
        </w:tc>
        <w:tc>
          <w:tcPr>
            <w:tcW w:w="1420" w:type="dxa"/>
            <w:vAlign w:val="top"/>
          </w:tcPr>
          <w:p w14:paraId="1CBBD66D">
            <w:pPr>
              <w:spacing w:line="265" w:lineRule="auto"/>
              <w:rPr>
                <w:rFonts w:ascii="Arial"/>
                <w:color w:val="auto"/>
                <w:sz w:val="20"/>
                <w:szCs w:val="20"/>
                <w:highlight w:val="none"/>
              </w:rPr>
            </w:pPr>
          </w:p>
          <w:p w14:paraId="556E7AEC">
            <w:pPr>
              <w:spacing w:before="58" w:line="63" w:lineRule="exact"/>
              <w:ind w:left="1095"/>
              <w:rPr>
                <w:rFonts w:ascii="Times New Roman" w:hAnsi="Times New Roman" w:eastAsia="Times New Roman" w:cs="Times New Roman"/>
                <w:color w:val="auto"/>
                <w:sz w:val="20"/>
                <w:szCs w:val="20"/>
                <w:highlight w:val="none"/>
              </w:rPr>
            </w:pPr>
            <w:r>
              <w:rPr>
                <w:rFonts w:ascii="Times New Roman" w:hAnsi="Times New Roman" w:eastAsia="Times New Roman" w:cs="Times New Roman"/>
                <w:color w:val="auto"/>
                <w:spacing w:val="1"/>
                <w:position w:val="1"/>
                <w:sz w:val="20"/>
                <w:szCs w:val="20"/>
                <w:highlight w:val="none"/>
              </w:rPr>
              <w:t>......</w:t>
            </w:r>
          </w:p>
        </w:tc>
        <w:tc>
          <w:tcPr>
            <w:tcW w:w="643" w:type="dxa"/>
            <w:vAlign w:val="top"/>
          </w:tcPr>
          <w:p w14:paraId="1937EFB5">
            <w:pPr>
              <w:rPr>
                <w:rFonts w:ascii="Arial"/>
                <w:color w:val="auto"/>
                <w:sz w:val="20"/>
                <w:szCs w:val="20"/>
                <w:highlight w:val="none"/>
              </w:rPr>
            </w:pPr>
          </w:p>
        </w:tc>
        <w:tc>
          <w:tcPr>
            <w:tcW w:w="647" w:type="dxa"/>
            <w:vAlign w:val="top"/>
          </w:tcPr>
          <w:p w14:paraId="5658DAC6">
            <w:pPr>
              <w:rPr>
                <w:rFonts w:ascii="Arial"/>
                <w:color w:val="auto"/>
                <w:sz w:val="20"/>
                <w:szCs w:val="20"/>
                <w:highlight w:val="none"/>
              </w:rPr>
            </w:pPr>
          </w:p>
        </w:tc>
        <w:tc>
          <w:tcPr>
            <w:tcW w:w="643" w:type="dxa"/>
            <w:vAlign w:val="top"/>
          </w:tcPr>
          <w:p w14:paraId="0C6F541C">
            <w:pPr>
              <w:rPr>
                <w:rFonts w:ascii="Arial"/>
                <w:color w:val="auto"/>
                <w:sz w:val="20"/>
                <w:szCs w:val="20"/>
                <w:highlight w:val="none"/>
              </w:rPr>
            </w:pPr>
          </w:p>
        </w:tc>
        <w:tc>
          <w:tcPr>
            <w:tcW w:w="647" w:type="dxa"/>
            <w:vAlign w:val="top"/>
          </w:tcPr>
          <w:p w14:paraId="57C1741E">
            <w:pPr>
              <w:rPr>
                <w:rFonts w:ascii="Arial"/>
                <w:color w:val="auto"/>
                <w:sz w:val="20"/>
                <w:szCs w:val="20"/>
                <w:highlight w:val="none"/>
              </w:rPr>
            </w:pPr>
          </w:p>
        </w:tc>
        <w:tc>
          <w:tcPr>
            <w:tcW w:w="648" w:type="dxa"/>
            <w:vAlign w:val="top"/>
          </w:tcPr>
          <w:p w14:paraId="1E509C61">
            <w:pPr>
              <w:rPr>
                <w:rFonts w:ascii="Arial"/>
                <w:color w:val="auto"/>
                <w:sz w:val="20"/>
                <w:szCs w:val="20"/>
                <w:highlight w:val="none"/>
              </w:rPr>
            </w:pPr>
          </w:p>
        </w:tc>
        <w:tc>
          <w:tcPr>
            <w:tcW w:w="1132" w:type="dxa"/>
            <w:vAlign w:val="top"/>
          </w:tcPr>
          <w:p w14:paraId="087BC147">
            <w:pPr>
              <w:rPr>
                <w:rFonts w:ascii="Arial"/>
                <w:color w:val="auto"/>
                <w:sz w:val="20"/>
                <w:szCs w:val="20"/>
                <w:highlight w:val="none"/>
              </w:rPr>
            </w:pPr>
          </w:p>
        </w:tc>
        <w:tc>
          <w:tcPr>
            <w:tcW w:w="1146" w:type="dxa"/>
            <w:vAlign w:val="top"/>
          </w:tcPr>
          <w:p w14:paraId="5AB188D6">
            <w:pPr>
              <w:rPr>
                <w:rFonts w:ascii="Arial"/>
                <w:color w:val="auto"/>
                <w:sz w:val="20"/>
                <w:szCs w:val="20"/>
                <w:highlight w:val="none"/>
              </w:rPr>
            </w:pPr>
          </w:p>
        </w:tc>
      </w:tr>
      <w:tr w14:paraId="5E83A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089" w:type="dxa"/>
            <w:gridSpan w:val="7"/>
            <w:vAlign w:val="top"/>
          </w:tcPr>
          <w:p w14:paraId="7DDA2291">
            <w:pPr>
              <w:pStyle w:val="9"/>
              <w:spacing w:before="183" w:line="230" w:lineRule="auto"/>
              <w:ind w:left="2798"/>
              <w:rPr>
                <w:color w:val="auto"/>
                <w:sz w:val="20"/>
                <w:szCs w:val="20"/>
                <w:highlight w:val="none"/>
              </w:rPr>
            </w:pPr>
            <w:r>
              <w:rPr>
                <w:color w:val="auto"/>
                <w:spacing w:val="-1"/>
                <w:sz w:val="20"/>
                <w:szCs w:val="20"/>
                <w:highlight w:val="none"/>
              </w:rPr>
              <w:t>总</w:t>
            </w:r>
            <w:r>
              <w:rPr>
                <w:color w:val="auto"/>
                <w:spacing w:val="13"/>
                <w:sz w:val="20"/>
                <w:szCs w:val="20"/>
                <w:highlight w:val="none"/>
              </w:rPr>
              <w:t xml:space="preserve"> </w:t>
            </w:r>
            <w:r>
              <w:rPr>
                <w:color w:val="auto"/>
                <w:spacing w:val="-1"/>
                <w:sz w:val="20"/>
                <w:szCs w:val="20"/>
                <w:highlight w:val="none"/>
              </w:rPr>
              <w:t>计</w:t>
            </w:r>
          </w:p>
        </w:tc>
        <w:tc>
          <w:tcPr>
            <w:tcW w:w="1132" w:type="dxa"/>
            <w:vAlign w:val="top"/>
          </w:tcPr>
          <w:p w14:paraId="5C6F769F">
            <w:pPr>
              <w:rPr>
                <w:rFonts w:ascii="Arial"/>
                <w:color w:val="auto"/>
                <w:sz w:val="20"/>
                <w:szCs w:val="20"/>
                <w:highlight w:val="none"/>
              </w:rPr>
            </w:pPr>
          </w:p>
        </w:tc>
        <w:tc>
          <w:tcPr>
            <w:tcW w:w="1146" w:type="dxa"/>
            <w:vAlign w:val="top"/>
          </w:tcPr>
          <w:p w14:paraId="1DFB43F6">
            <w:pPr>
              <w:rPr>
                <w:rFonts w:ascii="Arial"/>
                <w:color w:val="auto"/>
                <w:sz w:val="20"/>
                <w:szCs w:val="20"/>
                <w:highlight w:val="none"/>
              </w:rPr>
            </w:pPr>
          </w:p>
        </w:tc>
      </w:tr>
    </w:tbl>
    <w:p w14:paraId="5BE15A1B">
      <w:pPr>
        <w:pStyle w:val="2"/>
        <w:rPr>
          <w:color w:val="auto"/>
          <w:sz w:val="20"/>
          <w:szCs w:val="20"/>
          <w:highlight w:val="none"/>
        </w:rPr>
      </w:pPr>
    </w:p>
    <w:p w14:paraId="01332CAC">
      <w:pPr>
        <w:pStyle w:val="2"/>
        <w:rPr>
          <w:color w:val="auto"/>
          <w:sz w:val="20"/>
          <w:szCs w:val="20"/>
          <w:highlight w:val="none"/>
        </w:rPr>
      </w:pPr>
    </w:p>
    <w:p w14:paraId="4B1209DB">
      <w:pPr>
        <w:pStyle w:val="2"/>
        <w:rPr>
          <w:color w:val="auto"/>
          <w:sz w:val="20"/>
          <w:szCs w:val="20"/>
          <w:highlight w:val="none"/>
        </w:rPr>
      </w:pPr>
    </w:p>
    <w:p w14:paraId="0BE04BBC">
      <w:pPr>
        <w:spacing w:before="78" w:line="219" w:lineRule="auto"/>
        <w:ind w:left="407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3DBEB433">
      <w:pPr>
        <w:spacing w:before="182" w:line="220" w:lineRule="auto"/>
        <w:ind w:left="6326"/>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25"/>
          <w:sz w:val="20"/>
          <w:szCs w:val="20"/>
          <w:highlight w:val="none"/>
        </w:rPr>
        <w:t xml:space="preserve">  </w:t>
      </w:r>
      <w:r>
        <w:rPr>
          <w:rFonts w:ascii="宋体" w:hAnsi="宋体" w:eastAsia="宋体" w:cs="宋体"/>
          <w:color w:val="auto"/>
          <w:spacing w:val="-13"/>
          <w:sz w:val="20"/>
          <w:szCs w:val="20"/>
          <w:highlight w:val="none"/>
        </w:rPr>
        <w:t>日</w:t>
      </w:r>
    </w:p>
    <w:p w14:paraId="134F6E79">
      <w:pPr>
        <w:spacing w:before="177" w:line="228" w:lineRule="auto"/>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附件四：拟投入本合同工程的材料进场计划表</w:t>
      </w:r>
    </w:p>
    <w:p w14:paraId="4FF19DB5">
      <w:pPr>
        <w:spacing w:before="284" w:line="228" w:lineRule="auto"/>
        <w:ind w:left="2806"/>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拟投入本合同工程的材料进场计划表</w:t>
      </w:r>
    </w:p>
    <w:p w14:paraId="16DF551B">
      <w:pPr>
        <w:spacing w:before="25"/>
        <w:rPr>
          <w:color w:val="auto"/>
          <w:sz w:val="20"/>
          <w:szCs w:val="20"/>
          <w:highlight w:val="none"/>
        </w:rPr>
      </w:pPr>
    </w:p>
    <w:tbl>
      <w:tblPr>
        <w:tblStyle w:val="8"/>
        <w:tblW w:w="8355"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4"/>
        <w:gridCol w:w="902"/>
        <w:gridCol w:w="906"/>
        <w:gridCol w:w="906"/>
        <w:gridCol w:w="906"/>
        <w:gridCol w:w="911"/>
        <w:gridCol w:w="902"/>
        <w:gridCol w:w="907"/>
        <w:gridCol w:w="921"/>
      </w:tblGrid>
      <w:tr w14:paraId="10D8D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94" w:type="dxa"/>
            <w:vMerge w:val="restart"/>
            <w:tcBorders>
              <w:bottom w:val="nil"/>
            </w:tcBorders>
            <w:vAlign w:val="top"/>
          </w:tcPr>
          <w:p w14:paraId="2685B00A">
            <w:pPr>
              <w:spacing w:line="397" w:lineRule="auto"/>
              <w:rPr>
                <w:rFonts w:ascii="Arial"/>
                <w:color w:val="auto"/>
                <w:sz w:val="20"/>
                <w:szCs w:val="20"/>
                <w:highlight w:val="none"/>
              </w:rPr>
            </w:pPr>
          </w:p>
          <w:p w14:paraId="32A016AC">
            <w:pPr>
              <w:pStyle w:val="9"/>
              <w:spacing w:before="65" w:line="231" w:lineRule="auto"/>
              <w:ind w:left="345"/>
              <w:rPr>
                <w:color w:val="auto"/>
                <w:sz w:val="20"/>
                <w:szCs w:val="20"/>
                <w:highlight w:val="none"/>
              </w:rPr>
            </w:pPr>
            <w:r>
              <w:rPr>
                <w:color w:val="auto"/>
                <w:spacing w:val="3"/>
                <w:sz w:val="20"/>
                <w:szCs w:val="20"/>
                <w:highlight w:val="none"/>
              </w:rPr>
              <w:t>名称</w:t>
            </w:r>
          </w:p>
        </w:tc>
        <w:tc>
          <w:tcPr>
            <w:tcW w:w="902" w:type="dxa"/>
            <w:vMerge w:val="restart"/>
            <w:tcBorders>
              <w:bottom w:val="nil"/>
            </w:tcBorders>
            <w:vAlign w:val="top"/>
          </w:tcPr>
          <w:p w14:paraId="2F56740E">
            <w:pPr>
              <w:spacing w:line="398" w:lineRule="auto"/>
              <w:rPr>
                <w:rFonts w:ascii="Arial"/>
                <w:color w:val="auto"/>
                <w:sz w:val="20"/>
                <w:szCs w:val="20"/>
                <w:highlight w:val="none"/>
              </w:rPr>
            </w:pPr>
          </w:p>
          <w:p w14:paraId="6F2D2B0F">
            <w:pPr>
              <w:pStyle w:val="9"/>
              <w:spacing w:before="65" w:line="228" w:lineRule="auto"/>
              <w:ind w:left="245"/>
              <w:rPr>
                <w:color w:val="auto"/>
                <w:sz w:val="20"/>
                <w:szCs w:val="20"/>
                <w:highlight w:val="none"/>
              </w:rPr>
            </w:pPr>
            <w:r>
              <w:rPr>
                <w:color w:val="auto"/>
                <w:spacing w:val="4"/>
                <w:sz w:val="20"/>
                <w:szCs w:val="20"/>
                <w:highlight w:val="none"/>
              </w:rPr>
              <w:t>规格</w:t>
            </w:r>
          </w:p>
        </w:tc>
        <w:tc>
          <w:tcPr>
            <w:tcW w:w="906" w:type="dxa"/>
            <w:vMerge w:val="restart"/>
            <w:tcBorders>
              <w:bottom w:val="nil"/>
            </w:tcBorders>
            <w:vAlign w:val="top"/>
          </w:tcPr>
          <w:p w14:paraId="1B7D9782">
            <w:pPr>
              <w:spacing w:line="402" w:lineRule="auto"/>
              <w:rPr>
                <w:rFonts w:ascii="Arial"/>
                <w:color w:val="auto"/>
                <w:sz w:val="20"/>
                <w:szCs w:val="20"/>
                <w:highlight w:val="none"/>
              </w:rPr>
            </w:pPr>
          </w:p>
          <w:p w14:paraId="63E7A522">
            <w:pPr>
              <w:pStyle w:val="9"/>
              <w:spacing w:before="65" w:line="229" w:lineRule="auto"/>
              <w:ind w:left="36"/>
              <w:rPr>
                <w:color w:val="auto"/>
                <w:sz w:val="20"/>
                <w:szCs w:val="20"/>
                <w:highlight w:val="none"/>
              </w:rPr>
            </w:pPr>
            <w:r>
              <w:rPr>
                <w:color w:val="auto"/>
                <w:spacing w:val="7"/>
                <w:sz w:val="20"/>
                <w:szCs w:val="20"/>
                <w:highlight w:val="none"/>
              </w:rPr>
              <w:t>计量单位</w:t>
            </w:r>
          </w:p>
        </w:tc>
        <w:tc>
          <w:tcPr>
            <w:tcW w:w="4532" w:type="dxa"/>
            <w:gridSpan w:val="5"/>
            <w:vAlign w:val="top"/>
          </w:tcPr>
          <w:p w14:paraId="64EF3A6A">
            <w:pPr>
              <w:pStyle w:val="9"/>
              <w:spacing w:before="182" w:line="228" w:lineRule="auto"/>
              <w:ind w:left="2012"/>
              <w:rPr>
                <w:color w:val="auto"/>
                <w:sz w:val="20"/>
                <w:szCs w:val="20"/>
                <w:highlight w:val="none"/>
              </w:rPr>
            </w:pPr>
            <w:r>
              <w:rPr>
                <w:color w:val="auto"/>
                <w:sz w:val="20"/>
                <w:szCs w:val="20"/>
                <w:highlight w:val="none"/>
              </w:rPr>
              <w:t>数</w:t>
            </w:r>
            <w:r>
              <w:rPr>
                <w:color w:val="auto"/>
                <w:spacing w:val="13"/>
                <w:sz w:val="20"/>
                <w:szCs w:val="20"/>
                <w:highlight w:val="none"/>
              </w:rPr>
              <w:t xml:space="preserve"> </w:t>
            </w:r>
            <w:r>
              <w:rPr>
                <w:color w:val="auto"/>
                <w:sz w:val="20"/>
                <w:szCs w:val="20"/>
                <w:highlight w:val="none"/>
              </w:rPr>
              <w:t>量</w:t>
            </w:r>
          </w:p>
        </w:tc>
        <w:tc>
          <w:tcPr>
            <w:tcW w:w="921" w:type="dxa"/>
            <w:vMerge w:val="restart"/>
            <w:tcBorders>
              <w:bottom w:val="nil"/>
            </w:tcBorders>
            <w:vAlign w:val="top"/>
          </w:tcPr>
          <w:p w14:paraId="2221F30A">
            <w:pPr>
              <w:spacing w:line="397" w:lineRule="auto"/>
              <w:rPr>
                <w:rFonts w:ascii="Arial"/>
                <w:color w:val="auto"/>
                <w:sz w:val="20"/>
                <w:szCs w:val="20"/>
                <w:highlight w:val="none"/>
              </w:rPr>
            </w:pPr>
          </w:p>
          <w:p w14:paraId="4DEB8A9C">
            <w:pPr>
              <w:pStyle w:val="9"/>
              <w:spacing w:before="65" w:line="230" w:lineRule="auto"/>
              <w:ind w:left="258"/>
              <w:rPr>
                <w:color w:val="auto"/>
                <w:sz w:val="20"/>
                <w:szCs w:val="20"/>
                <w:highlight w:val="none"/>
              </w:rPr>
            </w:pPr>
            <w:r>
              <w:rPr>
                <w:color w:val="auto"/>
                <w:spacing w:val="3"/>
                <w:sz w:val="20"/>
                <w:szCs w:val="20"/>
                <w:highlight w:val="none"/>
              </w:rPr>
              <w:t>备注</w:t>
            </w:r>
          </w:p>
        </w:tc>
      </w:tr>
      <w:tr w14:paraId="539CE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4" w:type="dxa"/>
            <w:vMerge w:val="continue"/>
            <w:tcBorders>
              <w:top w:val="nil"/>
            </w:tcBorders>
            <w:vAlign w:val="top"/>
          </w:tcPr>
          <w:p w14:paraId="1AD4B98C">
            <w:pPr>
              <w:rPr>
                <w:rFonts w:ascii="Arial"/>
                <w:color w:val="auto"/>
                <w:sz w:val="20"/>
                <w:szCs w:val="20"/>
                <w:highlight w:val="none"/>
              </w:rPr>
            </w:pPr>
          </w:p>
        </w:tc>
        <w:tc>
          <w:tcPr>
            <w:tcW w:w="902" w:type="dxa"/>
            <w:vMerge w:val="continue"/>
            <w:tcBorders>
              <w:top w:val="nil"/>
            </w:tcBorders>
            <w:vAlign w:val="top"/>
          </w:tcPr>
          <w:p w14:paraId="6E36EBDC">
            <w:pPr>
              <w:rPr>
                <w:rFonts w:ascii="Arial"/>
                <w:color w:val="auto"/>
                <w:sz w:val="20"/>
                <w:szCs w:val="20"/>
                <w:highlight w:val="none"/>
              </w:rPr>
            </w:pPr>
          </w:p>
        </w:tc>
        <w:tc>
          <w:tcPr>
            <w:tcW w:w="906" w:type="dxa"/>
            <w:vMerge w:val="continue"/>
            <w:tcBorders>
              <w:top w:val="nil"/>
            </w:tcBorders>
            <w:vAlign w:val="top"/>
          </w:tcPr>
          <w:p w14:paraId="16D2FFF3">
            <w:pPr>
              <w:rPr>
                <w:rFonts w:ascii="Arial"/>
                <w:color w:val="auto"/>
                <w:sz w:val="20"/>
                <w:szCs w:val="20"/>
                <w:highlight w:val="none"/>
              </w:rPr>
            </w:pPr>
          </w:p>
        </w:tc>
        <w:tc>
          <w:tcPr>
            <w:tcW w:w="906" w:type="dxa"/>
            <w:vAlign w:val="top"/>
          </w:tcPr>
          <w:p w14:paraId="79988AD2">
            <w:pPr>
              <w:pStyle w:val="9"/>
              <w:spacing w:before="173" w:line="234" w:lineRule="auto"/>
              <w:ind w:left="249"/>
              <w:rPr>
                <w:color w:val="auto"/>
                <w:sz w:val="20"/>
                <w:szCs w:val="20"/>
                <w:highlight w:val="none"/>
              </w:rPr>
            </w:pPr>
            <w:r>
              <w:rPr>
                <w:color w:val="auto"/>
                <w:spacing w:val="3"/>
                <w:sz w:val="20"/>
                <w:szCs w:val="20"/>
                <w:highlight w:val="none"/>
              </w:rPr>
              <w:t>总量</w:t>
            </w:r>
          </w:p>
        </w:tc>
        <w:tc>
          <w:tcPr>
            <w:tcW w:w="906" w:type="dxa"/>
            <w:vAlign w:val="top"/>
          </w:tcPr>
          <w:p w14:paraId="1FD2DB54">
            <w:pPr>
              <w:pStyle w:val="9"/>
              <w:spacing w:before="173" w:line="228" w:lineRule="auto"/>
              <w:ind w:left="358"/>
              <w:rPr>
                <w:color w:val="auto"/>
                <w:sz w:val="20"/>
                <w:szCs w:val="20"/>
                <w:highlight w:val="none"/>
              </w:rPr>
            </w:pPr>
            <w:r>
              <w:rPr>
                <w:color w:val="auto"/>
                <w:sz w:val="20"/>
                <w:szCs w:val="20"/>
                <w:highlight w:val="none"/>
              </w:rPr>
              <w:t>月</w:t>
            </w:r>
          </w:p>
        </w:tc>
        <w:tc>
          <w:tcPr>
            <w:tcW w:w="911" w:type="dxa"/>
            <w:vAlign w:val="top"/>
          </w:tcPr>
          <w:p w14:paraId="5F30849A">
            <w:pPr>
              <w:pStyle w:val="9"/>
              <w:spacing w:before="173" w:line="228" w:lineRule="auto"/>
              <w:ind w:left="362"/>
              <w:rPr>
                <w:color w:val="auto"/>
                <w:sz w:val="20"/>
                <w:szCs w:val="20"/>
                <w:highlight w:val="none"/>
              </w:rPr>
            </w:pPr>
            <w:r>
              <w:rPr>
                <w:color w:val="auto"/>
                <w:sz w:val="20"/>
                <w:szCs w:val="20"/>
                <w:highlight w:val="none"/>
              </w:rPr>
              <w:t>月</w:t>
            </w:r>
          </w:p>
        </w:tc>
        <w:tc>
          <w:tcPr>
            <w:tcW w:w="902" w:type="dxa"/>
            <w:vAlign w:val="top"/>
          </w:tcPr>
          <w:p w14:paraId="5714ADDD">
            <w:pPr>
              <w:pStyle w:val="9"/>
              <w:spacing w:before="173" w:line="228" w:lineRule="auto"/>
              <w:ind w:left="358"/>
              <w:rPr>
                <w:color w:val="auto"/>
                <w:sz w:val="20"/>
                <w:szCs w:val="20"/>
                <w:highlight w:val="none"/>
              </w:rPr>
            </w:pPr>
            <w:r>
              <w:rPr>
                <w:color w:val="auto"/>
                <w:sz w:val="20"/>
                <w:szCs w:val="20"/>
                <w:highlight w:val="none"/>
              </w:rPr>
              <w:t>月</w:t>
            </w:r>
          </w:p>
        </w:tc>
        <w:tc>
          <w:tcPr>
            <w:tcW w:w="907" w:type="dxa"/>
            <w:vAlign w:val="top"/>
          </w:tcPr>
          <w:p w14:paraId="5B4B71FA">
            <w:pPr>
              <w:pStyle w:val="9"/>
              <w:spacing w:before="173" w:line="228" w:lineRule="auto"/>
              <w:ind w:left="171"/>
              <w:rPr>
                <w:color w:val="auto"/>
                <w:sz w:val="20"/>
                <w:szCs w:val="20"/>
                <w:highlight w:val="none"/>
              </w:rPr>
            </w:pPr>
            <w:r>
              <w:rPr>
                <w:color w:val="auto"/>
                <w:sz w:val="20"/>
                <w:szCs w:val="20"/>
                <w:highlight w:val="none"/>
              </w:rPr>
              <w:t>月</w:t>
            </w:r>
          </w:p>
        </w:tc>
        <w:tc>
          <w:tcPr>
            <w:tcW w:w="921" w:type="dxa"/>
            <w:vMerge w:val="continue"/>
            <w:tcBorders>
              <w:top w:val="nil"/>
            </w:tcBorders>
            <w:vAlign w:val="top"/>
          </w:tcPr>
          <w:p w14:paraId="705A1F63">
            <w:pPr>
              <w:rPr>
                <w:rFonts w:ascii="Arial"/>
                <w:color w:val="auto"/>
                <w:sz w:val="20"/>
                <w:szCs w:val="20"/>
                <w:highlight w:val="none"/>
              </w:rPr>
            </w:pPr>
          </w:p>
        </w:tc>
      </w:tr>
      <w:tr w14:paraId="26BFD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94" w:type="dxa"/>
            <w:vAlign w:val="top"/>
          </w:tcPr>
          <w:p w14:paraId="7B535E17">
            <w:pPr>
              <w:rPr>
                <w:rFonts w:ascii="Arial"/>
                <w:color w:val="auto"/>
                <w:sz w:val="20"/>
                <w:szCs w:val="20"/>
                <w:highlight w:val="none"/>
              </w:rPr>
            </w:pPr>
          </w:p>
        </w:tc>
        <w:tc>
          <w:tcPr>
            <w:tcW w:w="902" w:type="dxa"/>
            <w:vAlign w:val="top"/>
          </w:tcPr>
          <w:p w14:paraId="109CC6D6">
            <w:pPr>
              <w:rPr>
                <w:rFonts w:ascii="Arial"/>
                <w:color w:val="auto"/>
                <w:sz w:val="20"/>
                <w:szCs w:val="20"/>
                <w:highlight w:val="none"/>
              </w:rPr>
            </w:pPr>
          </w:p>
        </w:tc>
        <w:tc>
          <w:tcPr>
            <w:tcW w:w="906" w:type="dxa"/>
            <w:vAlign w:val="top"/>
          </w:tcPr>
          <w:p w14:paraId="759EE3AC">
            <w:pPr>
              <w:rPr>
                <w:rFonts w:ascii="Arial"/>
                <w:color w:val="auto"/>
                <w:sz w:val="20"/>
                <w:szCs w:val="20"/>
                <w:highlight w:val="none"/>
              </w:rPr>
            </w:pPr>
          </w:p>
        </w:tc>
        <w:tc>
          <w:tcPr>
            <w:tcW w:w="906" w:type="dxa"/>
            <w:vAlign w:val="top"/>
          </w:tcPr>
          <w:p w14:paraId="7FCD5220">
            <w:pPr>
              <w:rPr>
                <w:rFonts w:ascii="Arial"/>
                <w:color w:val="auto"/>
                <w:sz w:val="20"/>
                <w:szCs w:val="20"/>
                <w:highlight w:val="none"/>
              </w:rPr>
            </w:pPr>
          </w:p>
        </w:tc>
        <w:tc>
          <w:tcPr>
            <w:tcW w:w="906" w:type="dxa"/>
            <w:vAlign w:val="top"/>
          </w:tcPr>
          <w:p w14:paraId="21F2693E">
            <w:pPr>
              <w:rPr>
                <w:rFonts w:ascii="Arial"/>
                <w:color w:val="auto"/>
                <w:sz w:val="20"/>
                <w:szCs w:val="20"/>
                <w:highlight w:val="none"/>
              </w:rPr>
            </w:pPr>
          </w:p>
        </w:tc>
        <w:tc>
          <w:tcPr>
            <w:tcW w:w="911" w:type="dxa"/>
            <w:vAlign w:val="top"/>
          </w:tcPr>
          <w:p w14:paraId="5E66F850">
            <w:pPr>
              <w:rPr>
                <w:rFonts w:ascii="Arial"/>
                <w:color w:val="auto"/>
                <w:sz w:val="20"/>
                <w:szCs w:val="20"/>
                <w:highlight w:val="none"/>
              </w:rPr>
            </w:pPr>
          </w:p>
        </w:tc>
        <w:tc>
          <w:tcPr>
            <w:tcW w:w="902" w:type="dxa"/>
            <w:vAlign w:val="top"/>
          </w:tcPr>
          <w:p w14:paraId="71F3F151">
            <w:pPr>
              <w:rPr>
                <w:rFonts w:ascii="Arial"/>
                <w:color w:val="auto"/>
                <w:sz w:val="20"/>
                <w:szCs w:val="20"/>
                <w:highlight w:val="none"/>
              </w:rPr>
            </w:pPr>
          </w:p>
        </w:tc>
        <w:tc>
          <w:tcPr>
            <w:tcW w:w="907" w:type="dxa"/>
            <w:vAlign w:val="top"/>
          </w:tcPr>
          <w:p w14:paraId="33F10BDE">
            <w:pPr>
              <w:rPr>
                <w:rFonts w:ascii="Arial"/>
                <w:color w:val="auto"/>
                <w:sz w:val="20"/>
                <w:szCs w:val="20"/>
                <w:highlight w:val="none"/>
              </w:rPr>
            </w:pPr>
          </w:p>
        </w:tc>
        <w:tc>
          <w:tcPr>
            <w:tcW w:w="921" w:type="dxa"/>
            <w:vAlign w:val="top"/>
          </w:tcPr>
          <w:p w14:paraId="1A675422">
            <w:pPr>
              <w:rPr>
                <w:rFonts w:ascii="Arial"/>
                <w:color w:val="auto"/>
                <w:sz w:val="20"/>
                <w:szCs w:val="20"/>
                <w:highlight w:val="none"/>
              </w:rPr>
            </w:pPr>
          </w:p>
        </w:tc>
      </w:tr>
      <w:tr w14:paraId="6A75C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94" w:type="dxa"/>
            <w:vAlign w:val="top"/>
          </w:tcPr>
          <w:p w14:paraId="357075FE">
            <w:pPr>
              <w:rPr>
                <w:rFonts w:ascii="Arial"/>
                <w:color w:val="auto"/>
                <w:sz w:val="20"/>
                <w:szCs w:val="20"/>
                <w:highlight w:val="none"/>
              </w:rPr>
            </w:pPr>
          </w:p>
        </w:tc>
        <w:tc>
          <w:tcPr>
            <w:tcW w:w="902" w:type="dxa"/>
            <w:vAlign w:val="top"/>
          </w:tcPr>
          <w:p w14:paraId="55282522">
            <w:pPr>
              <w:rPr>
                <w:rFonts w:ascii="Arial"/>
                <w:color w:val="auto"/>
                <w:sz w:val="20"/>
                <w:szCs w:val="20"/>
                <w:highlight w:val="none"/>
              </w:rPr>
            </w:pPr>
          </w:p>
        </w:tc>
        <w:tc>
          <w:tcPr>
            <w:tcW w:w="906" w:type="dxa"/>
            <w:vAlign w:val="top"/>
          </w:tcPr>
          <w:p w14:paraId="4D394E9A">
            <w:pPr>
              <w:rPr>
                <w:rFonts w:ascii="Arial"/>
                <w:color w:val="auto"/>
                <w:sz w:val="20"/>
                <w:szCs w:val="20"/>
                <w:highlight w:val="none"/>
              </w:rPr>
            </w:pPr>
          </w:p>
        </w:tc>
        <w:tc>
          <w:tcPr>
            <w:tcW w:w="906" w:type="dxa"/>
            <w:vAlign w:val="top"/>
          </w:tcPr>
          <w:p w14:paraId="09E66256">
            <w:pPr>
              <w:rPr>
                <w:rFonts w:ascii="Arial"/>
                <w:color w:val="auto"/>
                <w:sz w:val="20"/>
                <w:szCs w:val="20"/>
                <w:highlight w:val="none"/>
              </w:rPr>
            </w:pPr>
          </w:p>
        </w:tc>
        <w:tc>
          <w:tcPr>
            <w:tcW w:w="906" w:type="dxa"/>
            <w:vAlign w:val="top"/>
          </w:tcPr>
          <w:p w14:paraId="6C9A4290">
            <w:pPr>
              <w:rPr>
                <w:rFonts w:ascii="Arial"/>
                <w:color w:val="auto"/>
                <w:sz w:val="20"/>
                <w:szCs w:val="20"/>
                <w:highlight w:val="none"/>
              </w:rPr>
            </w:pPr>
          </w:p>
        </w:tc>
        <w:tc>
          <w:tcPr>
            <w:tcW w:w="911" w:type="dxa"/>
            <w:vAlign w:val="top"/>
          </w:tcPr>
          <w:p w14:paraId="7E066510">
            <w:pPr>
              <w:rPr>
                <w:rFonts w:ascii="Arial"/>
                <w:color w:val="auto"/>
                <w:sz w:val="20"/>
                <w:szCs w:val="20"/>
                <w:highlight w:val="none"/>
              </w:rPr>
            </w:pPr>
          </w:p>
        </w:tc>
        <w:tc>
          <w:tcPr>
            <w:tcW w:w="902" w:type="dxa"/>
            <w:vAlign w:val="top"/>
          </w:tcPr>
          <w:p w14:paraId="2DE61441">
            <w:pPr>
              <w:rPr>
                <w:rFonts w:ascii="Arial"/>
                <w:color w:val="auto"/>
                <w:sz w:val="20"/>
                <w:szCs w:val="20"/>
                <w:highlight w:val="none"/>
              </w:rPr>
            </w:pPr>
          </w:p>
        </w:tc>
        <w:tc>
          <w:tcPr>
            <w:tcW w:w="907" w:type="dxa"/>
            <w:vAlign w:val="top"/>
          </w:tcPr>
          <w:p w14:paraId="1ECA978D">
            <w:pPr>
              <w:rPr>
                <w:rFonts w:ascii="Arial"/>
                <w:color w:val="auto"/>
                <w:sz w:val="20"/>
                <w:szCs w:val="20"/>
                <w:highlight w:val="none"/>
              </w:rPr>
            </w:pPr>
          </w:p>
        </w:tc>
        <w:tc>
          <w:tcPr>
            <w:tcW w:w="921" w:type="dxa"/>
            <w:vAlign w:val="top"/>
          </w:tcPr>
          <w:p w14:paraId="52090371">
            <w:pPr>
              <w:rPr>
                <w:rFonts w:ascii="Arial"/>
                <w:color w:val="auto"/>
                <w:sz w:val="20"/>
                <w:szCs w:val="20"/>
                <w:highlight w:val="none"/>
              </w:rPr>
            </w:pPr>
          </w:p>
        </w:tc>
      </w:tr>
      <w:tr w14:paraId="71B19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94" w:type="dxa"/>
            <w:vAlign w:val="top"/>
          </w:tcPr>
          <w:p w14:paraId="2154A17C">
            <w:pPr>
              <w:rPr>
                <w:rFonts w:ascii="Arial"/>
                <w:color w:val="auto"/>
                <w:sz w:val="20"/>
                <w:szCs w:val="20"/>
                <w:highlight w:val="none"/>
              </w:rPr>
            </w:pPr>
          </w:p>
        </w:tc>
        <w:tc>
          <w:tcPr>
            <w:tcW w:w="902" w:type="dxa"/>
            <w:vAlign w:val="top"/>
          </w:tcPr>
          <w:p w14:paraId="319D4978">
            <w:pPr>
              <w:rPr>
                <w:rFonts w:ascii="Arial"/>
                <w:color w:val="auto"/>
                <w:sz w:val="20"/>
                <w:szCs w:val="20"/>
                <w:highlight w:val="none"/>
              </w:rPr>
            </w:pPr>
          </w:p>
        </w:tc>
        <w:tc>
          <w:tcPr>
            <w:tcW w:w="906" w:type="dxa"/>
            <w:vAlign w:val="top"/>
          </w:tcPr>
          <w:p w14:paraId="73624A09">
            <w:pPr>
              <w:rPr>
                <w:rFonts w:ascii="Arial"/>
                <w:color w:val="auto"/>
                <w:sz w:val="20"/>
                <w:szCs w:val="20"/>
                <w:highlight w:val="none"/>
              </w:rPr>
            </w:pPr>
          </w:p>
        </w:tc>
        <w:tc>
          <w:tcPr>
            <w:tcW w:w="906" w:type="dxa"/>
            <w:vAlign w:val="top"/>
          </w:tcPr>
          <w:p w14:paraId="4B80B199">
            <w:pPr>
              <w:rPr>
                <w:rFonts w:ascii="Arial"/>
                <w:color w:val="auto"/>
                <w:sz w:val="20"/>
                <w:szCs w:val="20"/>
                <w:highlight w:val="none"/>
              </w:rPr>
            </w:pPr>
          </w:p>
        </w:tc>
        <w:tc>
          <w:tcPr>
            <w:tcW w:w="906" w:type="dxa"/>
            <w:vAlign w:val="top"/>
          </w:tcPr>
          <w:p w14:paraId="579D134A">
            <w:pPr>
              <w:rPr>
                <w:rFonts w:ascii="Arial"/>
                <w:color w:val="auto"/>
                <w:sz w:val="20"/>
                <w:szCs w:val="20"/>
                <w:highlight w:val="none"/>
              </w:rPr>
            </w:pPr>
          </w:p>
        </w:tc>
        <w:tc>
          <w:tcPr>
            <w:tcW w:w="911" w:type="dxa"/>
            <w:vAlign w:val="top"/>
          </w:tcPr>
          <w:p w14:paraId="1083EFBC">
            <w:pPr>
              <w:rPr>
                <w:rFonts w:ascii="Arial"/>
                <w:color w:val="auto"/>
                <w:sz w:val="20"/>
                <w:szCs w:val="20"/>
                <w:highlight w:val="none"/>
              </w:rPr>
            </w:pPr>
          </w:p>
        </w:tc>
        <w:tc>
          <w:tcPr>
            <w:tcW w:w="902" w:type="dxa"/>
            <w:vAlign w:val="top"/>
          </w:tcPr>
          <w:p w14:paraId="339B4485">
            <w:pPr>
              <w:rPr>
                <w:rFonts w:ascii="Arial"/>
                <w:color w:val="auto"/>
                <w:sz w:val="20"/>
                <w:szCs w:val="20"/>
                <w:highlight w:val="none"/>
              </w:rPr>
            </w:pPr>
          </w:p>
        </w:tc>
        <w:tc>
          <w:tcPr>
            <w:tcW w:w="907" w:type="dxa"/>
            <w:vAlign w:val="top"/>
          </w:tcPr>
          <w:p w14:paraId="074D1C2D">
            <w:pPr>
              <w:rPr>
                <w:rFonts w:ascii="Arial"/>
                <w:color w:val="auto"/>
                <w:sz w:val="20"/>
                <w:szCs w:val="20"/>
                <w:highlight w:val="none"/>
              </w:rPr>
            </w:pPr>
          </w:p>
        </w:tc>
        <w:tc>
          <w:tcPr>
            <w:tcW w:w="921" w:type="dxa"/>
            <w:vAlign w:val="top"/>
          </w:tcPr>
          <w:p w14:paraId="535E9317">
            <w:pPr>
              <w:rPr>
                <w:rFonts w:ascii="Arial"/>
                <w:color w:val="auto"/>
                <w:sz w:val="20"/>
                <w:szCs w:val="20"/>
                <w:highlight w:val="none"/>
              </w:rPr>
            </w:pPr>
          </w:p>
        </w:tc>
      </w:tr>
      <w:tr w14:paraId="041F2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1094" w:type="dxa"/>
            <w:vAlign w:val="top"/>
          </w:tcPr>
          <w:p w14:paraId="66980053">
            <w:pPr>
              <w:rPr>
                <w:rFonts w:ascii="Arial"/>
                <w:color w:val="auto"/>
                <w:sz w:val="20"/>
                <w:szCs w:val="20"/>
                <w:highlight w:val="none"/>
              </w:rPr>
            </w:pPr>
          </w:p>
        </w:tc>
        <w:tc>
          <w:tcPr>
            <w:tcW w:w="902" w:type="dxa"/>
            <w:vAlign w:val="top"/>
          </w:tcPr>
          <w:p w14:paraId="20FB38E6">
            <w:pPr>
              <w:rPr>
                <w:rFonts w:ascii="Arial"/>
                <w:color w:val="auto"/>
                <w:sz w:val="20"/>
                <w:szCs w:val="20"/>
                <w:highlight w:val="none"/>
              </w:rPr>
            </w:pPr>
          </w:p>
        </w:tc>
        <w:tc>
          <w:tcPr>
            <w:tcW w:w="906" w:type="dxa"/>
            <w:vAlign w:val="top"/>
          </w:tcPr>
          <w:p w14:paraId="3D15A4E2">
            <w:pPr>
              <w:rPr>
                <w:rFonts w:ascii="Arial"/>
                <w:color w:val="auto"/>
                <w:sz w:val="20"/>
                <w:szCs w:val="20"/>
                <w:highlight w:val="none"/>
              </w:rPr>
            </w:pPr>
          </w:p>
        </w:tc>
        <w:tc>
          <w:tcPr>
            <w:tcW w:w="906" w:type="dxa"/>
            <w:vAlign w:val="top"/>
          </w:tcPr>
          <w:p w14:paraId="31536603">
            <w:pPr>
              <w:rPr>
                <w:rFonts w:ascii="Arial"/>
                <w:color w:val="auto"/>
                <w:sz w:val="20"/>
                <w:szCs w:val="20"/>
                <w:highlight w:val="none"/>
              </w:rPr>
            </w:pPr>
          </w:p>
        </w:tc>
        <w:tc>
          <w:tcPr>
            <w:tcW w:w="906" w:type="dxa"/>
            <w:vAlign w:val="top"/>
          </w:tcPr>
          <w:p w14:paraId="2237BE17">
            <w:pPr>
              <w:rPr>
                <w:rFonts w:ascii="Arial"/>
                <w:color w:val="auto"/>
                <w:sz w:val="20"/>
                <w:szCs w:val="20"/>
                <w:highlight w:val="none"/>
              </w:rPr>
            </w:pPr>
          </w:p>
        </w:tc>
        <w:tc>
          <w:tcPr>
            <w:tcW w:w="911" w:type="dxa"/>
            <w:vAlign w:val="top"/>
          </w:tcPr>
          <w:p w14:paraId="42853533">
            <w:pPr>
              <w:rPr>
                <w:rFonts w:ascii="Arial"/>
                <w:color w:val="auto"/>
                <w:sz w:val="20"/>
                <w:szCs w:val="20"/>
                <w:highlight w:val="none"/>
              </w:rPr>
            </w:pPr>
          </w:p>
        </w:tc>
        <w:tc>
          <w:tcPr>
            <w:tcW w:w="902" w:type="dxa"/>
            <w:vAlign w:val="top"/>
          </w:tcPr>
          <w:p w14:paraId="4500055B">
            <w:pPr>
              <w:rPr>
                <w:rFonts w:ascii="Arial"/>
                <w:color w:val="auto"/>
                <w:sz w:val="20"/>
                <w:szCs w:val="20"/>
                <w:highlight w:val="none"/>
              </w:rPr>
            </w:pPr>
          </w:p>
        </w:tc>
        <w:tc>
          <w:tcPr>
            <w:tcW w:w="907" w:type="dxa"/>
            <w:vAlign w:val="top"/>
          </w:tcPr>
          <w:p w14:paraId="068B6CCC">
            <w:pPr>
              <w:rPr>
                <w:rFonts w:ascii="Arial"/>
                <w:color w:val="auto"/>
                <w:sz w:val="20"/>
                <w:szCs w:val="20"/>
                <w:highlight w:val="none"/>
              </w:rPr>
            </w:pPr>
          </w:p>
        </w:tc>
        <w:tc>
          <w:tcPr>
            <w:tcW w:w="921" w:type="dxa"/>
            <w:vAlign w:val="top"/>
          </w:tcPr>
          <w:p w14:paraId="5778C8C4">
            <w:pPr>
              <w:rPr>
                <w:rFonts w:ascii="Arial"/>
                <w:color w:val="auto"/>
                <w:sz w:val="20"/>
                <w:szCs w:val="20"/>
                <w:highlight w:val="none"/>
              </w:rPr>
            </w:pPr>
          </w:p>
        </w:tc>
      </w:tr>
      <w:tr w14:paraId="71F91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94" w:type="dxa"/>
            <w:vAlign w:val="top"/>
          </w:tcPr>
          <w:p w14:paraId="6E25837D">
            <w:pPr>
              <w:rPr>
                <w:rFonts w:ascii="Arial"/>
                <w:color w:val="auto"/>
                <w:sz w:val="20"/>
                <w:szCs w:val="20"/>
                <w:highlight w:val="none"/>
              </w:rPr>
            </w:pPr>
          </w:p>
        </w:tc>
        <w:tc>
          <w:tcPr>
            <w:tcW w:w="902" w:type="dxa"/>
            <w:vAlign w:val="top"/>
          </w:tcPr>
          <w:p w14:paraId="1E825EC2">
            <w:pPr>
              <w:rPr>
                <w:rFonts w:ascii="Arial"/>
                <w:color w:val="auto"/>
                <w:sz w:val="20"/>
                <w:szCs w:val="20"/>
                <w:highlight w:val="none"/>
              </w:rPr>
            </w:pPr>
          </w:p>
        </w:tc>
        <w:tc>
          <w:tcPr>
            <w:tcW w:w="906" w:type="dxa"/>
            <w:vAlign w:val="top"/>
          </w:tcPr>
          <w:p w14:paraId="4D385BED">
            <w:pPr>
              <w:rPr>
                <w:rFonts w:ascii="Arial"/>
                <w:color w:val="auto"/>
                <w:sz w:val="20"/>
                <w:szCs w:val="20"/>
                <w:highlight w:val="none"/>
              </w:rPr>
            </w:pPr>
          </w:p>
        </w:tc>
        <w:tc>
          <w:tcPr>
            <w:tcW w:w="906" w:type="dxa"/>
            <w:vAlign w:val="top"/>
          </w:tcPr>
          <w:p w14:paraId="053F38D9">
            <w:pPr>
              <w:rPr>
                <w:rFonts w:ascii="Arial"/>
                <w:color w:val="auto"/>
                <w:sz w:val="20"/>
                <w:szCs w:val="20"/>
                <w:highlight w:val="none"/>
              </w:rPr>
            </w:pPr>
          </w:p>
        </w:tc>
        <w:tc>
          <w:tcPr>
            <w:tcW w:w="906" w:type="dxa"/>
            <w:vAlign w:val="top"/>
          </w:tcPr>
          <w:p w14:paraId="1C4B8947">
            <w:pPr>
              <w:rPr>
                <w:rFonts w:ascii="Arial"/>
                <w:color w:val="auto"/>
                <w:sz w:val="20"/>
                <w:szCs w:val="20"/>
                <w:highlight w:val="none"/>
              </w:rPr>
            </w:pPr>
          </w:p>
        </w:tc>
        <w:tc>
          <w:tcPr>
            <w:tcW w:w="911" w:type="dxa"/>
            <w:vAlign w:val="top"/>
          </w:tcPr>
          <w:p w14:paraId="591D564F">
            <w:pPr>
              <w:rPr>
                <w:rFonts w:ascii="Arial"/>
                <w:color w:val="auto"/>
                <w:sz w:val="20"/>
                <w:szCs w:val="20"/>
                <w:highlight w:val="none"/>
              </w:rPr>
            </w:pPr>
          </w:p>
        </w:tc>
        <w:tc>
          <w:tcPr>
            <w:tcW w:w="902" w:type="dxa"/>
            <w:vAlign w:val="top"/>
          </w:tcPr>
          <w:p w14:paraId="43B980A1">
            <w:pPr>
              <w:rPr>
                <w:rFonts w:ascii="Arial"/>
                <w:color w:val="auto"/>
                <w:sz w:val="20"/>
                <w:szCs w:val="20"/>
                <w:highlight w:val="none"/>
              </w:rPr>
            </w:pPr>
          </w:p>
        </w:tc>
        <w:tc>
          <w:tcPr>
            <w:tcW w:w="907" w:type="dxa"/>
            <w:vAlign w:val="top"/>
          </w:tcPr>
          <w:p w14:paraId="496A1483">
            <w:pPr>
              <w:rPr>
                <w:rFonts w:ascii="Arial"/>
                <w:color w:val="auto"/>
                <w:sz w:val="20"/>
                <w:szCs w:val="20"/>
                <w:highlight w:val="none"/>
              </w:rPr>
            </w:pPr>
          </w:p>
        </w:tc>
        <w:tc>
          <w:tcPr>
            <w:tcW w:w="921" w:type="dxa"/>
            <w:vAlign w:val="top"/>
          </w:tcPr>
          <w:p w14:paraId="24CDFAAA">
            <w:pPr>
              <w:rPr>
                <w:rFonts w:ascii="Arial"/>
                <w:color w:val="auto"/>
                <w:sz w:val="20"/>
                <w:szCs w:val="20"/>
                <w:highlight w:val="none"/>
              </w:rPr>
            </w:pPr>
          </w:p>
        </w:tc>
      </w:tr>
      <w:tr w14:paraId="78FDD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94" w:type="dxa"/>
            <w:vAlign w:val="top"/>
          </w:tcPr>
          <w:p w14:paraId="7450ABAB">
            <w:pPr>
              <w:rPr>
                <w:rFonts w:ascii="Arial"/>
                <w:color w:val="auto"/>
                <w:sz w:val="20"/>
                <w:szCs w:val="20"/>
                <w:highlight w:val="none"/>
              </w:rPr>
            </w:pPr>
          </w:p>
        </w:tc>
        <w:tc>
          <w:tcPr>
            <w:tcW w:w="902" w:type="dxa"/>
            <w:vAlign w:val="top"/>
          </w:tcPr>
          <w:p w14:paraId="3D01D681">
            <w:pPr>
              <w:rPr>
                <w:rFonts w:ascii="Arial"/>
                <w:color w:val="auto"/>
                <w:sz w:val="20"/>
                <w:szCs w:val="20"/>
                <w:highlight w:val="none"/>
              </w:rPr>
            </w:pPr>
          </w:p>
        </w:tc>
        <w:tc>
          <w:tcPr>
            <w:tcW w:w="906" w:type="dxa"/>
            <w:vAlign w:val="top"/>
          </w:tcPr>
          <w:p w14:paraId="15FF72C2">
            <w:pPr>
              <w:rPr>
                <w:rFonts w:ascii="Arial"/>
                <w:color w:val="auto"/>
                <w:sz w:val="20"/>
                <w:szCs w:val="20"/>
                <w:highlight w:val="none"/>
              </w:rPr>
            </w:pPr>
          </w:p>
        </w:tc>
        <w:tc>
          <w:tcPr>
            <w:tcW w:w="906" w:type="dxa"/>
            <w:vAlign w:val="top"/>
          </w:tcPr>
          <w:p w14:paraId="5F6B2CEE">
            <w:pPr>
              <w:rPr>
                <w:rFonts w:ascii="Arial"/>
                <w:color w:val="auto"/>
                <w:sz w:val="20"/>
                <w:szCs w:val="20"/>
                <w:highlight w:val="none"/>
              </w:rPr>
            </w:pPr>
          </w:p>
        </w:tc>
        <w:tc>
          <w:tcPr>
            <w:tcW w:w="906" w:type="dxa"/>
            <w:vAlign w:val="top"/>
          </w:tcPr>
          <w:p w14:paraId="54D55323">
            <w:pPr>
              <w:rPr>
                <w:rFonts w:ascii="Arial"/>
                <w:color w:val="auto"/>
                <w:sz w:val="20"/>
                <w:szCs w:val="20"/>
                <w:highlight w:val="none"/>
              </w:rPr>
            </w:pPr>
          </w:p>
        </w:tc>
        <w:tc>
          <w:tcPr>
            <w:tcW w:w="911" w:type="dxa"/>
            <w:vAlign w:val="top"/>
          </w:tcPr>
          <w:p w14:paraId="7FB48A49">
            <w:pPr>
              <w:rPr>
                <w:rFonts w:ascii="Arial"/>
                <w:color w:val="auto"/>
                <w:sz w:val="20"/>
                <w:szCs w:val="20"/>
                <w:highlight w:val="none"/>
              </w:rPr>
            </w:pPr>
          </w:p>
        </w:tc>
        <w:tc>
          <w:tcPr>
            <w:tcW w:w="902" w:type="dxa"/>
            <w:vAlign w:val="top"/>
          </w:tcPr>
          <w:p w14:paraId="7E8A8298">
            <w:pPr>
              <w:rPr>
                <w:rFonts w:ascii="Arial"/>
                <w:color w:val="auto"/>
                <w:sz w:val="20"/>
                <w:szCs w:val="20"/>
                <w:highlight w:val="none"/>
              </w:rPr>
            </w:pPr>
          </w:p>
        </w:tc>
        <w:tc>
          <w:tcPr>
            <w:tcW w:w="907" w:type="dxa"/>
            <w:vAlign w:val="top"/>
          </w:tcPr>
          <w:p w14:paraId="5FA047BC">
            <w:pPr>
              <w:rPr>
                <w:rFonts w:ascii="Arial"/>
                <w:color w:val="auto"/>
                <w:sz w:val="20"/>
                <w:szCs w:val="20"/>
                <w:highlight w:val="none"/>
              </w:rPr>
            </w:pPr>
          </w:p>
        </w:tc>
        <w:tc>
          <w:tcPr>
            <w:tcW w:w="921" w:type="dxa"/>
            <w:vAlign w:val="top"/>
          </w:tcPr>
          <w:p w14:paraId="1BDA91A5">
            <w:pPr>
              <w:rPr>
                <w:rFonts w:ascii="Arial"/>
                <w:color w:val="auto"/>
                <w:sz w:val="20"/>
                <w:szCs w:val="20"/>
                <w:highlight w:val="none"/>
              </w:rPr>
            </w:pPr>
          </w:p>
        </w:tc>
      </w:tr>
    </w:tbl>
    <w:p w14:paraId="56066EE1">
      <w:pPr>
        <w:pStyle w:val="2"/>
        <w:spacing w:line="256" w:lineRule="auto"/>
        <w:rPr>
          <w:color w:val="auto"/>
          <w:sz w:val="20"/>
          <w:szCs w:val="20"/>
          <w:highlight w:val="none"/>
        </w:rPr>
      </w:pPr>
    </w:p>
    <w:p w14:paraId="0CC4A101">
      <w:pPr>
        <w:spacing w:before="79" w:line="219" w:lineRule="auto"/>
        <w:ind w:left="407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0E556D46">
      <w:pPr>
        <w:spacing w:before="183" w:line="220" w:lineRule="auto"/>
        <w:ind w:left="6326"/>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25"/>
          <w:sz w:val="20"/>
          <w:szCs w:val="20"/>
          <w:highlight w:val="none"/>
        </w:rPr>
        <w:t xml:space="preserve">  </w:t>
      </w:r>
      <w:r>
        <w:rPr>
          <w:rFonts w:ascii="宋体" w:hAnsi="宋体" w:eastAsia="宋体" w:cs="宋体"/>
          <w:color w:val="auto"/>
          <w:spacing w:val="-13"/>
          <w:sz w:val="20"/>
          <w:szCs w:val="20"/>
          <w:highlight w:val="none"/>
        </w:rPr>
        <w:t>日</w:t>
      </w:r>
    </w:p>
    <w:p w14:paraId="33DA993D">
      <w:pPr>
        <w:spacing w:line="220" w:lineRule="auto"/>
        <w:rPr>
          <w:rFonts w:ascii="宋体" w:hAnsi="宋体" w:eastAsia="宋体" w:cs="宋体"/>
          <w:color w:val="auto"/>
          <w:sz w:val="24"/>
          <w:szCs w:val="24"/>
          <w:highlight w:val="none"/>
        </w:rPr>
        <w:sectPr>
          <w:footerReference r:id="rId68" w:type="default"/>
          <w:pgSz w:w="11910" w:h="16840"/>
          <w:pgMar w:top="400" w:right="1746" w:bottom="1079" w:left="1498" w:header="0" w:footer="843" w:gutter="0"/>
          <w:cols w:space="720" w:num="1"/>
        </w:sectPr>
      </w:pPr>
    </w:p>
    <w:p w14:paraId="2E199AAC">
      <w:pPr>
        <w:pStyle w:val="2"/>
        <w:spacing w:line="347" w:lineRule="auto"/>
        <w:rPr>
          <w:color w:val="auto"/>
          <w:highlight w:val="none"/>
        </w:rPr>
      </w:pPr>
    </w:p>
    <w:p w14:paraId="5146B524">
      <w:pPr>
        <w:pStyle w:val="2"/>
        <w:spacing w:line="348" w:lineRule="auto"/>
        <w:rPr>
          <w:color w:val="auto"/>
          <w:highlight w:val="none"/>
        </w:rPr>
      </w:pPr>
    </w:p>
    <w:p w14:paraId="4ABE2C95">
      <w:pPr>
        <w:spacing w:before="65" w:line="228" w:lineRule="auto"/>
        <w:ind w:left="13"/>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附件五：计划开工日期、完工日期和施工进度网络图（或横道图）</w:t>
      </w:r>
    </w:p>
    <w:p w14:paraId="2D4AA315">
      <w:pPr>
        <w:spacing w:before="284" w:line="228" w:lineRule="auto"/>
        <w:ind w:left="1869"/>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计划开工日期、完工日期和施工进度网络图（</w:t>
      </w:r>
      <w:r>
        <w:rPr>
          <w:rFonts w:ascii="宋体" w:hAnsi="宋体" w:eastAsia="宋体" w:cs="宋体"/>
          <w:b/>
          <w:bCs/>
          <w:color w:val="auto"/>
          <w:spacing w:val="7"/>
          <w:sz w:val="20"/>
          <w:szCs w:val="20"/>
          <w:highlight w:val="none"/>
        </w:rPr>
        <w:t>或横道图）</w:t>
      </w:r>
    </w:p>
    <w:p w14:paraId="55DFF719">
      <w:pPr>
        <w:pStyle w:val="2"/>
        <w:spacing w:line="274" w:lineRule="auto"/>
        <w:rPr>
          <w:color w:val="auto"/>
          <w:highlight w:val="none"/>
        </w:rPr>
      </w:pPr>
    </w:p>
    <w:p w14:paraId="70C15B36">
      <w:pPr>
        <w:spacing w:before="65" w:line="281" w:lineRule="auto"/>
        <w:ind w:firstLine="432"/>
        <w:rPr>
          <w:rFonts w:ascii="宋体" w:hAnsi="宋体" w:eastAsia="宋体" w:cs="宋体"/>
          <w:color w:val="auto"/>
          <w:sz w:val="20"/>
          <w:szCs w:val="20"/>
          <w:highlight w:val="none"/>
        </w:rPr>
      </w:pPr>
      <w:r>
        <w:rPr>
          <w:rFonts w:ascii="Times New Roman" w:hAnsi="Times New Roman" w:eastAsia="Times New Roman" w:cs="Times New Roman"/>
          <w:color w:val="auto"/>
          <w:spacing w:val="11"/>
          <w:sz w:val="19"/>
          <w:szCs w:val="19"/>
          <w:highlight w:val="none"/>
        </w:rPr>
        <w:t xml:space="preserve">1.   </w:t>
      </w:r>
      <w:r>
        <w:rPr>
          <w:rFonts w:ascii="宋体" w:hAnsi="宋体" w:eastAsia="宋体" w:cs="宋体"/>
          <w:color w:val="auto"/>
          <w:spacing w:val="11"/>
          <w:sz w:val="20"/>
          <w:szCs w:val="20"/>
          <w:highlight w:val="none"/>
        </w:rPr>
        <w:t>投标人应递交施工进度网络图或施工进度表，说明按招标文件要求的计划工期进行施工的</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各个关键日期。</w:t>
      </w:r>
    </w:p>
    <w:p w14:paraId="17EAB0DB">
      <w:pPr>
        <w:spacing w:before="15" w:line="298" w:lineRule="exact"/>
        <w:ind w:left="413"/>
        <w:rPr>
          <w:rFonts w:ascii="宋体" w:hAnsi="宋体" w:eastAsia="宋体" w:cs="宋体"/>
          <w:color w:val="auto"/>
          <w:sz w:val="20"/>
          <w:szCs w:val="20"/>
          <w:highlight w:val="none"/>
        </w:rPr>
      </w:pPr>
      <w:r>
        <w:rPr>
          <w:rFonts w:ascii="Times New Roman" w:hAnsi="Times New Roman" w:eastAsia="Times New Roman" w:cs="Times New Roman"/>
          <w:color w:val="auto"/>
          <w:spacing w:val="8"/>
          <w:position w:val="2"/>
          <w:sz w:val="19"/>
          <w:szCs w:val="19"/>
          <w:highlight w:val="none"/>
        </w:rPr>
        <w:t>2.</w:t>
      </w:r>
      <w:r>
        <w:rPr>
          <w:rFonts w:ascii="Times New Roman" w:hAnsi="Times New Roman" w:eastAsia="Times New Roman" w:cs="Times New Roman"/>
          <w:color w:val="auto"/>
          <w:spacing w:val="2"/>
          <w:position w:val="2"/>
          <w:sz w:val="19"/>
          <w:szCs w:val="19"/>
          <w:highlight w:val="none"/>
        </w:rPr>
        <w:t xml:space="preserve">    </w:t>
      </w:r>
      <w:r>
        <w:rPr>
          <w:rFonts w:ascii="宋体" w:hAnsi="宋体" w:eastAsia="宋体" w:cs="宋体"/>
          <w:color w:val="auto"/>
          <w:spacing w:val="8"/>
          <w:position w:val="2"/>
          <w:sz w:val="20"/>
          <w:szCs w:val="20"/>
          <w:highlight w:val="none"/>
        </w:rPr>
        <w:t>施工进度表可采用网络图（或横道图）表示。</w:t>
      </w:r>
    </w:p>
    <w:p w14:paraId="7569F13B">
      <w:pPr>
        <w:pStyle w:val="2"/>
        <w:spacing w:line="334" w:lineRule="auto"/>
        <w:rPr>
          <w:color w:val="auto"/>
          <w:highlight w:val="none"/>
        </w:rPr>
      </w:pPr>
    </w:p>
    <w:p w14:paraId="25D844A8">
      <w:pPr>
        <w:spacing w:before="65" w:line="228" w:lineRule="auto"/>
        <w:ind w:left="13"/>
        <w:rPr>
          <w:rFonts w:ascii="宋体" w:hAnsi="宋体" w:eastAsia="宋体" w:cs="宋体"/>
          <w:color w:val="auto"/>
          <w:sz w:val="20"/>
          <w:szCs w:val="20"/>
          <w:highlight w:val="none"/>
        </w:rPr>
      </w:pPr>
      <w:r>
        <w:rPr>
          <w:rFonts w:ascii="宋体" w:hAnsi="宋体" w:eastAsia="宋体" w:cs="宋体"/>
          <w:b/>
          <w:bCs/>
          <w:color w:val="auto"/>
          <w:spacing w:val="6"/>
          <w:sz w:val="20"/>
          <w:szCs w:val="20"/>
          <w:highlight w:val="none"/>
        </w:rPr>
        <w:t>附件六：施工总平面图</w:t>
      </w:r>
    </w:p>
    <w:p w14:paraId="08D7A6F6">
      <w:pPr>
        <w:spacing w:before="298" w:line="230" w:lineRule="auto"/>
        <w:ind w:left="3872"/>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施工总平面图</w:t>
      </w:r>
    </w:p>
    <w:p w14:paraId="276A3E2F">
      <w:pPr>
        <w:spacing w:before="228" w:line="228" w:lineRule="auto"/>
        <w:ind w:left="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投标人应递交一份施工总平面图，绘出现场临时设施布置图并附文字说明。</w:t>
      </w:r>
    </w:p>
    <w:p w14:paraId="5877D687">
      <w:pPr>
        <w:pStyle w:val="2"/>
        <w:spacing w:line="263" w:lineRule="auto"/>
        <w:rPr>
          <w:color w:val="auto"/>
          <w:highlight w:val="none"/>
        </w:rPr>
      </w:pPr>
    </w:p>
    <w:p w14:paraId="1553D91E">
      <w:pPr>
        <w:pStyle w:val="2"/>
        <w:spacing w:line="263" w:lineRule="auto"/>
        <w:rPr>
          <w:color w:val="auto"/>
          <w:highlight w:val="none"/>
        </w:rPr>
      </w:pPr>
    </w:p>
    <w:p w14:paraId="543C395E">
      <w:pPr>
        <w:pStyle w:val="2"/>
        <w:spacing w:line="263" w:lineRule="auto"/>
        <w:rPr>
          <w:color w:val="auto"/>
          <w:highlight w:val="none"/>
        </w:rPr>
      </w:pPr>
    </w:p>
    <w:p w14:paraId="7F29691C">
      <w:pPr>
        <w:spacing w:before="66" w:line="228" w:lineRule="auto"/>
        <w:ind w:left="13"/>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附件七：临时用地表</w:t>
      </w:r>
    </w:p>
    <w:p w14:paraId="155EE5AD">
      <w:pPr>
        <w:spacing w:before="25" w:line="228" w:lineRule="auto"/>
        <w:ind w:left="3990"/>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临时用地表</w:t>
      </w:r>
    </w:p>
    <w:p w14:paraId="7CBC8F50">
      <w:pPr>
        <w:spacing w:before="26"/>
        <w:rPr>
          <w:color w:val="auto"/>
          <w:highlight w:val="none"/>
        </w:rPr>
      </w:pPr>
    </w:p>
    <w:tbl>
      <w:tblPr>
        <w:tblStyle w:val="8"/>
        <w:tblW w:w="8356" w:type="dxa"/>
        <w:tblInd w:w="3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96"/>
        <w:gridCol w:w="2082"/>
        <w:gridCol w:w="2082"/>
        <w:gridCol w:w="2096"/>
      </w:tblGrid>
      <w:tr w14:paraId="45DC3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096" w:type="dxa"/>
            <w:vAlign w:val="top"/>
          </w:tcPr>
          <w:p w14:paraId="26309A36">
            <w:pPr>
              <w:pStyle w:val="9"/>
              <w:spacing w:before="180" w:line="230" w:lineRule="auto"/>
              <w:ind w:left="846"/>
              <w:rPr>
                <w:color w:val="auto"/>
                <w:highlight w:val="none"/>
              </w:rPr>
            </w:pPr>
            <w:r>
              <w:rPr>
                <w:color w:val="auto"/>
                <w:spacing w:val="3"/>
                <w:highlight w:val="none"/>
              </w:rPr>
              <w:t>用途</w:t>
            </w:r>
          </w:p>
        </w:tc>
        <w:tc>
          <w:tcPr>
            <w:tcW w:w="2082" w:type="dxa"/>
            <w:vAlign w:val="top"/>
          </w:tcPr>
          <w:p w14:paraId="1684D54F">
            <w:pPr>
              <w:pStyle w:val="9"/>
              <w:spacing w:before="165" w:line="263" w:lineRule="exact"/>
              <w:ind w:left="546"/>
              <w:rPr>
                <w:color w:val="auto"/>
                <w:highlight w:val="none"/>
              </w:rPr>
            </w:pPr>
            <w:r>
              <w:rPr>
                <w:color w:val="auto"/>
                <w:spacing w:val="5"/>
                <w:position w:val="1"/>
                <w:highlight w:val="none"/>
              </w:rPr>
              <w:t>面积（m</w:t>
            </w:r>
            <w:r>
              <w:rPr>
                <w:color w:val="auto"/>
                <w:spacing w:val="5"/>
                <w:position w:val="10"/>
                <w:sz w:val="10"/>
                <w:szCs w:val="10"/>
                <w:highlight w:val="none"/>
              </w:rPr>
              <w:t>2</w:t>
            </w:r>
            <w:r>
              <w:rPr>
                <w:color w:val="auto"/>
                <w:spacing w:val="5"/>
                <w:position w:val="1"/>
                <w:highlight w:val="none"/>
              </w:rPr>
              <w:t>）</w:t>
            </w:r>
          </w:p>
        </w:tc>
        <w:tc>
          <w:tcPr>
            <w:tcW w:w="2082" w:type="dxa"/>
            <w:vAlign w:val="top"/>
          </w:tcPr>
          <w:p w14:paraId="0310575E">
            <w:pPr>
              <w:pStyle w:val="9"/>
              <w:spacing w:before="180" w:line="230" w:lineRule="auto"/>
              <w:ind w:left="837"/>
              <w:rPr>
                <w:color w:val="auto"/>
                <w:highlight w:val="none"/>
              </w:rPr>
            </w:pPr>
            <w:r>
              <w:rPr>
                <w:color w:val="auto"/>
                <w:spacing w:val="4"/>
                <w:highlight w:val="none"/>
              </w:rPr>
              <w:t>位置</w:t>
            </w:r>
          </w:p>
        </w:tc>
        <w:tc>
          <w:tcPr>
            <w:tcW w:w="2096" w:type="dxa"/>
            <w:vAlign w:val="top"/>
          </w:tcPr>
          <w:p w14:paraId="0B1284A4">
            <w:pPr>
              <w:pStyle w:val="9"/>
              <w:spacing w:before="180" w:line="229" w:lineRule="auto"/>
              <w:ind w:left="642"/>
              <w:rPr>
                <w:color w:val="auto"/>
                <w:highlight w:val="none"/>
              </w:rPr>
            </w:pPr>
            <w:r>
              <w:rPr>
                <w:color w:val="auto"/>
                <w:spacing w:val="4"/>
                <w:highlight w:val="none"/>
              </w:rPr>
              <w:t>需用时间</w:t>
            </w:r>
          </w:p>
        </w:tc>
      </w:tr>
      <w:tr w14:paraId="193AE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6" w:type="dxa"/>
            <w:vAlign w:val="top"/>
          </w:tcPr>
          <w:p w14:paraId="64F3AD3B">
            <w:pPr>
              <w:rPr>
                <w:rFonts w:ascii="Arial"/>
                <w:color w:val="auto"/>
                <w:sz w:val="21"/>
                <w:highlight w:val="none"/>
              </w:rPr>
            </w:pPr>
          </w:p>
        </w:tc>
        <w:tc>
          <w:tcPr>
            <w:tcW w:w="2082" w:type="dxa"/>
            <w:vAlign w:val="top"/>
          </w:tcPr>
          <w:p w14:paraId="331D9B8A">
            <w:pPr>
              <w:rPr>
                <w:rFonts w:ascii="Arial"/>
                <w:color w:val="auto"/>
                <w:sz w:val="21"/>
                <w:highlight w:val="none"/>
              </w:rPr>
            </w:pPr>
          </w:p>
        </w:tc>
        <w:tc>
          <w:tcPr>
            <w:tcW w:w="2082" w:type="dxa"/>
            <w:vAlign w:val="top"/>
          </w:tcPr>
          <w:p w14:paraId="5B13AE55">
            <w:pPr>
              <w:rPr>
                <w:rFonts w:ascii="Arial"/>
                <w:color w:val="auto"/>
                <w:sz w:val="21"/>
                <w:highlight w:val="none"/>
              </w:rPr>
            </w:pPr>
          </w:p>
        </w:tc>
        <w:tc>
          <w:tcPr>
            <w:tcW w:w="2096" w:type="dxa"/>
            <w:vAlign w:val="top"/>
          </w:tcPr>
          <w:p w14:paraId="1D300E33">
            <w:pPr>
              <w:rPr>
                <w:rFonts w:ascii="Arial"/>
                <w:color w:val="auto"/>
                <w:sz w:val="21"/>
                <w:highlight w:val="none"/>
              </w:rPr>
            </w:pPr>
          </w:p>
        </w:tc>
      </w:tr>
      <w:tr w14:paraId="744D5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6" w:type="dxa"/>
            <w:vAlign w:val="top"/>
          </w:tcPr>
          <w:p w14:paraId="41FC9576">
            <w:pPr>
              <w:rPr>
                <w:rFonts w:ascii="Arial"/>
                <w:color w:val="auto"/>
                <w:sz w:val="21"/>
                <w:highlight w:val="none"/>
              </w:rPr>
            </w:pPr>
          </w:p>
        </w:tc>
        <w:tc>
          <w:tcPr>
            <w:tcW w:w="2082" w:type="dxa"/>
            <w:vAlign w:val="top"/>
          </w:tcPr>
          <w:p w14:paraId="6E0474A6">
            <w:pPr>
              <w:rPr>
                <w:rFonts w:ascii="Arial"/>
                <w:color w:val="auto"/>
                <w:sz w:val="21"/>
                <w:highlight w:val="none"/>
              </w:rPr>
            </w:pPr>
          </w:p>
        </w:tc>
        <w:tc>
          <w:tcPr>
            <w:tcW w:w="2082" w:type="dxa"/>
            <w:vAlign w:val="top"/>
          </w:tcPr>
          <w:p w14:paraId="29982AE3">
            <w:pPr>
              <w:rPr>
                <w:rFonts w:ascii="Arial"/>
                <w:color w:val="auto"/>
                <w:sz w:val="21"/>
                <w:highlight w:val="none"/>
              </w:rPr>
            </w:pPr>
          </w:p>
        </w:tc>
        <w:tc>
          <w:tcPr>
            <w:tcW w:w="2096" w:type="dxa"/>
            <w:vAlign w:val="top"/>
          </w:tcPr>
          <w:p w14:paraId="281E3C0C">
            <w:pPr>
              <w:rPr>
                <w:rFonts w:ascii="Arial"/>
                <w:color w:val="auto"/>
                <w:sz w:val="21"/>
                <w:highlight w:val="none"/>
              </w:rPr>
            </w:pPr>
          </w:p>
        </w:tc>
      </w:tr>
      <w:tr w14:paraId="7774D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vAlign w:val="top"/>
          </w:tcPr>
          <w:p w14:paraId="45F2C7C9">
            <w:pPr>
              <w:rPr>
                <w:rFonts w:ascii="Arial"/>
                <w:color w:val="auto"/>
                <w:sz w:val="21"/>
                <w:highlight w:val="none"/>
              </w:rPr>
            </w:pPr>
          </w:p>
        </w:tc>
        <w:tc>
          <w:tcPr>
            <w:tcW w:w="2082" w:type="dxa"/>
            <w:vAlign w:val="top"/>
          </w:tcPr>
          <w:p w14:paraId="1AA7C820">
            <w:pPr>
              <w:rPr>
                <w:rFonts w:ascii="Arial"/>
                <w:color w:val="auto"/>
                <w:sz w:val="21"/>
                <w:highlight w:val="none"/>
              </w:rPr>
            </w:pPr>
          </w:p>
        </w:tc>
        <w:tc>
          <w:tcPr>
            <w:tcW w:w="2082" w:type="dxa"/>
            <w:vAlign w:val="top"/>
          </w:tcPr>
          <w:p w14:paraId="24598B80">
            <w:pPr>
              <w:rPr>
                <w:rFonts w:ascii="Arial"/>
                <w:color w:val="auto"/>
                <w:sz w:val="21"/>
                <w:highlight w:val="none"/>
              </w:rPr>
            </w:pPr>
          </w:p>
        </w:tc>
        <w:tc>
          <w:tcPr>
            <w:tcW w:w="2096" w:type="dxa"/>
            <w:vAlign w:val="top"/>
          </w:tcPr>
          <w:p w14:paraId="25458B46">
            <w:pPr>
              <w:rPr>
                <w:rFonts w:ascii="Arial"/>
                <w:color w:val="auto"/>
                <w:sz w:val="21"/>
                <w:highlight w:val="none"/>
              </w:rPr>
            </w:pPr>
          </w:p>
        </w:tc>
      </w:tr>
      <w:tr w14:paraId="0BBB4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vAlign w:val="top"/>
          </w:tcPr>
          <w:p w14:paraId="18E7E5E1">
            <w:pPr>
              <w:rPr>
                <w:rFonts w:ascii="Arial"/>
                <w:color w:val="auto"/>
                <w:sz w:val="21"/>
                <w:highlight w:val="none"/>
              </w:rPr>
            </w:pPr>
          </w:p>
        </w:tc>
        <w:tc>
          <w:tcPr>
            <w:tcW w:w="2082" w:type="dxa"/>
            <w:vAlign w:val="top"/>
          </w:tcPr>
          <w:p w14:paraId="41DBBEF1">
            <w:pPr>
              <w:rPr>
                <w:rFonts w:ascii="Arial"/>
                <w:color w:val="auto"/>
                <w:sz w:val="21"/>
                <w:highlight w:val="none"/>
              </w:rPr>
            </w:pPr>
          </w:p>
        </w:tc>
        <w:tc>
          <w:tcPr>
            <w:tcW w:w="2082" w:type="dxa"/>
            <w:vAlign w:val="top"/>
          </w:tcPr>
          <w:p w14:paraId="3796C954">
            <w:pPr>
              <w:rPr>
                <w:rFonts w:ascii="Arial"/>
                <w:color w:val="auto"/>
                <w:sz w:val="21"/>
                <w:highlight w:val="none"/>
              </w:rPr>
            </w:pPr>
          </w:p>
        </w:tc>
        <w:tc>
          <w:tcPr>
            <w:tcW w:w="2096" w:type="dxa"/>
            <w:vAlign w:val="top"/>
          </w:tcPr>
          <w:p w14:paraId="436CC6C8">
            <w:pPr>
              <w:rPr>
                <w:rFonts w:ascii="Arial"/>
                <w:color w:val="auto"/>
                <w:sz w:val="21"/>
                <w:highlight w:val="none"/>
              </w:rPr>
            </w:pPr>
          </w:p>
        </w:tc>
      </w:tr>
      <w:tr w14:paraId="025DF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vAlign w:val="top"/>
          </w:tcPr>
          <w:p w14:paraId="44E53A8D">
            <w:pPr>
              <w:rPr>
                <w:rFonts w:ascii="Arial"/>
                <w:color w:val="auto"/>
                <w:sz w:val="21"/>
                <w:highlight w:val="none"/>
              </w:rPr>
            </w:pPr>
          </w:p>
        </w:tc>
        <w:tc>
          <w:tcPr>
            <w:tcW w:w="2082" w:type="dxa"/>
            <w:vAlign w:val="top"/>
          </w:tcPr>
          <w:p w14:paraId="2B8EA036">
            <w:pPr>
              <w:rPr>
                <w:rFonts w:ascii="Arial"/>
                <w:color w:val="auto"/>
                <w:sz w:val="21"/>
                <w:highlight w:val="none"/>
              </w:rPr>
            </w:pPr>
          </w:p>
        </w:tc>
        <w:tc>
          <w:tcPr>
            <w:tcW w:w="2082" w:type="dxa"/>
            <w:vAlign w:val="top"/>
          </w:tcPr>
          <w:p w14:paraId="18F072AB">
            <w:pPr>
              <w:rPr>
                <w:rFonts w:ascii="Arial"/>
                <w:color w:val="auto"/>
                <w:sz w:val="21"/>
                <w:highlight w:val="none"/>
              </w:rPr>
            </w:pPr>
          </w:p>
        </w:tc>
        <w:tc>
          <w:tcPr>
            <w:tcW w:w="2096" w:type="dxa"/>
            <w:vAlign w:val="top"/>
          </w:tcPr>
          <w:p w14:paraId="097AA8E2">
            <w:pPr>
              <w:rPr>
                <w:rFonts w:ascii="Arial"/>
                <w:color w:val="auto"/>
                <w:sz w:val="21"/>
                <w:highlight w:val="none"/>
              </w:rPr>
            </w:pPr>
          </w:p>
        </w:tc>
      </w:tr>
      <w:tr w14:paraId="2D3B5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2096" w:type="dxa"/>
            <w:vAlign w:val="top"/>
          </w:tcPr>
          <w:p w14:paraId="7D7204A3">
            <w:pPr>
              <w:rPr>
                <w:rFonts w:ascii="Arial"/>
                <w:color w:val="auto"/>
                <w:sz w:val="21"/>
                <w:highlight w:val="none"/>
              </w:rPr>
            </w:pPr>
          </w:p>
        </w:tc>
        <w:tc>
          <w:tcPr>
            <w:tcW w:w="2082" w:type="dxa"/>
            <w:vAlign w:val="top"/>
          </w:tcPr>
          <w:p w14:paraId="153FDC33">
            <w:pPr>
              <w:rPr>
                <w:rFonts w:ascii="Arial"/>
                <w:color w:val="auto"/>
                <w:sz w:val="21"/>
                <w:highlight w:val="none"/>
              </w:rPr>
            </w:pPr>
          </w:p>
        </w:tc>
        <w:tc>
          <w:tcPr>
            <w:tcW w:w="2082" w:type="dxa"/>
            <w:vAlign w:val="top"/>
          </w:tcPr>
          <w:p w14:paraId="3E4BB10B">
            <w:pPr>
              <w:rPr>
                <w:rFonts w:ascii="Arial"/>
                <w:color w:val="auto"/>
                <w:sz w:val="21"/>
                <w:highlight w:val="none"/>
              </w:rPr>
            </w:pPr>
          </w:p>
        </w:tc>
        <w:tc>
          <w:tcPr>
            <w:tcW w:w="2096" w:type="dxa"/>
            <w:vAlign w:val="top"/>
          </w:tcPr>
          <w:p w14:paraId="152D19C2">
            <w:pPr>
              <w:rPr>
                <w:rFonts w:ascii="Arial"/>
                <w:color w:val="auto"/>
                <w:sz w:val="21"/>
                <w:highlight w:val="none"/>
              </w:rPr>
            </w:pPr>
          </w:p>
        </w:tc>
      </w:tr>
      <w:tr w14:paraId="48F77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096" w:type="dxa"/>
            <w:vAlign w:val="top"/>
          </w:tcPr>
          <w:p w14:paraId="41659E11">
            <w:pPr>
              <w:rPr>
                <w:rFonts w:ascii="Arial"/>
                <w:color w:val="auto"/>
                <w:sz w:val="21"/>
                <w:highlight w:val="none"/>
              </w:rPr>
            </w:pPr>
          </w:p>
        </w:tc>
        <w:tc>
          <w:tcPr>
            <w:tcW w:w="2082" w:type="dxa"/>
            <w:vAlign w:val="top"/>
          </w:tcPr>
          <w:p w14:paraId="6E214942">
            <w:pPr>
              <w:rPr>
                <w:rFonts w:ascii="Arial"/>
                <w:color w:val="auto"/>
                <w:sz w:val="21"/>
                <w:highlight w:val="none"/>
              </w:rPr>
            </w:pPr>
          </w:p>
        </w:tc>
        <w:tc>
          <w:tcPr>
            <w:tcW w:w="2082" w:type="dxa"/>
            <w:vAlign w:val="top"/>
          </w:tcPr>
          <w:p w14:paraId="3A0F9B2E">
            <w:pPr>
              <w:rPr>
                <w:rFonts w:ascii="Arial"/>
                <w:color w:val="auto"/>
                <w:sz w:val="21"/>
                <w:highlight w:val="none"/>
              </w:rPr>
            </w:pPr>
          </w:p>
        </w:tc>
        <w:tc>
          <w:tcPr>
            <w:tcW w:w="2096" w:type="dxa"/>
            <w:vAlign w:val="top"/>
          </w:tcPr>
          <w:p w14:paraId="32B8E40B">
            <w:pPr>
              <w:rPr>
                <w:rFonts w:ascii="Arial"/>
                <w:color w:val="auto"/>
                <w:sz w:val="21"/>
                <w:highlight w:val="none"/>
              </w:rPr>
            </w:pPr>
          </w:p>
        </w:tc>
      </w:tr>
      <w:tr w14:paraId="2ED92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96" w:type="dxa"/>
            <w:vAlign w:val="top"/>
          </w:tcPr>
          <w:p w14:paraId="42D0D5B4">
            <w:pPr>
              <w:rPr>
                <w:rFonts w:ascii="Arial"/>
                <w:color w:val="auto"/>
                <w:sz w:val="21"/>
                <w:highlight w:val="none"/>
              </w:rPr>
            </w:pPr>
          </w:p>
        </w:tc>
        <w:tc>
          <w:tcPr>
            <w:tcW w:w="2082" w:type="dxa"/>
            <w:vAlign w:val="top"/>
          </w:tcPr>
          <w:p w14:paraId="0C8C8265">
            <w:pPr>
              <w:rPr>
                <w:rFonts w:ascii="Arial"/>
                <w:color w:val="auto"/>
                <w:sz w:val="21"/>
                <w:highlight w:val="none"/>
              </w:rPr>
            </w:pPr>
          </w:p>
        </w:tc>
        <w:tc>
          <w:tcPr>
            <w:tcW w:w="2082" w:type="dxa"/>
            <w:vAlign w:val="top"/>
          </w:tcPr>
          <w:p w14:paraId="5D3A048F">
            <w:pPr>
              <w:rPr>
                <w:rFonts w:ascii="Arial"/>
                <w:color w:val="auto"/>
                <w:sz w:val="21"/>
                <w:highlight w:val="none"/>
              </w:rPr>
            </w:pPr>
          </w:p>
        </w:tc>
        <w:tc>
          <w:tcPr>
            <w:tcW w:w="2096" w:type="dxa"/>
            <w:vAlign w:val="top"/>
          </w:tcPr>
          <w:p w14:paraId="7DEF3F31">
            <w:pPr>
              <w:rPr>
                <w:rFonts w:ascii="Arial"/>
                <w:color w:val="auto"/>
                <w:sz w:val="21"/>
                <w:highlight w:val="none"/>
              </w:rPr>
            </w:pPr>
          </w:p>
        </w:tc>
      </w:tr>
      <w:tr w14:paraId="39C77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096" w:type="dxa"/>
            <w:vAlign w:val="top"/>
          </w:tcPr>
          <w:p w14:paraId="6B2A418B">
            <w:pPr>
              <w:rPr>
                <w:rFonts w:ascii="Arial"/>
                <w:color w:val="auto"/>
                <w:sz w:val="21"/>
                <w:highlight w:val="none"/>
              </w:rPr>
            </w:pPr>
          </w:p>
        </w:tc>
        <w:tc>
          <w:tcPr>
            <w:tcW w:w="2082" w:type="dxa"/>
            <w:vAlign w:val="top"/>
          </w:tcPr>
          <w:p w14:paraId="66658463">
            <w:pPr>
              <w:rPr>
                <w:rFonts w:ascii="Arial"/>
                <w:color w:val="auto"/>
                <w:sz w:val="21"/>
                <w:highlight w:val="none"/>
              </w:rPr>
            </w:pPr>
          </w:p>
        </w:tc>
        <w:tc>
          <w:tcPr>
            <w:tcW w:w="2082" w:type="dxa"/>
            <w:vAlign w:val="top"/>
          </w:tcPr>
          <w:p w14:paraId="608B12B6">
            <w:pPr>
              <w:rPr>
                <w:rFonts w:ascii="Arial"/>
                <w:color w:val="auto"/>
                <w:sz w:val="21"/>
                <w:highlight w:val="none"/>
              </w:rPr>
            </w:pPr>
          </w:p>
        </w:tc>
        <w:tc>
          <w:tcPr>
            <w:tcW w:w="2096" w:type="dxa"/>
            <w:vAlign w:val="top"/>
          </w:tcPr>
          <w:p w14:paraId="12C516A4">
            <w:pPr>
              <w:rPr>
                <w:rFonts w:ascii="Arial"/>
                <w:color w:val="auto"/>
                <w:sz w:val="21"/>
                <w:highlight w:val="none"/>
              </w:rPr>
            </w:pPr>
          </w:p>
        </w:tc>
      </w:tr>
    </w:tbl>
    <w:p w14:paraId="65116DF6">
      <w:pPr>
        <w:pStyle w:val="2"/>
        <w:spacing w:line="295" w:lineRule="auto"/>
        <w:rPr>
          <w:color w:val="auto"/>
          <w:highlight w:val="none"/>
        </w:rPr>
      </w:pPr>
    </w:p>
    <w:p w14:paraId="542AC87D">
      <w:pPr>
        <w:pStyle w:val="2"/>
        <w:spacing w:line="295" w:lineRule="auto"/>
        <w:rPr>
          <w:color w:val="auto"/>
          <w:highlight w:val="none"/>
        </w:rPr>
      </w:pPr>
    </w:p>
    <w:p w14:paraId="00D8F6EE">
      <w:pPr>
        <w:pStyle w:val="2"/>
        <w:spacing w:line="295" w:lineRule="auto"/>
        <w:rPr>
          <w:color w:val="auto"/>
          <w:highlight w:val="none"/>
        </w:rPr>
      </w:pPr>
    </w:p>
    <w:p w14:paraId="1198D1DF">
      <w:pPr>
        <w:spacing w:before="79" w:line="219" w:lineRule="auto"/>
        <w:ind w:left="409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66059405">
      <w:pPr>
        <w:spacing w:before="183" w:line="220" w:lineRule="auto"/>
        <w:ind w:left="6339"/>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r>
        <w:rPr>
          <w:rFonts w:ascii="宋体" w:hAnsi="宋体" w:eastAsia="宋体" w:cs="宋体"/>
          <w:color w:val="auto"/>
          <w:spacing w:val="5"/>
          <w:sz w:val="24"/>
          <w:szCs w:val="24"/>
          <w:highlight w:val="none"/>
        </w:rPr>
        <w:t xml:space="preserve">  </w:t>
      </w:r>
      <w:r>
        <w:rPr>
          <w:rFonts w:ascii="宋体" w:hAnsi="宋体" w:eastAsia="宋体" w:cs="宋体"/>
          <w:color w:val="auto"/>
          <w:spacing w:val="-13"/>
          <w:sz w:val="24"/>
          <w:szCs w:val="24"/>
          <w:highlight w:val="none"/>
        </w:rPr>
        <w:t>年</w:t>
      </w:r>
      <w:r>
        <w:rPr>
          <w:rFonts w:ascii="宋体" w:hAnsi="宋体" w:eastAsia="宋体" w:cs="宋体"/>
          <w:color w:val="auto"/>
          <w:spacing w:val="8"/>
          <w:sz w:val="24"/>
          <w:szCs w:val="24"/>
          <w:highlight w:val="none"/>
        </w:rPr>
        <w:t xml:space="preserve">  </w:t>
      </w:r>
      <w:r>
        <w:rPr>
          <w:rFonts w:ascii="宋体" w:hAnsi="宋体" w:eastAsia="宋体" w:cs="宋体"/>
          <w:color w:val="auto"/>
          <w:spacing w:val="-13"/>
          <w:sz w:val="24"/>
          <w:szCs w:val="24"/>
          <w:highlight w:val="none"/>
        </w:rPr>
        <w:t>月</w:t>
      </w:r>
      <w:r>
        <w:rPr>
          <w:rFonts w:ascii="宋体" w:hAnsi="宋体" w:eastAsia="宋体" w:cs="宋体"/>
          <w:color w:val="auto"/>
          <w:spacing w:val="25"/>
          <w:sz w:val="24"/>
          <w:szCs w:val="24"/>
          <w:highlight w:val="none"/>
        </w:rPr>
        <w:t xml:space="preserve">  </w:t>
      </w:r>
      <w:r>
        <w:rPr>
          <w:rFonts w:ascii="宋体" w:hAnsi="宋体" w:eastAsia="宋体" w:cs="宋体"/>
          <w:color w:val="auto"/>
          <w:spacing w:val="-13"/>
          <w:sz w:val="24"/>
          <w:szCs w:val="24"/>
          <w:highlight w:val="none"/>
        </w:rPr>
        <w:t>日</w:t>
      </w:r>
    </w:p>
    <w:p w14:paraId="2AF4835C">
      <w:pPr>
        <w:spacing w:line="220" w:lineRule="auto"/>
        <w:rPr>
          <w:rFonts w:ascii="宋体" w:hAnsi="宋体" w:eastAsia="宋体" w:cs="宋体"/>
          <w:color w:val="auto"/>
          <w:sz w:val="24"/>
          <w:szCs w:val="24"/>
          <w:highlight w:val="none"/>
        </w:rPr>
        <w:sectPr>
          <w:footerReference r:id="rId69" w:type="default"/>
          <w:pgSz w:w="11907" w:h="16840"/>
          <w:pgMar w:top="400" w:right="1419" w:bottom="1040" w:left="1484" w:header="0" w:footer="804" w:gutter="0"/>
          <w:cols w:space="720" w:num="1"/>
        </w:sectPr>
      </w:pPr>
    </w:p>
    <w:p w14:paraId="2E50ECD4">
      <w:pPr>
        <w:pStyle w:val="2"/>
        <w:spacing w:line="338" w:lineRule="auto"/>
        <w:rPr>
          <w:color w:val="auto"/>
          <w:highlight w:val="none"/>
        </w:rPr>
      </w:pPr>
    </w:p>
    <w:p w14:paraId="17E9FE02">
      <w:pPr>
        <w:pStyle w:val="2"/>
        <w:spacing w:line="339" w:lineRule="auto"/>
        <w:rPr>
          <w:color w:val="auto"/>
          <w:highlight w:val="none"/>
        </w:rPr>
      </w:pPr>
    </w:p>
    <w:p w14:paraId="08EFD909">
      <w:pPr>
        <w:spacing w:before="97" w:line="219" w:lineRule="auto"/>
        <w:ind w:left="43"/>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九、项目管理机构</w:t>
      </w:r>
    </w:p>
    <w:p w14:paraId="1291F71E">
      <w:pPr>
        <w:spacing w:before="227" w:line="219" w:lineRule="auto"/>
        <w:ind w:left="2607"/>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1.项目经理（注册建造师）简历表</w:t>
      </w:r>
    </w:p>
    <w:p w14:paraId="201B374E">
      <w:pPr>
        <w:spacing w:before="68"/>
        <w:rPr>
          <w:color w:val="auto"/>
          <w:highlight w:val="none"/>
        </w:rPr>
      </w:pPr>
    </w:p>
    <w:p w14:paraId="15237793">
      <w:pPr>
        <w:spacing w:before="67"/>
        <w:rPr>
          <w:color w:val="auto"/>
          <w:sz w:val="20"/>
          <w:szCs w:val="20"/>
          <w:highlight w:val="none"/>
        </w:rPr>
      </w:pPr>
    </w:p>
    <w:tbl>
      <w:tblPr>
        <w:tblStyle w:val="8"/>
        <w:tblW w:w="91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1"/>
        <w:gridCol w:w="464"/>
        <w:gridCol w:w="1547"/>
        <w:gridCol w:w="328"/>
        <w:gridCol w:w="1218"/>
        <w:gridCol w:w="674"/>
        <w:gridCol w:w="873"/>
        <w:gridCol w:w="711"/>
        <w:gridCol w:w="835"/>
        <w:gridCol w:w="272"/>
        <w:gridCol w:w="1280"/>
      </w:tblGrid>
      <w:tr w14:paraId="177D8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941" w:type="dxa"/>
            <w:vAlign w:val="top"/>
          </w:tcPr>
          <w:p w14:paraId="16C6AC16">
            <w:pPr>
              <w:pStyle w:val="9"/>
              <w:spacing w:before="105" w:line="220" w:lineRule="auto"/>
              <w:ind w:left="237"/>
              <w:rPr>
                <w:color w:val="auto"/>
                <w:sz w:val="20"/>
                <w:szCs w:val="20"/>
                <w:highlight w:val="none"/>
              </w:rPr>
            </w:pPr>
            <w:r>
              <w:rPr>
                <w:color w:val="auto"/>
                <w:spacing w:val="-5"/>
                <w:sz w:val="20"/>
                <w:szCs w:val="20"/>
                <w:highlight w:val="none"/>
              </w:rPr>
              <w:t>姓名</w:t>
            </w:r>
          </w:p>
        </w:tc>
        <w:tc>
          <w:tcPr>
            <w:tcW w:w="2339" w:type="dxa"/>
            <w:gridSpan w:val="3"/>
            <w:vAlign w:val="top"/>
          </w:tcPr>
          <w:p w14:paraId="3271A854">
            <w:pPr>
              <w:rPr>
                <w:rFonts w:ascii="Arial"/>
                <w:color w:val="auto"/>
                <w:sz w:val="20"/>
                <w:szCs w:val="20"/>
                <w:highlight w:val="none"/>
              </w:rPr>
            </w:pPr>
          </w:p>
        </w:tc>
        <w:tc>
          <w:tcPr>
            <w:tcW w:w="1892" w:type="dxa"/>
            <w:gridSpan w:val="2"/>
            <w:vAlign w:val="top"/>
          </w:tcPr>
          <w:p w14:paraId="7C22B756">
            <w:pPr>
              <w:pStyle w:val="9"/>
              <w:spacing w:before="105" w:line="221" w:lineRule="auto"/>
              <w:ind w:left="711"/>
              <w:rPr>
                <w:color w:val="auto"/>
                <w:sz w:val="20"/>
                <w:szCs w:val="20"/>
                <w:highlight w:val="none"/>
              </w:rPr>
            </w:pPr>
            <w:r>
              <w:rPr>
                <w:color w:val="auto"/>
                <w:spacing w:val="-5"/>
                <w:sz w:val="20"/>
                <w:szCs w:val="20"/>
                <w:highlight w:val="none"/>
              </w:rPr>
              <w:t>性别</w:t>
            </w:r>
          </w:p>
        </w:tc>
        <w:tc>
          <w:tcPr>
            <w:tcW w:w="1584" w:type="dxa"/>
            <w:gridSpan w:val="2"/>
            <w:vAlign w:val="top"/>
          </w:tcPr>
          <w:p w14:paraId="7CE5A672">
            <w:pPr>
              <w:rPr>
                <w:rFonts w:ascii="Arial"/>
                <w:color w:val="auto"/>
                <w:sz w:val="20"/>
                <w:szCs w:val="20"/>
                <w:highlight w:val="none"/>
              </w:rPr>
            </w:pPr>
          </w:p>
        </w:tc>
        <w:tc>
          <w:tcPr>
            <w:tcW w:w="1107" w:type="dxa"/>
            <w:gridSpan w:val="2"/>
            <w:vAlign w:val="top"/>
          </w:tcPr>
          <w:p w14:paraId="725C388F">
            <w:pPr>
              <w:pStyle w:val="9"/>
              <w:spacing w:before="105" w:line="220" w:lineRule="auto"/>
              <w:ind w:left="322"/>
              <w:rPr>
                <w:color w:val="auto"/>
                <w:sz w:val="20"/>
                <w:szCs w:val="20"/>
                <w:highlight w:val="none"/>
              </w:rPr>
            </w:pPr>
            <w:r>
              <w:rPr>
                <w:color w:val="auto"/>
                <w:spacing w:val="-6"/>
                <w:sz w:val="20"/>
                <w:szCs w:val="20"/>
                <w:highlight w:val="none"/>
              </w:rPr>
              <w:t>年龄</w:t>
            </w:r>
          </w:p>
        </w:tc>
        <w:tc>
          <w:tcPr>
            <w:tcW w:w="1280" w:type="dxa"/>
            <w:vAlign w:val="top"/>
          </w:tcPr>
          <w:p w14:paraId="0A76104D">
            <w:pPr>
              <w:rPr>
                <w:rFonts w:ascii="Arial"/>
                <w:color w:val="auto"/>
                <w:sz w:val="20"/>
                <w:szCs w:val="20"/>
                <w:highlight w:val="none"/>
              </w:rPr>
            </w:pPr>
          </w:p>
        </w:tc>
      </w:tr>
      <w:tr w14:paraId="0689E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41" w:type="dxa"/>
            <w:vAlign w:val="top"/>
          </w:tcPr>
          <w:p w14:paraId="0AE2224E">
            <w:pPr>
              <w:pStyle w:val="9"/>
              <w:spacing w:before="192" w:line="220" w:lineRule="auto"/>
              <w:ind w:left="238"/>
              <w:rPr>
                <w:color w:val="auto"/>
                <w:sz w:val="20"/>
                <w:szCs w:val="20"/>
                <w:highlight w:val="none"/>
              </w:rPr>
            </w:pPr>
            <w:r>
              <w:rPr>
                <w:color w:val="auto"/>
                <w:spacing w:val="-6"/>
                <w:sz w:val="20"/>
                <w:szCs w:val="20"/>
                <w:highlight w:val="none"/>
              </w:rPr>
              <w:t>职务</w:t>
            </w:r>
          </w:p>
        </w:tc>
        <w:tc>
          <w:tcPr>
            <w:tcW w:w="2339" w:type="dxa"/>
            <w:gridSpan w:val="3"/>
            <w:vAlign w:val="top"/>
          </w:tcPr>
          <w:p w14:paraId="36323DD1">
            <w:pPr>
              <w:rPr>
                <w:rFonts w:ascii="Arial"/>
                <w:color w:val="auto"/>
                <w:sz w:val="20"/>
                <w:szCs w:val="20"/>
                <w:highlight w:val="none"/>
              </w:rPr>
            </w:pPr>
          </w:p>
        </w:tc>
        <w:tc>
          <w:tcPr>
            <w:tcW w:w="1892" w:type="dxa"/>
            <w:gridSpan w:val="2"/>
            <w:vAlign w:val="top"/>
          </w:tcPr>
          <w:p w14:paraId="52D794F1">
            <w:pPr>
              <w:pStyle w:val="9"/>
              <w:spacing w:before="192" w:line="222" w:lineRule="auto"/>
              <w:ind w:left="712"/>
              <w:rPr>
                <w:color w:val="auto"/>
                <w:sz w:val="20"/>
                <w:szCs w:val="20"/>
                <w:highlight w:val="none"/>
              </w:rPr>
            </w:pPr>
            <w:r>
              <w:rPr>
                <w:color w:val="auto"/>
                <w:spacing w:val="-6"/>
                <w:sz w:val="20"/>
                <w:szCs w:val="20"/>
                <w:highlight w:val="none"/>
              </w:rPr>
              <w:t>职称</w:t>
            </w:r>
          </w:p>
        </w:tc>
        <w:tc>
          <w:tcPr>
            <w:tcW w:w="1584" w:type="dxa"/>
            <w:gridSpan w:val="2"/>
            <w:vAlign w:val="top"/>
          </w:tcPr>
          <w:p w14:paraId="240E9D9F">
            <w:pPr>
              <w:rPr>
                <w:rFonts w:ascii="Arial"/>
                <w:color w:val="auto"/>
                <w:sz w:val="20"/>
                <w:szCs w:val="20"/>
                <w:highlight w:val="none"/>
              </w:rPr>
            </w:pPr>
          </w:p>
        </w:tc>
        <w:tc>
          <w:tcPr>
            <w:tcW w:w="1107" w:type="dxa"/>
            <w:gridSpan w:val="2"/>
            <w:vAlign w:val="top"/>
          </w:tcPr>
          <w:p w14:paraId="08F0C8BA">
            <w:pPr>
              <w:pStyle w:val="9"/>
              <w:spacing w:before="191" w:line="222" w:lineRule="auto"/>
              <w:ind w:left="326"/>
              <w:rPr>
                <w:color w:val="auto"/>
                <w:sz w:val="20"/>
                <w:szCs w:val="20"/>
                <w:highlight w:val="none"/>
              </w:rPr>
            </w:pPr>
            <w:r>
              <w:rPr>
                <w:color w:val="auto"/>
                <w:spacing w:val="-8"/>
                <w:sz w:val="20"/>
                <w:szCs w:val="20"/>
                <w:highlight w:val="none"/>
              </w:rPr>
              <w:t>学历</w:t>
            </w:r>
          </w:p>
        </w:tc>
        <w:tc>
          <w:tcPr>
            <w:tcW w:w="1280" w:type="dxa"/>
            <w:vAlign w:val="top"/>
          </w:tcPr>
          <w:p w14:paraId="3CBA97A9">
            <w:pPr>
              <w:rPr>
                <w:rFonts w:ascii="Arial"/>
                <w:color w:val="auto"/>
                <w:sz w:val="20"/>
                <w:szCs w:val="20"/>
                <w:highlight w:val="none"/>
              </w:rPr>
            </w:pPr>
          </w:p>
        </w:tc>
      </w:tr>
      <w:tr w14:paraId="0B19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3280" w:type="dxa"/>
            <w:gridSpan w:val="4"/>
            <w:vAlign w:val="top"/>
          </w:tcPr>
          <w:p w14:paraId="3C497DF4">
            <w:pPr>
              <w:pStyle w:val="9"/>
              <w:spacing w:before="181" w:line="221" w:lineRule="auto"/>
              <w:ind w:left="928"/>
              <w:rPr>
                <w:color w:val="auto"/>
                <w:sz w:val="20"/>
                <w:szCs w:val="20"/>
                <w:highlight w:val="none"/>
              </w:rPr>
            </w:pPr>
            <w:r>
              <w:rPr>
                <w:color w:val="auto"/>
                <w:spacing w:val="-2"/>
                <w:sz w:val="20"/>
                <w:szCs w:val="20"/>
                <w:highlight w:val="none"/>
              </w:rPr>
              <w:t>参加工作时间</w:t>
            </w:r>
          </w:p>
        </w:tc>
        <w:tc>
          <w:tcPr>
            <w:tcW w:w="1892" w:type="dxa"/>
            <w:gridSpan w:val="2"/>
            <w:vAlign w:val="top"/>
          </w:tcPr>
          <w:p w14:paraId="548AB782">
            <w:pPr>
              <w:rPr>
                <w:rFonts w:ascii="Arial"/>
                <w:color w:val="auto"/>
                <w:sz w:val="20"/>
                <w:szCs w:val="20"/>
                <w:highlight w:val="none"/>
              </w:rPr>
            </w:pPr>
          </w:p>
        </w:tc>
        <w:tc>
          <w:tcPr>
            <w:tcW w:w="2691" w:type="dxa"/>
            <w:gridSpan w:val="4"/>
            <w:vAlign w:val="top"/>
          </w:tcPr>
          <w:p w14:paraId="75EC18CD">
            <w:pPr>
              <w:pStyle w:val="9"/>
              <w:spacing w:before="182" w:line="220" w:lineRule="auto"/>
              <w:ind w:left="394"/>
              <w:rPr>
                <w:color w:val="auto"/>
                <w:sz w:val="20"/>
                <w:szCs w:val="20"/>
                <w:highlight w:val="none"/>
              </w:rPr>
            </w:pPr>
            <w:r>
              <w:rPr>
                <w:color w:val="auto"/>
                <w:spacing w:val="-2"/>
                <w:sz w:val="20"/>
                <w:szCs w:val="20"/>
                <w:highlight w:val="none"/>
              </w:rPr>
              <w:t>担任项目经理年限</w:t>
            </w:r>
          </w:p>
        </w:tc>
        <w:tc>
          <w:tcPr>
            <w:tcW w:w="1280" w:type="dxa"/>
            <w:vAlign w:val="top"/>
          </w:tcPr>
          <w:p w14:paraId="4EC7F4BD">
            <w:pPr>
              <w:rPr>
                <w:rFonts w:ascii="Arial"/>
                <w:color w:val="auto"/>
                <w:sz w:val="20"/>
                <w:szCs w:val="20"/>
                <w:highlight w:val="none"/>
              </w:rPr>
            </w:pPr>
          </w:p>
        </w:tc>
      </w:tr>
      <w:tr w14:paraId="6F1BC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3280" w:type="dxa"/>
            <w:gridSpan w:val="4"/>
            <w:vAlign w:val="top"/>
          </w:tcPr>
          <w:p w14:paraId="1FD4AF01">
            <w:pPr>
              <w:pStyle w:val="9"/>
              <w:spacing w:before="117" w:line="220" w:lineRule="auto"/>
              <w:ind w:left="809"/>
              <w:rPr>
                <w:color w:val="auto"/>
                <w:sz w:val="20"/>
                <w:szCs w:val="20"/>
                <w:highlight w:val="none"/>
              </w:rPr>
            </w:pPr>
            <w:r>
              <w:rPr>
                <w:color w:val="auto"/>
                <w:spacing w:val="-2"/>
                <w:sz w:val="20"/>
                <w:szCs w:val="20"/>
                <w:highlight w:val="none"/>
              </w:rPr>
              <w:t>建造师注册编号</w:t>
            </w:r>
          </w:p>
        </w:tc>
        <w:tc>
          <w:tcPr>
            <w:tcW w:w="5863" w:type="dxa"/>
            <w:gridSpan w:val="7"/>
            <w:vAlign w:val="top"/>
          </w:tcPr>
          <w:p w14:paraId="3C3BD5A0">
            <w:pPr>
              <w:rPr>
                <w:rFonts w:ascii="Arial"/>
                <w:color w:val="auto"/>
                <w:sz w:val="20"/>
                <w:szCs w:val="20"/>
                <w:highlight w:val="none"/>
              </w:rPr>
            </w:pPr>
          </w:p>
        </w:tc>
      </w:tr>
      <w:tr w14:paraId="609AA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9143" w:type="dxa"/>
            <w:gridSpan w:val="11"/>
            <w:vAlign w:val="top"/>
          </w:tcPr>
          <w:p w14:paraId="511313E6">
            <w:pPr>
              <w:pStyle w:val="9"/>
              <w:spacing w:before="191" w:line="220" w:lineRule="auto"/>
              <w:ind w:left="3258"/>
              <w:rPr>
                <w:color w:val="auto"/>
                <w:sz w:val="20"/>
                <w:szCs w:val="20"/>
                <w:highlight w:val="none"/>
              </w:rPr>
            </w:pPr>
            <w:r>
              <w:rPr>
                <w:color w:val="auto"/>
                <w:spacing w:val="-1"/>
                <w:sz w:val="20"/>
                <w:szCs w:val="20"/>
                <w:highlight w:val="none"/>
              </w:rPr>
              <w:t>在建和已完工程项目情况</w:t>
            </w:r>
          </w:p>
        </w:tc>
      </w:tr>
      <w:tr w14:paraId="65F83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405" w:type="dxa"/>
            <w:gridSpan w:val="2"/>
            <w:vAlign w:val="top"/>
          </w:tcPr>
          <w:p w14:paraId="3A3E0952">
            <w:pPr>
              <w:pStyle w:val="9"/>
              <w:spacing w:before="184" w:line="221" w:lineRule="auto"/>
              <w:ind w:left="230"/>
              <w:rPr>
                <w:color w:val="auto"/>
                <w:sz w:val="20"/>
                <w:szCs w:val="20"/>
                <w:highlight w:val="none"/>
              </w:rPr>
            </w:pPr>
            <w:r>
              <w:rPr>
                <w:color w:val="auto"/>
                <w:spacing w:val="-4"/>
                <w:sz w:val="20"/>
                <w:szCs w:val="20"/>
                <w:highlight w:val="none"/>
              </w:rPr>
              <w:t>建设单位</w:t>
            </w:r>
          </w:p>
        </w:tc>
        <w:tc>
          <w:tcPr>
            <w:tcW w:w="1547" w:type="dxa"/>
            <w:vAlign w:val="top"/>
          </w:tcPr>
          <w:p w14:paraId="22EE4AA7">
            <w:pPr>
              <w:pStyle w:val="9"/>
              <w:spacing w:before="184" w:line="221" w:lineRule="auto"/>
              <w:ind w:left="302"/>
              <w:rPr>
                <w:color w:val="auto"/>
                <w:sz w:val="20"/>
                <w:szCs w:val="20"/>
                <w:highlight w:val="none"/>
              </w:rPr>
            </w:pPr>
            <w:r>
              <w:rPr>
                <w:color w:val="auto"/>
                <w:spacing w:val="-4"/>
                <w:sz w:val="20"/>
                <w:szCs w:val="20"/>
                <w:highlight w:val="none"/>
              </w:rPr>
              <w:t>项目名称</w:t>
            </w:r>
          </w:p>
        </w:tc>
        <w:tc>
          <w:tcPr>
            <w:tcW w:w="1546" w:type="dxa"/>
            <w:gridSpan w:val="2"/>
            <w:vAlign w:val="top"/>
          </w:tcPr>
          <w:p w14:paraId="5C25E35E">
            <w:pPr>
              <w:pStyle w:val="9"/>
              <w:spacing w:before="184" w:line="220" w:lineRule="auto"/>
              <w:ind w:left="302"/>
              <w:rPr>
                <w:color w:val="auto"/>
                <w:sz w:val="20"/>
                <w:szCs w:val="20"/>
                <w:highlight w:val="none"/>
              </w:rPr>
            </w:pPr>
            <w:r>
              <w:rPr>
                <w:color w:val="auto"/>
                <w:spacing w:val="-4"/>
                <w:sz w:val="20"/>
                <w:szCs w:val="20"/>
                <w:highlight w:val="none"/>
              </w:rPr>
              <w:t>建设规模</w:t>
            </w:r>
          </w:p>
        </w:tc>
        <w:tc>
          <w:tcPr>
            <w:tcW w:w="1547" w:type="dxa"/>
            <w:gridSpan w:val="2"/>
            <w:vAlign w:val="top"/>
          </w:tcPr>
          <w:p w14:paraId="6F9A1870">
            <w:pPr>
              <w:pStyle w:val="9"/>
              <w:spacing w:before="184" w:line="220" w:lineRule="auto"/>
              <w:ind w:left="115"/>
              <w:rPr>
                <w:color w:val="auto"/>
                <w:sz w:val="20"/>
                <w:szCs w:val="20"/>
                <w:highlight w:val="none"/>
              </w:rPr>
            </w:pPr>
            <w:r>
              <w:rPr>
                <w:color w:val="auto"/>
                <w:spacing w:val="-20"/>
                <w:sz w:val="20"/>
                <w:szCs w:val="20"/>
                <w:highlight w:val="none"/>
              </w:rPr>
              <w:t>开、竣工日期</w:t>
            </w:r>
          </w:p>
        </w:tc>
        <w:tc>
          <w:tcPr>
            <w:tcW w:w="1546" w:type="dxa"/>
            <w:gridSpan w:val="2"/>
            <w:vAlign w:val="top"/>
          </w:tcPr>
          <w:p w14:paraId="5E7D6E1C">
            <w:pPr>
              <w:pStyle w:val="9"/>
              <w:spacing w:before="184" w:line="220" w:lineRule="auto"/>
              <w:ind w:left="179"/>
              <w:rPr>
                <w:color w:val="auto"/>
                <w:sz w:val="20"/>
                <w:szCs w:val="20"/>
                <w:highlight w:val="none"/>
              </w:rPr>
            </w:pPr>
            <w:r>
              <w:rPr>
                <w:color w:val="auto"/>
                <w:spacing w:val="-2"/>
                <w:sz w:val="20"/>
                <w:szCs w:val="20"/>
                <w:highlight w:val="none"/>
              </w:rPr>
              <w:t>在建或已完</w:t>
            </w:r>
          </w:p>
        </w:tc>
        <w:tc>
          <w:tcPr>
            <w:tcW w:w="1552" w:type="dxa"/>
            <w:gridSpan w:val="2"/>
            <w:vAlign w:val="top"/>
          </w:tcPr>
          <w:p w14:paraId="0930A71E">
            <w:pPr>
              <w:pStyle w:val="9"/>
              <w:spacing w:before="184" w:line="221" w:lineRule="auto"/>
              <w:ind w:left="305"/>
              <w:rPr>
                <w:color w:val="auto"/>
                <w:sz w:val="20"/>
                <w:szCs w:val="20"/>
                <w:highlight w:val="none"/>
              </w:rPr>
            </w:pPr>
            <w:r>
              <w:rPr>
                <w:color w:val="auto"/>
                <w:spacing w:val="-4"/>
                <w:sz w:val="20"/>
                <w:szCs w:val="20"/>
                <w:highlight w:val="none"/>
              </w:rPr>
              <w:t>工程质量</w:t>
            </w:r>
          </w:p>
        </w:tc>
      </w:tr>
      <w:tr w14:paraId="389141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405" w:type="dxa"/>
            <w:gridSpan w:val="2"/>
            <w:vAlign w:val="top"/>
          </w:tcPr>
          <w:p w14:paraId="3DA7FDEC">
            <w:pPr>
              <w:rPr>
                <w:rFonts w:ascii="Arial"/>
                <w:color w:val="auto"/>
                <w:sz w:val="20"/>
                <w:szCs w:val="20"/>
                <w:highlight w:val="none"/>
              </w:rPr>
            </w:pPr>
          </w:p>
        </w:tc>
        <w:tc>
          <w:tcPr>
            <w:tcW w:w="1547" w:type="dxa"/>
            <w:vAlign w:val="top"/>
          </w:tcPr>
          <w:p w14:paraId="76AB1774">
            <w:pPr>
              <w:rPr>
                <w:rFonts w:ascii="Arial"/>
                <w:color w:val="auto"/>
                <w:sz w:val="20"/>
                <w:szCs w:val="20"/>
                <w:highlight w:val="none"/>
              </w:rPr>
            </w:pPr>
          </w:p>
        </w:tc>
        <w:tc>
          <w:tcPr>
            <w:tcW w:w="1546" w:type="dxa"/>
            <w:gridSpan w:val="2"/>
            <w:vAlign w:val="top"/>
          </w:tcPr>
          <w:p w14:paraId="2914049D">
            <w:pPr>
              <w:rPr>
                <w:rFonts w:ascii="Arial"/>
                <w:color w:val="auto"/>
                <w:sz w:val="20"/>
                <w:szCs w:val="20"/>
                <w:highlight w:val="none"/>
              </w:rPr>
            </w:pPr>
          </w:p>
        </w:tc>
        <w:tc>
          <w:tcPr>
            <w:tcW w:w="1547" w:type="dxa"/>
            <w:gridSpan w:val="2"/>
            <w:vAlign w:val="top"/>
          </w:tcPr>
          <w:p w14:paraId="74590668">
            <w:pPr>
              <w:rPr>
                <w:rFonts w:ascii="Arial"/>
                <w:color w:val="auto"/>
                <w:sz w:val="20"/>
                <w:szCs w:val="20"/>
                <w:highlight w:val="none"/>
              </w:rPr>
            </w:pPr>
          </w:p>
        </w:tc>
        <w:tc>
          <w:tcPr>
            <w:tcW w:w="1546" w:type="dxa"/>
            <w:gridSpan w:val="2"/>
            <w:vAlign w:val="top"/>
          </w:tcPr>
          <w:p w14:paraId="5CD7CB1B">
            <w:pPr>
              <w:rPr>
                <w:rFonts w:ascii="Arial"/>
                <w:color w:val="auto"/>
                <w:sz w:val="20"/>
                <w:szCs w:val="20"/>
                <w:highlight w:val="none"/>
              </w:rPr>
            </w:pPr>
          </w:p>
        </w:tc>
        <w:tc>
          <w:tcPr>
            <w:tcW w:w="1552" w:type="dxa"/>
            <w:gridSpan w:val="2"/>
            <w:vAlign w:val="top"/>
          </w:tcPr>
          <w:p w14:paraId="0395C0FF">
            <w:pPr>
              <w:rPr>
                <w:rFonts w:ascii="Arial"/>
                <w:color w:val="auto"/>
                <w:sz w:val="20"/>
                <w:szCs w:val="20"/>
                <w:highlight w:val="none"/>
              </w:rPr>
            </w:pPr>
          </w:p>
        </w:tc>
      </w:tr>
      <w:tr w14:paraId="1F02D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405" w:type="dxa"/>
            <w:gridSpan w:val="2"/>
            <w:vAlign w:val="top"/>
          </w:tcPr>
          <w:p w14:paraId="67A88D73">
            <w:pPr>
              <w:rPr>
                <w:rFonts w:ascii="Arial"/>
                <w:color w:val="auto"/>
                <w:sz w:val="20"/>
                <w:szCs w:val="20"/>
                <w:highlight w:val="none"/>
              </w:rPr>
            </w:pPr>
          </w:p>
        </w:tc>
        <w:tc>
          <w:tcPr>
            <w:tcW w:w="1547" w:type="dxa"/>
            <w:vAlign w:val="top"/>
          </w:tcPr>
          <w:p w14:paraId="3AAFC407">
            <w:pPr>
              <w:rPr>
                <w:rFonts w:ascii="Arial"/>
                <w:color w:val="auto"/>
                <w:sz w:val="20"/>
                <w:szCs w:val="20"/>
                <w:highlight w:val="none"/>
              </w:rPr>
            </w:pPr>
          </w:p>
        </w:tc>
        <w:tc>
          <w:tcPr>
            <w:tcW w:w="1546" w:type="dxa"/>
            <w:gridSpan w:val="2"/>
            <w:vAlign w:val="top"/>
          </w:tcPr>
          <w:p w14:paraId="77011657">
            <w:pPr>
              <w:rPr>
                <w:rFonts w:ascii="Arial"/>
                <w:color w:val="auto"/>
                <w:sz w:val="20"/>
                <w:szCs w:val="20"/>
                <w:highlight w:val="none"/>
              </w:rPr>
            </w:pPr>
          </w:p>
        </w:tc>
        <w:tc>
          <w:tcPr>
            <w:tcW w:w="1547" w:type="dxa"/>
            <w:gridSpan w:val="2"/>
            <w:vAlign w:val="top"/>
          </w:tcPr>
          <w:p w14:paraId="2345ED8B">
            <w:pPr>
              <w:rPr>
                <w:rFonts w:ascii="Arial"/>
                <w:color w:val="auto"/>
                <w:sz w:val="20"/>
                <w:szCs w:val="20"/>
                <w:highlight w:val="none"/>
              </w:rPr>
            </w:pPr>
          </w:p>
        </w:tc>
        <w:tc>
          <w:tcPr>
            <w:tcW w:w="1546" w:type="dxa"/>
            <w:gridSpan w:val="2"/>
            <w:vAlign w:val="top"/>
          </w:tcPr>
          <w:p w14:paraId="10212760">
            <w:pPr>
              <w:rPr>
                <w:rFonts w:ascii="Arial"/>
                <w:color w:val="auto"/>
                <w:sz w:val="20"/>
                <w:szCs w:val="20"/>
                <w:highlight w:val="none"/>
              </w:rPr>
            </w:pPr>
          </w:p>
        </w:tc>
        <w:tc>
          <w:tcPr>
            <w:tcW w:w="1552" w:type="dxa"/>
            <w:gridSpan w:val="2"/>
            <w:vAlign w:val="top"/>
          </w:tcPr>
          <w:p w14:paraId="1FC6A9D7">
            <w:pPr>
              <w:rPr>
                <w:rFonts w:ascii="Arial"/>
                <w:color w:val="auto"/>
                <w:sz w:val="20"/>
                <w:szCs w:val="20"/>
                <w:highlight w:val="none"/>
              </w:rPr>
            </w:pPr>
          </w:p>
        </w:tc>
      </w:tr>
      <w:tr w14:paraId="2D60B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405" w:type="dxa"/>
            <w:gridSpan w:val="2"/>
            <w:vAlign w:val="top"/>
          </w:tcPr>
          <w:p w14:paraId="5796ED86">
            <w:pPr>
              <w:rPr>
                <w:rFonts w:ascii="Arial"/>
                <w:color w:val="auto"/>
                <w:sz w:val="20"/>
                <w:szCs w:val="20"/>
                <w:highlight w:val="none"/>
              </w:rPr>
            </w:pPr>
          </w:p>
        </w:tc>
        <w:tc>
          <w:tcPr>
            <w:tcW w:w="1547" w:type="dxa"/>
            <w:vAlign w:val="top"/>
          </w:tcPr>
          <w:p w14:paraId="37A1C0B9">
            <w:pPr>
              <w:rPr>
                <w:rFonts w:ascii="Arial"/>
                <w:color w:val="auto"/>
                <w:sz w:val="20"/>
                <w:szCs w:val="20"/>
                <w:highlight w:val="none"/>
              </w:rPr>
            </w:pPr>
          </w:p>
        </w:tc>
        <w:tc>
          <w:tcPr>
            <w:tcW w:w="1546" w:type="dxa"/>
            <w:gridSpan w:val="2"/>
            <w:vAlign w:val="top"/>
          </w:tcPr>
          <w:p w14:paraId="4F564F80">
            <w:pPr>
              <w:rPr>
                <w:rFonts w:ascii="Arial"/>
                <w:color w:val="auto"/>
                <w:sz w:val="20"/>
                <w:szCs w:val="20"/>
                <w:highlight w:val="none"/>
              </w:rPr>
            </w:pPr>
          </w:p>
        </w:tc>
        <w:tc>
          <w:tcPr>
            <w:tcW w:w="1547" w:type="dxa"/>
            <w:gridSpan w:val="2"/>
            <w:vAlign w:val="top"/>
          </w:tcPr>
          <w:p w14:paraId="21DD6549">
            <w:pPr>
              <w:rPr>
                <w:rFonts w:ascii="Arial"/>
                <w:color w:val="auto"/>
                <w:sz w:val="20"/>
                <w:szCs w:val="20"/>
                <w:highlight w:val="none"/>
              </w:rPr>
            </w:pPr>
          </w:p>
        </w:tc>
        <w:tc>
          <w:tcPr>
            <w:tcW w:w="1546" w:type="dxa"/>
            <w:gridSpan w:val="2"/>
            <w:vAlign w:val="top"/>
          </w:tcPr>
          <w:p w14:paraId="4EAB8B6D">
            <w:pPr>
              <w:rPr>
                <w:rFonts w:ascii="Arial"/>
                <w:color w:val="auto"/>
                <w:sz w:val="20"/>
                <w:szCs w:val="20"/>
                <w:highlight w:val="none"/>
              </w:rPr>
            </w:pPr>
          </w:p>
        </w:tc>
        <w:tc>
          <w:tcPr>
            <w:tcW w:w="1552" w:type="dxa"/>
            <w:gridSpan w:val="2"/>
            <w:vAlign w:val="top"/>
          </w:tcPr>
          <w:p w14:paraId="685E1415">
            <w:pPr>
              <w:rPr>
                <w:rFonts w:ascii="Arial"/>
                <w:color w:val="auto"/>
                <w:sz w:val="20"/>
                <w:szCs w:val="20"/>
                <w:highlight w:val="none"/>
              </w:rPr>
            </w:pPr>
          </w:p>
        </w:tc>
      </w:tr>
      <w:tr w14:paraId="5B6A7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405" w:type="dxa"/>
            <w:gridSpan w:val="2"/>
            <w:vAlign w:val="top"/>
          </w:tcPr>
          <w:p w14:paraId="3CB5ECAF">
            <w:pPr>
              <w:rPr>
                <w:rFonts w:ascii="Arial"/>
                <w:color w:val="auto"/>
                <w:sz w:val="20"/>
                <w:szCs w:val="20"/>
                <w:highlight w:val="none"/>
              </w:rPr>
            </w:pPr>
          </w:p>
        </w:tc>
        <w:tc>
          <w:tcPr>
            <w:tcW w:w="1547" w:type="dxa"/>
            <w:vAlign w:val="top"/>
          </w:tcPr>
          <w:p w14:paraId="07D60633">
            <w:pPr>
              <w:rPr>
                <w:rFonts w:ascii="Arial"/>
                <w:color w:val="auto"/>
                <w:sz w:val="20"/>
                <w:szCs w:val="20"/>
                <w:highlight w:val="none"/>
              </w:rPr>
            </w:pPr>
          </w:p>
        </w:tc>
        <w:tc>
          <w:tcPr>
            <w:tcW w:w="1546" w:type="dxa"/>
            <w:gridSpan w:val="2"/>
            <w:vAlign w:val="top"/>
          </w:tcPr>
          <w:p w14:paraId="1FF747D2">
            <w:pPr>
              <w:rPr>
                <w:rFonts w:ascii="Arial"/>
                <w:color w:val="auto"/>
                <w:sz w:val="20"/>
                <w:szCs w:val="20"/>
                <w:highlight w:val="none"/>
              </w:rPr>
            </w:pPr>
          </w:p>
        </w:tc>
        <w:tc>
          <w:tcPr>
            <w:tcW w:w="1547" w:type="dxa"/>
            <w:gridSpan w:val="2"/>
            <w:vAlign w:val="top"/>
          </w:tcPr>
          <w:p w14:paraId="482BE9D3">
            <w:pPr>
              <w:rPr>
                <w:rFonts w:ascii="Arial"/>
                <w:color w:val="auto"/>
                <w:sz w:val="20"/>
                <w:szCs w:val="20"/>
                <w:highlight w:val="none"/>
              </w:rPr>
            </w:pPr>
          </w:p>
        </w:tc>
        <w:tc>
          <w:tcPr>
            <w:tcW w:w="1546" w:type="dxa"/>
            <w:gridSpan w:val="2"/>
            <w:vAlign w:val="top"/>
          </w:tcPr>
          <w:p w14:paraId="77AB650D">
            <w:pPr>
              <w:rPr>
                <w:rFonts w:ascii="Arial"/>
                <w:color w:val="auto"/>
                <w:sz w:val="20"/>
                <w:szCs w:val="20"/>
                <w:highlight w:val="none"/>
              </w:rPr>
            </w:pPr>
          </w:p>
        </w:tc>
        <w:tc>
          <w:tcPr>
            <w:tcW w:w="1552" w:type="dxa"/>
            <w:gridSpan w:val="2"/>
            <w:vAlign w:val="top"/>
          </w:tcPr>
          <w:p w14:paraId="0B719A59">
            <w:pPr>
              <w:rPr>
                <w:rFonts w:ascii="Arial"/>
                <w:color w:val="auto"/>
                <w:sz w:val="20"/>
                <w:szCs w:val="20"/>
                <w:highlight w:val="none"/>
              </w:rPr>
            </w:pPr>
          </w:p>
        </w:tc>
      </w:tr>
    </w:tbl>
    <w:p w14:paraId="32C7CC72">
      <w:pPr>
        <w:pStyle w:val="2"/>
        <w:spacing w:line="421" w:lineRule="auto"/>
        <w:rPr>
          <w:color w:val="auto"/>
          <w:sz w:val="20"/>
          <w:szCs w:val="20"/>
          <w:highlight w:val="none"/>
        </w:rPr>
      </w:pPr>
    </w:p>
    <w:p w14:paraId="10A55889">
      <w:pPr>
        <w:spacing w:before="78" w:line="362" w:lineRule="auto"/>
        <w:ind w:left="35" w:right="10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备注：附项目经理的相关证明材料复印件（项目经理需提供相关证书及[</w:t>
      </w:r>
      <w:r>
        <w:rPr>
          <w:rFonts w:ascii="宋体" w:hAnsi="宋体" w:eastAsia="宋体" w:cs="宋体"/>
          <w:color w:val="auto"/>
          <w:spacing w:val="-33"/>
          <w:sz w:val="20"/>
          <w:szCs w:val="20"/>
          <w:highlight w:val="none"/>
        </w:rPr>
        <w:t xml:space="preserve"> </w:t>
      </w:r>
      <w:r>
        <w:rPr>
          <w:rFonts w:ascii="宋体" w:hAnsi="宋体" w:eastAsia="宋体" w:cs="宋体"/>
          <w:color w:val="auto"/>
          <w:spacing w:val="-2"/>
          <w:sz w:val="20"/>
          <w:szCs w:val="20"/>
          <w:highlight w:val="none"/>
        </w:rPr>
        <w:t xml:space="preserve">2025 年 </w:t>
      </w:r>
      <w:r>
        <w:rPr>
          <w:rFonts w:hint="eastAsia" w:ascii="宋体" w:hAnsi="宋体" w:eastAsia="宋体" w:cs="宋体"/>
          <w:color w:val="auto"/>
          <w:spacing w:val="-2"/>
          <w:sz w:val="20"/>
          <w:szCs w:val="20"/>
          <w:highlight w:val="none"/>
          <w:lang w:val="en-US" w:eastAsia="zh-CN"/>
        </w:rPr>
        <w:t>6</w:t>
      </w:r>
      <w:r>
        <w:rPr>
          <w:rFonts w:ascii="宋体" w:hAnsi="宋体" w:eastAsia="宋体" w:cs="宋体"/>
          <w:color w:val="auto"/>
          <w:spacing w:val="-2"/>
          <w:sz w:val="20"/>
          <w:szCs w:val="20"/>
          <w:highlight w:val="none"/>
        </w:rPr>
        <w:t xml:space="preserve"> 月</w:t>
      </w:r>
      <w:r>
        <w:rPr>
          <w:rFonts w:ascii="宋体" w:hAnsi="宋体" w:eastAsia="宋体" w:cs="宋体"/>
          <w:color w:val="auto"/>
          <w:sz w:val="20"/>
          <w:szCs w:val="20"/>
          <w:highlight w:val="none"/>
        </w:rPr>
        <w:t xml:space="preserve"> 至 2025 年</w:t>
      </w:r>
      <w:r>
        <w:rPr>
          <w:rFonts w:hint="eastAsia" w:ascii="宋体" w:hAnsi="宋体" w:eastAsia="宋体" w:cs="宋体"/>
          <w:color w:val="auto"/>
          <w:sz w:val="20"/>
          <w:szCs w:val="20"/>
          <w:highlight w:val="none"/>
          <w:lang w:val="en-US" w:eastAsia="zh-CN"/>
        </w:rPr>
        <w:t>11</w:t>
      </w:r>
      <w:r>
        <w:rPr>
          <w:rFonts w:ascii="宋体" w:hAnsi="宋体" w:eastAsia="宋体" w:cs="宋体"/>
          <w:color w:val="auto"/>
          <w:sz w:val="20"/>
          <w:szCs w:val="20"/>
          <w:highlight w:val="none"/>
        </w:rPr>
        <w:t xml:space="preserve"> 月]内连续三个月供应商为其</w:t>
      </w:r>
      <w:r>
        <w:rPr>
          <w:rFonts w:ascii="宋体" w:hAnsi="宋体" w:eastAsia="宋体" w:cs="宋体"/>
          <w:color w:val="auto"/>
          <w:spacing w:val="-1"/>
          <w:sz w:val="20"/>
          <w:szCs w:val="20"/>
          <w:highlight w:val="none"/>
        </w:rPr>
        <w:t>依法缴纳社保的证明材料）。</w:t>
      </w:r>
    </w:p>
    <w:p w14:paraId="1C64EDE3">
      <w:pPr>
        <w:pStyle w:val="2"/>
        <w:spacing w:line="269" w:lineRule="auto"/>
        <w:rPr>
          <w:color w:val="auto"/>
          <w:sz w:val="20"/>
          <w:szCs w:val="20"/>
          <w:highlight w:val="none"/>
        </w:rPr>
      </w:pPr>
    </w:p>
    <w:p w14:paraId="71F8CB27">
      <w:pPr>
        <w:pStyle w:val="2"/>
        <w:spacing w:line="269" w:lineRule="auto"/>
        <w:rPr>
          <w:color w:val="auto"/>
          <w:sz w:val="20"/>
          <w:szCs w:val="20"/>
          <w:highlight w:val="none"/>
        </w:rPr>
      </w:pPr>
    </w:p>
    <w:p w14:paraId="3B60EA49">
      <w:pPr>
        <w:pStyle w:val="2"/>
        <w:spacing w:line="270" w:lineRule="auto"/>
        <w:rPr>
          <w:color w:val="auto"/>
          <w:sz w:val="20"/>
          <w:szCs w:val="20"/>
          <w:highlight w:val="none"/>
        </w:rPr>
      </w:pPr>
    </w:p>
    <w:p w14:paraId="75BF0A85">
      <w:pPr>
        <w:spacing w:before="78" w:line="219" w:lineRule="auto"/>
        <w:ind w:left="391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4CEE9E9D">
      <w:pPr>
        <w:spacing w:before="183" w:line="220" w:lineRule="auto"/>
        <w:ind w:left="6195"/>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632519D6">
      <w:pPr>
        <w:spacing w:line="220" w:lineRule="auto"/>
        <w:rPr>
          <w:rFonts w:ascii="宋体" w:hAnsi="宋体" w:eastAsia="宋体" w:cs="宋体"/>
          <w:color w:val="auto"/>
          <w:sz w:val="24"/>
          <w:szCs w:val="24"/>
          <w:highlight w:val="none"/>
        </w:rPr>
        <w:sectPr>
          <w:footerReference r:id="rId70" w:type="default"/>
          <w:pgSz w:w="11907" w:h="16840"/>
          <w:pgMar w:top="400" w:right="1309" w:bottom="1040" w:left="1449" w:header="0" w:footer="804" w:gutter="0"/>
          <w:cols w:space="720" w:num="1"/>
        </w:sectPr>
      </w:pPr>
    </w:p>
    <w:p w14:paraId="630719EE">
      <w:pPr>
        <w:pStyle w:val="2"/>
        <w:spacing w:line="248" w:lineRule="auto"/>
        <w:rPr>
          <w:color w:val="auto"/>
          <w:highlight w:val="none"/>
        </w:rPr>
      </w:pPr>
    </w:p>
    <w:p w14:paraId="2C2BF131">
      <w:pPr>
        <w:pStyle w:val="2"/>
        <w:spacing w:line="248" w:lineRule="auto"/>
        <w:rPr>
          <w:color w:val="auto"/>
          <w:highlight w:val="none"/>
        </w:rPr>
      </w:pPr>
    </w:p>
    <w:p w14:paraId="6FCFEAF3">
      <w:pPr>
        <w:pStyle w:val="2"/>
        <w:spacing w:line="248" w:lineRule="auto"/>
        <w:rPr>
          <w:color w:val="auto"/>
          <w:highlight w:val="none"/>
        </w:rPr>
      </w:pPr>
    </w:p>
    <w:p w14:paraId="50652529">
      <w:pPr>
        <w:pStyle w:val="2"/>
        <w:spacing w:line="248" w:lineRule="auto"/>
        <w:rPr>
          <w:color w:val="auto"/>
          <w:highlight w:val="none"/>
        </w:rPr>
      </w:pPr>
    </w:p>
    <w:p w14:paraId="2578A00B">
      <w:pPr>
        <w:spacing w:before="97" w:line="219" w:lineRule="auto"/>
        <w:ind w:left="3112"/>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2.项目技术负责人简历表</w:t>
      </w:r>
    </w:p>
    <w:p w14:paraId="7CCF95E2">
      <w:pPr>
        <w:spacing w:before="56"/>
        <w:rPr>
          <w:color w:val="auto"/>
          <w:highlight w:val="none"/>
        </w:rPr>
      </w:pPr>
    </w:p>
    <w:tbl>
      <w:tblPr>
        <w:tblStyle w:val="8"/>
        <w:tblW w:w="90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1"/>
        <w:gridCol w:w="457"/>
        <w:gridCol w:w="1524"/>
        <w:gridCol w:w="324"/>
        <w:gridCol w:w="1199"/>
        <w:gridCol w:w="665"/>
        <w:gridCol w:w="859"/>
        <w:gridCol w:w="702"/>
        <w:gridCol w:w="821"/>
        <w:gridCol w:w="270"/>
        <w:gridCol w:w="1130"/>
      </w:tblGrid>
      <w:tr w14:paraId="60EB0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71" w:type="dxa"/>
            <w:vAlign w:val="top"/>
          </w:tcPr>
          <w:p w14:paraId="16A50326">
            <w:pPr>
              <w:pStyle w:val="9"/>
              <w:spacing w:before="102" w:line="220" w:lineRule="auto"/>
              <w:ind w:left="30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姓名</w:t>
            </w:r>
          </w:p>
        </w:tc>
        <w:tc>
          <w:tcPr>
            <w:tcW w:w="2305" w:type="dxa"/>
            <w:gridSpan w:val="3"/>
            <w:vAlign w:val="top"/>
          </w:tcPr>
          <w:p w14:paraId="285569CD">
            <w:pPr>
              <w:rPr>
                <w:rFonts w:hint="eastAsia" w:ascii="宋体" w:hAnsi="宋体" w:eastAsia="宋体" w:cs="宋体"/>
                <w:color w:val="auto"/>
                <w:sz w:val="20"/>
                <w:szCs w:val="20"/>
                <w:highlight w:val="none"/>
              </w:rPr>
            </w:pPr>
          </w:p>
        </w:tc>
        <w:tc>
          <w:tcPr>
            <w:tcW w:w="1864" w:type="dxa"/>
            <w:gridSpan w:val="2"/>
            <w:vAlign w:val="top"/>
          </w:tcPr>
          <w:p w14:paraId="11D313C8">
            <w:pPr>
              <w:pStyle w:val="9"/>
              <w:spacing w:before="101" w:line="221" w:lineRule="auto"/>
              <w:ind w:left="69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性别</w:t>
            </w:r>
          </w:p>
        </w:tc>
        <w:tc>
          <w:tcPr>
            <w:tcW w:w="1561" w:type="dxa"/>
            <w:gridSpan w:val="2"/>
            <w:vAlign w:val="top"/>
          </w:tcPr>
          <w:p w14:paraId="6497795F">
            <w:pPr>
              <w:rPr>
                <w:rFonts w:hint="eastAsia" w:ascii="宋体" w:hAnsi="宋体" w:eastAsia="宋体" w:cs="宋体"/>
                <w:color w:val="auto"/>
                <w:sz w:val="20"/>
                <w:szCs w:val="20"/>
                <w:highlight w:val="none"/>
              </w:rPr>
            </w:pPr>
          </w:p>
        </w:tc>
        <w:tc>
          <w:tcPr>
            <w:tcW w:w="1091" w:type="dxa"/>
            <w:gridSpan w:val="2"/>
            <w:vAlign w:val="top"/>
          </w:tcPr>
          <w:p w14:paraId="0A93973A">
            <w:pPr>
              <w:pStyle w:val="9"/>
              <w:spacing w:before="102" w:line="220" w:lineRule="auto"/>
              <w:ind w:left="314"/>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年龄</w:t>
            </w:r>
          </w:p>
        </w:tc>
        <w:tc>
          <w:tcPr>
            <w:tcW w:w="1130" w:type="dxa"/>
            <w:vAlign w:val="top"/>
          </w:tcPr>
          <w:p w14:paraId="5A48011C">
            <w:pPr>
              <w:rPr>
                <w:rFonts w:hint="eastAsia" w:ascii="宋体" w:hAnsi="宋体" w:eastAsia="宋体" w:cs="宋体"/>
                <w:color w:val="auto"/>
                <w:sz w:val="20"/>
                <w:szCs w:val="20"/>
                <w:highlight w:val="none"/>
              </w:rPr>
            </w:pPr>
          </w:p>
        </w:tc>
      </w:tr>
      <w:tr w14:paraId="12D7E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71" w:type="dxa"/>
            <w:vAlign w:val="top"/>
          </w:tcPr>
          <w:p w14:paraId="57F744A4">
            <w:pPr>
              <w:pStyle w:val="9"/>
              <w:spacing w:before="107" w:line="220" w:lineRule="auto"/>
              <w:ind w:left="301"/>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职务</w:t>
            </w:r>
          </w:p>
        </w:tc>
        <w:tc>
          <w:tcPr>
            <w:tcW w:w="2305" w:type="dxa"/>
            <w:gridSpan w:val="3"/>
            <w:vAlign w:val="top"/>
          </w:tcPr>
          <w:p w14:paraId="074E117A">
            <w:pPr>
              <w:rPr>
                <w:rFonts w:hint="eastAsia" w:ascii="宋体" w:hAnsi="宋体" w:eastAsia="宋体" w:cs="宋体"/>
                <w:color w:val="auto"/>
                <w:sz w:val="20"/>
                <w:szCs w:val="20"/>
                <w:highlight w:val="none"/>
              </w:rPr>
            </w:pPr>
          </w:p>
        </w:tc>
        <w:tc>
          <w:tcPr>
            <w:tcW w:w="1864" w:type="dxa"/>
            <w:gridSpan w:val="2"/>
            <w:vAlign w:val="top"/>
          </w:tcPr>
          <w:p w14:paraId="7FAE9E33">
            <w:pPr>
              <w:pStyle w:val="9"/>
              <w:spacing w:before="108" w:line="222" w:lineRule="auto"/>
              <w:ind w:left="698"/>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职称</w:t>
            </w:r>
          </w:p>
        </w:tc>
        <w:tc>
          <w:tcPr>
            <w:tcW w:w="1561" w:type="dxa"/>
            <w:gridSpan w:val="2"/>
            <w:vAlign w:val="top"/>
          </w:tcPr>
          <w:p w14:paraId="0E5D8496">
            <w:pPr>
              <w:rPr>
                <w:rFonts w:hint="eastAsia" w:ascii="宋体" w:hAnsi="宋体" w:eastAsia="宋体" w:cs="宋体"/>
                <w:color w:val="auto"/>
                <w:sz w:val="20"/>
                <w:szCs w:val="20"/>
                <w:highlight w:val="none"/>
              </w:rPr>
            </w:pPr>
          </w:p>
        </w:tc>
        <w:tc>
          <w:tcPr>
            <w:tcW w:w="1091" w:type="dxa"/>
            <w:gridSpan w:val="2"/>
            <w:vAlign w:val="top"/>
          </w:tcPr>
          <w:p w14:paraId="0A830A59">
            <w:pPr>
              <w:pStyle w:val="9"/>
              <w:spacing w:before="107" w:line="222" w:lineRule="auto"/>
              <w:ind w:left="318"/>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学历</w:t>
            </w:r>
          </w:p>
        </w:tc>
        <w:tc>
          <w:tcPr>
            <w:tcW w:w="1130" w:type="dxa"/>
            <w:vAlign w:val="top"/>
          </w:tcPr>
          <w:p w14:paraId="32AC0812">
            <w:pPr>
              <w:rPr>
                <w:rFonts w:hint="eastAsia" w:ascii="宋体" w:hAnsi="宋体" w:eastAsia="宋体" w:cs="宋体"/>
                <w:color w:val="auto"/>
                <w:sz w:val="20"/>
                <w:szCs w:val="20"/>
                <w:highlight w:val="none"/>
              </w:rPr>
            </w:pPr>
          </w:p>
        </w:tc>
      </w:tr>
      <w:tr w14:paraId="3B9100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376" w:type="dxa"/>
            <w:gridSpan w:val="4"/>
            <w:vAlign w:val="top"/>
          </w:tcPr>
          <w:p w14:paraId="2EC82249">
            <w:pPr>
              <w:pStyle w:val="9"/>
              <w:spacing w:before="175" w:line="221" w:lineRule="auto"/>
              <w:ind w:left="977"/>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参加工作时间</w:t>
            </w:r>
          </w:p>
        </w:tc>
        <w:tc>
          <w:tcPr>
            <w:tcW w:w="1864" w:type="dxa"/>
            <w:gridSpan w:val="2"/>
            <w:vAlign w:val="top"/>
          </w:tcPr>
          <w:p w14:paraId="107FF64E">
            <w:pPr>
              <w:rPr>
                <w:rFonts w:hint="eastAsia" w:ascii="宋体" w:hAnsi="宋体" w:eastAsia="宋体" w:cs="宋体"/>
                <w:color w:val="auto"/>
                <w:sz w:val="20"/>
                <w:szCs w:val="20"/>
                <w:highlight w:val="none"/>
              </w:rPr>
            </w:pPr>
          </w:p>
        </w:tc>
        <w:tc>
          <w:tcPr>
            <w:tcW w:w="2652" w:type="dxa"/>
            <w:gridSpan w:val="4"/>
            <w:vAlign w:val="top"/>
          </w:tcPr>
          <w:p w14:paraId="6272FCE5">
            <w:pPr>
              <w:pStyle w:val="9"/>
              <w:spacing w:before="175" w:line="220" w:lineRule="auto"/>
              <w:ind w:left="255"/>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担任技术负责人年限</w:t>
            </w:r>
          </w:p>
        </w:tc>
        <w:tc>
          <w:tcPr>
            <w:tcW w:w="1130" w:type="dxa"/>
            <w:vAlign w:val="top"/>
          </w:tcPr>
          <w:p w14:paraId="7889565F">
            <w:pPr>
              <w:rPr>
                <w:rFonts w:hint="eastAsia" w:ascii="宋体" w:hAnsi="宋体" w:eastAsia="宋体" w:cs="宋体"/>
                <w:color w:val="auto"/>
                <w:sz w:val="20"/>
                <w:szCs w:val="20"/>
                <w:highlight w:val="none"/>
              </w:rPr>
            </w:pPr>
          </w:p>
        </w:tc>
      </w:tr>
      <w:tr w14:paraId="6202E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022" w:type="dxa"/>
            <w:gridSpan w:val="11"/>
            <w:vAlign w:val="top"/>
          </w:tcPr>
          <w:p w14:paraId="0A2C4A83">
            <w:pPr>
              <w:pStyle w:val="9"/>
              <w:spacing w:before="186" w:line="220" w:lineRule="auto"/>
              <w:ind w:left="3196"/>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在建和已完工程项目情况</w:t>
            </w:r>
          </w:p>
        </w:tc>
      </w:tr>
      <w:tr w14:paraId="5ED58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28" w:type="dxa"/>
            <w:gridSpan w:val="2"/>
            <w:vAlign w:val="top"/>
          </w:tcPr>
          <w:p w14:paraId="2C391D23">
            <w:pPr>
              <w:pStyle w:val="9"/>
              <w:spacing w:before="194" w:line="221" w:lineRule="auto"/>
              <w:ind w:left="294"/>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建设单位</w:t>
            </w:r>
          </w:p>
        </w:tc>
        <w:tc>
          <w:tcPr>
            <w:tcW w:w="1524" w:type="dxa"/>
            <w:vAlign w:val="top"/>
          </w:tcPr>
          <w:p w14:paraId="19C903FB">
            <w:pPr>
              <w:pStyle w:val="9"/>
              <w:spacing w:before="194" w:line="221" w:lineRule="auto"/>
              <w:ind w:left="291"/>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项目名称</w:t>
            </w:r>
          </w:p>
        </w:tc>
        <w:tc>
          <w:tcPr>
            <w:tcW w:w="1523" w:type="dxa"/>
            <w:gridSpan w:val="2"/>
            <w:vAlign w:val="top"/>
          </w:tcPr>
          <w:p w14:paraId="6133FD75">
            <w:pPr>
              <w:pStyle w:val="9"/>
              <w:spacing w:before="194" w:line="220" w:lineRule="auto"/>
              <w:ind w:left="290"/>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建设规模</w:t>
            </w:r>
          </w:p>
        </w:tc>
        <w:tc>
          <w:tcPr>
            <w:tcW w:w="1524" w:type="dxa"/>
            <w:gridSpan w:val="2"/>
            <w:vAlign w:val="top"/>
          </w:tcPr>
          <w:p w14:paraId="581AEE92">
            <w:pPr>
              <w:pStyle w:val="9"/>
              <w:spacing w:before="38" w:line="220" w:lineRule="auto"/>
              <w:ind w:left="169"/>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开、竣工日</w:t>
            </w:r>
          </w:p>
          <w:p w14:paraId="131DF592">
            <w:pPr>
              <w:pStyle w:val="9"/>
              <w:spacing w:before="25" w:line="205" w:lineRule="auto"/>
              <w:ind w:left="651"/>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期</w:t>
            </w:r>
          </w:p>
        </w:tc>
        <w:tc>
          <w:tcPr>
            <w:tcW w:w="1523" w:type="dxa"/>
            <w:gridSpan w:val="2"/>
            <w:vAlign w:val="top"/>
          </w:tcPr>
          <w:p w14:paraId="579F9CA9">
            <w:pPr>
              <w:pStyle w:val="9"/>
              <w:spacing w:before="194" w:line="220" w:lineRule="auto"/>
              <w:ind w:left="169"/>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在建或已完</w:t>
            </w:r>
          </w:p>
        </w:tc>
        <w:tc>
          <w:tcPr>
            <w:tcW w:w="1400" w:type="dxa"/>
            <w:gridSpan w:val="2"/>
            <w:vAlign w:val="top"/>
          </w:tcPr>
          <w:p w14:paraId="37F4CCF3">
            <w:pPr>
              <w:pStyle w:val="9"/>
              <w:spacing w:before="194" w:line="221" w:lineRule="auto"/>
              <w:ind w:left="22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工程质量</w:t>
            </w:r>
          </w:p>
        </w:tc>
      </w:tr>
      <w:tr w14:paraId="043E6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8" w:type="dxa"/>
            <w:gridSpan w:val="2"/>
            <w:vAlign w:val="top"/>
          </w:tcPr>
          <w:p w14:paraId="4AE36685">
            <w:pPr>
              <w:rPr>
                <w:rFonts w:hint="eastAsia" w:ascii="宋体" w:hAnsi="宋体" w:eastAsia="宋体" w:cs="宋体"/>
                <w:color w:val="auto"/>
                <w:sz w:val="20"/>
                <w:szCs w:val="20"/>
                <w:highlight w:val="none"/>
              </w:rPr>
            </w:pPr>
          </w:p>
        </w:tc>
        <w:tc>
          <w:tcPr>
            <w:tcW w:w="1524" w:type="dxa"/>
            <w:vAlign w:val="top"/>
          </w:tcPr>
          <w:p w14:paraId="3E0D45D5">
            <w:pPr>
              <w:rPr>
                <w:rFonts w:hint="eastAsia" w:ascii="宋体" w:hAnsi="宋体" w:eastAsia="宋体" w:cs="宋体"/>
                <w:color w:val="auto"/>
                <w:sz w:val="20"/>
                <w:szCs w:val="20"/>
                <w:highlight w:val="none"/>
              </w:rPr>
            </w:pPr>
          </w:p>
        </w:tc>
        <w:tc>
          <w:tcPr>
            <w:tcW w:w="1523" w:type="dxa"/>
            <w:gridSpan w:val="2"/>
            <w:vAlign w:val="top"/>
          </w:tcPr>
          <w:p w14:paraId="18E565F8">
            <w:pPr>
              <w:rPr>
                <w:rFonts w:hint="eastAsia" w:ascii="宋体" w:hAnsi="宋体" w:eastAsia="宋体" w:cs="宋体"/>
                <w:color w:val="auto"/>
                <w:sz w:val="20"/>
                <w:szCs w:val="20"/>
                <w:highlight w:val="none"/>
              </w:rPr>
            </w:pPr>
          </w:p>
        </w:tc>
        <w:tc>
          <w:tcPr>
            <w:tcW w:w="1524" w:type="dxa"/>
            <w:gridSpan w:val="2"/>
            <w:vAlign w:val="top"/>
          </w:tcPr>
          <w:p w14:paraId="6FB99DB7">
            <w:pPr>
              <w:rPr>
                <w:rFonts w:hint="eastAsia" w:ascii="宋体" w:hAnsi="宋体" w:eastAsia="宋体" w:cs="宋体"/>
                <w:color w:val="auto"/>
                <w:sz w:val="20"/>
                <w:szCs w:val="20"/>
                <w:highlight w:val="none"/>
              </w:rPr>
            </w:pPr>
          </w:p>
        </w:tc>
        <w:tc>
          <w:tcPr>
            <w:tcW w:w="1523" w:type="dxa"/>
            <w:gridSpan w:val="2"/>
            <w:vAlign w:val="top"/>
          </w:tcPr>
          <w:p w14:paraId="33708C67">
            <w:pPr>
              <w:rPr>
                <w:rFonts w:hint="eastAsia" w:ascii="宋体" w:hAnsi="宋体" w:eastAsia="宋体" w:cs="宋体"/>
                <w:color w:val="auto"/>
                <w:sz w:val="20"/>
                <w:szCs w:val="20"/>
                <w:highlight w:val="none"/>
              </w:rPr>
            </w:pPr>
          </w:p>
        </w:tc>
        <w:tc>
          <w:tcPr>
            <w:tcW w:w="1400" w:type="dxa"/>
            <w:gridSpan w:val="2"/>
            <w:vAlign w:val="top"/>
          </w:tcPr>
          <w:p w14:paraId="6442BE85">
            <w:pPr>
              <w:rPr>
                <w:rFonts w:hint="eastAsia" w:ascii="宋体" w:hAnsi="宋体" w:eastAsia="宋体" w:cs="宋体"/>
                <w:color w:val="auto"/>
                <w:sz w:val="20"/>
                <w:szCs w:val="20"/>
                <w:highlight w:val="none"/>
              </w:rPr>
            </w:pPr>
          </w:p>
        </w:tc>
      </w:tr>
      <w:tr w14:paraId="7CFCC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8" w:type="dxa"/>
            <w:gridSpan w:val="2"/>
            <w:vAlign w:val="top"/>
          </w:tcPr>
          <w:p w14:paraId="0884FFCD">
            <w:pPr>
              <w:rPr>
                <w:rFonts w:hint="eastAsia" w:ascii="宋体" w:hAnsi="宋体" w:eastAsia="宋体" w:cs="宋体"/>
                <w:color w:val="auto"/>
                <w:sz w:val="20"/>
                <w:szCs w:val="20"/>
                <w:highlight w:val="none"/>
              </w:rPr>
            </w:pPr>
          </w:p>
        </w:tc>
        <w:tc>
          <w:tcPr>
            <w:tcW w:w="1524" w:type="dxa"/>
            <w:vAlign w:val="top"/>
          </w:tcPr>
          <w:p w14:paraId="76A38450">
            <w:pPr>
              <w:rPr>
                <w:rFonts w:hint="eastAsia" w:ascii="宋体" w:hAnsi="宋体" w:eastAsia="宋体" w:cs="宋体"/>
                <w:color w:val="auto"/>
                <w:sz w:val="20"/>
                <w:szCs w:val="20"/>
                <w:highlight w:val="none"/>
              </w:rPr>
            </w:pPr>
          </w:p>
        </w:tc>
        <w:tc>
          <w:tcPr>
            <w:tcW w:w="1523" w:type="dxa"/>
            <w:gridSpan w:val="2"/>
            <w:vAlign w:val="top"/>
          </w:tcPr>
          <w:p w14:paraId="73377EA5">
            <w:pPr>
              <w:rPr>
                <w:rFonts w:hint="eastAsia" w:ascii="宋体" w:hAnsi="宋体" w:eastAsia="宋体" w:cs="宋体"/>
                <w:color w:val="auto"/>
                <w:sz w:val="20"/>
                <w:szCs w:val="20"/>
                <w:highlight w:val="none"/>
              </w:rPr>
            </w:pPr>
          </w:p>
        </w:tc>
        <w:tc>
          <w:tcPr>
            <w:tcW w:w="1524" w:type="dxa"/>
            <w:gridSpan w:val="2"/>
            <w:vAlign w:val="top"/>
          </w:tcPr>
          <w:p w14:paraId="7F801771">
            <w:pPr>
              <w:rPr>
                <w:rFonts w:hint="eastAsia" w:ascii="宋体" w:hAnsi="宋体" w:eastAsia="宋体" w:cs="宋体"/>
                <w:color w:val="auto"/>
                <w:sz w:val="20"/>
                <w:szCs w:val="20"/>
                <w:highlight w:val="none"/>
              </w:rPr>
            </w:pPr>
          </w:p>
        </w:tc>
        <w:tc>
          <w:tcPr>
            <w:tcW w:w="1523" w:type="dxa"/>
            <w:gridSpan w:val="2"/>
            <w:vAlign w:val="top"/>
          </w:tcPr>
          <w:p w14:paraId="4F93FF04">
            <w:pPr>
              <w:rPr>
                <w:rFonts w:hint="eastAsia" w:ascii="宋体" w:hAnsi="宋体" w:eastAsia="宋体" w:cs="宋体"/>
                <w:color w:val="auto"/>
                <w:sz w:val="20"/>
                <w:szCs w:val="20"/>
                <w:highlight w:val="none"/>
              </w:rPr>
            </w:pPr>
          </w:p>
        </w:tc>
        <w:tc>
          <w:tcPr>
            <w:tcW w:w="1400" w:type="dxa"/>
            <w:gridSpan w:val="2"/>
            <w:vAlign w:val="top"/>
          </w:tcPr>
          <w:p w14:paraId="79469BD2">
            <w:pPr>
              <w:rPr>
                <w:rFonts w:hint="eastAsia" w:ascii="宋体" w:hAnsi="宋体" w:eastAsia="宋体" w:cs="宋体"/>
                <w:color w:val="auto"/>
                <w:sz w:val="20"/>
                <w:szCs w:val="20"/>
                <w:highlight w:val="none"/>
              </w:rPr>
            </w:pPr>
          </w:p>
        </w:tc>
      </w:tr>
      <w:tr w14:paraId="19EA9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8" w:type="dxa"/>
            <w:gridSpan w:val="2"/>
            <w:vAlign w:val="top"/>
          </w:tcPr>
          <w:p w14:paraId="38B604DF">
            <w:pPr>
              <w:rPr>
                <w:rFonts w:hint="eastAsia" w:ascii="宋体" w:hAnsi="宋体" w:eastAsia="宋体" w:cs="宋体"/>
                <w:color w:val="auto"/>
                <w:sz w:val="20"/>
                <w:szCs w:val="20"/>
                <w:highlight w:val="none"/>
              </w:rPr>
            </w:pPr>
          </w:p>
        </w:tc>
        <w:tc>
          <w:tcPr>
            <w:tcW w:w="1524" w:type="dxa"/>
            <w:vAlign w:val="top"/>
          </w:tcPr>
          <w:p w14:paraId="3CF01493">
            <w:pPr>
              <w:rPr>
                <w:rFonts w:hint="eastAsia" w:ascii="宋体" w:hAnsi="宋体" w:eastAsia="宋体" w:cs="宋体"/>
                <w:color w:val="auto"/>
                <w:sz w:val="20"/>
                <w:szCs w:val="20"/>
                <w:highlight w:val="none"/>
              </w:rPr>
            </w:pPr>
          </w:p>
        </w:tc>
        <w:tc>
          <w:tcPr>
            <w:tcW w:w="1523" w:type="dxa"/>
            <w:gridSpan w:val="2"/>
            <w:vAlign w:val="top"/>
          </w:tcPr>
          <w:p w14:paraId="651412AE">
            <w:pPr>
              <w:rPr>
                <w:rFonts w:hint="eastAsia" w:ascii="宋体" w:hAnsi="宋体" w:eastAsia="宋体" w:cs="宋体"/>
                <w:color w:val="auto"/>
                <w:sz w:val="20"/>
                <w:szCs w:val="20"/>
                <w:highlight w:val="none"/>
              </w:rPr>
            </w:pPr>
          </w:p>
        </w:tc>
        <w:tc>
          <w:tcPr>
            <w:tcW w:w="1524" w:type="dxa"/>
            <w:gridSpan w:val="2"/>
            <w:vAlign w:val="top"/>
          </w:tcPr>
          <w:p w14:paraId="26515F48">
            <w:pPr>
              <w:rPr>
                <w:rFonts w:hint="eastAsia" w:ascii="宋体" w:hAnsi="宋体" w:eastAsia="宋体" w:cs="宋体"/>
                <w:color w:val="auto"/>
                <w:sz w:val="20"/>
                <w:szCs w:val="20"/>
                <w:highlight w:val="none"/>
              </w:rPr>
            </w:pPr>
          </w:p>
        </w:tc>
        <w:tc>
          <w:tcPr>
            <w:tcW w:w="1523" w:type="dxa"/>
            <w:gridSpan w:val="2"/>
            <w:vAlign w:val="top"/>
          </w:tcPr>
          <w:p w14:paraId="31EA4A87">
            <w:pPr>
              <w:rPr>
                <w:rFonts w:hint="eastAsia" w:ascii="宋体" w:hAnsi="宋体" w:eastAsia="宋体" w:cs="宋体"/>
                <w:color w:val="auto"/>
                <w:sz w:val="20"/>
                <w:szCs w:val="20"/>
                <w:highlight w:val="none"/>
              </w:rPr>
            </w:pPr>
          </w:p>
        </w:tc>
        <w:tc>
          <w:tcPr>
            <w:tcW w:w="1400" w:type="dxa"/>
            <w:gridSpan w:val="2"/>
            <w:vAlign w:val="top"/>
          </w:tcPr>
          <w:p w14:paraId="79D91F92">
            <w:pPr>
              <w:rPr>
                <w:rFonts w:hint="eastAsia" w:ascii="宋体" w:hAnsi="宋体" w:eastAsia="宋体" w:cs="宋体"/>
                <w:color w:val="auto"/>
                <w:sz w:val="20"/>
                <w:szCs w:val="20"/>
                <w:highlight w:val="none"/>
              </w:rPr>
            </w:pPr>
          </w:p>
        </w:tc>
      </w:tr>
      <w:tr w14:paraId="264CE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28" w:type="dxa"/>
            <w:gridSpan w:val="2"/>
            <w:vAlign w:val="top"/>
          </w:tcPr>
          <w:p w14:paraId="288D1974">
            <w:pPr>
              <w:rPr>
                <w:rFonts w:hint="eastAsia" w:ascii="宋体" w:hAnsi="宋体" w:eastAsia="宋体" w:cs="宋体"/>
                <w:color w:val="auto"/>
                <w:sz w:val="20"/>
                <w:szCs w:val="20"/>
                <w:highlight w:val="none"/>
              </w:rPr>
            </w:pPr>
          </w:p>
        </w:tc>
        <w:tc>
          <w:tcPr>
            <w:tcW w:w="1524" w:type="dxa"/>
            <w:vAlign w:val="top"/>
          </w:tcPr>
          <w:p w14:paraId="20C5DBE3">
            <w:pPr>
              <w:rPr>
                <w:rFonts w:hint="eastAsia" w:ascii="宋体" w:hAnsi="宋体" w:eastAsia="宋体" w:cs="宋体"/>
                <w:color w:val="auto"/>
                <w:sz w:val="20"/>
                <w:szCs w:val="20"/>
                <w:highlight w:val="none"/>
              </w:rPr>
            </w:pPr>
          </w:p>
        </w:tc>
        <w:tc>
          <w:tcPr>
            <w:tcW w:w="1523" w:type="dxa"/>
            <w:gridSpan w:val="2"/>
            <w:vAlign w:val="top"/>
          </w:tcPr>
          <w:p w14:paraId="1CC1A216">
            <w:pPr>
              <w:rPr>
                <w:rFonts w:hint="eastAsia" w:ascii="宋体" w:hAnsi="宋体" w:eastAsia="宋体" w:cs="宋体"/>
                <w:color w:val="auto"/>
                <w:sz w:val="20"/>
                <w:szCs w:val="20"/>
                <w:highlight w:val="none"/>
              </w:rPr>
            </w:pPr>
          </w:p>
        </w:tc>
        <w:tc>
          <w:tcPr>
            <w:tcW w:w="1524" w:type="dxa"/>
            <w:gridSpan w:val="2"/>
            <w:vAlign w:val="top"/>
          </w:tcPr>
          <w:p w14:paraId="0B1491B0">
            <w:pPr>
              <w:rPr>
                <w:rFonts w:hint="eastAsia" w:ascii="宋体" w:hAnsi="宋体" w:eastAsia="宋体" w:cs="宋体"/>
                <w:color w:val="auto"/>
                <w:sz w:val="20"/>
                <w:szCs w:val="20"/>
                <w:highlight w:val="none"/>
              </w:rPr>
            </w:pPr>
          </w:p>
        </w:tc>
        <w:tc>
          <w:tcPr>
            <w:tcW w:w="1523" w:type="dxa"/>
            <w:gridSpan w:val="2"/>
            <w:vAlign w:val="top"/>
          </w:tcPr>
          <w:p w14:paraId="3FBC3972">
            <w:pPr>
              <w:rPr>
                <w:rFonts w:hint="eastAsia" w:ascii="宋体" w:hAnsi="宋体" w:eastAsia="宋体" w:cs="宋体"/>
                <w:color w:val="auto"/>
                <w:sz w:val="20"/>
                <w:szCs w:val="20"/>
                <w:highlight w:val="none"/>
              </w:rPr>
            </w:pPr>
          </w:p>
        </w:tc>
        <w:tc>
          <w:tcPr>
            <w:tcW w:w="1400" w:type="dxa"/>
            <w:gridSpan w:val="2"/>
            <w:vAlign w:val="top"/>
          </w:tcPr>
          <w:p w14:paraId="0FFAD724">
            <w:pPr>
              <w:rPr>
                <w:rFonts w:hint="eastAsia" w:ascii="宋体" w:hAnsi="宋体" w:eastAsia="宋体" w:cs="宋体"/>
                <w:color w:val="auto"/>
                <w:sz w:val="20"/>
                <w:szCs w:val="20"/>
                <w:highlight w:val="none"/>
              </w:rPr>
            </w:pPr>
          </w:p>
        </w:tc>
      </w:tr>
    </w:tbl>
    <w:p w14:paraId="5F9C0820">
      <w:pPr>
        <w:pStyle w:val="2"/>
        <w:spacing w:line="419" w:lineRule="auto"/>
        <w:rPr>
          <w:rFonts w:hint="eastAsia" w:ascii="宋体" w:hAnsi="宋体" w:eastAsia="宋体" w:cs="宋体"/>
          <w:color w:val="auto"/>
          <w:sz w:val="20"/>
          <w:szCs w:val="20"/>
          <w:highlight w:val="none"/>
        </w:rPr>
      </w:pPr>
    </w:p>
    <w:p w14:paraId="6CFB608F">
      <w:pPr>
        <w:spacing w:before="78" w:line="362" w:lineRule="auto"/>
        <w:ind w:left="192" w:right="184" w:firstLine="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备注：附技术负责人相关证明材料复印件（技术负责人需提供相关证书及[</w:t>
      </w:r>
      <w:r>
        <w:rPr>
          <w:rFonts w:hint="eastAsia" w:ascii="宋体" w:hAnsi="宋体" w:eastAsia="宋体" w:cs="宋体"/>
          <w:color w:val="auto"/>
          <w:spacing w:val="-37"/>
          <w:sz w:val="20"/>
          <w:szCs w:val="20"/>
          <w:highlight w:val="none"/>
        </w:rPr>
        <w:t xml:space="preserve"> </w:t>
      </w:r>
      <w:r>
        <w:rPr>
          <w:rFonts w:hint="eastAsia" w:ascii="宋体" w:hAnsi="宋体" w:eastAsia="宋体" w:cs="宋体"/>
          <w:color w:val="auto"/>
          <w:spacing w:val="-2"/>
          <w:sz w:val="20"/>
          <w:szCs w:val="20"/>
          <w:highlight w:val="none"/>
        </w:rPr>
        <w:t>2025 年</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
          <w:sz w:val="20"/>
          <w:szCs w:val="20"/>
          <w:highlight w:val="none"/>
          <w:lang w:val="en-US" w:eastAsia="zh-CN"/>
        </w:rPr>
        <w:t>6</w:t>
      </w:r>
      <w:r>
        <w:rPr>
          <w:rFonts w:hint="eastAsia" w:ascii="宋体" w:hAnsi="宋体" w:eastAsia="宋体" w:cs="宋体"/>
          <w:color w:val="auto"/>
          <w:spacing w:val="-45"/>
          <w:sz w:val="20"/>
          <w:szCs w:val="20"/>
          <w:highlight w:val="none"/>
        </w:rPr>
        <w:t xml:space="preserve"> </w:t>
      </w:r>
      <w:r>
        <w:rPr>
          <w:rFonts w:hint="eastAsia" w:ascii="宋体" w:hAnsi="宋体" w:eastAsia="宋体" w:cs="宋体"/>
          <w:color w:val="auto"/>
          <w:spacing w:val="-1"/>
          <w:sz w:val="20"/>
          <w:szCs w:val="20"/>
          <w:highlight w:val="none"/>
        </w:rPr>
        <w:t xml:space="preserve">月至 2025 年 </w:t>
      </w:r>
      <w:r>
        <w:rPr>
          <w:rFonts w:hint="eastAsia" w:ascii="宋体" w:hAnsi="宋体" w:eastAsia="宋体" w:cs="宋体"/>
          <w:color w:val="auto"/>
          <w:spacing w:val="-1"/>
          <w:sz w:val="20"/>
          <w:szCs w:val="20"/>
          <w:highlight w:val="none"/>
          <w:lang w:val="en-US" w:eastAsia="zh-CN"/>
        </w:rPr>
        <w:t>11</w:t>
      </w:r>
      <w:r>
        <w:rPr>
          <w:rFonts w:hint="eastAsia" w:ascii="宋体" w:hAnsi="宋体" w:eastAsia="宋体" w:cs="宋体"/>
          <w:color w:val="auto"/>
          <w:spacing w:val="-45"/>
          <w:sz w:val="20"/>
          <w:szCs w:val="20"/>
          <w:highlight w:val="none"/>
        </w:rPr>
        <w:t xml:space="preserve"> </w:t>
      </w:r>
      <w:r>
        <w:rPr>
          <w:rFonts w:hint="eastAsia" w:ascii="宋体" w:hAnsi="宋体" w:eastAsia="宋体" w:cs="宋体"/>
          <w:color w:val="auto"/>
          <w:spacing w:val="-1"/>
          <w:sz w:val="20"/>
          <w:szCs w:val="20"/>
          <w:highlight w:val="none"/>
        </w:rPr>
        <w:t>月]内连续三个月供应商为其依法缴纳社保的证明材料</w:t>
      </w:r>
      <w:r>
        <w:rPr>
          <w:rFonts w:hint="eastAsia" w:ascii="宋体" w:hAnsi="宋体" w:eastAsia="宋体" w:cs="宋体"/>
          <w:color w:val="auto"/>
          <w:spacing w:val="-2"/>
          <w:sz w:val="20"/>
          <w:szCs w:val="20"/>
          <w:highlight w:val="none"/>
        </w:rPr>
        <w:t>）。</w:t>
      </w:r>
    </w:p>
    <w:p w14:paraId="0891974F">
      <w:pPr>
        <w:spacing w:before="148" w:line="123" w:lineRule="exact"/>
        <w:ind w:left="216"/>
        <w:rPr>
          <w:rFonts w:hint="eastAsia" w:ascii="宋体" w:hAnsi="宋体" w:eastAsia="宋体" w:cs="宋体"/>
          <w:color w:val="auto"/>
          <w:sz w:val="20"/>
          <w:szCs w:val="20"/>
          <w:highlight w:val="none"/>
        </w:rPr>
      </w:pPr>
      <w:r>
        <w:rPr>
          <w:rFonts w:hint="eastAsia" w:ascii="宋体" w:hAnsi="宋体" w:eastAsia="宋体" w:cs="宋体"/>
          <w:color w:val="auto"/>
          <w:position w:val="1"/>
          <w:sz w:val="20"/>
          <w:szCs w:val="20"/>
          <w:highlight w:val="none"/>
        </w:rPr>
        <w:t>。</w:t>
      </w:r>
    </w:p>
    <w:p w14:paraId="5DB53126">
      <w:pPr>
        <w:pStyle w:val="2"/>
        <w:spacing w:line="288" w:lineRule="auto"/>
        <w:rPr>
          <w:rFonts w:hint="eastAsia" w:ascii="宋体" w:hAnsi="宋体" w:eastAsia="宋体" w:cs="宋体"/>
          <w:color w:val="auto"/>
          <w:sz w:val="20"/>
          <w:szCs w:val="20"/>
          <w:highlight w:val="none"/>
        </w:rPr>
      </w:pPr>
    </w:p>
    <w:p w14:paraId="7BB8B3FF">
      <w:pPr>
        <w:pStyle w:val="2"/>
        <w:spacing w:line="288" w:lineRule="auto"/>
        <w:rPr>
          <w:rFonts w:hint="eastAsia" w:ascii="宋体" w:hAnsi="宋体" w:eastAsia="宋体" w:cs="宋体"/>
          <w:color w:val="auto"/>
          <w:sz w:val="20"/>
          <w:szCs w:val="20"/>
          <w:highlight w:val="none"/>
        </w:rPr>
      </w:pPr>
    </w:p>
    <w:p w14:paraId="51D7BB85">
      <w:pPr>
        <w:spacing w:before="79" w:line="219" w:lineRule="auto"/>
        <w:ind w:left="4289"/>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供应商名称（电子签章</w:t>
      </w:r>
      <w:r>
        <w:rPr>
          <w:rFonts w:hint="eastAsia" w:ascii="宋体" w:hAnsi="宋体" w:eastAsia="宋体" w:cs="宋体"/>
          <w:color w:val="auto"/>
          <w:sz w:val="20"/>
          <w:szCs w:val="20"/>
          <w:highlight w:val="none"/>
        </w:rPr>
        <w:t>）：</w:t>
      </w:r>
    </w:p>
    <w:p w14:paraId="361AD8F9">
      <w:pPr>
        <w:spacing w:before="180" w:line="220" w:lineRule="auto"/>
        <w:ind w:left="6714"/>
        <w:rPr>
          <w:rFonts w:ascii="宋体" w:hAnsi="宋体" w:eastAsia="宋体" w:cs="宋体"/>
          <w:color w:val="auto"/>
          <w:sz w:val="24"/>
          <w:szCs w:val="24"/>
          <w:highlight w:val="none"/>
        </w:rPr>
      </w:pPr>
      <w:r>
        <w:rPr>
          <w:rFonts w:hint="eastAsia" w:ascii="宋体" w:hAnsi="宋体" w:eastAsia="宋体" w:cs="宋体"/>
          <w:color w:val="auto"/>
          <w:spacing w:val="-13"/>
          <w:sz w:val="20"/>
          <w:szCs w:val="20"/>
          <w:highlight w:val="none"/>
        </w:rPr>
        <w:t>日期：</w:t>
      </w:r>
      <w:r>
        <w:rPr>
          <w:rFonts w:hint="eastAsia" w:ascii="宋体" w:hAnsi="宋体" w:eastAsia="宋体" w:cs="宋体"/>
          <w:color w:val="auto"/>
          <w:spacing w:val="30"/>
          <w:sz w:val="20"/>
          <w:szCs w:val="20"/>
          <w:highlight w:val="none"/>
        </w:rPr>
        <w:t xml:space="preserve"> </w:t>
      </w:r>
      <w:r>
        <w:rPr>
          <w:rFonts w:hint="eastAsia" w:ascii="宋体" w:hAnsi="宋体" w:eastAsia="宋体" w:cs="宋体"/>
          <w:color w:val="auto"/>
          <w:spacing w:val="-13"/>
          <w:sz w:val="20"/>
          <w:szCs w:val="20"/>
          <w:highlight w:val="none"/>
        </w:rPr>
        <w:t>年</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13"/>
          <w:sz w:val="20"/>
          <w:szCs w:val="20"/>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3"/>
          <w:sz w:val="24"/>
          <w:szCs w:val="24"/>
          <w:highlight w:val="none"/>
        </w:rPr>
        <w:t>日</w:t>
      </w:r>
    </w:p>
    <w:p w14:paraId="33B1DE0E">
      <w:pPr>
        <w:spacing w:line="220" w:lineRule="auto"/>
        <w:rPr>
          <w:rFonts w:ascii="宋体" w:hAnsi="宋体" w:eastAsia="宋体" w:cs="宋体"/>
          <w:color w:val="auto"/>
          <w:sz w:val="24"/>
          <w:szCs w:val="24"/>
          <w:highlight w:val="none"/>
        </w:rPr>
        <w:sectPr>
          <w:footerReference r:id="rId71" w:type="default"/>
          <w:pgSz w:w="11900" w:h="16840"/>
          <w:pgMar w:top="400" w:right="1436" w:bottom="1039" w:left="1436" w:header="0" w:footer="803" w:gutter="0"/>
          <w:cols w:space="720" w:num="1"/>
        </w:sectPr>
      </w:pPr>
    </w:p>
    <w:p w14:paraId="196A3E36">
      <w:pPr>
        <w:pStyle w:val="2"/>
        <w:spacing w:line="242" w:lineRule="auto"/>
        <w:rPr>
          <w:color w:val="auto"/>
          <w:highlight w:val="none"/>
        </w:rPr>
      </w:pPr>
    </w:p>
    <w:p w14:paraId="1735CAD6">
      <w:pPr>
        <w:pStyle w:val="2"/>
        <w:spacing w:line="242" w:lineRule="auto"/>
        <w:rPr>
          <w:color w:val="auto"/>
          <w:highlight w:val="none"/>
        </w:rPr>
      </w:pPr>
    </w:p>
    <w:p w14:paraId="019EDF21">
      <w:pPr>
        <w:pStyle w:val="2"/>
        <w:spacing w:line="242" w:lineRule="auto"/>
        <w:rPr>
          <w:color w:val="auto"/>
          <w:highlight w:val="none"/>
        </w:rPr>
      </w:pPr>
    </w:p>
    <w:p w14:paraId="26BE4B96">
      <w:pPr>
        <w:pStyle w:val="2"/>
        <w:spacing w:line="243" w:lineRule="auto"/>
        <w:rPr>
          <w:color w:val="auto"/>
          <w:highlight w:val="none"/>
        </w:rPr>
      </w:pPr>
    </w:p>
    <w:p w14:paraId="49FA370F">
      <w:pPr>
        <w:pStyle w:val="2"/>
        <w:spacing w:line="243" w:lineRule="auto"/>
        <w:rPr>
          <w:color w:val="auto"/>
          <w:highlight w:val="none"/>
        </w:rPr>
      </w:pPr>
    </w:p>
    <w:p w14:paraId="06B2332B">
      <w:pPr>
        <w:pStyle w:val="2"/>
        <w:spacing w:line="243" w:lineRule="auto"/>
        <w:rPr>
          <w:color w:val="auto"/>
          <w:highlight w:val="none"/>
        </w:rPr>
      </w:pPr>
    </w:p>
    <w:p w14:paraId="7119B576">
      <w:pPr>
        <w:spacing w:before="97" w:line="219" w:lineRule="auto"/>
        <w:ind w:left="2892"/>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3.项目管理机构配备情况表</w:t>
      </w:r>
    </w:p>
    <w:p w14:paraId="241F3EF4">
      <w:pPr>
        <w:spacing w:before="136"/>
        <w:rPr>
          <w:color w:val="auto"/>
          <w:highlight w:val="none"/>
        </w:rPr>
      </w:pPr>
    </w:p>
    <w:tbl>
      <w:tblPr>
        <w:tblStyle w:val="8"/>
        <w:tblW w:w="936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7"/>
        <w:gridCol w:w="829"/>
        <w:gridCol w:w="816"/>
        <w:gridCol w:w="1147"/>
        <w:gridCol w:w="1147"/>
        <w:gridCol w:w="1147"/>
        <w:gridCol w:w="1147"/>
        <w:gridCol w:w="850"/>
        <w:gridCol w:w="1280"/>
      </w:tblGrid>
      <w:tr w14:paraId="7BA4E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997" w:type="dxa"/>
            <w:vMerge w:val="restart"/>
            <w:tcBorders>
              <w:bottom w:val="nil"/>
            </w:tcBorders>
            <w:vAlign w:val="top"/>
          </w:tcPr>
          <w:p w14:paraId="73424EE0">
            <w:pPr>
              <w:spacing w:line="429" w:lineRule="auto"/>
              <w:rPr>
                <w:rFonts w:ascii="Arial"/>
                <w:color w:val="auto"/>
                <w:sz w:val="20"/>
                <w:szCs w:val="20"/>
                <w:highlight w:val="none"/>
              </w:rPr>
            </w:pPr>
          </w:p>
          <w:p w14:paraId="14101B67">
            <w:pPr>
              <w:pStyle w:val="9"/>
              <w:spacing w:before="78" w:line="221" w:lineRule="auto"/>
              <w:ind w:left="292"/>
              <w:rPr>
                <w:color w:val="auto"/>
                <w:sz w:val="20"/>
                <w:szCs w:val="20"/>
                <w:highlight w:val="none"/>
              </w:rPr>
            </w:pPr>
            <w:r>
              <w:rPr>
                <w:color w:val="auto"/>
                <w:spacing w:val="-18"/>
                <w:sz w:val="20"/>
                <w:szCs w:val="20"/>
                <w:highlight w:val="none"/>
              </w:rPr>
              <w:t>岗位</w:t>
            </w:r>
          </w:p>
        </w:tc>
        <w:tc>
          <w:tcPr>
            <w:tcW w:w="829" w:type="dxa"/>
            <w:vMerge w:val="restart"/>
            <w:tcBorders>
              <w:bottom w:val="nil"/>
            </w:tcBorders>
            <w:vAlign w:val="top"/>
          </w:tcPr>
          <w:p w14:paraId="683BAA6D">
            <w:pPr>
              <w:spacing w:line="429" w:lineRule="auto"/>
              <w:rPr>
                <w:rFonts w:ascii="Arial"/>
                <w:color w:val="auto"/>
                <w:sz w:val="20"/>
                <w:szCs w:val="20"/>
                <w:highlight w:val="none"/>
              </w:rPr>
            </w:pPr>
          </w:p>
          <w:p w14:paraId="5E0E32AD">
            <w:pPr>
              <w:pStyle w:val="9"/>
              <w:spacing w:before="78" w:line="220" w:lineRule="auto"/>
              <w:ind w:left="178"/>
              <w:rPr>
                <w:color w:val="auto"/>
                <w:sz w:val="20"/>
                <w:szCs w:val="20"/>
                <w:highlight w:val="none"/>
              </w:rPr>
            </w:pPr>
            <w:r>
              <w:rPr>
                <w:color w:val="auto"/>
                <w:spacing w:val="-5"/>
                <w:sz w:val="20"/>
                <w:szCs w:val="20"/>
                <w:highlight w:val="none"/>
              </w:rPr>
              <w:t>姓名</w:t>
            </w:r>
          </w:p>
        </w:tc>
        <w:tc>
          <w:tcPr>
            <w:tcW w:w="816" w:type="dxa"/>
            <w:vMerge w:val="restart"/>
            <w:tcBorders>
              <w:bottom w:val="nil"/>
            </w:tcBorders>
            <w:vAlign w:val="top"/>
          </w:tcPr>
          <w:p w14:paraId="438C1C3F">
            <w:pPr>
              <w:spacing w:line="429" w:lineRule="auto"/>
              <w:rPr>
                <w:rFonts w:ascii="Arial"/>
                <w:color w:val="auto"/>
                <w:sz w:val="20"/>
                <w:szCs w:val="20"/>
                <w:highlight w:val="none"/>
              </w:rPr>
            </w:pPr>
          </w:p>
          <w:p w14:paraId="4940DFBD">
            <w:pPr>
              <w:pStyle w:val="9"/>
              <w:spacing w:before="78" w:line="222" w:lineRule="auto"/>
              <w:ind w:left="173"/>
              <w:rPr>
                <w:color w:val="auto"/>
                <w:sz w:val="20"/>
                <w:szCs w:val="20"/>
                <w:highlight w:val="none"/>
              </w:rPr>
            </w:pPr>
            <w:r>
              <w:rPr>
                <w:color w:val="auto"/>
                <w:spacing w:val="-6"/>
                <w:sz w:val="20"/>
                <w:szCs w:val="20"/>
                <w:highlight w:val="none"/>
              </w:rPr>
              <w:t>职称</w:t>
            </w:r>
          </w:p>
        </w:tc>
        <w:tc>
          <w:tcPr>
            <w:tcW w:w="4588" w:type="dxa"/>
            <w:gridSpan w:val="4"/>
            <w:vAlign w:val="top"/>
          </w:tcPr>
          <w:p w14:paraId="0AD7AFFC">
            <w:pPr>
              <w:pStyle w:val="9"/>
              <w:spacing w:before="195" w:line="220" w:lineRule="auto"/>
              <w:ind w:left="1221"/>
              <w:rPr>
                <w:color w:val="auto"/>
                <w:sz w:val="20"/>
                <w:szCs w:val="20"/>
                <w:highlight w:val="none"/>
              </w:rPr>
            </w:pPr>
            <w:r>
              <w:rPr>
                <w:color w:val="auto"/>
                <w:spacing w:val="-2"/>
                <w:sz w:val="20"/>
                <w:szCs w:val="20"/>
                <w:highlight w:val="none"/>
              </w:rPr>
              <w:t>执业或职业资格证明</w:t>
            </w:r>
          </w:p>
        </w:tc>
        <w:tc>
          <w:tcPr>
            <w:tcW w:w="2130" w:type="dxa"/>
            <w:gridSpan w:val="2"/>
            <w:vAlign w:val="top"/>
          </w:tcPr>
          <w:p w14:paraId="081C9074">
            <w:pPr>
              <w:pStyle w:val="9"/>
              <w:spacing w:before="39" w:line="220" w:lineRule="auto"/>
              <w:ind w:left="231"/>
              <w:rPr>
                <w:color w:val="auto"/>
                <w:sz w:val="20"/>
                <w:szCs w:val="20"/>
                <w:highlight w:val="none"/>
              </w:rPr>
            </w:pPr>
            <w:r>
              <w:rPr>
                <w:color w:val="auto"/>
                <w:spacing w:val="-2"/>
                <w:sz w:val="20"/>
                <w:szCs w:val="20"/>
                <w:highlight w:val="none"/>
              </w:rPr>
              <w:t>承担完工工程情</w:t>
            </w:r>
          </w:p>
          <w:p w14:paraId="105E30A3">
            <w:pPr>
              <w:pStyle w:val="9"/>
              <w:spacing w:before="26" w:line="207" w:lineRule="auto"/>
              <w:ind w:left="1080"/>
              <w:rPr>
                <w:color w:val="auto"/>
                <w:sz w:val="20"/>
                <w:szCs w:val="20"/>
                <w:highlight w:val="none"/>
              </w:rPr>
            </w:pPr>
            <w:r>
              <w:rPr>
                <w:color w:val="auto"/>
                <w:sz w:val="20"/>
                <w:szCs w:val="20"/>
                <w:highlight w:val="none"/>
              </w:rPr>
              <w:t>况</w:t>
            </w:r>
          </w:p>
        </w:tc>
      </w:tr>
      <w:tr w14:paraId="66EC1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97" w:type="dxa"/>
            <w:vMerge w:val="continue"/>
            <w:tcBorders>
              <w:top w:val="nil"/>
            </w:tcBorders>
            <w:vAlign w:val="top"/>
          </w:tcPr>
          <w:p w14:paraId="7969C390">
            <w:pPr>
              <w:rPr>
                <w:rFonts w:ascii="Arial"/>
                <w:color w:val="auto"/>
                <w:sz w:val="20"/>
                <w:szCs w:val="20"/>
                <w:highlight w:val="none"/>
              </w:rPr>
            </w:pPr>
          </w:p>
        </w:tc>
        <w:tc>
          <w:tcPr>
            <w:tcW w:w="829" w:type="dxa"/>
            <w:vMerge w:val="continue"/>
            <w:tcBorders>
              <w:top w:val="nil"/>
            </w:tcBorders>
            <w:vAlign w:val="top"/>
          </w:tcPr>
          <w:p w14:paraId="7A519CE2">
            <w:pPr>
              <w:rPr>
                <w:rFonts w:ascii="Arial"/>
                <w:color w:val="auto"/>
                <w:sz w:val="20"/>
                <w:szCs w:val="20"/>
                <w:highlight w:val="none"/>
              </w:rPr>
            </w:pPr>
          </w:p>
        </w:tc>
        <w:tc>
          <w:tcPr>
            <w:tcW w:w="816" w:type="dxa"/>
            <w:vMerge w:val="continue"/>
            <w:tcBorders>
              <w:top w:val="nil"/>
            </w:tcBorders>
            <w:vAlign w:val="top"/>
          </w:tcPr>
          <w:p w14:paraId="65E51272">
            <w:pPr>
              <w:rPr>
                <w:rFonts w:ascii="Arial"/>
                <w:color w:val="auto"/>
                <w:sz w:val="20"/>
                <w:szCs w:val="20"/>
                <w:highlight w:val="none"/>
              </w:rPr>
            </w:pPr>
          </w:p>
        </w:tc>
        <w:tc>
          <w:tcPr>
            <w:tcW w:w="1147" w:type="dxa"/>
            <w:vAlign w:val="top"/>
          </w:tcPr>
          <w:p w14:paraId="454709A0">
            <w:pPr>
              <w:pStyle w:val="9"/>
              <w:spacing w:before="38" w:line="223" w:lineRule="auto"/>
              <w:ind w:left="584" w:right="213" w:hanging="366"/>
              <w:rPr>
                <w:color w:val="auto"/>
                <w:sz w:val="20"/>
                <w:szCs w:val="20"/>
                <w:highlight w:val="none"/>
              </w:rPr>
            </w:pPr>
            <w:r>
              <w:rPr>
                <w:color w:val="auto"/>
                <w:spacing w:val="-4"/>
                <w:sz w:val="20"/>
                <w:szCs w:val="20"/>
                <w:highlight w:val="none"/>
              </w:rPr>
              <w:t>证书名</w:t>
            </w:r>
            <w:r>
              <w:rPr>
                <w:color w:val="auto"/>
                <w:spacing w:val="1"/>
                <w:sz w:val="20"/>
                <w:szCs w:val="20"/>
                <w:highlight w:val="none"/>
              </w:rPr>
              <w:t xml:space="preserve"> </w:t>
            </w:r>
            <w:r>
              <w:rPr>
                <w:color w:val="auto"/>
                <w:sz w:val="20"/>
                <w:szCs w:val="20"/>
                <w:highlight w:val="none"/>
              </w:rPr>
              <w:t>称</w:t>
            </w:r>
          </w:p>
        </w:tc>
        <w:tc>
          <w:tcPr>
            <w:tcW w:w="1147" w:type="dxa"/>
            <w:vAlign w:val="top"/>
          </w:tcPr>
          <w:p w14:paraId="37700C0F">
            <w:pPr>
              <w:pStyle w:val="9"/>
              <w:spacing w:before="190" w:line="221" w:lineRule="auto"/>
              <w:ind w:left="344"/>
              <w:rPr>
                <w:color w:val="auto"/>
                <w:sz w:val="20"/>
                <w:szCs w:val="20"/>
                <w:highlight w:val="none"/>
              </w:rPr>
            </w:pPr>
            <w:r>
              <w:rPr>
                <w:color w:val="auto"/>
                <w:spacing w:val="-7"/>
                <w:sz w:val="20"/>
                <w:szCs w:val="20"/>
                <w:highlight w:val="none"/>
              </w:rPr>
              <w:t>级别</w:t>
            </w:r>
          </w:p>
        </w:tc>
        <w:tc>
          <w:tcPr>
            <w:tcW w:w="1147" w:type="dxa"/>
            <w:vAlign w:val="top"/>
          </w:tcPr>
          <w:p w14:paraId="66512829">
            <w:pPr>
              <w:pStyle w:val="9"/>
              <w:spacing w:before="190" w:line="222" w:lineRule="auto"/>
              <w:ind w:left="341"/>
              <w:rPr>
                <w:color w:val="auto"/>
                <w:sz w:val="20"/>
                <w:szCs w:val="20"/>
                <w:highlight w:val="none"/>
              </w:rPr>
            </w:pPr>
            <w:r>
              <w:rPr>
                <w:color w:val="auto"/>
                <w:spacing w:val="-5"/>
                <w:sz w:val="20"/>
                <w:szCs w:val="20"/>
                <w:highlight w:val="none"/>
              </w:rPr>
              <w:t>证号</w:t>
            </w:r>
          </w:p>
        </w:tc>
        <w:tc>
          <w:tcPr>
            <w:tcW w:w="1147" w:type="dxa"/>
            <w:vAlign w:val="top"/>
          </w:tcPr>
          <w:p w14:paraId="4291669B">
            <w:pPr>
              <w:pStyle w:val="9"/>
              <w:spacing w:before="190" w:line="221" w:lineRule="auto"/>
              <w:ind w:left="342"/>
              <w:rPr>
                <w:color w:val="auto"/>
                <w:sz w:val="20"/>
                <w:szCs w:val="20"/>
                <w:highlight w:val="none"/>
              </w:rPr>
            </w:pPr>
            <w:r>
              <w:rPr>
                <w:color w:val="auto"/>
                <w:spacing w:val="-6"/>
                <w:sz w:val="20"/>
                <w:szCs w:val="20"/>
                <w:highlight w:val="none"/>
              </w:rPr>
              <w:t>专业</w:t>
            </w:r>
          </w:p>
        </w:tc>
        <w:tc>
          <w:tcPr>
            <w:tcW w:w="850" w:type="dxa"/>
            <w:vAlign w:val="top"/>
          </w:tcPr>
          <w:p w14:paraId="5C458CFE">
            <w:pPr>
              <w:pStyle w:val="9"/>
              <w:spacing w:before="38" w:line="223" w:lineRule="auto"/>
              <w:ind w:left="440" w:right="174" w:hanging="242"/>
              <w:rPr>
                <w:color w:val="auto"/>
                <w:sz w:val="20"/>
                <w:szCs w:val="20"/>
                <w:highlight w:val="none"/>
              </w:rPr>
            </w:pPr>
            <w:r>
              <w:rPr>
                <w:color w:val="auto"/>
                <w:spacing w:val="-7"/>
                <w:sz w:val="20"/>
                <w:szCs w:val="20"/>
                <w:highlight w:val="none"/>
              </w:rPr>
              <w:t>项目</w:t>
            </w:r>
            <w:r>
              <w:rPr>
                <w:color w:val="auto"/>
                <w:sz w:val="20"/>
                <w:szCs w:val="20"/>
                <w:highlight w:val="none"/>
              </w:rPr>
              <w:t xml:space="preserve"> </w:t>
            </w:r>
            <w:r>
              <w:rPr>
                <w:color w:val="auto"/>
                <w:spacing w:val="-12"/>
                <w:sz w:val="20"/>
                <w:szCs w:val="20"/>
                <w:highlight w:val="none"/>
              </w:rPr>
              <w:t>数</w:t>
            </w:r>
          </w:p>
        </w:tc>
        <w:tc>
          <w:tcPr>
            <w:tcW w:w="1280" w:type="dxa"/>
            <w:vAlign w:val="top"/>
          </w:tcPr>
          <w:p w14:paraId="342945E0">
            <w:pPr>
              <w:pStyle w:val="9"/>
              <w:spacing w:before="36" w:line="221" w:lineRule="auto"/>
              <w:ind w:left="167"/>
              <w:rPr>
                <w:color w:val="auto"/>
                <w:sz w:val="20"/>
                <w:szCs w:val="20"/>
                <w:highlight w:val="none"/>
              </w:rPr>
            </w:pPr>
            <w:r>
              <w:rPr>
                <w:color w:val="auto"/>
                <w:spacing w:val="-3"/>
                <w:sz w:val="20"/>
                <w:szCs w:val="20"/>
                <w:highlight w:val="none"/>
              </w:rPr>
              <w:t>主要项目</w:t>
            </w:r>
          </w:p>
          <w:p w14:paraId="5585BE6C">
            <w:pPr>
              <w:pStyle w:val="9"/>
              <w:spacing w:before="22" w:line="209" w:lineRule="auto"/>
              <w:ind w:left="408"/>
              <w:rPr>
                <w:color w:val="auto"/>
                <w:sz w:val="20"/>
                <w:szCs w:val="20"/>
                <w:highlight w:val="none"/>
              </w:rPr>
            </w:pPr>
            <w:r>
              <w:rPr>
                <w:color w:val="auto"/>
                <w:spacing w:val="-7"/>
                <w:sz w:val="20"/>
                <w:szCs w:val="20"/>
                <w:highlight w:val="none"/>
              </w:rPr>
              <w:t>名称</w:t>
            </w:r>
          </w:p>
        </w:tc>
      </w:tr>
      <w:tr w14:paraId="16301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0BCE9A43">
            <w:pPr>
              <w:pStyle w:val="9"/>
              <w:spacing w:before="210" w:line="222" w:lineRule="auto"/>
              <w:ind w:left="145"/>
              <w:rPr>
                <w:color w:val="auto"/>
                <w:sz w:val="20"/>
                <w:szCs w:val="20"/>
                <w:highlight w:val="none"/>
              </w:rPr>
            </w:pPr>
            <w:r>
              <w:rPr>
                <w:color w:val="auto"/>
                <w:spacing w:val="-3"/>
                <w:sz w:val="20"/>
                <w:szCs w:val="20"/>
                <w:highlight w:val="none"/>
              </w:rPr>
              <w:t>施工员</w:t>
            </w:r>
          </w:p>
        </w:tc>
        <w:tc>
          <w:tcPr>
            <w:tcW w:w="829" w:type="dxa"/>
            <w:vAlign w:val="top"/>
          </w:tcPr>
          <w:p w14:paraId="098DE36D">
            <w:pPr>
              <w:rPr>
                <w:rFonts w:ascii="Arial"/>
                <w:color w:val="auto"/>
                <w:sz w:val="20"/>
                <w:szCs w:val="20"/>
                <w:highlight w:val="none"/>
              </w:rPr>
            </w:pPr>
          </w:p>
        </w:tc>
        <w:tc>
          <w:tcPr>
            <w:tcW w:w="816" w:type="dxa"/>
            <w:vAlign w:val="top"/>
          </w:tcPr>
          <w:p w14:paraId="5D41FFD6">
            <w:pPr>
              <w:rPr>
                <w:rFonts w:ascii="Arial"/>
                <w:color w:val="auto"/>
                <w:sz w:val="20"/>
                <w:szCs w:val="20"/>
                <w:highlight w:val="none"/>
              </w:rPr>
            </w:pPr>
          </w:p>
        </w:tc>
        <w:tc>
          <w:tcPr>
            <w:tcW w:w="1147" w:type="dxa"/>
            <w:vAlign w:val="top"/>
          </w:tcPr>
          <w:p w14:paraId="3FC7418B">
            <w:pPr>
              <w:rPr>
                <w:rFonts w:ascii="Arial"/>
                <w:color w:val="auto"/>
                <w:sz w:val="20"/>
                <w:szCs w:val="20"/>
                <w:highlight w:val="none"/>
              </w:rPr>
            </w:pPr>
          </w:p>
        </w:tc>
        <w:tc>
          <w:tcPr>
            <w:tcW w:w="1147" w:type="dxa"/>
            <w:vAlign w:val="top"/>
          </w:tcPr>
          <w:p w14:paraId="46A6250C">
            <w:pPr>
              <w:rPr>
                <w:rFonts w:ascii="Arial"/>
                <w:color w:val="auto"/>
                <w:sz w:val="20"/>
                <w:szCs w:val="20"/>
                <w:highlight w:val="none"/>
              </w:rPr>
            </w:pPr>
          </w:p>
        </w:tc>
        <w:tc>
          <w:tcPr>
            <w:tcW w:w="1147" w:type="dxa"/>
            <w:vAlign w:val="top"/>
          </w:tcPr>
          <w:p w14:paraId="24781A13">
            <w:pPr>
              <w:rPr>
                <w:rFonts w:ascii="Arial"/>
                <w:color w:val="auto"/>
                <w:sz w:val="20"/>
                <w:szCs w:val="20"/>
                <w:highlight w:val="none"/>
              </w:rPr>
            </w:pPr>
          </w:p>
        </w:tc>
        <w:tc>
          <w:tcPr>
            <w:tcW w:w="1147" w:type="dxa"/>
            <w:vAlign w:val="top"/>
          </w:tcPr>
          <w:p w14:paraId="51E48F50">
            <w:pPr>
              <w:rPr>
                <w:rFonts w:ascii="Arial"/>
                <w:color w:val="auto"/>
                <w:sz w:val="20"/>
                <w:szCs w:val="20"/>
                <w:highlight w:val="none"/>
              </w:rPr>
            </w:pPr>
          </w:p>
        </w:tc>
        <w:tc>
          <w:tcPr>
            <w:tcW w:w="850" w:type="dxa"/>
            <w:vAlign w:val="top"/>
          </w:tcPr>
          <w:p w14:paraId="5F1829E1">
            <w:pPr>
              <w:rPr>
                <w:rFonts w:ascii="Arial"/>
                <w:color w:val="auto"/>
                <w:sz w:val="20"/>
                <w:szCs w:val="20"/>
                <w:highlight w:val="none"/>
              </w:rPr>
            </w:pPr>
          </w:p>
        </w:tc>
        <w:tc>
          <w:tcPr>
            <w:tcW w:w="1280" w:type="dxa"/>
            <w:vAlign w:val="top"/>
          </w:tcPr>
          <w:p w14:paraId="0D3D6BB2">
            <w:pPr>
              <w:rPr>
                <w:rFonts w:ascii="Arial"/>
                <w:color w:val="auto"/>
                <w:sz w:val="20"/>
                <w:szCs w:val="20"/>
                <w:highlight w:val="none"/>
              </w:rPr>
            </w:pPr>
          </w:p>
        </w:tc>
      </w:tr>
      <w:tr w14:paraId="0BD99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65C7826E">
            <w:pPr>
              <w:pStyle w:val="9"/>
              <w:spacing w:before="210" w:line="221" w:lineRule="auto"/>
              <w:ind w:left="146"/>
              <w:rPr>
                <w:color w:val="auto"/>
                <w:sz w:val="20"/>
                <w:szCs w:val="20"/>
                <w:highlight w:val="none"/>
              </w:rPr>
            </w:pPr>
            <w:r>
              <w:rPr>
                <w:color w:val="auto"/>
                <w:spacing w:val="-4"/>
                <w:sz w:val="20"/>
                <w:szCs w:val="20"/>
                <w:highlight w:val="none"/>
              </w:rPr>
              <w:t>质量员</w:t>
            </w:r>
          </w:p>
        </w:tc>
        <w:tc>
          <w:tcPr>
            <w:tcW w:w="829" w:type="dxa"/>
            <w:vAlign w:val="top"/>
          </w:tcPr>
          <w:p w14:paraId="4223F14E">
            <w:pPr>
              <w:rPr>
                <w:rFonts w:ascii="Arial"/>
                <w:color w:val="auto"/>
                <w:sz w:val="20"/>
                <w:szCs w:val="20"/>
                <w:highlight w:val="none"/>
              </w:rPr>
            </w:pPr>
          </w:p>
        </w:tc>
        <w:tc>
          <w:tcPr>
            <w:tcW w:w="816" w:type="dxa"/>
            <w:vAlign w:val="top"/>
          </w:tcPr>
          <w:p w14:paraId="308C23D4">
            <w:pPr>
              <w:rPr>
                <w:rFonts w:ascii="Arial"/>
                <w:color w:val="auto"/>
                <w:sz w:val="20"/>
                <w:szCs w:val="20"/>
                <w:highlight w:val="none"/>
              </w:rPr>
            </w:pPr>
          </w:p>
        </w:tc>
        <w:tc>
          <w:tcPr>
            <w:tcW w:w="1147" w:type="dxa"/>
            <w:vAlign w:val="top"/>
          </w:tcPr>
          <w:p w14:paraId="4E44FE25">
            <w:pPr>
              <w:rPr>
                <w:rFonts w:ascii="Arial"/>
                <w:color w:val="auto"/>
                <w:sz w:val="20"/>
                <w:szCs w:val="20"/>
                <w:highlight w:val="none"/>
              </w:rPr>
            </w:pPr>
          </w:p>
        </w:tc>
        <w:tc>
          <w:tcPr>
            <w:tcW w:w="1147" w:type="dxa"/>
            <w:vAlign w:val="top"/>
          </w:tcPr>
          <w:p w14:paraId="1B487207">
            <w:pPr>
              <w:rPr>
                <w:rFonts w:ascii="Arial"/>
                <w:color w:val="auto"/>
                <w:sz w:val="20"/>
                <w:szCs w:val="20"/>
                <w:highlight w:val="none"/>
              </w:rPr>
            </w:pPr>
          </w:p>
        </w:tc>
        <w:tc>
          <w:tcPr>
            <w:tcW w:w="1147" w:type="dxa"/>
            <w:vAlign w:val="top"/>
          </w:tcPr>
          <w:p w14:paraId="6889129C">
            <w:pPr>
              <w:rPr>
                <w:rFonts w:ascii="Arial"/>
                <w:color w:val="auto"/>
                <w:sz w:val="20"/>
                <w:szCs w:val="20"/>
                <w:highlight w:val="none"/>
              </w:rPr>
            </w:pPr>
          </w:p>
        </w:tc>
        <w:tc>
          <w:tcPr>
            <w:tcW w:w="1147" w:type="dxa"/>
            <w:vAlign w:val="top"/>
          </w:tcPr>
          <w:p w14:paraId="6F6FD658">
            <w:pPr>
              <w:rPr>
                <w:rFonts w:ascii="Arial"/>
                <w:color w:val="auto"/>
                <w:sz w:val="20"/>
                <w:szCs w:val="20"/>
                <w:highlight w:val="none"/>
              </w:rPr>
            </w:pPr>
          </w:p>
        </w:tc>
        <w:tc>
          <w:tcPr>
            <w:tcW w:w="850" w:type="dxa"/>
            <w:vAlign w:val="top"/>
          </w:tcPr>
          <w:p w14:paraId="36AAC236">
            <w:pPr>
              <w:rPr>
                <w:rFonts w:ascii="Arial"/>
                <w:color w:val="auto"/>
                <w:sz w:val="20"/>
                <w:szCs w:val="20"/>
                <w:highlight w:val="none"/>
              </w:rPr>
            </w:pPr>
          </w:p>
        </w:tc>
        <w:tc>
          <w:tcPr>
            <w:tcW w:w="1280" w:type="dxa"/>
            <w:vAlign w:val="top"/>
          </w:tcPr>
          <w:p w14:paraId="74A5A574">
            <w:pPr>
              <w:rPr>
                <w:rFonts w:ascii="Arial"/>
                <w:color w:val="auto"/>
                <w:sz w:val="20"/>
                <w:szCs w:val="20"/>
                <w:highlight w:val="none"/>
              </w:rPr>
            </w:pPr>
          </w:p>
        </w:tc>
      </w:tr>
      <w:tr w14:paraId="3139A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24CFFE60">
            <w:pPr>
              <w:pStyle w:val="9"/>
              <w:spacing w:before="210" w:line="222" w:lineRule="auto"/>
              <w:ind w:left="150"/>
              <w:rPr>
                <w:color w:val="auto"/>
                <w:sz w:val="20"/>
                <w:szCs w:val="20"/>
                <w:highlight w:val="none"/>
              </w:rPr>
            </w:pPr>
            <w:r>
              <w:rPr>
                <w:color w:val="auto"/>
                <w:spacing w:val="-5"/>
                <w:sz w:val="20"/>
                <w:szCs w:val="20"/>
                <w:highlight w:val="none"/>
              </w:rPr>
              <w:t>安全员</w:t>
            </w:r>
          </w:p>
        </w:tc>
        <w:tc>
          <w:tcPr>
            <w:tcW w:w="829" w:type="dxa"/>
            <w:vAlign w:val="top"/>
          </w:tcPr>
          <w:p w14:paraId="51CDD7EF">
            <w:pPr>
              <w:rPr>
                <w:rFonts w:ascii="Arial"/>
                <w:color w:val="auto"/>
                <w:sz w:val="20"/>
                <w:szCs w:val="20"/>
                <w:highlight w:val="none"/>
              </w:rPr>
            </w:pPr>
          </w:p>
        </w:tc>
        <w:tc>
          <w:tcPr>
            <w:tcW w:w="816" w:type="dxa"/>
            <w:vAlign w:val="top"/>
          </w:tcPr>
          <w:p w14:paraId="28153170">
            <w:pPr>
              <w:rPr>
                <w:rFonts w:ascii="Arial"/>
                <w:color w:val="auto"/>
                <w:sz w:val="20"/>
                <w:szCs w:val="20"/>
                <w:highlight w:val="none"/>
              </w:rPr>
            </w:pPr>
          </w:p>
        </w:tc>
        <w:tc>
          <w:tcPr>
            <w:tcW w:w="1147" w:type="dxa"/>
            <w:vAlign w:val="top"/>
          </w:tcPr>
          <w:p w14:paraId="1A8DE2AF">
            <w:pPr>
              <w:rPr>
                <w:rFonts w:ascii="Arial"/>
                <w:color w:val="auto"/>
                <w:sz w:val="20"/>
                <w:szCs w:val="20"/>
                <w:highlight w:val="none"/>
              </w:rPr>
            </w:pPr>
          </w:p>
        </w:tc>
        <w:tc>
          <w:tcPr>
            <w:tcW w:w="1147" w:type="dxa"/>
            <w:vAlign w:val="top"/>
          </w:tcPr>
          <w:p w14:paraId="2C368C0C">
            <w:pPr>
              <w:rPr>
                <w:rFonts w:ascii="Arial"/>
                <w:color w:val="auto"/>
                <w:sz w:val="20"/>
                <w:szCs w:val="20"/>
                <w:highlight w:val="none"/>
              </w:rPr>
            </w:pPr>
          </w:p>
        </w:tc>
        <w:tc>
          <w:tcPr>
            <w:tcW w:w="1147" w:type="dxa"/>
            <w:vAlign w:val="top"/>
          </w:tcPr>
          <w:p w14:paraId="02D514AD">
            <w:pPr>
              <w:rPr>
                <w:rFonts w:ascii="Arial"/>
                <w:color w:val="auto"/>
                <w:sz w:val="20"/>
                <w:szCs w:val="20"/>
                <w:highlight w:val="none"/>
              </w:rPr>
            </w:pPr>
          </w:p>
        </w:tc>
        <w:tc>
          <w:tcPr>
            <w:tcW w:w="1147" w:type="dxa"/>
            <w:vAlign w:val="top"/>
          </w:tcPr>
          <w:p w14:paraId="6E61640B">
            <w:pPr>
              <w:rPr>
                <w:rFonts w:ascii="Arial"/>
                <w:color w:val="auto"/>
                <w:sz w:val="20"/>
                <w:szCs w:val="20"/>
                <w:highlight w:val="none"/>
              </w:rPr>
            </w:pPr>
          </w:p>
        </w:tc>
        <w:tc>
          <w:tcPr>
            <w:tcW w:w="850" w:type="dxa"/>
            <w:vAlign w:val="top"/>
          </w:tcPr>
          <w:p w14:paraId="312AEBB3">
            <w:pPr>
              <w:rPr>
                <w:rFonts w:ascii="Arial"/>
                <w:color w:val="auto"/>
                <w:sz w:val="20"/>
                <w:szCs w:val="20"/>
                <w:highlight w:val="none"/>
              </w:rPr>
            </w:pPr>
          </w:p>
        </w:tc>
        <w:tc>
          <w:tcPr>
            <w:tcW w:w="1280" w:type="dxa"/>
            <w:vAlign w:val="top"/>
          </w:tcPr>
          <w:p w14:paraId="6DA4066C">
            <w:pPr>
              <w:rPr>
                <w:rFonts w:ascii="Arial"/>
                <w:color w:val="auto"/>
                <w:sz w:val="20"/>
                <w:szCs w:val="20"/>
                <w:highlight w:val="none"/>
              </w:rPr>
            </w:pPr>
          </w:p>
        </w:tc>
      </w:tr>
      <w:tr w14:paraId="675AC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35F115D1">
            <w:pPr>
              <w:pStyle w:val="9"/>
              <w:spacing w:before="211" w:line="219" w:lineRule="auto"/>
              <w:ind w:left="145"/>
              <w:rPr>
                <w:color w:val="auto"/>
                <w:sz w:val="20"/>
                <w:szCs w:val="20"/>
                <w:highlight w:val="none"/>
              </w:rPr>
            </w:pPr>
            <w:r>
              <w:rPr>
                <w:color w:val="auto"/>
                <w:spacing w:val="-4"/>
                <w:sz w:val="20"/>
                <w:szCs w:val="20"/>
                <w:highlight w:val="none"/>
              </w:rPr>
              <w:t>材料员</w:t>
            </w:r>
          </w:p>
        </w:tc>
        <w:tc>
          <w:tcPr>
            <w:tcW w:w="829" w:type="dxa"/>
            <w:vAlign w:val="top"/>
          </w:tcPr>
          <w:p w14:paraId="78533CA5">
            <w:pPr>
              <w:rPr>
                <w:rFonts w:ascii="Arial"/>
                <w:color w:val="auto"/>
                <w:sz w:val="20"/>
                <w:szCs w:val="20"/>
                <w:highlight w:val="none"/>
              </w:rPr>
            </w:pPr>
          </w:p>
        </w:tc>
        <w:tc>
          <w:tcPr>
            <w:tcW w:w="816" w:type="dxa"/>
            <w:vAlign w:val="top"/>
          </w:tcPr>
          <w:p w14:paraId="17AD2C40">
            <w:pPr>
              <w:rPr>
                <w:rFonts w:ascii="Arial"/>
                <w:color w:val="auto"/>
                <w:sz w:val="20"/>
                <w:szCs w:val="20"/>
                <w:highlight w:val="none"/>
              </w:rPr>
            </w:pPr>
          </w:p>
        </w:tc>
        <w:tc>
          <w:tcPr>
            <w:tcW w:w="1147" w:type="dxa"/>
            <w:vAlign w:val="top"/>
          </w:tcPr>
          <w:p w14:paraId="54FAB317">
            <w:pPr>
              <w:rPr>
                <w:rFonts w:ascii="Arial"/>
                <w:color w:val="auto"/>
                <w:sz w:val="20"/>
                <w:szCs w:val="20"/>
                <w:highlight w:val="none"/>
              </w:rPr>
            </w:pPr>
          </w:p>
        </w:tc>
        <w:tc>
          <w:tcPr>
            <w:tcW w:w="1147" w:type="dxa"/>
            <w:vAlign w:val="top"/>
          </w:tcPr>
          <w:p w14:paraId="5B600394">
            <w:pPr>
              <w:rPr>
                <w:rFonts w:ascii="Arial"/>
                <w:color w:val="auto"/>
                <w:sz w:val="20"/>
                <w:szCs w:val="20"/>
                <w:highlight w:val="none"/>
              </w:rPr>
            </w:pPr>
          </w:p>
        </w:tc>
        <w:tc>
          <w:tcPr>
            <w:tcW w:w="1147" w:type="dxa"/>
            <w:vAlign w:val="top"/>
          </w:tcPr>
          <w:p w14:paraId="5170E4B3">
            <w:pPr>
              <w:rPr>
                <w:rFonts w:ascii="Arial"/>
                <w:color w:val="auto"/>
                <w:sz w:val="20"/>
                <w:szCs w:val="20"/>
                <w:highlight w:val="none"/>
              </w:rPr>
            </w:pPr>
          </w:p>
        </w:tc>
        <w:tc>
          <w:tcPr>
            <w:tcW w:w="1147" w:type="dxa"/>
            <w:vAlign w:val="top"/>
          </w:tcPr>
          <w:p w14:paraId="5869416B">
            <w:pPr>
              <w:rPr>
                <w:rFonts w:ascii="Arial"/>
                <w:color w:val="auto"/>
                <w:sz w:val="20"/>
                <w:szCs w:val="20"/>
                <w:highlight w:val="none"/>
              </w:rPr>
            </w:pPr>
          </w:p>
        </w:tc>
        <w:tc>
          <w:tcPr>
            <w:tcW w:w="850" w:type="dxa"/>
            <w:vAlign w:val="top"/>
          </w:tcPr>
          <w:p w14:paraId="169BDB81">
            <w:pPr>
              <w:rPr>
                <w:rFonts w:ascii="Arial"/>
                <w:color w:val="auto"/>
                <w:sz w:val="20"/>
                <w:szCs w:val="20"/>
                <w:highlight w:val="none"/>
              </w:rPr>
            </w:pPr>
          </w:p>
        </w:tc>
        <w:tc>
          <w:tcPr>
            <w:tcW w:w="1280" w:type="dxa"/>
            <w:vAlign w:val="top"/>
          </w:tcPr>
          <w:p w14:paraId="34C0073D">
            <w:pPr>
              <w:rPr>
                <w:rFonts w:ascii="Arial"/>
                <w:color w:val="auto"/>
                <w:sz w:val="20"/>
                <w:szCs w:val="20"/>
                <w:highlight w:val="none"/>
              </w:rPr>
            </w:pPr>
          </w:p>
        </w:tc>
      </w:tr>
      <w:tr w14:paraId="60397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997" w:type="dxa"/>
            <w:vAlign w:val="top"/>
          </w:tcPr>
          <w:p w14:paraId="40014752">
            <w:pPr>
              <w:rPr>
                <w:rFonts w:ascii="Arial"/>
                <w:color w:val="auto"/>
                <w:sz w:val="20"/>
                <w:szCs w:val="20"/>
                <w:highlight w:val="none"/>
              </w:rPr>
            </w:pPr>
          </w:p>
        </w:tc>
        <w:tc>
          <w:tcPr>
            <w:tcW w:w="829" w:type="dxa"/>
            <w:vAlign w:val="top"/>
          </w:tcPr>
          <w:p w14:paraId="688F3D70">
            <w:pPr>
              <w:rPr>
                <w:rFonts w:ascii="Arial"/>
                <w:color w:val="auto"/>
                <w:sz w:val="20"/>
                <w:szCs w:val="20"/>
                <w:highlight w:val="none"/>
              </w:rPr>
            </w:pPr>
          </w:p>
        </w:tc>
        <w:tc>
          <w:tcPr>
            <w:tcW w:w="816" w:type="dxa"/>
            <w:vAlign w:val="top"/>
          </w:tcPr>
          <w:p w14:paraId="0F4C8187">
            <w:pPr>
              <w:rPr>
                <w:rFonts w:ascii="Arial"/>
                <w:color w:val="auto"/>
                <w:sz w:val="20"/>
                <w:szCs w:val="20"/>
                <w:highlight w:val="none"/>
              </w:rPr>
            </w:pPr>
          </w:p>
        </w:tc>
        <w:tc>
          <w:tcPr>
            <w:tcW w:w="1147" w:type="dxa"/>
            <w:vAlign w:val="top"/>
          </w:tcPr>
          <w:p w14:paraId="09DAF626">
            <w:pPr>
              <w:rPr>
                <w:rFonts w:ascii="Arial"/>
                <w:color w:val="auto"/>
                <w:sz w:val="20"/>
                <w:szCs w:val="20"/>
                <w:highlight w:val="none"/>
              </w:rPr>
            </w:pPr>
          </w:p>
        </w:tc>
        <w:tc>
          <w:tcPr>
            <w:tcW w:w="1147" w:type="dxa"/>
            <w:vAlign w:val="top"/>
          </w:tcPr>
          <w:p w14:paraId="6AA36BC8">
            <w:pPr>
              <w:rPr>
                <w:rFonts w:ascii="Arial"/>
                <w:color w:val="auto"/>
                <w:sz w:val="20"/>
                <w:szCs w:val="20"/>
                <w:highlight w:val="none"/>
              </w:rPr>
            </w:pPr>
          </w:p>
        </w:tc>
        <w:tc>
          <w:tcPr>
            <w:tcW w:w="1147" w:type="dxa"/>
            <w:vAlign w:val="top"/>
          </w:tcPr>
          <w:p w14:paraId="75280F89">
            <w:pPr>
              <w:rPr>
                <w:rFonts w:ascii="Arial"/>
                <w:color w:val="auto"/>
                <w:sz w:val="20"/>
                <w:szCs w:val="20"/>
                <w:highlight w:val="none"/>
              </w:rPr>
            </w:pPr>
          </w:p>
        </w:tc>
        <w:tc>
          <w:tcPr>
            <w:tcW w:w="1147" w:type="dxa"/>
            <w:vAlign w:val="top"/>
          </w:tcPr>
          <w:p w14:paraId="449046D9">
            <w:pPr>
              <w:rPr>
                <w:rFonts w:ascii="Arial"/>
                <w:color w:val="auto"/>
                <w:sz w:val="20"/>
                <w:szCs w:val="20"/>
                <w:highlight w:val="none"/>
              </w:rPr>
            </w:pPr>
          </w:p>
        </w:tc>
        <w:tc>
          <w:tcPr>
            <w:tcW w:w="850" w:type="dxa"/>
            <w:vAlign w:val="top"/>
          </w:tcPr>
          <w:p w14:paraId="77FCC15C">
            <w:pPr>
              <w:rPr>
                <w:rFonts w:ascii="Arial"/>
                <w:color w:val="auto"/>
                <w:sz w:val="20"/>
                <w:szCs w:val="20"/>
                <w:highlight w:val="none"/>
              </w:rPr>
            </w:pPr>
          </w:p>
        </w:tc>
        <w:tc>
          <w:tcPr>
            <w:tcW w:w="1280" w:type="dxa"/>
            <w:vAlign w:val="top"/>
          </w:tcPr>
          <w:p w14:paraId="12630BDE">
            <w:pPr>
              <w:rPr>
                <w:rFonts w:ascii="Arial"/>
                <w:color w:val="auto"/>
                <w:sz w:val="20"/>
                <w:szCs w:val="20"/>
                <w:highlight w:val="none"/>
              </w:rPr>
            </w:pPr>
          </w:p>
        </w:tc>
      </w:tr>
      <w:tr w14:paraId="677E9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97" w:type="dxa"/>
            <w:vAlign w:val="top"/>
          </w:tcPr>
          <w:p w14:paraId="27F7FBDB">
            <w:pPr>
              <w:pStyle w:val="9"/>
              <w:spacing w:before="212" w:line="379" w:lineRule="exact"/>
              <w:ind w:left="281"/>
              <w:rPr>
                <w:color w:val="auto"/>
                <w:sz w:val="20"/>
                <w:szCs w:val="20"/>
                <w:highlight w:val="none"/>
              </w:rPr>
            </w:pPr>
            <w:r>
              <w:rPr>
                <w:color w:val="auto"/>
                <w:spacing w:val="-13"/>
                <w:position w:val="3"/>
                <w:sz w:val="20"/>
                <w:szCs w:val="20"/>
                <w:highlight w:val="none"/>
              </w:rPr>
              <w:t>……</w:t>
            </w:r>
          </w:p>
        </w:tc>
        <w:tc>
          <w:tcPr>
            <w:tcW w:w="829" w:type="dxa"/>
            <w:vAlign w:val="top"/>
          </w:tcPr>
          <w:p w14:paraId="7CD1AFE3">
            <w:pPr>
              <w:rPr>
                <w:rFonts w:ascii="Arial"/>
                <w:color w:val="auto"/>
                <w:sz w:val="20"/>
                <w:szCs w:val="20"/>
                <w:highlight w:val="none"/>
              </w:rPr>
            </w:pPr>
          </w:p>
        </w:tc>
        <w:tc>
          <w:tcPr>
            <w:tcW w:w="816" w:type="dxa"/>
            <w:vAlign w:val="top"/>
          </w:tcPr>
          <w:p w14:paraId="01C39818">
            <w:pPr>
              <w:rPr>
                <w:rFonts w:ascii="Arial"/>
                <w:color w:val="auto"/>
                <w:sz w:val="20"/>
                <w:szCs w:val="20"/>
                <w:highlight w:val="none"/>
              </w:rPr>
            </w:pPr>
          </w:p>
        </w:tc>
        <w:tc>
          <w:tcPr>
            <w:tcW w:w="1147" w:type="dxa"/>
            <w:vAlign w:val="top"/>
          </w:tcPr>
          <w:p w14:paraId="7BA68E1B">
            <w:pPr>
              <w:rPr>
                <w:rFonts w:ascii="Arial"/>
                <w:color w:val="auto"/>
                <w:sz w:val="20"/>
                <w:szCs w:val="20"/>
                <w:highlight w:val="none"/>
              </w:rPr>
            </w:pPr>
          </w:p>
        </w:tc>
        <w:tc>
          <w:tcPr>
            <w:tcW w:w="1147" w:type="dxa"/>
            <w:vAlign w:val="top"/>
          </w:tcPr>
          <w:p w14:paraId="10D76FAE">
            <w:pPr>
              <w:rPr>
                <w:rFonts w:ascii="Arial"/>
                <w:color w:val="auto"/>
                <w:sz w:val="20"/>
                <w:szCs w:val="20"/>
                <w:highlight w:val="none"/>
              </w:rPr>
            </w:pPr>
          </w:p>
        </w:tc>
        <w:tc>
          <w:tcPr>
            <w:tcW w:w="1147" w:type="dxa"/>
            <w:vAlign w:val="top"/>
          </w:tcPr>
          <w:p w14:paraId="50B2A419">
            <w:pPr>
              <w:rPr>
                <w:rFonts w:ascii="Arial"/>
                <w:color w:val="auto"/>
                <w:sz w:val="20"/>
                <w:szCs w:val="20"/>
                <w:highlight w:val="none"/>
              </w:rPr>
            </w:pPr>
          </w:p>
        </w:tc>
        <w:tc>
          <w:tcPr>
            <w:tcW w:w="1147" w:type="dxa"/>
            <w:vAlign w:val="top"/>
          </w:tcPr>
          <w:p w14:paraId="3248B1CE">
            <w:pPr>
              <w:rPr>
                <w:rFonts w:ascii="Arial"/>
                <w:color w:val="auto"/>
                <w:sz w:val="20"/>
                <w:szCs w:val="20"/>
                <w:highlight w:val="none"/>
              </w:rPr>
            </w:pPr>
          </w:p>
        </w:tc>
        <w:tc>
          <w:tcPr>
            <w:tcW w:w="850" w:type="dxa"/>
            <w:vAlign w:val="top"/>
          </w:tcPr>
          <w:p w14:paraId="154E6F79">
            <w:pPr>
              <w:rPr>
                <w:rFonts w:ascii="Arial"/>
                <w:color w:val="auto"/>
                <w:sz w:val="20"/>
                <w:szCs w:val="20"/>
                <w:highlight w:val="none"/>
              </w:rPr>
            </w:pPr>
          </w:p>
        </w:tc>
        <w:tc>
          <w:tcPr>
            <w:tcW w:w="1280" w:type="dxa"/>
            <w:vAlign w:val="top"/>
          </w:tcPr>
          <w:p w14:paraId="3A155BF7">
            <w:pPr>
              <w:rPr>
                <w:rFonts w:ascii="Arial"/>
                <w:color w:val="auto"/>
                <w:sz w:val="20"/>
                <w:szCs w:val="20"/>
                <w:highlight w:val="none"/>
              </w:rPr>
            </w:pPr>
          </w:p>
        </w:tc>
      </w:tr>
      <w:tr w14:paraId="5F0AA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8" w:hRule="atLeast"/>
        </w:trPr>
        <w:tc>
          <w:tcPr>
            <w:tcW w:w="9360" w:type="dxa"/>
            <w:gridSpan w:val="9"/>
            <w:vAlign w:val="top"/>
          </w:tcPr>
          <w:p w14:paraId="2036F54A">
            <w:pPr>
              <w:pStyle w:val="9"/>
              <w:spacing w:before="60" w:line="353" w:lineRule="auto"/>
              <w:ind w:left="115" w:right="108" w:firstLine="5"/>
              <w:rPr>
                <w:color w:val="auto"/>
                <w:sz w:val="20"/>
                <w:szCs w:val="20"/>
                <w:highlight w:val="none"/>
              </w:rPr>
            </w:pPr>
            <w:r>
              <w:rPr>
                <w:color w:val="auto"/>
                <w:sz w:val="20"/>
                <w:szCs w:val="20"/>
                <w:highlight w:val="none"/>
              </w:rPr>
              <w:t>一旦我单位成交，将实行项目经理负责制，我方保证并配备上述项目管理机构。上述填</w:t>
            </w:r>
            <w:r>
              <w:rPr>
                <w:color w:val="auto"/>
                <w:spacing w:val="4"/>
                <w:sz w:val="20"/>
                <w:szCs w:val="20"/>
                <w:highlight w:val="none"/>
              </w:rPr>
              <w:t xml:space="preserve"> </w:t>
            </w:r>
            <w:r>
              <w:rPr>
                <w:color w:val="auto"/>
                <w:spacing w:val="-1"/>
                <w:sz w:val="20"/>
                <w:szCs w:val="20"/>
                <w:highlight w:val="none"/>
              </w:rPr>
              <w:t>报内容真实，若不真实，愿按有关规定接受处理。</w:t>
            </w:r>
          </w:p>
        </w:tc>
      </w:tr>
    </w:tbl>
    <w:p w14:paraId="5852E2BC">
      <w:pPr>
        <w:pStyle w:val="2"/>
        <w:spacing w:line="260" w:lineRule="auto"/>
        <w:rPr>
          <w:color w:val="auto"/>
          <w:highlight w:val="none"/>
        </w:rPr>
      </w:pPr>
    </w:p>
    <w:p w14:paraId="6B197D50">
      <w:pPr>
        <w:pStyle w:val="2"/>
        <w:spacing w:line="260" w:lineRule="auto"/>
        <w:rPr>
          <w:color w:val="auto"/>
          <w:highlight w:val="none"/>
        </w:rPr>
      </w:pPr>
    </w:p>
    <w:p w14:paraId="4F203A3A">
      <w:pPr>
        <w:pStyle w:val="2"/>
        <w:spacing w:line="260" w:lineRule="auto"/>
        <w:rPr>
          <w:color w:val="auto"/>
          <w:highlight w:val="none"/>
        </w:rPr>
      </w:pPr>
    </w:p>
    <w:p w14:paraId="3447EAAE">
      <w:pPr>
        <w:pStyle w:val="2"/>
        <w:spacing w:line="260" w:lineRule="auto"/>
        <w:rPr>
          <w:color w:val="auto"/>
          <w:sz w:val="20"/>
          <w:szCs w:val="20"/>
          <w:highlight w:val="none"/>
        </w:rPr>
      </w:pPr>
    </w:p>
    <w:p w14:paraId="21678EB7">
      <w:pPr>
        <w:spacing w:before="78" w:line="219" w:lineRule="auto"/>
        <w:ind w:left="4247"/>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73219CA7">
      <w:pPr>
        <w:spacing w:before="182" w:line="220" w:lineRule="auto"/>
        <w:ind w:left="6523"/>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25"/>
          <w:sz w:val="20"/>
          <w:szCs w:val="20"/>
          <w:highlight w:val="none"/>
        </w:rPr>
        <w:t xml:space="preserve">  </w:t>
      </w:r>
      <w:r>
        <w:rPr>
          <w:rFonts w:ascii="宋体" w:hAnsi="宋体" w:eastAsia="宋体" w:cs="宋体"/>
          <w:color w:val="auto"/>
          <w:spacing w:val="-13"/>
          <w:sz w:val="20"/>
          <w:szCs w:val="20"/>
          <w:highlight w:val="none"/>
        </w:rPr>
        <w:t>日</w:t>
      </w:r>
    </w:p>
    <w:p w14:paraId="514D022B">
      <w:pPr>
        <w:pStyle w:val="2"/>
        <w:spacing w:line="283" w:lineRule="auto"/>
        <w:rPr>
          <w:color w:val="auto"/>
          <w:sz w:val="20"/>
          <w:szCs w:val="20"/>
          <w:highlight w:val="none"/>
        </w:rPr>
      </w:pPr>
    </w:p>
    <w:p w14:paraId="11E8CF0A">
      <w:pPr>
        <w:pStyle w:val="2"/>
        <w:spacing w:line="284" w:lineRule="auto"/>
        <w:rPr>
          <w:color w:val="auto"/>
          <w:sz w:val="20"/>
          <w:szCs w:val="20"/>
          <w:highlight w:val="none"/>
        </w:rPr>
      </w:pPr>
    </w:p>
    <w:p w14:paraId="6A5C9B2F">
      <w:pPr>
        <w:spacing w:before="78" w:line="360" w:lineRule="auto"/>
        <w:ind w:left="367" w:right="353" w:firstLine="395"/>
        <w:jc w:val="both"/>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注：拟投入的各岗位人员需提供相关岗位证书及[ 2025 年</w:t>
      </w:r>
      <w:r>
        <w:rPr>
          <w:rFonts w:ascii="宋体" w:hAnsi="宋体" w:eastAsia="宋体" w:cs="宋体"/>
          <w:color w:val="auto"/>
          <w:spacing w:val="53"/>
          <w:sz w:val="20"/>
          <w:szCs w:val="20"/>
          <w:highlight w:val="none"/>
        </w:rPr>
        <w:t xml:space="preserve"> </w:t>
      </w:r>
      <w:r>
        <w:rPr>
          <w:rFonts w:hint="eastAsia" w:ascii="宋体" w:hAnsi="宋体" w:eastAsia="宋体" w:cs="宋体"/>
          <w:color w:val="auto"/>
          <w:spacing w:val="1"/>
          <w:sz w:val="20"/>
          <w:szCs w:val="20"/>
          <w:highlight w:val="none"/>
          <w:lang w:val="en-US" w:eastAsia="zh-CN"/>
        </w:rPr>
        <w:t>6</w:t>
      </w:r>
      <w:r>
        <w:rPr>
          <w:rFonts w:ascii="宋体" w:hAnsi="宋体" w:eastAsia="宋体" w:cs="宋体"/>
          <w:color w:val="auto"/>
          <w:spacing w:val="-40"/>
          <w:sz w:val="20"/>
          <w:szCs w:val="20"/>
          <w:highlight w:val="none"/>
        </w:rPr>
        <w:t xml:space="preserve"> </w:t>
      </w:r>
      <w:r>
        <w:rPr>
          <w:rFonts w:ascii="宋体" w:hAnsi="宋体" w:eastAsia="宋体" w:cs="宋体"/>
          <w:color w:val="auto"/>
          <w:spacing w:val="1"/>
          <w:sz w:val="20"/>
          <w:szCs w:val="20"/>
          <w:highlight w:val="none"/>
        </w:rPr>
        <w:t>月至 2025</w:t>
      </w:r>
      <w:r>
        <w:rPr>
          <w:rFonts w:ascii="宋体" w:hAnsi="宋体" w:eastAsia="宋体" w:cs="宋体"/>
          <w:color w:val="auto"/>
          <w:spacing w:val="15"/>
          <w:sz w:val="20"/>
          <w:szCs w:val="20"/>
          <w:highlight w:val="none"/>
        </w:rPr>
        <w:t xml:space="preserve"> </w:t>
      </w:r>
      <w:r>
        <w:rPr>
          <w:rFonts w:ascii="宋体" w:hAnsi="宋体" w:eastAsia="宋体" w:cs="宋体"/>
          <w:color w:val="auto"/>
          <w:spacing w:val="1"/>
          <w:sz w:val="20"/>
          <w:szCs w:val="20"/>
          <w:highlight w:val="none"/>
        </w:rPr>
        <w:t>年</w:t>
      </w:r>
      <w:r>
        <w:rPr>
          <w:rFonts w:ascii="宋体" w:hAnsi="宋体" w:eastAsia="宋体" w:cs="宋体"/>
          <w:color w:val="auto"/>
          <w:spacing w:val="21"/>
          <w:sz w:val="20"/>
          <w:szCs w:val="20"/>
          <w:highlight w:val="none"/>
        </w:rPr>
        <w:t xml:space="preserve"> </w:t>
      </w:r>
      <w:r>
        <w:rPr>
          <w:rFonts w:hint="eastAsia" w:ascii="宋体" w:hAnsi="宋体" w:eastAsia="宋体" w:cs="宋体"/>
          <w:color w:val="auto"/>
          <w:spacing w:val="1"/>
          <w:sz w:val="20"/>
          <w:szCs w:val="20"/>
          <w:highlight w:val="none"/>
          <w:lang w:val="en-US" w:eastAsia="zh-CN"/>
        </w:rPr>
        <w:t>11</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月]内连续三个月供应商为其依法缴纳社保的证明材料。本表所列岗位</w:t>
      </w:r>
      <w:r>
        <w:rPr>
          <w:rFonts w:ascii="宋体" w:hAnsi="宋体" w:eastAsia="宋体" w:cs="宋体"/>
          <w:color w:val="auto"/>
          <w:spacing w:val="-4"/>
          <w:sz w:val="20"/>
          <w:szCs w:val="20"/>
          <w:highlight w:val="none"/>
        </w:rPr>
        <w:t>的所有管理人</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员的情况均应如实填写。可按以上格式扩展为多页填写。</w:t>
      </w:r>
    </w:p>
    <w:p w14:paraId="7010D836">
      <w:pPr>
        <w:spacing w:line="360" w:lineRule="auto"/>
        <w:rPr>
          <w:rFonts w:ascii="宋体" w:hAnsi="宋体" w:eastAsia="宋体" w:cs="宋体"/>
          <w:color w:val="auto"/>
          <w:sz w:val="20"/>
          <w:szCs w:val="20"/>
          <w:highlight w:val="none"/>
        </w:rPr>
        <w:sectPr>
          <w:footerReference r:id="rId72" w:type="default"/>
          <w:pgSz w:w="11900" w:h="16840"/>
          <w:pgMar w:top="400" w:right="1267" w:bottom="1039" w:left="1267" w:header="0" w:footer="803" w:gutter="0"/>
          <w:cols w:space="720" w:num="1"/>
        </w:sectPr>
      </w:pPr>
    </w:p>
    <w:p w14:paraId="0A3DCBBF">
      <w:pPr>
        <w:pStyle w:val="2"/>
        <w:spacing w:line="271" w:lineRule="auto"/>
        <w:rPr>
          <w:color w:val="auto"/>
          <w:highlight w:val="none"/>
        </w:rPr>
      </w:pPr>
    </w:p>
    <w:p w14:paraId="6287AC76">
      <w:pPr>
        <w:pStyle w:val="2"/>
        <w:spacing w:line="271" w:lineRule="auto"/>
        <w:rPr>
          <w:color w:val="auto"/>
          <w:highlight w:val="none"/>
        </w:rPr>
      </w:pPr>
    </w:p>
    <w:p w14:paraId="0F7157B4">
      <w:pPr>
        <w:pStyle w:val="2"/>
        <w:spacing w:line="271" w:lineRule="auto"/>
        <w:rPr>
          <w:color w:val="auto"/>
          <w:highlight w:val="none"/>
        </w:rPr>
      </w:pPr>
    </w:p>
    <w:p w14:paraId="6C47C3E3">
      <w:pPr>
        <w:spacing w:before="97" w:line="219" w:lineRule="auto"/>
        <w:ind w:left="1967"/>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十、建设工程项目管理承诺书(格式)</w:t>
      </w:r>
    </w:p>
    <w:p w14:paraId="335426B6">
      <w:pPr>
        <w:pStyle w:val="2"/>
        <w:spacing w:line="279" w:lineRule="auto"/>
        <w:rPr>
          <w:color w:val="auto"/>
          <w:highlight w:val="none"/>
        </w:rPr>
      </w:pPr>
    </w:p>
    <w:p w14:paraId="548B57CC">
      <w:pPr>
        <w:spacing w:before="65" w:line="229" w:lineRule="auto"/>
        <w:ind w:left="434"/>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致</w:t>
      </w:r>
      <w:r>
        <w:rPr>
          <w:rFonts w:hint="eastAsia" w:ascii="宋体" w:hAnsi="宋体" w:eastAsia="宋体" w:cs="宋体"/>
          <w:color w:val="auto"/>
          <w:spacing w:val="-98"/>
          <w:sz w:val="20"/>
          <w:szCs w:val="20"/>
          <w:highlight w:val="none"/>
        </w:rPr>
        <w:t xml:space="preserve"> </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rPr>
        <w:t>（采购单</w:t>
      </w:r>
      <w:r>
        <w:rPr>
          <w:rFonts w:hint="eastAsia" w:ascii="宋体" w:hAnsi="宋体" w:eastAsia="宋体" w:cs="宋体"/>
          <w:color w:val="auto"/>
          <w:spacing w:val="5"/>
          <w:sz w:val="20"/>
          <w:szCs w:val="20"/>
          <w:highlight w:val="none"/>
        </w:rPr>
        <w:t>位名称</w:t>
      </w:r>
      <w:r>
        <w:rPr>
          <w:rFonts w:hint="eastAsia" w:ascii="宋体" w:hAnsi="宋体" w:eastAsia="宋体" w:cs="宋体"/>
          <w:color w:val="auto"/>
          <w:sz w:val="20"/>
          <w:szCs w:val="20"/>
          <w:highlight w:val="none"/>
        </w:rPr>
        <w:t>）：</w:t>
      </w:r>
    </w:p>
    <w:p w14:paraId="01A67846">
      <w:pPr>
        <w:spacing w:before="250" w:line="228" w:lineRule="auto"/>
        <w:ind w:left="85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如我公司在贵单位的</w:t>
      </w:r>
      <w:r>
        <w:rPr>
          <w:rFonts w:hint="eastAsia" w:ascii="宋体" w:hAnsi="宋体" w:eastAsia="宋体" w:cs="宋体"/>
          <w:color w:val="auto"/>
          <w:spacing w:val="-99"/>
          <w:sz w:val="20"/>
          <w:szCs w:val="20"/>
          <w:highlight w:val="none"/>
        </w:rPr>
        <w:t xml:space="preserve"> </w:t>
      </w:r>
      <w:r>
        <w:rPr>
          <w:rFonts w:hint="eastAsia" w:ascii="宋体" w:hAnsi="宋体" w:eastAsia="宋体" w:cs="宋体"/>
          <w:color w:val="auto"/>
          <w:spacing w:val="1"/>
          <w:sz w:val="20"/>
          <w:szCs w:val="20"/>
          <w:highlight w:val="none"/>
          <w:u w:val="single" w:color="auto"/>
        </w:rPr>
        <w:t xml:space="preserve">                   </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pacing w:val="-81"/>
          <w:sz w:val="20"/>
          <w:szCs w:val="20"/>
          <w:highlight w:val="none"/>
        </w:rPr>
        <w:t xml:space="preserve"> </w:t>
      </w:r>
      <w:r>
        <w:rPr>
          <w:rFonts w:hint="eastAsia" w:ascii="宋体" w:hAnsi="宋体" w:eastAsia="宋体" w:cs="宋体"/>
          <w:color w:val="auto"/>
          <w:spacing w:val="8"/>
          <w:sz w:val="20"/>
          <w:szCs w:val="20"/>
          <w:highlight w:val="none"/>
        </w:rPr>
        <w:t>成交，我方在此向采购人承诺：</w:t>
      </w:r>
    </w:p>
    <w:p w14:paraId="108BFF90">
      <w:pPr>
        <w:spacing w:before="252" w:line="462" w:lineRule="auto"/>
        <w:ind w:left="8" w:right="64" w:firstLine="422"/>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1、一旦成交，我方保证在施工过程中，严格执行《广西壮族自治区建筑工程安全</w:t>
      </w:r>
      <w:r>
        <w:rPr>
          <w:rFonts w:hint="eastAsia" w:ascii="宋体" w:hAnsi="宋体" w:eastAsia="宋体" w:cs="宋体"/>
          <w:color w:val="auto"/>
          <w:spacing w:val="9"/>
          <w:sz w:val="20"/>
          <w:szCs w:val="20"/>
          <w:highlight w:val="none"/>
        </w:rPr>
        <w:t>文明施工</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6"/>
          <w:sz w:val="20"/>
          <w:szCs w:val="20"/>
          <w:highlight w:val="none"/>
        </w:rPr>
        <w:t>费使用管理细则》</w:t>
      </w:r>
    </w:p>
    <w:p w14:paraId="72E3073A">
      <w:pPr>
        <w:spacing w:before="1" w:line="459" w:lineRule="auto"/>
        <w:ind w:left="3" w:right="67" w:firstLine="42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（桂建质〔2015〕16</w:t>
      </w:r>
      <w:r>
        <w:rPr>
          <w:rFonts w:hint="eastAsia" w:ascii="宋体" w:hAnsi="宋体" w:eastAsia="宋体" w:cs="宋体"/>
          <w:color w:val="auto"/>
          <w:spacing w:val="-21"/>
          <w:sz w:val="20"/>
          <w:szCs w:val="20"/>
          <w:highlight w:val="none"/>
        </w:rPr>
        <w:t xml:space="preserve"> </w:t>
      </w:r>
      <w:r>
        <w:rPr>
          <w:rFonts w:hint="eastAsia" w:ascii="宋体" w:hAnsi="宋体" w:eastAsia="宋体" w:cs="宋体"/>
          <w:color w:val="auto"/>
          <w:spacing w:val="9"/>
          <w:sz w:val="20"/>
          <w:szCs w:val="20"/>
          <w:highlight w:val="none"/>
        </w:rPr>
        <w:t>号）</w:t>
      </w:r>
      <w:r>
        <w:rPr>
          <w:rFonts w:hint="eastAsia" w:ascii="宋体" w:hAnsi="宋体" w:eastAsia="宋体" w:cs="宋体"/>
          <w:color w:val="auto"/>
          <w:spacing w:val="-58"/>
          <w:sz w:val="20"/>
          <w:szCs w:val="20"/>
          <w:highlight w:val="none"/>
        </w:rPr>
        <w:t xml:space="preserve"> </w:t>
      </w:r>
      <w:r>
        <w:rPr>
          <w:rFonts w:hint="eastAsia" w:ascii="宋体" w:hAnsi="宋体" w:eastAsia="宋体" w:cs="宋体"/>
          <w:color w:val="auto"/>
          <w:spacing w:val="9"/>
          <w:sz w:val="20"/>
          <w:szCs w:val="20"/>
          <w:highlight w:val="none"/>
        </w:rPr>
        <w:t>的有关规定，确保建设工程各项安全防护、文明施工措施落实到</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位。如我方在该项</w:t>
      </w:r>
    </w:p>
    <w:p w14:paraId="1839CEFF">
      <w:pPr>
        <w:spacing w:before="6" w:line="460" w:lineRule="auto"/>
        <w:ind w:left="6" w:right="67" w:firstLine="45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目的承包中出现未按桂建质〔2015〕16</w:t>
      </w:r>
      <w:r>
        <w:rPr>
          <w:rFonts w:hint="eastAsia" w:ascii="宋体" w:hAnsi="宋体" w:eastAsia="宋体" w:cs="宋体"/>
          <w:color w:val="auto"/>
          <w:spacing w:val="-12"/>
          <w:sz w:val="20"/>
          <w:szCs w:val="20"/>
          <w:highlight w:val="none"/>
        </w:rPr>
        <w:t xml:space="preserve"> </w:t>
      </w:r>
      <w:r>
        <w:rPr>
          <w:rFonts w:hint="eastAsia" w:ascii="宋体" w:hAnsi="宋体" w:eastAsia="宋体" w:cs="宋体"/>
          <w:color w:val="auto"/>
          <w:spacing w:val="9"/>
          <w:sz w:val="20"/>
          <w:szCs w:val="20"/>
          <w:highlight w:val="none"/>
        </w:rPr>
        <w:t>号文附件一规定执行的情形，我方愿意按照相关规</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定接受建设单位及</w:t>
      </w:r>
    </w:p>
    <w:p w14:paraId="5580F982">
      <w:pPr>
        <w:spacing w:before="1" w:line="230" w:lineRule="auto"/>
        <w:ind w:left="42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有关主管部门的处罚。</w:t>
      </w:r>
    </w:p>
    <w:p w14:paraId="20FE53EC">
      <w:pPr>
        <w:spacing w:before="253" w:line="460" w:lineRule="auto"/>
        <w:ind w:left="10" w:right="114" w:firstLine="415"/>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2、一旦成交，我方保证在施工过程中，严格执行散装水泥和预拌混凝土</w:t>
      </w:r>
      <w:r>
        <w:rPr>
          <w:rFonts w:hint="eastAsia" w:ascii="宋体" w:hAnsi="宋体" w:eastAsia="宋体" w:cs="宋体"/>
          <w:color w:val="auto"/>
          <w:spacing w:val="8"/>
          <w:sz w:val="20"/>
          <w:szCs w:val="20"/>
          <w:highlight w:val="none"/>
        </w:rPr>
        <w:t>管理的有关规定，</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7"/>
          <w:sz w:val="20"/>
          <w:szCs w:val="20"/>
          <w:highlight w:val="none"/>
        </w:rPr>
        <w:t>确保建设工程按</w:t>
      </w:r>
    </w:p>
    <w:p w14:paraId="6A3CF2F1">
      <w:pPr>
        <w:spacing w:line="462" w:lineRule="auto"/>
        <w:ind w:left="12" w:right="66" w:firstLine="416"/>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规定使用散装水泥和预拌混凝土。如我方在该项目的承包中出现未按规定执行的情形，我方</w:t>
      </w:r>
      <w:r>
        <w:rPr>
          <w:rFonts w:hint="eastAsia" w:ascii="宋体" w:hAnsi="宋体" w:eastAsia="宋体" w:cs="宋体"/>
          <w:color w:val="auto"/>
          <w:spacing w:val="17"/>
          <w:sz w:val="20"/>
          <w:szCs w:val="20"/>
          <w:highlight w:val="none"/>
        </w:rPr>
        <w:t xml:space="preserve"> </w:t>
      </w:r>
      <w:r>
        <w:rPr>
          <w:rFonts w:hint="eastAsia" w:ascii="宋体" w:hAnsi="宋体" w:eastAsia="宋体" w:cs="宋体"/>
          <w:color w:val="auto"/>
          <w:spacing w:val="7"/>
          <w:sz w:val="20"/>
          <w:szCs w:val="20"/>
          <w:highlight w:val="none"/>
        </w:rPr>
        <w:t>愿意按照相关规</w:t>
      </w:r>
    </w:p>
    <w:p w14:paraId="3AEBA636">
      <w:pPr>
        <w:spacing w:before="1" w:line="229" w:lineRule="auto"/>
        <w:ind w:left="43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定接受建设单位及有关主管部门的处罚。</w:t>
      </w:r>
    </w:p>
    <w:p w14:paraId="0F6F47D6">
      <w:pPr>
        <w:spacing w:before="250" w:line="462" w:lineRule="auto"/>
        <w:ind w:firstLine="42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3、一旦成交，我方保证严格执行《危险性较大的分部分项工程安全管理规定》（建办质〔2018〕</w:t>
      </w:r>
      <w:r>
        <w:rPr>
          <w:rFonts w:hint="eastAsia" w:ascii="宋体" w:hAnsi="宋体" w:eastAsia="宋体" w:cs="宋体"/>
          <w:color w:val="auto"/>
          <w:spacing w:val="7"/>
          <w:sz w:val="20"/>
          <w:szCs w:val="20"/>
          <w:highlight w:val="none"/>
        </w:rPr>
        <w:t xml:space="preserve"> </w:t>
      </w:r>
      <w:r>
        <w:rPr>
          <w:rFonts w:hint="eastAsia" w:ascii="宋体" w:hAnsi="宋体" w:eastAsia="宋体" w:cs="宋体"/>
          <w:color w:val="auto"/>
          <w:spacing w:val="5"/>
          <w:sz w:val="20"/>
          <w:szCs w:val="20"/>
          <w:highlight w:val="none"/>
        </w:rPr>
        <w:t>31</w:t>
      </w:r>
      <w:r>
        <w:rPr>
          <w:rFonts w:hint="eastAsia" w:ascii="宋体" w:hAnsi="宋体" w:eastAsia="宋体" w:cs="宋体"/>
          <w:color w:val="auto"/>
          <w:spacing w:val="-30"/>
          <w:sz w:val="20"/>
          <w:szCs w:val="20"/>
          <w:highlight w:val="none"/>
        </w:rPr>
        <w:t xml:space="preserve"> </w:t>
      </w:r>
      <w:r>
        <w:rPr>
          <w:rFonts w:hint="eastAsia" w:ascii="宋体" w:hAnsi="宋体" w:eastAsia="宋体" w:cs="宋体"/>
          <w:color w:val="auto"/>
          <w:spacing w:val="5"/>
          <w:sz w:val="20"/>
          <w:szCs w:val="20"/>
          <w:highlight w:val="none"/>
        </w:rPr>
        <w:t>号）的</w:t>
      </w:r>
    </w:p>
    <w:p w14:paraId="40A6ACBE">
      <w:pPr>
        <w:spacing w:before="2" w:line="461" w:lineRule="auto"/>
        <w:ind w:left="12" w:right="66" w:firstLine="40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规定，强化对深基坑、高切坡、高大模板、人工挖孔桩</w:t>
      </w:r>
      <w:r>
        <w:rPr>
          <w:rFonts w:hint="eastAsia" w:ascii="宋体" w:hAnsi="宋体" w:eastAsia="宋体" w:cs="宋体"/>
          <w:color w:val="auto"/>
          <w:spacing w:val="7"/>
          <w:sz w:val="20"/>
          <w:szCs w:val="20"/>
          <w:highlight w:val="none"/>
        </w:rPr>
        <w:t>、起重吊装、临时活动板房等重大危</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6"/>
          <w:sz w:val="20"/>
          <w:szCs w:val="20"/>
          <w:highlight w:val="none"/>
        </w:rPr>
        <w:t>险源的专项施工</w:t>
      </w:r>
    </w:p>
    <w:p w14:paraId="4261B0DE">
      <w:pPr>
        <w:spacing w:before="1" w:line="228" w:lineRule="auto"/>
        <w:ind w:left="42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方案的编制、论证、审批、实施、检测的风险管理。</w:t>
      </w:r>
    </w:p>
    <w:p w14:paraId="2CFF3B42">
      <w:pPr>
        <w:pStyle w:val="2"/>
        <w:rPr>
          <w:rFonts w:hint="eastAsia" w:ascii="宋体" w:hAnsi="宋体" w:eastAsia="宋体" w:cs="宋体"/>
          <w:color w:val="auto"/>
          <w:sz w:val="20"/>
          <w:szCs w:val="20"/>
          <w:highlight w:val="none"/>
        </w:rPr>
      </w:pPr>
    </w:p>
    <w:p w14:paraId="0560DB46">
      <w:pPr>
        <w:pStyle w:val="2"/>
        <w:rPr>
          <w:rFonts w:hint="eastAsia" w:ascii="宋体" w:hAnsi="宋体" w:eastAsia="宋体" w:cs="宋体"/>
          <w:color w:val="auto"/>
          <w:sz w:val="20"/>
          <w:szCs w:val="20"/>
          <w:highlight w:val="none"/>
        </w:rPr>
      </w:pPr>
    </w:p>
    <w:p w14:paraId="07CC8F14">
      <w:pPr>
        <w:pStyle w:val="2"/>
        <w:rPr>
          <w:rFonts w:hint="eastAsia" w:ascii="宋体" w:hAnsi="宋体" w:eastAsia="宋体" w:cs="宋体"/>
          <w:color w:val="auto"/>
          <w:sz w:val="20"/>
          <w:szCs w:val="20"/>
          <w:highlight w:val="none"/>
        </w:rPr>
      </w:pPr>
    </w:p>
    <w:p w14:paraId="760F40FA">
      <w:pPr>
        <w:pStyle w:val="2"/>
        <w:spacing w:line="241" w:lineRule="auto"/>
        <w:rPr>
          <w:rFonts w:hint="eastAsia" w:ascii="宋体" w:hAnsi="宋体" w:eastAsia="宋体" w:cs="宋体"/>
          <w:color w:val="auto"/>
          <w:sz w:val="20"/>
          <w:szCs w:val="20"/>
          <w:highlight w:val="none"/>
        </w:rPr>
      </w:pPr>
    </w:p>
    <w:p w14:paraId="6A6414AD">
      <w:pPr>
        <w:spacing w:before="65" w:line="229" w:lineRule="auto"/>
        <w:ind w:left="4543"/>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供应商名称</w:t>
      </w:r>
      <w:r>
        <w:rPr>
          <w:rFonts w:hint="eastAsia" w:ascii="宋体" w:hAnsi="宋体" w:eastAsia="宋体" w:cs="宋体"/>
          <w:color w:val="auto"/>
          <w:spacing w:val="-6"/>
          <w:sz w:val="20"/>
          <w:szCs w:val="20"/>
          <w:highlight w:val="none"/>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rPr>
        <w:t>（</w:t>
      </w:r>
      <w:r>
        <w:rPr>
          <w:rFonts w:hint="eastAsia" w:ascii="宋体" w:hAnsi="宋体" w:eastAsia="宋体" w:cs="宋体"/>
          <w:color w:val="auto"/>
          <w:spacing w:val="11"/>
          <w:sz w:val="20"/>
          <w:szCs w:val="20"/>
          <w:highlight w:val="none"/>
          <w:u w:val="single" w:color="auto"/>
        </w:rPr>
        <w:t>盖单位章）</w:t>
      </w:r>
    </w:p>
    <w:p w14:paraId="630306DF">
      <w:pPr>
        <w:pStyle w:val="2"/>
        <w:spacing w:line="346" w:lineRule="auto"/>
        <w:rPr>
          <w:rFonts w:hint="eastAsia" w:ascii="宋体" w:hAnsi="宋体" w:eastAsia="宋体" w:cs="宋体"/>
          <w:color w:val="auto"/>
          <w:sz w:val="20"/>
          <w:szCs w:val="20"/>
          <w:highlight w:val="none"/>
        </w:rPr>
      </w:pPr>
    </w:p>
    <w:p w14:paraId="3F0B20A0">
      <w:pPr>
        <w:spacing w:before="66" w:line="231" w:lineRule="auto"/>
        <w:ind w:left="3604"/>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法定代表人或授权代理人</w:t>
      </w:r>
      <w:r>
        <w:rPr>
          <w:rFonts w:hint="eastAsia" w:ascii="宋体" w:hAnsi="宋体" w:eastAsia="宋体" w:cs="宋体"/>
          <w:color w:val="auto"/>
          <w:spacing w:val="-5"/>
          <w:sz w:val="20"/>
          <w:szCs w:val="20"/>
          <w:highlight w:val="none"/>
        </w:rPr>
        <w:t>：</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u w:val="single" w:color="auto"/>
        </w:rPr>
        <w:t>（</w:t>
      </w:r>
      <w:r>
        <w:rPr>
          <w:rFonts w:hint="eastAsia" w:ascii="宋体" w:hAnsi="宋体" w:eastAsia="宋体" w:cs="宋体"/>
          <w:color w:val="auto"/>
          <w:spacing w:val="10"/>
          <w:sz w:val="20"/>
          <w:szCs w:val="20"/>
          <w:highlight w:val="none"/>
          <w:u w:val="single" w:color="auto"/>
        </w:rPr>
        <w:t>签字或盖章）</w:t>
      </w:r>
    </w:p>
    <w:p w14:paraId="0C9BA948">
      <w:pPr>
        <w:pStyle w:val="2"/>
        <w:spacing w:line="345" w:lineRule="auto"/>
        <w:rPr>
          <w:rFonts w:hint="eastAsia" w:ascii="宋体" w:hAnsi="宋体" w:eastAsia="宋体" w:cs="宋体"/>
          <w:color w:val="auto"/>
          <w:sz w:val="20"/>
          <w:szCs w:val="20"/>
          <w:highlight w:val="none"/>
        </w:rPr>
      </w:pPr>
    </w:p>
    <w:p w14:paraId="7BFBC449">
      <w:pPr>
        <w:spacing w:before="65" w:line="231" w:lineRule="auto"/>
        <w:ind w:right="15"/>
        <w:jc w:val="right"/>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日期：</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81"/>
          <w:sz w:val="20"/>
          <w:szCs w:val="20"/>
          <w:highlight w:val="none"/>
        </w:rPr>
        <w:t xml:space="preserve"> </w:t>
      </w:r>
      <w:r>
        <w:rPr>
          <w:rFonts w:hint="eastAsia" w:ascii="宋体" w:hAnsi="宋体" w:eastAsia="宋体" w:cs="宋体"/>
          <w:color w:val="auto"/>
          <w:spacing w:val="-9"/>
          <w:sz w:val="20"/>
          <w:szCs w:val="20"/>
          <w:highlight w:val="none"/>
        </w:rPr>
        <w:t>年</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76"/>
          <w:sz w:val="20"/>
          <w:szCs w:val="20"/>
          <w:highlight w:val="none"/>
        </w:rPr>
        <w:t xml:space="preserve"> </w:t>
      </w:r>
      <w:r>
        <w:rPr>
          <w:rFonts w:hint="eastAsia" w:ascii="宋体" w:hAnsi="宋体" w:eastAsia="宋体" w:cs="宋体"/>
          <w:color w:val="auto"/>
          <w:spacing w:val="-9"/>
          <w:sz w:val="20"/>
          <w:szCs w:val="20"/>
          <w:highlight w:val="none"/>
        </w:rPr>
        <w:t>月</w:t>
      </w:r>
      <w:r>
        <w:rPr>
          <w:rFonts w:hint="eastAsia" w:ascii="宋体" w:hAnsi="宋体" w:eastAsia="宋体" w:cs="宋体"/>
          <w:color w:val="auto"/>
          <w:spacing w:val="-99"/>
          <w:sz w:val="20"/>
          <w:szCs w:val="20"/>
          <w:highlight w:val="none"/>
        </w:rPr>
        <w:t xml:space="preserve"> </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41"/>
          <w:sz w:val="20"/>
          <w:szCs w:val="20"/>
          <w:highlight w:val="none"/>
        </w:rPr>
        <w:t xml:space="preserve"> </w:t>
      </w:r>
      <w:r>
        <w:rPr>
          <w:rFonts w:hint="eastAsia" w:ascii="宋体" w:hAnsi="宋体" w:eastAsia="宋体" w:cs="宋体"/>
          <w:color w:val="auto"/>
          <w:spacing w:val="-9"/>
          <w:sz w:val="20"/>
          <w:szCs w:val="20"/>
          <w:highlight w:val="none"/>
        </w:rPr>
        <w:t>日</w:t>
      </w:r>
    </w:p>
    <w:p w14:paraId="5AD42C70">
      <w:pPr>
        <w:spacing w:line="231" w:lineRule="auto"/>
        <w:rPr>
          <w:rFonts w:ascii="仿宋" w:hAnsi="仿宋" w:eastAsia="仿宋" w:cs="仿宋"/>
          <w:color w:val="auto"/>
          <w:sz w:val="20"/>
          <w:szCs w:val="20"/>
          <w:highlight w:val="none"/>
        </w:rPr>
        <w:sectPr>
          <w:footerReference r:id="rId73" w:type="default"/>
          <w:pgSz w:w="11905" w:h="16839"/>
          <w:pgMar w:top="400" w:right="1522" w:bottom="909" w:left="1588" w:header="0" w:footer="673" w:gutter="0"/>
          <w:cols w:space="720" w:num="1"/>
        </w:sectPr>
      </w:pPr>
    </w:p>
    <w:p w14:paraId="466ED379">
      <w:pPr>
        <w:pStyle w:val="2"/>
        <w:spacing w:line="250" w:lineRule="auto"/>
        <w:rPr>
          <w:color w:val="auto"/>
          <w:highlight w:val="none"/>
        </w:rPr>
      </w:pPr>
    </w:p>
    <w:p w14:paraId="694F7812">
      <w:pPr>
        <w:pStyle w:val="2"/>
        <w:spacing w:line="250" w:lineRule="auto"/>
        <w:rPr>
          <w:color w:val="auto"/>
          <w:highlight w:val="none"/>
        </w:rPr>
      </w:pPr>
    </w:p>
    <w:p w14:paraId="533A3816">
      <w:pPr>
        <w:pStyle w:val="2"/>
        <w:spacing w:line="250" w:lineRule="auto"/>
        <w:rPr>
          <w:color w:val="auto"/>
          <w:highlight w:val="none"/>
        </w:rPr>
      </w:pPr>
    </w:p>
    <w:p w14:paraId="617EBDB0">
      <w:pPr>
        <w:pStyle w:val="2"/>
        <w:spacing w:line="250" w:lineRule="auto"/>
        <w:rPr>
          <w:color w:val="auto"/>
          <w:highlight w:val="none"/>
        </w:rPr>
      </w:pPr>
    </w:p>
    <w:p w14:paraId="2B386855">
      <w:pPr>
        <w:pStyle w:val="2"/>
        <w:spacing w:line="250" w:lineRule="auto"/>
        <w:rPr>
          <w:color w:val="auto"/>
          <w:highlight w:val="none"/>
        </w:rPr>
      </w:pPr>
    </w:p>
    <w:p w14:paraId="71FF6765">
      <w:pPr>
        <w:pStyle w:val="2"/>
        <w:spacing w:line="250" w:lineRule="auto"/>
        <w:rPr>
          <w:color w:val="auto"/>
          <w:highlight w:val="none"/>
        </w:rPr>
      </w:pPr>
    </w:p>
    <w:p w14:paraId="2D7C36BE">
      <w:pPr>
        <w:spacing w:before="97" w:line="219" w:lineRule="auto"/>
        <w:outlineLvl w:val="1"/>
        <w:rPr>
          <w:rFonts w:ascii="宋体" w:hAnsi="宋体" w:eastAsia="宋体" w:cs="宋体"/>
          <w:color w:val="auto"/>
          <w:sz w:val="30"/>
          <w:szCs w:val="30"/>
          <w:highlight w:val="none"/>
        </w:rPr>
      </w:pPr>
      <w:bookmarkStart w:id="23" w:name="_Toc4087"/>
      <w:r>
        <w:rPr>
          <w:rFonts w:ascii="宋体" w:hAnsi="宋体" w:eastAsia="宋体" w:cs="宋体"/>
          <w:b/>
          <w:bCs/>
          <w:color w:val="auto"/>
          <w:spacing w:val="-3"/>
          <w:sz w:val="30"/>
          <w:szCs w:val="30"/>
          <w:highlight w:val="none"/>
        </w:rPr>
        <w:t>十一、供应商认为需要提供的其他有关资料</w:t>
      </w:r>
      <w:bookmarkEnd w:id="23"/>
    </w:p>
    <w:p w14:paraId="5F46F58B">
      <w:pPr>
        <w:pStyle w:val="2"/>
        <w:spacing w:line="241" w:lineRule="auto"/>
        <w:rPr>
          <w:color w:val="auto"/>
          <w:highlight w:val="none"/>
        </w:rPr>
      </w:pPr>
    </w:p>
    <w:p w14:paraId="2B472C52">
      <w:pPr>
        <w:pStyle w:val="2"/>
        <w:spacing w:line="241" w:lineRule="auto"/>
        <w:rPr>
          <w:color w:val="auto"/>
          <w:highlight w:val="none"/>
        </w:rPr>
      </w:pPr>
    </w:p>
    <w:p w14:paraId="13B6E317">
      <w:pPr>
        <w:pStyle w:val="2"/>
        <w:spacing w:line="242" w:lineRule="auto"/>
        <w:rPr>
          <w:color w:val="auto"/>
          <w:highlight w:val="none"/>
        </w:rPr>
      </w:pPr>
    </w:p>
    <w:p w14:paraId="5DFA3710">
      <w:pPr>
        <w:spacing w:before="78" w:line="219" w:lineRule="auto"/>
        <w:ind w:left="409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供应商名称（电子签章</w:t>
      </w:r>
      <w:r>
        <w:rPr>
          <w:rFonts w:ascii="宋体" w:hAnsi="宋体" w:eastAsia="宋体" w:cs="宋体"/>
          <w:color w:val="auto"/>
          <w:sz w:val="24"/>
          <w:szCs w:val="24"/>
          <w:highlight w:val="none"/>
        </w:rPr>
        <w:t>）：</w:t>
      </w:r>
    </w:p>
    <w:p w14:paraId="3C3D1515">
      <w:pPr>
        <w:spacing w:before="130" w:line="220" w:lineRule="auto"/>
        <w:jc w:val="right"/>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r>
        <w:rPr>
          <w:rFonts w:ascii="宋体" w:hAnsi="宋体" w:eastAsia="宋体" w:cs="宋体"/>
          <w:color w:val="auto"/>
          <w:spacing w:val="7"/>
          <w:sz w:val="24"/>
          <w:szCs w:val="24"/>
          <w:highlight w:val="none"/>
        </w:rPr>
        <w:t xml:space="preserve">  </w:t>
      </w:r>
      <w:r>
        <w:rPr>
          <w:rFonts w:ascii="宋体" w:hAnsi="宋体" w:eastAsia="宋体" w:cs="宋体"/>
          <w:color w:val="auto"/>
          <w:spacing w:val="-22"/>
          <w:sz w:val="24"/>
          <w:szCs w:val="24"/>
          <w:highlight w:val="none"/>
        </w:rPr>
        <w:t>年</w:t>
      </w:r>
      <w:r>
        <w:rPr>
          <w:rFonts w:ascii="宋体" w:hAnsi="宋体" w:eastAsia="宋体" w:cs="宋体"/>
          <w:color w:val="auto"/>
          <w:spacing w:val="7"/>
          <w:sz w:val="24"/>
          <w:szCs w:val="24"/>
          <w:highlight w:val="none"/>
        </w:rPr>
        <w:t xml:space="preserve">  </w:t>
      </w:r>
      <w:r>
        <w:rPr>
          <w:rFonts w:ascii="宋体" w:hAnsi="宋体" w:eastAsia="宋体" w:cs="宋体"/>
          <w:color w:val="auto"/>
          <w:spacing w:val="-22"/>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22"/>
          <w:sz w:val="24"/>
          <w:szCs w:val="24"/>
          <w:highlight w:val="none"/>
        </w:rPr>
        <w:t>日</w:t>
      </w:r>
    </w:p>
    <w:p w14:paraId="6F58EBB5">
      <w:pPr>
        <w:spacing w:line="220" w:lineRule="auto"/>
        <w:rPr>
          <w:rFonts w:ascii="宋体" w:hAnsi="宋体" w:eastAsia="宋体" w:cs="宋体"/>
          <w:color w:val="auto"/>
          <w:sz w:val="24"/>
          <w:szCs w:val="24"/>
          <w:highlight w:val="none"/>
        </w:rPr>
        <w:sectPr>
          <w:footerReference r:id="rId74" w:type="default"/>
          <w:pgSz w:w="11905" w:h="16839"/>
          <w:pgMar w:top="400" w:right="1587" w:bottom="909" w:left="1599" w:header="0" w:footer="673" w:gutter="0"/>
          <w:cols w:space="720" w:num="1"/>
        </w:sectPr>
      </w:pPr>
    </w:p>
    <w:p w14:paraId="09B63131">
      <w:pPr>
        <w:pStyle w:val="2"/>
        <w:spacing w:line="265" w:lineRule="auto"/>
        <w:rPr>
          <w:color w:val="auto"/>
          <w:highlight w:val="none"/>
        </w:rPr>
      </w:pPr>
    </w:p>
    <w:p w14:paraId="1A089A30">
      <w:pPr>
        <w:pStyle w:val="2"/>
        <w:spacing w:line="265" w:lineRule="auto"/>
        <w:rPr>
          <w:color w:val="auto"/>
          <w:highlight w:val="none"/>
        </w:rPr>
      </w:pPr>
    </w:p>
    <w:p w14:paraId="309A340D">
      <w:pPr>
        <w:pStyle w:val="2"/>
        <w:spacing w:line="265" w:lineRule="auto"/>
        <w:rPr>
          <w:color w:val="auto"/>
          <w:highlight w:val="none"/>
        </w:rPr>
      </w:pPr>
    </w:p>
    <w:p w14:paraId="229A9EE1">
      <w:pPr>
        <w:pStyle w:val="2"/>
        <w:spacing w:line="265" w:lineRule="auto"/>
        <w:rPr>
          <w:color w:val="auto"/>
          <w:highlight w:val="none"/>
        </w:rPr>
      </w:pPr>
    </w:p>
    <w:p w14:paraId="59D80FC7">
      <w:pPr>
        <w:spacing w:before="101" w:line="224" w:lineRule="auto"/>
        <w:ind w:left="2659"/>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第四节 报价文件格式</w:t>
      </w:r>
    </w:p>
    <w:p w14:paraId="76BFE921">
      <w:pPr>
        <w:pStyle w:val="2"/>
        <w:spacing w:line="335" w:lineRule="auto"/>
        <w:rPr>
          <w:color w:val="auto"/>
          <w:highlight w:val="none"/>
        </w:rPr>
      </w:pPr>
    </w:p>
    <w:p w14:paraId="0948B317">
      <w:pPr>
        <w:spacing w:before="65" w:line="228" w:lineRule="auto"/>
        <w:ind w:left="604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全流程电子文件</w:t>
      </w:r>
    </w:p>
    <w:p w14:paraId="61C6EE03">
      <w:pPr>
        <w:pStyle w:val="2"/>
        <w:spacing w:line="248" w:lineRule="auto"/>
        <w:rPr>
          <w:color w:val="auto"/>
          <w:highlight w:val="none"/>
        </w:rPr>
      </w:pPr>
    </w:p>
    <w:p w14:paraId="68F96B4C">
      <w:pPr>
        <w:pStyle w:val="2"/>
        <w:spacing w:line="248" w:lineRule="auto"/>
        <w:rPr>
          <w:color w:val="auto"/>
          <w:highlight w:val="none"/>
        </w:rPr>
      </w:pPr>
    </w:p>
    <w:p w14:paraId="2371F726">
      <w:pPr>
        <w:pStyle w:val="2"/>
        <w:spacing w:line="248" w:lineRule="auto"/>
        <w:rPr>
          <w:color w:val="auto"/>
          <w:highlight w:val="none"/>
        </w:rPr>
      </w:pPr>
    </w:p>
    <w:p w14:paraId="252578B9">
      <w:pPr>
        <w:pStyle w:val="2"/>
        <w:spacing w:line="248" w:lineRule="auto"/>
        <w:rPr>
          <w:color w:val="auto"/>
          <w:highlight w:val="none"/>
        </w:rPr>
      </w:pPr>
    </w:p>
    <w:p w14:paraId="6F34516E">
      <w:pPr>
        <w:pStyle w:val="2"/>
        <w:spacing w:line="249" w:lineRule="auto"/>
        <w:rPr>
          <w:color w:val="auto"/>
          <w:highlight w:val="none"/>
        </w:rPr>
      </w:pPr>
    </w:p>
    <w:p w14:paraId="65A81731">
      <w:pPr>
        <w:pStyle w:val="2"/>
        <w:spacing w:line="249" w:lineRule="auto"/>
        <w:rPr>
          <w:color w:val="auto"/>
          <w:highlight w:val="none"/>
        </w:rPr>
      </w:pPr>
    </w:p>
    <w:p w14:paraId="656D2EED">
      <w:pPr>
        <w:spacing w:before="169" w:line="219" w:lineRule="auto"/>
        <w:ind w:left="2094"/>
        <w:rPr>
          <w:rFonts w:ascii="宋体" w:hAnsi="宋体" w:eastAsia="宋体" w:cs="宋体"/>
          <w:color w:val="auto"/>
          <w:sz w:val="52"/>
          <w:szCs w:val="52"/>
          <w:highlight w:val="none"/>
        </w:rPr>
      </w:pPr>
      <w:r>
        <w:rPr>
          <w:rFonts w:ascii="宋体" w:hAnsi="宋体" w:eastAsia="宋体" w:cs="宋体"/>
          <w:b/>
          <w:bCs/>
          <w:color w:val="auto"/>
          <w:spacing w:val="-6"/>
          <w:sz w:val="52"/>
          <w:szCs w:val="52"/>
          <w:highlight w:val="none"/>
        </w:rPr>
        <w:t>报价文件（封面）</w:t>
      </w:r>
    </w:p>
    <w:p w14:paraId="18DACA1A">
      <w:pPr>
        <w:pStyle w:val="2"/>
        <w:spacing w:line="246" w:lineRule="auto"/>
        <w:rPr>
          <w:color w:val="auto"/>
          <w:highlight w:val="none"/>
        </w:rPr>
      </w:pPr>
    </w:p>
    <w:p w14:paraId="018D6A16">
      <w:pPr>
        <w:pStyle w:val="2"/>
        <w:spacing w:line="246" w:lineRule="auto"/>
        <w:rPr>
          <w:color w:val="auto"/>
          <w:highlight w:val="none"/>
        </w:rPr>
      </w:pPr>
    </w:p>
    <w:p w14:paraId="22EC3FA1">
      <w:pPr>
        <w:pStyle w:val="2"/>
        <w:spacing w:line="246" w:lineRule="auto"/>
        <w:rPr>
          <w:color w:val="auto"/>
          <w:highlight w:val="none"/>
        </w:rPr>
      </w:pPr>
    </w:p>
    <w:p w14:paraId="65DEA24C">
      <w:pPr>
        <w:pStyle w:val="2"/>
        <w:spacing w:line="246" w:lineRule="auto"/>
        <w:rPr>
          <w:color w:val="auto"/>
          <w:highlight w:val="none"/>
        </w:rPr>
      </w:pPr>
    </w:p>
    <w:p w14:paraId="57C6B452">
      <w:pPr>
        <w:pStyle w:val="2"/>
        <w:spacing w:line="246" w:lineRule="auto"/>
        <w:rPr>
          <w:color w:val="auto"/>
          <w:highlight w:val="none"/>
        </w:rPr>
      </w:pPr>
    </w:p>
    <w:p w14:paraId="2F36E143">
      <w:pPr>
        <w:pStyle w:val="2"/>
        <w:spacing w:line="247" w:lineRule="auto"/>
        <w:rPr>
          <w:color w:val="auto"/>
          <w:highlight w:val="none"/>
        </w:rPr>
      </w:pPr>
    </w:p>
    <w:p w14:paraId="5EDE1114">
      <w:pPr>
        <w:pStyle w:val="2"/>
        <w:spacing w:line="247" w:lineRule="auto"/>
        <w:rPr>
          <w:color w:val="auto"/>
          <w:highlight w:val="none"/>
        </w:rPr>
      </w:pPr>
    </w:p>
    <w:p w14:paraId="3636F6F0">
      <w:pPr>
        <w:pStyle w:val="2"/>
        <w:spacing w:line="247" w:lineRule="auto"/>
        <w:rPr>
          <w:color w:val="auto"/>
          <w:highlight w:val="none"/>
        </w:rPr>
      </w:pPr>
    </w:p>
    <w:p w14:paraId="39887658">
      <w:pPr>
        <w:pStyle w:val="2"/>
        <w:spacing w:line="247" w:lineRule="auto"/>
        <w:rPr>
          <w:color w:val="auto"/>
          <w:highlight w:val="none"/>
        </w:rPr>
      </w:pPr>
    </w:p>
    <w:p w14:paraId="1F21B1C9">
      <w:pPr>
        <w:pStyle w:val="2"/>
        <w:spacing w:line="247" w:lineRule="auto"/>
        <w:rPr>
          <w:color w:val="auto"/>
          <w:highlight w:val="none"/>
        </w:rPr>
      </w:pPr>
    </w:p>
    <w:p w14:paraId="6CE265E4">
      <w:pPr>
        <w:spacing w:before="100" w:line="226" w:lineRule="auto"/>
        <w:ind w:left="458"/>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项目名称：</w:t>
      </w:r>
    </w:p>
    <w:p w14:paraId="05A61C56">
      <w:pPr>
        <w:pStyle w:val="2"/>
        <w:spacing w:line="340" w:lineRule="auto"/>
        <w:rPr>
          <w:color w:val="auto"/>
          <w:highlight w:val="none"/>
        </w:rPr>
      </w:pPr>
    </w:p>
    <w:p w14:paraId="392F62A3">
      <w:pPr>
        <w:pStyle w:val="2"/>
        <w:spacing w:line="340" w:lineRule="auto"/>
        <w:rPr>
          <w:color w:val="auto"/>
          <w:highlight w:val="none"/>
        </w:rPr>
      </w:pPr>
    </w:p>
    <w:p w14:paraId="15950F34">
      <w:pPr>
        <w:spacing w:before="100" w:line="225" w:lineRule="auto"/>
        <w:ind w:left="458"/>
        <w:rPr>
          <w:rFonts w:ascii="宋体" w:hAnsi="宋体" w:eastAsia="宋体" w:cs="宋体"/>
          <w:color w:val="auto"/>
          <w:sz w:val="31"/>
          <w:szCs w:val="31"/>
          <w:highlight w:val="none"/>
        </w:rPr>
      </w:pPr>
      <w:r>
        <w:rPr>
          <w:rFonts w:ascii="宋体" w:hAnsi="宋体" w:eastAsia="宋体" w:cs="宋体"/>
          <w:color w:val="auto"/>
          <w:spacing w:val="4"/>
          <w:sz w:val="31"/>
          <w:szCs w:val="31"/>
          <w:highlight w:val="none"/>
        </w:rPr>
        <w:t>项目编号：</w:t>
      </w:r>
    </w:p>
    <w:p w14:paraId="0CAC1DD8">
      <w:pPr>
        <w:pStyle w:val="2"/>
        <w:spacing w:line="339" w:lineRule="auto"/>
        <w:rPr>
          <w:color w:val="auto"/>
          <w:highlight w:val="none"/>
        </w:rPr>
      </w:pPr>
    </w:p>
    <w:p w14:paraId="761B0599">
      <w:pPr>
        <w:pStyle w:val="2"/>
        <w:spacing w:line="339" w:lineRule="auto"/>
        <w:rPr>
          <w:color w:val="auto"/>
          <w:highlight w:val="none"/>
        </w:rPr>
      </w:pPr>
    </w:p>
    <w:p w14:paraId="116A2617">
      <w:pPr>
        <w:spacing w:before="102" w:line="226" w:lineRule="auto"/>
        <w:jc w:val="right"/>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所竞分标（如有则填写，无分标时填写“无</w:t>
      </w:r>
      <w:r>
        <w:rPr>
          <w:rFonts w:ascii="宋体" w:hAnsi="宋体" w:eastAsia="宋体" w:cs="宋体"/>
          <w:color w:val="auto"/>
          <w:spacing w:val="-110"/>
          <w:sz w:val="31"/>
          <w:szCs w:val="31"/>
          <w:highlight w:val="none"/>
        </w:rPr>
        <w:t xml:space="preserve"> </w:t>
      </w:r>
      <w:r>
        <w:rPr>
          <w:rFonts w:ascii="宋体" w:hAnsi="宋体" w:eastAsia="宋体" w:cs="宋体"/>
          <w:color w:val="auto"/>
          <w:spacing w:val="5"/>
          <w:sz w:val="31"/>
          <w:szCs w:val="31"/>
          <w:highlight w:val="none"/>
        </w:rPr>
        <w:t>”或者留空</w:t>
      </w:r>
      <w:r>
        <w:rPr>
          <w:rFonts w:ascii="宋体" w:hAnsi="宋体" w:eastAsia="宋体" w:cs="宋体"/>
          <w:color w:val="auto"/>
          <w:spacing w:val="-34"/>
          <w:sz w:val="31"/>
          <w:szCs w:val="31"/>
          <w:highlight w:val="none"/>
        </w:rPr>
        <w:t>）：</w:t>
      </w:r>
    </w:p>
    <w:p w14:paraId="23E93672">
      <w:pPr>
        <w:pStyle w:val="2"/>
        <w:spacing w:line="280" w:lineRule="auto"/>
        <w:rPr>
          <w:color w:val="auto"/>
          <w:highlight w:val="none"/>
        </w:rPr>
      </w:pPr>
    </w:p>
    <w:p w14:paraId="4FEB10B1">
      <w:pPr>
        <w:pStyle w:val="2"/>
        <w:spacing w:line="281" w:lineRule="auto"/>
        <w:rPr>
          <w:color w:val="auto"/>
          <w:highlight w:val="none"/>
        </w:rPr>
      </w:pPr>
    </w:p>
    <w:p w14:paraId="088CF79A">
      <w:pPr>
        <w:spacing w:before="101" w:line="225" w:lineRule="auto"/>
        <w:ind w:left="453"/>
        <w:rPr>
          <w:rFonts w:ascii="宋体" w:hAnsi="宋体" w:eastAsia="宋体" w:cs="宋体"/>
          <w:color w:val="auto"/>
          <w:sz w:val="31"/>
          <w:szCs w:val="31"/>
          <w:highlight w:val="none"/>
        </w:rPr>
      </w:pPr>
      <w:r>
        <w:rPr>
          <w:rFonts w:ascii="宋体" w:hAnsi="宋体" w:eastAsia="宋体" w:cs="宋体"/>
          <w:color w:val="auto"/>
          <w:spacing w:val="5"/>
          <w:sz w:val="31"/>
          <w:szCs w:val="31"/>
          <w:highlight w:val="none"/>
        </w:rPr>
        <w:t>供应商名称：</w:t>
      </w:r>
    </w:p>
    <w:p w14:paraId="5D91BE61">
      <w:pPr>
        <w:pStyle w:val="2"/>
        <w:spacing w:line="248" w:lineRule="auto"/>
        <w:rPr>
          <w:color w:val="auto"/>
          <w:highlight w:val="none"/>
        </w:rPr>
      </w:pPr>
    </w:p>
    <w:p w14:paraId="4B065E83">
      <w:pPr>
        <w:pStyle w:val="2"/>
        <w:spacing w:line="248" w:lineRule="auto"/>
        <w:rPr>
          <w:color w:val="auto"/>
          <w:highlight w:val="none"/>
        </w:rPr>
      </w:pPr>
    </w:p>
    <w:p w14:paraId="207E9873">
      <w:pPr>
        <w:pStyle w:val="2"/>
        <w:spacing w:line="248" w:lineRule="auto"/>
        <w:rPr>
          <w:color w:val="auto"/>
          <w:highlight w:val="none"/>
        </w:rPr>
      </w:pPr>
    </w:p>
    <w:p w14:paraId="4B3BCF44">
      <w:pPr>
        <w:pStyle w:val="2"/>
        <w:spacing w:line="248" w:lineRule="auto"/>
        <w:rPr>
          <w:color w:val="auto"/>
          <w:highlight w:val="none"/>
        </w:rPr>
      </w:pPr>
    </w:p>
    <w:p w14:paraId="32A576F6">
      <w:pPr>
        <w:pStyle w:val="2"/>
        <w:spacing w:line="248" w:lineRule="auto"/>
        <w:rPr>
          <w:color w:val="auto"/>
          <w:highlight w:val="none"/>
        </w:rPr>
      </w:pPr>
    </w:p>
    <w:p w14:paraId="65D96849">
      <w:pPr>
        <w:pStyle w:val="2"/>
        <w:spacing w:line="248" w:lineRule="auto"/>
        <w:rPr>
          <w:color w:val="auto"/>
          <w:highlight w:val="none"/>
        </w:rPr>
      </w:pPr>
    </w:p>
    <w:p w14:paraId="2444BDA5">
      <w:pPr>
        <w:spacing w:before="102" w:line="225" w:lineRule="auto"/>
        <w:ind w:left="3059"/>
        <w:rPr>
          <w:rFonts w:ascii="宋体" w:hAnsi="宋体" w:eastAsia="宋体" w:cs="宋体"/>
          <w:color w:val="auto"/>
          <w:sz w:val="31"/>
          <w:szCs w:val="31"/>
          <w:highlight w:val="none"/>
        </w:rPr>
      </w:pPr>
      <w:r>
        <w:rPr>
          <w:rFonts w:ascii="宋体" w:hAnsi="宋体" w:eastAsia="宋体" w:cs="宋体"/>
          <w:color w:val="auto"/>
          <w:spacing w:val="-6"/>
          <w:sz w:val="31"/>
          <w:szCs w:val="31"/>
          <w:highlight w:val="none"/>
        </w:rPr>
        <w:t>年</w:t>
      </w:r>
      <w:r>
        <w:rPr>
          <w:rFonts w:ascii="宋体" w:hAnsi="宋体" w:eastAsia="宋体" w:cs="宋体"/>
          <w:color w:val="auto"/>
          <w:spacing w:val="10"/>
          <w:sz w:val="31"/>
          <w:szCs w:val="31"/>
          <w:highlight w:val="none"/>
        </w:rPr>
        <w:t xml:space="preserve">    </w:t>
      </w:r>
      <w:r>
        <w:rPr>
          <w:rFonts w:ascii="宋体" w:hAnsi="宋体" w:eastAsia="宋体" w:cs="宋体"/>
          <w:color w:val="auto"/>
          <w:spacing w:val="-6"/>
          <w:sz w:val="31"/>
          <w:szCs w:val="31"/>
          <w:highlight w:val="none"/>
        </w:rPr>
        <w:t>月</w:t>
      </w:r>
      <w:r>
        <w:rPr>
          <w:rFonts w:ascii="宋体" w:hAnsi="宋体" w:eastAsia="宋体" w:cs="宋体"/>
          <w:color w:val="auto"/>
          <w:spacing w:val="22"/>
          <w:sz w:val="31"/>
          <w:szCs w:val="31"/>
          <w:highlight w:val="none"/>
        </w:rPr>
        <w:t xml:space="preserve">    </w:t>
      </w:r>
      <w:r>
        <w:rPr>
          <w:rFonts w:ascii="宋体" w:hAnsi="宋体" w:eastAsia="宋体" w:cs="宋体"/>
          <w:color w:val="auto"/>
          <w:spacing w:val="-6"/>
          <w:sz w:val="31"/>
          <w:szCs w:val="31"/>
          <w:highlight w:val="none"/>
        </w:rPr>
        <w:t>日</w:t>
      </w:r>
    </w:p>
    <w:p w14:paraId="200A9C2B">
      <w:pPr>
        <w:spacing w:line="225" w:lineRule="auto"/>
        <w:rPr>
          <w:rFonts w:ascii="宋体" w:hAnsi="宋体" w:eastAsia="宋体" w:cs="宋体"/>
          <w:color w:val="auto"/>
          <w:sz w:val="31"/>
          <w:szCs w:val="31"/>
          <w:highlight w:val="none"/>
        </w:rPr>
        <w:sectPr>
          <w:footerReference r:id="rId75" w:type="default"/>
          <w:pgSz w:w="11905" w:h="16839"/>
          <w:pgMar w:top="400" w:right="1507" w:bottom="909" w:left="1785" w:header="0" w:footer="673" w:gutter="0"/>
          <w:cols w:space="720" w:num="1"/>
        </w:sectPr>
      </w:pPr>
    </w:p>
    <w:p w14:paraId="32CD9AF7">
      <w:pPr>
        <w:pStyle w:val="2"/>
        <w:spacing w:line="280" w:lineRule="auto"/>
        <w:rPr>
          <w:color w:val="auto"/>
          <w:highlight w:val="none"/>
        </w:rPr>
      </w:pPr>
    </w:p>
    <w:p w14:paraId="47CCAD65">
      <w:pPr>
        <w:pStyle w:val="2"/>
        <w:spacing w:line="280" w:lineRule="auto"/>
        <w:rPr>
          <w:color w:val="auto"/>
          <w:highlight w:val="none"/>
        </w:rPr>
      </w:pPr>
    </w:p>
    <w:p w14:paraId="7B4C5827">
      <w:pPr>
        <w:pStyle w:val="2"/>
        <w:spacing w:line="281" w:lineRule="auto"/>
        <w:rPr>
          <w:color w:val="auto"/>
          <w:highlight w:val="none"/>
        </w:rPr>
      </w:pPr>
    </w:p>
    <w:p w14:paraId="1DA7B265">
      <w:pPr>
        <w:spacing w:before="100" w:line="224" w:lineRule="auto"/>
        <w:ind w:left="3401"/>
        <w:rPr>
          <w:rFonts w:ascii="宋体" w:hAnsi="宋体" w:eastAsia="宋体" w:cs="宋体"/>
          <w:color w:val="auto"/>
          <w:sz w:val="31"/>
          <w:szCs w:val="31"/>
          <w:highlight w:val="none"/>
        </w:rPr>
      </w:pPr>
      <w:r>
        <w:rPr>
          <w:rFonts w:ascii="宋体" w:hAnsi="宋体" w:eastAsia="宋体" w:cs="宋体"/>
          <w:b/>
          <w:bCs/>
          <w:color w:val="auto"/>
          <w:spacing w:val="5"/>
          <w:sz w:val="31"/>
          <w:szCs w:val="31"/>
          <w:highlight w:val="none"/>
        </w:rPr>
        <w:t>报价文件目录</w:t>
      </w:r>
    </w:p>
    <w:p w14:paraId="1BD83D43">
      <w:pPr>
        <w:pStyle w:val="2"/>
        <w:spacing w:line="404" w:lineRule="auto"/>
        <w:rPr>
          <w:color w:val="auto"/>
          <w:sz w:val="20"/>
          <w:szCs w:val="20"/>
          <w:highlight w:val="none"/>
        </w:rPr>
      </w:pPr>
    </w:p>
    <w:p w14:paraId="47554978">
      <w:pPr>
        <w:spacing w:before="78" w:line="222" w:lineRule="auto"/>
        <w:ind w:left="3"/>
        <w:rPr>
          <w:rFonts w:ascii="宋体" w:hAnsi="宋体" w:eastAsia="宋体" w:cs="宋体"/>
          <w:color w:val="auto"/>
          <w:sz w:val="20"/>
          <w:szCs w:val="20"/>
          <w:highlight w:val="none"/>
        </w:rPr>
      </w:pPr>
      <w:r>
        <w:rPr>
          <w:rFonts w:ascii="宋体" w:hAnsi="宋体" w:eastAsia="宋体" w:cs="宋体"/>
          <w:color w:val="auto"/>
          <w:sz w:val="20"/>
          <w:szCs w:val="20"/>
          <w:highlight w:val="none"/>
        </w:rPr>
        <w:t>一、响应函………………………………………</w:t>
      </w:r>
      <w:r>
        <w:rPr>
          <w:rFonts w:ascii="宋体" w:hAnsi="宋体" w:eastAsia="宋体" w:cs="宋体"/>
          <w:color w:val="auto"/>
          <w:spacing w:val="-1"/>
          <w:sz w:val="20"/>
          <w:szCs w:val="20"/>
          <w:highlight w:val="none"/>
        </w:rPr>
        <w:t>……………………………（页码）</w:t>
      </w:r>
    </w:p>
    <w:p w14:paraId="5E6A37C5">
      <w:pPr>
        <w:spacing w:before="208" w:line="219" w:lineRule="auto"/>
        <w:ind w:left="3"/>
        <w:rPr>
          <w:rFonts w:ascii="宋体" w:hAnsi="宋体" w:eastAsia="宋体" w:cs="宋体"/>
          <w:color w:val="auto"/>
          <w:sz w:val="20"/>
          <w:szCs w:val="20"/>
          <w:highlight w:val="none"/>
        </w:rPr>
      </w:pPr>
      <w:r>
        <w:rPr>
          <w:rFonts w:ascii="宋体" w:hAnsi="宋体" w:eastAsia="宋体" w:cs="宋体"/>
          <w:color w:val="auto"/>
          <w:sz w:val="20"/>
          <w:szCs w:val="20"/>
          <w:highlight w:val="none"/>
        </w:rPr>
        <w:t>二、响应报价表…………………………………</w:t>
      </w:r>
      <w:r>
        <w:rPr>
          <w:rFonts w:ascii="宋体" w:hAnsi="宋体" w:eastAsia="宋体" w:cs="宋体"/>
          <w:color w:val="auto"/>
          <w:spacing w:val="-1"/>
          <w:sz w:val="20"/>
          <w:szCs w:val="20"/>
          <w:highlight w:val="none"/>
        </w:rPr>
        <w:t>……………………………（页码）</w:t>
      </w:r>
    </w:p>
    <w:p w14:paraId="58F1C3CA">
      <w:pPr>
        <w:spacing w:before="212" w:line="219" w:lineRule="auto"/>
        <w:rPr>
          <w:rFonts w:ascii="宋体" w:hAnsi="宋体" w:eastAsia="宋体" w:cs="宋体"/>
          <w:color w:val="auto"/>
          <w:sz w:val="20"/>
          <w:szCs w:val="20"/>
          <w:highlight w:val="none"/>
        </w:rPr>
      </w:pPr>
      <w:r>
        <w:rPr>
          <w:rFonts w:ascii="宋体" w:hAnsi="宋体" w:eastAsia="宋体" w:cs="宋体"/>
          <w:color w:val="auto"/>
          <w:sz w:val="20"/>
          <w:szCs w:val="20"/>
          <w:highlight w:val="none"/>
        </w:rPr>
        <w:t>三、已标价工程量清单……………………………………</w:t>
      </w:r>
      <w:r>
        <w:rPr>
          <w:rFonts w:ascii="宋体" w:hAnsi="宋体" w:eastAsia="宋体" w:cs="宋体"/>
          <w:color w:val="auto"/>
          <w:spacing w:val="-1"/>
          <w:sz w:val="20"/>
          <w:szCs w:val="20"/>
          <w:highlight w:val="none"/>
        </w:rPr>
        <w:t>…………………（页码）</w:t>
      </w:r>
    </w:p>
    <w:p w14:paraId="04D30E38">
      <w:pPr>
        <w:spacing w:before="213" w:line="219" w:lineRule="auto"/>
        <w:ind w:left="2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四、供应商认为需要提供的其他有关资料…………………………………（页码）</w:t>
      </w:r>
    </w:p>
    <w:p w14:paraId="69542469">
      <w:pPr>
        <w:spacing w:before="212" w:line="382" w:lineRule="auto"/>
        <w:ind w:left="3" w:hanging="3"/>
        <w:rPr>
          <w:rFonts w:ascii="宋体" w:hAnsi="宋体" w:eastAsia="宋体" w:cs="宋体"/>
          <w:color w:val="auto"/>
          <w:sz w:val="20"/>
          <w:szCs w:val="20"/>
          <w:highlight w:val="none"/>
        </w:rPr>
      </w:pPr>
      <w:r>
        <w:rPr>
          <w:rFonts w:ascii="宋体" w:hAnsi="宋体" w:eastAsia="宋体" w:cs="宋体"/>
          <w:b/>
          <w:bCs/>
          <w:color w:val="auto"/>
          <w:sz w:val="20"/>
          <w:szCs w:val="20"/>
          <w:highlight w:val="none"/>
        </w:rPr>
        <w:t>注：以上目录是编制供应商响应文件的基本格式要求，各供</w:t>
      </w:r>
      <w:r>
        <w:rPr>
          <w:rFonts w:ascii="宋体" w:hAnsi="宋体" w:eastAsia="宋体" w:cs="宋体"/>
          <w:b/>
          <w:bCs/>
          <w:color w:val="auto"/>
          <w:spacing w:val="-1"/>
          <w:sz w:val="20"/>
          <w:szCs w:val="20"/>
          <w:highlight w:val="none"/>
        </w:rPr>
        <w:t>应商可根据自身情况进</w:t>
      </w:r>
      <w:r>
        <w:rPr>
          <w:rFonts w:ascii="宋体" w:hAnsi="宋体" w:eastAsia="宋体" w:cs="宋体"/>
          <w:color w:val="auto"/>
          <w:sz w:val="20"/>
          <w:szCs w:val="20"/>
          <w:highlight w:val="none"/>
        </w:rPr>
        <w:t xml:space="preserve"> </w:t>
      </w:r>
      <w:r>
        <w:rPr>
          <w:rFonts w:ascii="宋体" w:hAnsi="宋体" w:eastAsia="宋体" w:cs="宋体"/>
          <w:b/>
          <w:bCs/>
          <w:color w:val="auto"/>
          <w:spacing w:val="-3"/>
          <w:sz w:val="20"/>
          <w:szCs w:val="20"/>
          <w:highlight w:val="none"/>
        </w:rPr>
        <w:t>一步向下增加内容或细化。</w:t>
      </w:r>
    </w:p>
    <w:p w14:paraId="6E6EE4D2">
      <w:pPr>
        <w:spacing w:line="382" w:lineRule="auto"/>
        <w:rPr>
          <w:rFonts w:ascii="宋体" w:hAnsi="宋体" w:eastAsia="宋体" w:cs="宋体"/>
          <w:color w:val="auto"/>
          <w:sz w:val="24"/>
          <w:szCs w:val="24"/>
          <w:highlight w:val="none"/>
        </w:rPr>
        <w:sectPr>
          <w:footerReference r:id="rId76" w:type="default"/>
          <w:pgSz w:w="11905" w:h="16839"/>
          <w:pgMar w:top="400" w:right="1587" w:bottom="909" w:left="1595" w:header="0" w:footer="673" w:gutter="0"/>
          <w:cols w:space="720" w:num="1"/>
        </w:sectPr>
      </w:pPr>
    </w:p>
    <w:p w14:paraId="7A90D672">
      <w:pPr>
        <w:pStyle w:val="2"/>
        <w:spacing w:line="281" w:lineRule="auto"/>
        <w:rPr>
          <w:color w:val="auto"/>
          <w:highlight w:val="none"/>
        </w:rPr>
      </w:pPr>
    </w:p>
    <w:p w14:paraId="6F14C3B9">
      <w:pPr>
        <w:pStyle w:val="2"/>
        <w:spacing w:line="281" w:lineRule="auto"/>
        <w:rPr>
          <w:color w:val="auto"/>
          <w:highlight w:val="none"/>
        </w:rPr>
      </w:pPr>
    </w:p>
    <w:p w14:paraId="553703F5">
      <w:pPr>
        <w:pStyle w:val="2"/>
        <w:spacing w:line="281" w:lineRule="auto"/>
        <w:rPr>
          <w:color w:val="auto"/>
          <w:highlight w:val="none"/>
        </w:rPr>
      </w:pPr>
    </w:p>
    <w:p w14:paraId="22A86C6A">
      <w:pPr>
        <w:spacing w:before="100" w:line="227" w:lineRule="auto"/>
        <w:ind w:left="10"/>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一、响应函</w:t>
      </w:r>
    </w:p>
    <w:p w14:paraId="7EBBBE8A">
      <w:pPr>
        <w:pStyle w:val="2"/>
        <w:spacing w:line="284" w:lineRule="auto"/>
        <w:rPr>
          <w:color w:val="auto"/>
          <w:highlight w:val="none"/>
        </w:rPr>
      </w:pPr>
    </w:p>
    <w:p w14:paraId="34027F0A">
      <w:pPr>
        <w:spacing w:before="97" w:line="222" w:lineRule="auto"/>
        <w:ind w:left="3933"/>
        <w:rPr>
          <w:rFonts w:ascii="宋体" w:hAnsi="宋体" w:eastAsia="宋体" w:cs="宋体"/>
          <w:color w:val="auto"/>
          <w:sz w:val="20"/>
          <w:szCs w:val="20"/>
          <w:highlight w:val="none"/>
        </w:rPr>
      </w:pPr>
      <w:r>
        <w:rPr>
          <w:rFonts w:ascii="宋体" w:hAnsi="宋体" w:eastAsia="宋体" w:cs="宋体"/>
          <w:b/>
          <w:bCs/>
          <w:color w:val="auto"/>
          <w:spacing w:val="-12"/>
          <w:sz w:val="20"/>
          <w:szCs w:val="20"/>
          <w:highlight w:val="none"/>
        </w:rPr>
        <w:t>响应函</w:t>
      </w:r>
    </w:p>
    <w:p w14:paraId="58711729">
      <w:pPr>
        <w:spacing w:before="291" w:line="219" w:lineRule="auto"/>
        <w:ind w:left="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致：</w:t>
      </w:r>
      <w:r>
        <w:rPr>
          <w:rFonts w:ascii="宋体" w:hAnsi="宋体" w:eastAsia="宋体" w:cs="宋体"/>
          <w:color w:val="auto"/>
          <w:spacing w:val="-1"/>
          <w:sz w:val="20"/>
          <w:szCs w:val="20"/>
          <w:highlight w:val="none"/>
          <w:u w:val="single" w:color="auto"/>
        </w:rPr>
        <w:t xml:space="preserve"> 广西拓正工程造价咨询有限公司</w:t>
      </w:r>
      <w:r>
        <w:rPr>
          <w:rFonts w:ascii="宋体" w:hAnsi="宋体" w:eastAsia="宋体" w:cs="宋体"/>
          <w:color w:val="auto"/>
          <w:spacing w:val="6"/>
          <w:sz w:val="20"/>
          <w:szCs w:val="20"/>
          <w:highlight w:val="none"/>
          <w:u w:val="single" w:color="auto"/>
        </w:rPr>
        <w:t xml:space="preserve"> </w:t>
      </w:r>
    </w:p>
    <w:p w14:paraId="175622C5">
      <w:pPr>
        <w:spacing w:before="213" w:line="382" w:lineRule="auto"/>
        <w:ind w:left="5" w:firstLine="478"/>
        <w:jc w:val="both"/>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我方已仔细阅读了贵方组织的</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5"/>
          <w:sz w:val="20"/>
          <w:szCs w:val="20"/>
          <w:highlight w:val="none"/>
        </w:rPr>
        <w:t xml:space="preserve"> </w:t>
      </w:r>
      <w:r>
        <w:rPr>
          <w:rFonts w:ascii="宋体" w:hAnsi="宋体" w:eastAsia="宋体" w:cs="宋体"/>
          <w:color w:val="auto"/>
          <w:spacing w:val="-1"/>
          <w:sz w:val="20"/>
          <w:szCs w:val="20"/>
          <w:highlight w:val="none"/>
        </w:rPr>
        <w:t>项目（</w:t>
      </w:r>
      <w:r>
        <w:rPr>
          <w:rFonts w:ascii="宋体" w:hAnsi="宋体" w:eastAsia="宋体" w:cs="宋体"/>
          <w:color w:val="auto"/>
          <w:spacing w:val="-2"/>
          <w:sz w:val="20"/>
          <w:szCs w:val="20"/>
          <w:highlight w:val="none"/>
        </w:rPr>
        <w:t>项目编号</w:t>
      </w:r>
      <w:r>
        <w:rPr>
          <w:rFonts w:ascii="宋体" w:hAnsi="宋体" w:eastAsia="宋体" w:cs="宋体"/>
          <w:color w:val="auto"/>
          <w:spacing w:val="-18"/>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18"/>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的竞争性磋商文件的全部内容，现正式递交下述文件参加贵方组织的本次政府采购</w:t>
      </w:r>
      <w:r>
        <w:rPr>
          <w:rFonts w:ascii="宋体" w:hAnsi="宋体" w:eastAsia="宋体" w:cs="宋体"/>
          <w:color w:val="auto"/>
          <w:spacing w:val="4"/>
          <w:sz w:val="20"/>
          <w:szCs w:val="20"/>
          <w:highlight w:val="none"/>
        </w:rPr>
        <w:t xml:space="preserve"> </w:t>
      </w:r>
      <w:r>
        <w:rPr>
          <w:rFonts w:ascii="宋体" w:hAnsi="宋体" w:eastAsia="宋体" w:cs="宋体"/>
          <w:color w:val="auto"/>
          <w:spacing w:val="-5"/>
          <w:sz w:val="20"/>
          <w:szCs w:val="20"/>
          <w:highlight w:val="none"/>
        </w:rPr>
        <w:t>活动：</w:t>
      </w:r>
    </w:p>
    <w:p w14:paraId="67B7104F">
      <w:pPr>
        <w:spacing w:line="301" w:lineRule="auto"/>
        <w:ind w:right="99" w:firstLine="484"/>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一、首次报价文件电子版</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9"/>
          <w:sz w:val="20"/>
          <w:szCs w:val="20"/>
          <w:highlight w:val="none"/>
        </w:rPr>
        <w:t xml:space="preserve"> </w:t>
      </w:r>
      <w:r>
        <w:rPr>
          <w:rFonts w:ascii="宋体" w:hAnsi="宋体" w:eastAsia="宋体" w:cs="宋体"/>
          <w:color w:val="auto"/>
          <w:spacing w:val="1"/>
          <w:sz w:val="20"/>
          <w:szCs w:val="20"/>
          <w:highlight w:val="none"/>
        </w:rPr>
        <w:t>份（包含按“第三章 供应</w:t>
      </w:r>
      <w:r>
        <w:rPr>
          <w:rFonts w:ascii="宋体" w:hAnsi="宋体" w:eastAsia="宋体" w:cs="宋体"/>
          <w:color w:val="auto"/>
          <w:sz w:val="20"/>
          <w:szCs w:val="20"/>
          <w:highlight w:val="none"/>
        </w:rPr>
        <w:t>商须知</w:t>
      </w:r>
      <w:r>
        <w:rPr>
          <w:rFonts w:ascii="宋体" w:hAnsi="宋体" w:eastAsia="宋体" w:cs="宋体"/>
          <w:color w:val="auto"/>
          <w:spacing w:val="-86"/>
          <w:sz w:val="20"/>
          <w:szCs w:val="20"/>
          <w:highlight w:val="none"/>
        </w:rPr>
        <w:t xml:space="preserve"> </w:t>
      </w:r>
      <w:r>
        <w:rPr>
          <w:rFonts w:ascii="宋体" w:hAnsi="宋体" w:eastAsia="宋体" w:cs="宋体"/>
          <w:color w:val="auto"/>
          <w:sz w:val="20"/>
          <w:szCs w:val="20"/>
          <w:highlight w:val="none"/>
        </w:rPr>
        <w:t xml:space="preserve">”提交的全部文 </w:t>
      </w:r>
      <w:r>
        <w:rPr>
          <w:rFonts w:ascii="宋体" w:hAnsi="宋体" w:eastAsia="宋体" w:cs="宋体"/>
          <w:color w:val="auto"/>
          <w:spacing w:val="-9"/>
          <w:sz w:val="20"/>
          <w:szCs w:val="20"/>
          <w:highlight w:val="none"/>
        </w:rPr>
        <w:t>件</w:t>
      </w:r>
      <w:r>
        <w:rPr>
          <w:rFonts w:ascii="宋体" w:hAnsi="宋体" w:eastAsia="宋体" w:cs="宋体"/>
          <w:color w:val="auto"/>
          <w:sz w:val="20"/>
          <w:szCs w:val="20"/>
          <w:highlight w:val="none"/>
        </w:rPr>
        <w:t>）；</w:t>
      </w:r>
    </w:p>
    <w:p w14:paraId="79B4B5A9">
      <w:pPr>
        <w:spacing w:before="211" w:line="301" w:lineRule="auto"/>
        <w:ind w:right="99" w:firstLine="484"/>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二、商务技术文件电子版</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9"/>
          <w:sz w:val="20"/>
          <w:szCs w:val="20"/>
          <w:highlight w:val="none"/>
        </w:rPr>
        <w:t xml:space="preserve"> </w:t>
      </w:r>
      <w:r>
        <w:rPr>
          <w:rFonts w:ascii="宋体" w:hAnsi="宋体" w:eastAsia="宋体" w:cs="宋体"/>
          <w:color w:val="auto"/>
          <w:spacing w:val="1"/>
          <w:sz w:val="20"/>
          <w:szCs w:val="20"/>
          <w:highlight w:val="none"/>
        </w:rPr>
        <w:t>份（包含按“第三章 供应</w:t>
      </w:r>
      <w:r>
        <w:rPr>
          <w:rFonts w:ascii="宋体" w:hAnsi="宋体" w:eastAsia="宋体" w:cs="宋体"/>
          <w:color w:val="auto"/>
          <w:sz w:val="20"/>
          <w:szCs w:val="20"/>
          <w:highlight w:val="none"/>
        </w:rPr>
        <w:t>商须知</w:t>
      </w:r>
      <w:r>
        <w:rPr>
          <w:rFonts w:ascii="宋体" w:hAnsi="宋体" w:eastAsia="宋体" w:cs="宋体"/>
          <w:color w:val="auto"/>
          <w:spacing w:val="-86"/>
          <w:sz w:val="20"/>
          <w:szCs w:val="20"/>
          <w:highlight w:val="none"/>
        </w:rPr>
        <w:t xml:space="preserve"> </w:t>
      </w:r>
      <w:r>
        <w:rPr>
          <w:rFonts w:ascii="宋体" w:hAnsi="宋体" w:eastAsia="宋体" w:cs="宋体"/>
          <w:color w:val="auto"/>
          <w:sz w:val="20"/>
          <w:szCs w:val="20"/>
          <w:highlight w:val="none"/>
        </w:rPr>
        <w:t xml:space="preserve">”提交的全部文 </w:t>
      </w:r>
      <w:r>
        <w:rPr>
          <w:rFonts w:ascii="宋体" w:hAnsi="宋体" w:eastAsia="宋体" w:cs="宋体"/>
          <w:color w:val="auto"/>
          <w:spacing w:val="1"/>
          <w:sz w:val="20"/>
          <w:szCs w:val="20"/>
          <w:highlight w:val="none"/>
        </w:rPr>
        <w:t>件</w:t>
      </w:r>
      <w:r>
        <w:rPr>
          <w:rFonts w:ascii="宋体" w:hAnsi="宋体" w:eastAsia="宋体" w:cs="宋体"/>
          <w:color w:val="auto"/>
          <w:spacing w:val="-9"/>
          <w:sz w:val="20"/>
          <w:szCs w:val="20"/>
          <w:highlight w:val="none"/>
        </w:rPr>
        <w:t>）；（</w:t>
      </w:r>
      <w:r>
        <w:rPr>
          <w:rFonts w:ascii="宋体" w:hAnsi="宋体" w:eastAsia="宋体" w:cs="宋体"/>
          <w:color w:val="auto"/>
          <w:spacing w:val="1"/>
          <w:sz w:val="20"/>
          <w:szCs w:val="20"/>
          <w:highlight w:val="none"/>
        </w:rPr>
        <w:t>商务技术文件已合并装订成册）</w:t>
      </w:r>
    </w:p>
    <w:p w14:paraId="6E12736D">
      <w:pPr>
        <w:spacing w:before="208" w:line="219" w:lineRule="auto"/>
        <w:ind w:firstLine="546" w:firstLineChars="300"/>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三、资格证明文件电子版</w:t>
      </w:r>
      <w:r>
        <w:rPr>
          <w:rFonts w:ascii="宋体" w:hAnsi="宋体" w:eastAsia="宋体" w:cs="宋体"/>
          <w:color w:val="auto"/>
          <w:spacing w:val="-9"/>
          <w:sz w:val="20"/>
          <w:szCs w:val="20"/>
          <w:highlight w:val="none"/>
          <w:u w:val="single" w:color="auto"/>
        </w:rPr>
        <w:t xml:space="preserve">   </w:t>
      </w:r>
      <w:r>
        <w:rPr>
          <w:rFonts w:ascii="宋体" w:hAnsi="宋体" w:eastAsia="宋体" w:cs="宋体"/>
          <w:color w:val="auto"/>
          <w:spacing w:val="-111"/>
          <w:sz w:val="20"/>
          <w:szCs w:val="20"/>
          <w:highlight w:val="none"/>
        </w:rPr>
        <w:t xml:space="preserve"> </w:t>
      </w:r>
      <w:r>
        <w:rPr>
          <w:rFonts w:ascii="宋体" w:hAnsi="宋体" w:eastAsia="宋体" w:cs="宋体"/>
          <w:color w:val="auto"/>
          <w:spacing w:val="-9"/>
          <w:sz w:val="20"/>
          <w:szCs w:val="20"/>
          <w:highlight w:val="none"/>
        </w:rPr>
        <w:t>份（包含按“第三章供应商须知</w:t>
      </w:r>
      <w:r>
        <w:rPr>
          <w:rFonts w:ascii="宋体" w:hAnsi="宋体" w:eastAsia="宋体" w:cs="宋体"/>
          <w:color w:val="auto"/>
          <w:spacing w:val="-88"/>
          <w:sz w:val="20"/>
          <w:szCs w:val="20"/>
          <w:highlight w:val="none"/>
        </w:rPr>
        <w:t xml:space="preserve"> </w:t>
      </w:r>
      <w:r>
        <w:rPr>
          <w:rFonts w:ascii="宋体" w:hAnsi="宋体" w:eastAsia="宋体" w:cs="宋体"/>
          <w:color w:val="auto"/>
          <w:spacing w:val="-9"/>
          <w:sz w:val="20"/>
          <w:szCs w:val="20"/>
          <w:highlight w:val="none"/>
        </w:rPr>
        <w:t>”提交的全部文件</w:t>
      </w:r>
      <w:r>
        <w:rPr>
          <w:rFonts w:ascii="宋体" w:hAnsi="宋体" w:eastAsia="宋体" w:cs="宋体"/>
          <w:color w:val="auto"/>
          <w:spacing w:val="-55"/>
          <w:w w:val="86"/>
          <w:sz w:val="20"/>
          <w:szCs w:val="20"/>
          <w:highlight w:val="none"/>
        </w:rPr>
        <w:t>）；</w:t>
      </w:r>
    </w:p>
    <w:p w14:paraId="07EAAE2B">
      <w:pPr>
        <w:spacing w:before="213" w:line="219" w:lineRule="auto"/>
        <w:ind w:left="48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据此函，签字人兹宣布：</w:t>
      </w:r>
    </w:p>
    <w:p w14:paraId="23807FB5">
      <w:pPr>
        <w:spacing w:before="211" w:line="328" w:lineRule="auto"/>
        <w:ind w:right="35" w:firstLine="50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1.我方愿意以（大写）人民币</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3"/>
          <w:sz w:val="20"/>
          <w:szCs w:val="20"/>
          <w:highlight w:val="none"/>
        </w:rPr>
        <w:t xml:space="preserve"> (¥</w:t>
      </w:r>
      <w:r>
        <w:rPr>
          <w:rFonts w:ascii="宋体" w:hAnsi="宋体" w:eastAsia="宋体" w:cs="宋体"/>
          <w:color w:val="auto"/>
          <w:spacing w:val="13"/>
          <w:sz w:val="20"/>
          <w:szCs w:val="20"/>
          <w:highlight w:val="none"/>
          <w:u w:val="single" w:color="auto"/>
        </w:rPr>
        <w:t xml:space="preserve">         </w:t>
      </w:r>
      <w:r>
        <w:rPr>
          <w:rFonts w:ascii="宋体" w:hAnsi="宋体" w:eastAsia="宋体" w:cs="宋体"/>
          <w:color w:val="auto"/>
          <w:spacing w:val="-105"/>
          <w:sz w:val="20"/>
          <w:szCs w:val="20"/>
          <w:highlight w:val="none"/>
        </w:rPr>
        <w:t xml:space="preserve"> </w:t>
      </w:r>
      <w:r>
        <w:rPr>
          <w:rFonts w:ascii="宋体" w:hAnsi="宋体" w:eastAsia="宋体" w:cs="宋体"/>
          <w:color w:val="auto"/>
          <w:spacing w:val="-3"/>
          <w:sz w:val="20"/>
          <w:szCs w:val="20"/>
          <w:highlight w:val="none"/>
        </w:rPr>
        <w:t>元</w:t>
      </w:r>
      <w:r>
        <w:rPr>
          <w:rFonts w:ascii="宋体" w:hAnsi="宋体" w:eastAsia="宋体" w:cs="宋体"/>
          <w:color w:val="auto"/>
          <w:spacing w:val="-4"/>
          <w:sz w:val="20"/>
          <w:szCs w:val="20"/>
          <w:highlight w:val="none"/>
        </w:rPr>
        <w:t>)的竞标总报价，</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合同履行期限：</w:t>
      </w:r>
      <w:r>
        <w:rPr>
          <w:rFonts w:ascii="宋体" w:hAnsi="宋体" w:eastAsia="宋体" w:cs="宋体"/>
          <w:color w:val="auto"/>
          <w:spacing w:val="-6"/>
          <w:sz w:val="20"/>
          <w:szCs w:val="20"/>
          <w:highlight w:val="none"/>
          <w:u w:val="single" w:color="auto"/>
        </w:rPr>
        <w:t xml:space="preserve"> 工期</w:t>
      </w:r>
      <w:r>
        <w:rPr>
          <w:rFonts w:ascii="宋体" w:hAnsi="宋体" w:eastAsia="宋体" w:cs="宋体"/>
          <w:color w:val="auto"/>
          <w:spacing w:val="-24"/>
          <w:sz w:val="20"/>
          <w:szCs w:val="20"/>
          <w:highlight w:val="none"/>
          <w:u w:val="single" w:color="auto"/>
        </w:rPr>
        <w:t>：</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24"/>
          <w:sz w:val="20"/>
          <w:szCs w:val="20"/>
          <w:highlight w:val="none"/>
        </w:rPr>
        <w:t>，</w:t>
      </w:r>
      <w:r>
        <w:rPr>
          <w:rFonts w:ascii="宋体" w:hAnsi="宋体" w:eastAsia="宋体" w:cs="宋体"/>
          <w:color w:val="auto"/>
          <w:spacing w:val="-6"/>
          <w:sz w:val="20"/>
          <w:szCs w:val="20"/>
          <w:highlight w:val="none"/>
        </w:rPr>
        <w:t>提供本项目竞争性磋商文件第二章“采</w:t>
      </w:r>
      <w:r>
        <w:rPr>
          <w:rFonts w:ascii="宋体" w:hAnsi="宋体" w:eastAsia="宋体" w:cs="宋体"/>
          <w:color w:val="auto"/>
          <w:spacing w:val="1"/>
          <w:sz w:val="20"/>
          <w:szCs w:val="20"/>
          <w:highlight w:val="none"/>
        </w:rPr>
        <w:t xml:space="preserve"> </w:t>
      </w:r>
      <w:r>
        <w:rPr>
          <w:rFonts w:ascii="宋体" w:hAnsi="宋体" w:eastAsia="宋体" w:cs="宋体"/>
          <w:color w:val="auto"/>
          <w:spacing w:val="-4"/>
          <w:sz w:val="20"/>
          <w:szCs w:val="20"/>
          <w:highlight w:val="none"/>
        </w:rPr>
        <w:t>购需求</w:t>
      </w:r>
      <w:r>
        <w:rPr>
          <w:rFonts w:ascii="宋体" w:hAnsi="宋体" w:eastAsia="宋体" w:cs="宋体"/>
          <w:color w:val="auto"/>
          <w:spacing w:val="-77"/>
          <w:sz w:val="20"/>
          <w:szCs w:val="20"/>
          <w:highlight w:val="none"/>
        </w:rPr>
        <w:t xml:space="preserve"> </w:t>
      </w:r>
      <w:r>
        <w:rPr>
          <w:rFonts w:ascii="宋体" w:hAnsi="宋体" w:eastAsia="宋体" w:cs="宋体"/>
          <w:color w:val="auto"/>
          <w:spacing w:val="-4"/>
          <w:sz w:val="20"/>
          <w:szCs w:val="20"/>
          <w:highlight w:val="none"/>
        </w:rPr>
        <w:t>”中相应的采购内容。</w:t>
      </w:r>
    </w:p>
    <w:p w14:paraId="24C7E989">
      <w:pPr>
        <w:spacing w:before="212" w:line="328" w:lineRule="auto"/>
        <w:ind w:right="99" w:firstLine="48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2.我方同意自本项目竞争性磋商文件采购公告规定的递交响应文件截止时间起</w:t>
      </w:r>
      <w:r>
        <w:rPr>
          <w:rFonts w:ascii="宋体" w:hAnsi="宋体" w:eastAsia="宋体" w:cs="宋体"/>
          <w:color w:val="auto"/>
          <w:spacing w:val="5"/>
          <w:sz w:val="20"/>
          <w:szCs w:val="20"/>
          <w:highlight w:val="none"/>
        </w:rPr>
        <w:t xml:space="preserve"> </w:t>
      </w:r>
      <w:r>
        <w:rPr>
          <w:rFonts w:ascii="宋体" w:hAnsi="宋体" w:eastAsia="宋体" w:cs="宋体"/>
          <w:color w:val="auto"/>
          <w:spacing w:val="-2"/>
          <w:sz w:val="20"/>
          <w:szCs w:val="20"/>
          <w:highlight w:val="none"/>
        </w:rPr>
        <w:t>遵循本响应函，并承诺在“第三章 供应商须知</w:t>
      </w:r>
      <w:r>
        <w:rPr>
          <w:rFonts w:ascii="宋体" w:hAnsi="宋体" w:eastAsia="宋体" w:cs="宋体"/>
          <w:color w:val="auto"/>
          <w:spacing w:val="-85"/>
          <w:sz w:val="20"/>
          <w:szCs w:val="20"/>
          <w:highlight w:val="none"/>
        </w:rPr>
        <w:t xml:space="preserve"> </w:t>
      </w:r>
      <w:r>
        <w:rPr>
          <w:rFonts w:ascii="宋体" w:hAnsi="宋体" w:eastAsia="宋体" w:cs="宋体"/>
          <w:color w:val="auto"/>
          <w:spacing w:val="-2"/>
          <w:sz w:val="20"/>
          <w:szCs w:val="20"/>
          <w:highlight w:val="none"/>
        </w:rPr>
        <w:t>”规定的竞标有效期内不修改、撤销</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响应文件。</w:t>
      </w:r>
    </w:p>
    <w:p w14:paraId="361965F2">
      <w:pPr>
        <w:spacing w:before="208" w:line="220" w:lineRule="auto"/>
        <w:ind w:left="48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3.我方在此声明，所递交的响应文件及有关资料内容完整、真实和准确。</w:t>
      </w:r>
    </w:p>
    <w:p w14:paraId="4D407633">
      <w:pPr>
        <w:spacing w:before="212" w:line="301" w:lineRule="auto"/>
        <w:ind w:left="2" w:right="99" w:firstLine="48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4.如本项目采购内容涉及须符合国家强制规定的，我方承诺我方本次竞标均符</w:t>
      </w:r>
      <w:r>
        <w:rPr>
          <w:rFonts w:ascii="宋体" w:hAnsi="宋体" w:eastAsia="宋体" w:cs="宋体"/>
          <w:color w:val="auto"/>
          <w:spacing w:val="9"/>
          <w:sz w:val="20"/>
          <w:szCs w:val="20"/>
          <w:highlight w:val="none"/>
        </w:rPr>
        <w:t xml:space="preserve"> </w:t>
      </w:r>
      <w:r>
        <w:rPr>
          <w:rFonts w:ascii="宋体" w:hAnsi="宋体" w:eastAsia="宋体" w:cs="宋体"/>
          <w:color w:val="auto"/>
          <w:spacing w:val="-2"/>
          <w:sz w:val="20"/>
          <w:szCs w:val="20"/>
          <w:highlight w:val="none"/>
        </w:rPr>
        <w:t>合国家有关强制规定。</w:t>
      </w:r>
    </w:p>
    <w:p w14:paraId="0BB77D4B">
      <w:pPr>
        <w:spacing w:before="210" w:line="328" w:lineRule="auto"/>
        <w:ind w:left="1" w:right="99" w:firstLine="48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5.如我方成交，我方承诺在收到成交通知书后，在成交通知书规定的期限内，</w:t>
      </w:r>
      <w:r>
        <w:rPr>
          <w:rFonts w:ascii="宋体" w:hAnsi="宋体" w:eastAsia="宋体" w:cs="宋体"/>
          <w:color w:val="auto"/>
          <w:spacing w:val="3"/>
          <w:sz w:val="20"/>
          <w:szCs w:val="20"/>
          <w:highlight w:val="none"/>
        </w:rPr>
        <w:t xml:space="preserve"> </w:t>
      </w:r>
      <w:r>
        <w:rPr>
          <w:rFonts w:ascii="宋体" w:hAnsi="宋体" w:eastAsia="宋体" w:cs="宋体"/>
          <w:color w:val="auto"/>
          <w:spacing w:val="2"/>
          <w:sz w:val="20"/>
          <w:szCs w:val="20"/>
          <w:highlight w:val="none"/>
        </w:rPr>
        <w:t>根据竞争性磋商文件、我方的响应文件及有关澄清承诺书的要求按第六章“合同文</w:t>
      </w:r>
      <w:r>
        <w:rPr>
          <w:rFonts w:ascii="宋体" w:hAnsi="宋体" w:eastAsia="宋体" w:cs="宋体"/>
          <w:color w:val="auto"/>
          <w:spacing w:val="8"/>
          <w:sz w:val="20"/>
          <w:szCs w:val="20"/>
          <w:highlight w:val="none"/>
        </w:rPr>
        <w:t xml:space="preserve"> </w:t>
      </w:r>
      <w:r>
        <w:rPr>
          <w:rFonts w:ascii="宋体" w:hAnsi="宋体" w:eastAsia="宋体" w:cs="宋体"/>
          <w:color w:val="auto"/>
          <w:spacing w:val="-1"/>
          <w:sz w:val="20"/>
          <w:szCs w:val="20"/>
          <w:highlight w:val="none"/>
        </w:rPr>
        <w:t>本</w:t>
      </w:r>
      <w:r>
        <w:rPr>
          <w:rFonts w:ascii="宋体" w:hAnsi="宋体" w:eastAsia="宋体" w:cs="宋体"/>
          <w:color w:val="auto"/>
          <w:spacing w:val="-88"/>
          <w:sz w:val="20"/>
          <w:szCs w:val="20"/>
          <w:highlight w:val="none"/>
        </w:rPr>
        <w:t xml:space="preserve"> </w:t>
      </w:r>
      <w:r>
        <w:rPr>
          <w:rFonts w:ascii="宋体" w:hAnsi="宋体" w:eastAsia="宋体" w:cs="宋体"/>
          <w:color w:val="auto"/>
          <w:spacing w:val="-1"/>
          <w:sz w:val="20"/>
          <w:szCs w:val="20"/>
          <w:highlight w:val="none"/>
        </w:rPr>
        <w:t>”与采购人订立书面合同，并按照合同约定承担完</w:t>
      </w:r>
      <w:r>
        <w:rPr>
          <w:rFonts w:ascii="宋体" w:hAnsi="宋体" w:eastAsia="宋体" w:cs="宋体"/>
          <w:color w:val="auto"/>
          <w:spacing w:val="-2"/>
          <w:sz w:val="20"/>
          <w:szCs w:val="20"/>
          <w:highlight w:val="none"/>
        </w:rPr>
        <w:t>成合同的责任和义务。</w:t>
      </w:r>
    </w:p>
    <w:p w14:paraId="5DADCCDB">
      <w:pPr>
        <w:spacing w:before="211" w:line="301" w:lineRule="auto"/>
        <w:ind w:left="1" w:right="99" w:firstLine="484"/>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6.我方已详细审核竞争性磋商文件，我方知道必须放弃提出含糊不清或误解问</w:t>
      </w:r>
      <w:r>
        <w:rPr>
          <w:rFonts w:ascii="宋体" w:hAnsi="宋体" w:eastAsia="宋体" w:cs="宋体"/>
          <w:color w:val="auto"/>
          <w:spacing w:val="6"/>
          <w:sz w:val="20"/>
          <w:szCs w:val="20"/>
          <w:highlight w:val="none"/>
        </w:rPr>
        <w:t xml:space="preserve"> </w:t>
      </w:r>
      <w:r>
        <w:rPr>
          <w:rFonts w:ascii="宋体" w:hAnsi="宋体" w:eastAsia="宋体" w:cs="宋体"/>
          <w:color w:val="auto"/>
          <w:spacing w:val="-2"/>
          <w:sz w:val="20"/>
          <w:szCs w:val="20"/>
          <w:highlight w:val="none"/>
        </w:rPr>
        <w:t>题的权利。</w:t>
      </w:r>
    </w:p>
    <w:p w14:paraId="7A8294C5">
      <w:pPr>
        <w:spacing w:before="209" w:line="301" w:lineRule="auto"/>
        <w:ind w:left="10" w:right="99" w:firstLine="47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7.我方承诺满足竞争性磋商文件第六章“合同文本</w:t>
      </w:r>
      <w:r>
        <w:rPr>
          <w:rFonts w:ascii="宋体" w:hAnsi="宋体" w:eastAsia="宋体" w:cs="宋体"/>
          <w:color w:val="auto"/>
          <w:spacing w:val="-83"/>
          <w:sz w:val="20"/>
          <w:szCs w:val="20"/>
          <w:highlight w:val="none"/>
        </w:rPr>
        <w:t xml:space="preserve"> </w:t>
      </w:r>
      <w:r>
        <w:rPr>
          <w:rFonts w:ascii="宋体" w:hAnsi="宋体" w:eastAsia="宋体" w:cs="宋体"/>
          <w:color w:val="auto"/>
          <w:spacing w:val="1"/>
          <w:sz w:val="20"/>
          <w:szCs w:val="20"/>
          <w:highlight w:val="none"/>
        </w:rPr>
        <w:t>”的条款，承担完成合同的</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责任和义务。</w:t>
      </w:r>
    </w:p>
    <w:p w14:paraId="2EC074AC">
      <w:pPr>
        <w:spacing w:line="301" w:lineRule="auto"/>
        <w:rPr>
          <w:rFonts w:ascii="宋体" w:hAnsi="宋体" w:eastAsia="宋体" w:cs="宋体"/>
          <w:color w:val="auto"/>
          <w:sz w:val="20"/>
          <w:szCs w:val="20"/>
          <w:highlight w:val="none"/>
        </w:rPr>
        <w:sectPr>
          <w:footerReference r:id="rId77" w:type="default"/>
          <w:pgSz w:w="11905" w:h="16839"/>
          <w:pgMar w:top="400" w:right="1488" w:bottom="849" w:left="1593" w:header="0" w:footer="689" w:gutter="0"/>
          <w:cols w:space="720" w:num="1"/>
        </w:sectPr>
      </w:pPr>
    </w:p>
    <w:p w14:paraId="00D7EAB1">
      <w:pPr>
        <w:pStyle w:val="2"/>
        <w:spacing w:line="260" w:lineRule="auto"/>
        <w:rPr>
          <w:color w:val="auto"/>
          <w:sz w:val="20"/>
          <w:szCs w:val="20"/>
          <w:highlight w:val="none"/>
        </w:rPr>
      </w:pPr>
    </w:p>
    <w:p w14:paraId="6F80081E">
      <w:pPr>
        <w:pStyle w:val="2"/>
        <w:spacing w:line="260" w:lineRule="auto"/>
        <w:rPr>
          <w:color w:val="auto"/>
          <w:sz w:val="20"/>
          <w:szCs w:val="20"/>
          <w:highlight w:val="none"/>
        </w:rPr>
      </w:pPr>
    </w:p>
    <w:p w14:paraId="1DF45C51">
      <w:pPr>
        <w:pStyle w:val="2"/>
        <w:spacing w:line="260" w:lineRule="auto"/>
        <w:rPr>
          <w:color w:val="auto"/>
          <w:sz w:val="20"/>
          <w:szCs w:val="20"/>
          <w:highlight w:val="none"/>
        </w:rPr>
      </w:pPr>
    </w:p>
    <w:p w14:paraId="4D070975">
      <w:pPr>
        <w:spacing w:before="78" w:line="300" w:lineRule="auto"/>
        <w:ind w:firstLine="48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8.我方同意应贵方要求提供与本竞标有关的任何数据或资料。若贵方需要，我</w:t>
      </w:r>
      <w:r>
        <w:rPr>
          <w:rFonts w:ascii="宋体" w:hAnsi="宋体" w:eastAsia="宋体" w:cs="宋体"/>
          <w:color w:val="auto"/>
          <w:spacing w:val="7"/>
          <w:sz w:val="20"/>
          <w:szCs w:val="20"/>
          <w:highlight w:val="none"/>
        </w:rPr>
        <w:t xml:space="preserve"> </w:t>
      </w:r>
      <w:r>
        <w:rPr>
          <w:rFonts w:ascii="宋体" w:hAnsi="宋体" w:eastAsia="宋体" w:cs="宋体"/>
          <w:color w:val="auto"/>
          <w:spacing w:val="-1"/>
          <w:sz w:val="20"/>
          <w:szCs w:val="20"/>
          <w:highlight w:val="none"/>
        </w:rPr>
        <w:t>方愿意提供我方作出的一切承诺的证明材料。</w:t>
      </w:r>
    </w:p>
    <w:p w14:paraId="0C935CC5">
      <w:pPr>
        <w:spacing w:before="211" w:line="219" w:lineRule="auto"/>
        <w:ind w:left="482"/>
        <w:rPr>
          <w:rFonts w:ascii="宋体" w:hAnsi="宋体" w:eastAsia="宋体" w:cs="宋体"/>
          <w:color w:val="auto"/>
          <w:sz w:val="20"/>
          <w:szCs w:val="20"/>
          <w:highlight w:val="none"/>
        </w:rPr>
      </w:pPr>
      <w:r>
        <w:rPr>
          <w:rFonts w:ascii="宋体" w:hAnsi="宋体" w:eastAsia="宋体" w:cs="宋体"/>
          <w:color w:val="auto"/>
          <w:sz w:val="20"/>
          <w:szCs w:val="20"/>
          <w:highlight w:val="none"/>
        </w:rPr>
        <w:t>9.我方完全理解贵方不一定接受响应报价最低的竞</w:t>
      </w:r>
      <w:r>
        <w:rPr>
          <w:rFonts w:ascii="宋体" w:hAnsi="宋体" w:eastAsia="宋体" w:cs="宋体"/>
          <w:color w:val="auto"/>
          <w:spacing w:val="-1"/>
          <w:sz w:val="20"/>
          <w:szCs w:val="20"/>
          <w:highlight w:val="none"/>
        </w:rPr>
        <w:t>标人为成交供应商的行为。</w:t>
      </w:r>
    </w:p>
    <w:p w14:paraId="3004BB2B">
      <w:pPr>
        <w:spacing w:before="210" w:line="350" w:lineRule="auto"/>
        <w:ind w:firstLine="49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10.我方将严格遵守《中华人民共和国政府采购法》第七十七条的规定，即供应</w:t>
      </w:r>
      <w:r>
        <w:rPr>
          <w:rFonts w:ascii="宋体" w:hAnsi="宋体" w:eastAsia="宋体" w:cs="宋体"/>
          <w:color w:val="auto"/>
          <w:spacing w:val="12"/>
          <w:sz w:val="20"/>
          <w:szCs w:val="20"/>
          <w:highlight w:val="none"/>
        </w:rPr>
        <w:t xml:space="preserve"> </w:t>
      </w:r>
      <w:r>
        <w:rPr>
          <w:rFonts w:ascii="宋体" w:hAnsi="宋体" w:eastAsia="宋体" w:cs="宋体"/>
          <w:color w:val="auto"/>
          <w:spacing w:val="2"/>
          <w:sz w:val="20"/>
          <w:szCs w:val="20"/>
          <w:highlight w:val="none"/>
        </w:rPr>
        <w:t>商有下列情形之一的，处以采购金额千分之五以上千分之十以下的罚款，列入不良</w:t>
      </w:r>
      <w:r>
        <w:rPr>
          <w:rFonts w:ascii="宋体" w:hAnsi="宋体" w:eastAsia="宋体" w:cs="宋体"/>
          <w:color w:val="auto"/>
          <w:spacing w:val="7"/>
          <w:sz w:val="20"/>
          <w:szCs w:val="20"/>
          <w:highlight w:val="none"/>
        </w:rPr>
        <w:t xml:space="preserve"> </w:t>
      </w:r>
      <w:r>
        <w:rPr>
          <w:rFonts w:ascii="宋体" w:hAnsi="宋体" w:eastAsia="宋体" w:cs="宋体"/>
          <w:color w:val="auto"/>
          <w:spacing w:val="2"/>
          <w:sz w:val="20"/>
          <w:szCs w:val="20"/>
          <w:highlight w:val="none"/>
        </w:rPr>
        <w:t>行为记录名单，在一至三年内禁止参加政府采购活动，有违法所得的，并处没收违</w:t>
      </w:r>
      <w:r>
        <w:rPr>
          <w:rFonts w:ascii="宋体" w:hAnsi="宋体" w:eastAsia="宋体" w:cs="宋体"/>
          <w:color w:val="auto"/>
          <w:spacing w:val="7"/>
          <w:sz w:val="20"/>
          <w:szCs w:val="20"/>
          <w:highlight w:val="none"/>
        </w:rPr>
        <w:t xml:space="preserve"> </w:t>
      </w:r>
      <w:r>
        <w:rPr>
          <w:rFonts w:ascii="宋体" w:hAnsi="宋体" w:eastAsia="宋体" w:cs="宋体"/>
          <w:color w:val="auto"/>
          <w:spacing w:val="2"/>
          <w:sz w:val="20"/>
          <w:szCs w:val="20"/>
          <w:highlight w:val="none"/>
        </w:rPr>
        <w:t>法所得，情节严重的，由工商行政管理机关吊销营业执照；构成犯罪的，依法追究</w:t>
      </w:r>
      <w:r>
        <w:rPr>
          <w:rFonts w:ascii="宋体" w:hAnsi="宋体" w:eastAsia="宋体" w:cs="宋体"/>
          <w:color w:val="auto"/>
          <w:spacing w:val="7"/>
          <w:sz w:val="20"/>
          <w:szCs w:val="20"/>
          <w:highlight w:val="none"/>
        </w:rPr>
        <w:t xml:space="preserve"> </w:t>
      </w:r>
      <w:r>
        <w:rPr>
          <w:rFonts w:ascii="宋体" w:hAnsi="宋体" w:eastAsia="宋体" w:cs="宋体"/>
          <w:color w:val="auto"/>
          <w:spacing w:val="-3"/>
          <w:sz w:val="20"/>
          <w:szCs w:val="20"/>
          <w:highlight w:val="none"/>
        </w:rPr>
        <w:t>刑事责任：</w:t>
      </w:r>
    </w:p>
    <w:p w14:paraId="1BC9D00D">
      <w:pPr>
        <w:spacing w:before="211" w:line="219" w:lineRule="auto"/>
        <w:ind w:left="43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 提供虚假材料谋取中标、成交的；</w:t>
      </w:r>
    </w:p>
    <w:p w14:paraId="731BCDC8">
      <w:pPr>
        <w:spacing w:before="209" w:line="219" w:lineRule="auto"/>
        <w:ind w:left="43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（2） 采取不正当手段诋毁、排挤其他供应商的；</w:t>
      </w:r>
    </w:p>
    <w:p w14:paraId="588689B0">
      <w:pPr>
        <w:spacing w:before="212" w:line="219" w:lineRule="auto"/>
        <w:ind w:left="43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（3） 与采购人、其他供应商或者采购代理机构恶意串通的；</w:t>
      </w:r>
    </w:p>
    <w:p w14:paraId="5A7F5DAF">
      <w:pPr>
        <w:spacing w:before="212" w:line="219" w:lineRule="auto"/>
        <w:ind w:left="43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（4）</w:t>
      </w:r>
      <w:r>
        <w:rPr>
          <w:rFonts w:ascii="宋体" w:hAnsi="宋体" w:eastAsia="宋体" w:cs="宋体"/>
          <w:color w:val="auto"/>
          <w:spacing w:val="36"/>
          <w:sz w:val="20"/>
          <w:szCs w:val="20"/>
          <w:highlight w:val="none"/>
        </w:rPr>
        <w:t xml:space="preserve"> </w:t>
      </w:r>
      <w:r>
        <w:rPr>
          <w:rFonts w:ascii="宋体" w:hAnsi="宋体" w:eastAsia="宋体" w:cs="宋体"/>
          <w:color w:val="auto"/>
          <w:spacing w:val="-2"/>
          <w:sz w:val="20"/>
          <w:szCs w:val="20"/>
          <w:highlight w:val="none"/>
        </w:rPr>
        <w:t>向采购人、采购代理机构行贿或者提供其他不正当利益的；</w:t>
      </w:r>
    </w:p>
    <w:p w14:paraId="192A943A">
      <w:pPr>
        <w:spacing w:before="212" w:line="219" w:lineRule="auto"/>
        <w:ind w:left="43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（5） 在采购过程中与采购人进行协商谈判的；</w:t>
      </w:r>
    </w:p>
    <w:p w14:paraId="3E565A9D">
      <w:pPr>
        <w:spacing w:before="212" w:line="219" w:lineRule="auto"/>
        <w:ind w:left="43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（6） 拒绝有关部门监督检查或提供虚假情况的。</w:t>
      </w:r>
    </w:p>
    <w:p w14:paraId="10DB609C">
      <w:pPr>
        <w:spacing w:before="212" w:line="219" w:lineRule="auto"/>
        <w:ind w:left="436"/>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11.与本磋商有关的一切正式往来信函请寄：</w:t>
      </w:r>
      <w:r>
        <w:rPr>
          <w:rFonts w:ascii="宋体" w:hAnsi="宋体" w:eastAsia="宋体" w:cs="宋体"/>
          <w:color w:val="auto"/>
          <w:sz w:val="20"/>
          <w:szCs w:val="20"/>
          <w:highlight w:val="none"/>
          <w:u w:val="single" w:color="auto"/>
        </w:rPr>
        <w:t xml:space="preserve">                </w:t>
      </w:r>
    </w:p>
    <w:p w14:paraId="31D3C779">
      <w:pPr>
        <w:spacing w:before="213" w:line="229" w:lineRule="auto"/>
        <w:ind w:left="41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地址：</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46621F87">
      <w:pPr>
        <w:spacing w:before="198" w:line="222" w:lineRule="auto"/>
        <w:ind w:left="447"/>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电话：</w:t>
      </w:r>
      <w:r>
        <w:rPr>
          <w:rFonts w:ascii="宋体" w:hAnsi="宋体" w:eastAsia="宋体" w:cs="宋体"/>
          <w:color w:val="auto"/>
          <w:sz w:val="20"/>
          <w:szCs w:val="20"/>
          <w:highlight w:val="none"/>
          <w:u w:val="single" w:color="auto"/>
        </w:rPr>
        <w:t xml:space="preserve">                                                        </w:t>
      </w:r>
    </w:p>
    <w:p w14:paraId="6BF53F68">
      <w:pPr>
        <w:spacing w:before="206" w:line="219" w:lineRule="auto"/>
        <w:ind w:left="41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传真：</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41E1120F">
      <w:pPr>
        <w:spacing w:before="212" w:line="220" w:lineRule="auto"/>
        <w:ind w:left="43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邮政编码：</w:t>
      </w:r>
      <w:r>
        <w:rPr>
          <w:rFonts w:ascii="宋体" w:hAnsi="宋体" w:eastAsia="宋体" w:cs="宋体"/>
          <w:color w:val="auto"/>
          <w:sz w:val="20"/>
          <w:szCs w:val="20"/>
          <w:highlight w:val="none"/>
          <w:u w:val="single" w:color="auto"/>
        </w:rPr>
        <w:t xml:space="preserve">                                                    </w:t>
      </w:r>
    </w:p>
    <w:p w14:paraId="170BCF91">
      <w:pPr>
        <w:spacing w:before="210" w:line="221" w:lineRule="auto"/>
        <w:ind w:left="42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开户名称：</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5550A7F9">
      <w:pPr>
        <w:spacing w:before="210" w:line="221" w:lineRule="auto"/>
        <w:ind w:left="42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开户银行：</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31202DA2">
      <w:pPr>
        <w:spacing w:before="209" w:line="221" w:lineRule="auto"/>
        <w:ind w:left="42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银行账号：</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5BCBD772">
      <w:pPr>
        <w:spacing w:before="210" w:line="220" w:lineRule="auto"/>
        <w:ind w:left="41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特此承诺。</w:t>
      </w:r>
    </w:p>
    <w:p w14:paraId="651895CC">
      <w:pPr>
        <w:pStyle w:val="2"/>
        <w:spacing w:line="313" w:lineRule="auto"/>
        <w:rPr>
          <w:color w:val="auto"/>
          <w:sz w:val="20"/>
          <w:szCs w:val="20"/>
          <w:highlight w:val="none"/>
        </w:rPr>
      </w:pPr>
    </w:p>
    <w:p w14:paraId="2345663E">
      <w:pPr>
        <w:pStyle w:val="2"/>
        <w:spacing w:line="313" w:lineRule="auto"/>
        <w:rPr>
          <w:color w:val="auto"/>
          <w:sz w:val="20"/>
          <w:szCs w:val="20"/>
          <w:highlight w:val="none"/>
        </w:rPr>
      </w:pPr>
    </w:p>
    <w:p w14:paraId="3E2CC039">
      <w:pPr>
        <w:spacing w:before="78" w:line="219" w:lineRule="auto"/>
        <w:ind w:left="409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08C6BC09">
      <w:pPr>
        <w:spacing w:before="210" w:line="220" w:lineRule="auto"/>
        <w:jc w:val="right"/>
        <w:rPr>
          <w:rFonts w:ascii="宋体" w:hAnsi="宋体" w:eastAsia="宋体" w:cs="宋体"/>
          <w:color w:val="auto"/>
          <w:sz w:val="20"/>
          <w:szCs w:val="20"/>
          <w:highlight w:val="none"/>
        </w:rPr>
      </w:pPr>
      <w:r>
        <w:rPr>
          <w:rFonts w:ascii="宋体" w:hAnsi="宋体" w:eastAsia="宋体" w:cs="宋体"/>
          <w:color w:val="auto"/>
          <w:spacing w:val="-22"/>
          <w:sz w:val="20"/>
          <w:szCs w:val="20"/>
          <w:highlight w:val="none"/>
        </w:rPr>
        <w:t>日期：</w:t>
      </w:r>
      <w:r>
        <w:rPr>
          <w:rFonts w:ascii="宋体" w:hAnsi="宋体" w:eastAsia="宋体" w:cs="宋体"/>
          <w:color w:val="auto"/>
          <w:spacing w:val="4"/>
          <w:sz w:val="20"/>
          <w:szCs w:val="20"/>
          <w:highlight w:val="none"/>
        </w:rPr>
        <w:t xml:space="preserve">  </w:t>
      </w:r>
      <w:r>
        <w:rPr>
          <w:rFonts w:ascii="宋体" w:hAnsi="宋体" w:eastAsia="宋体" w:cs="宋体"/>
          <w:color w:val="auto"/>
          <w:spacing w:val="-22"/>
          <w:sz w:val="20"/>
          <w:szCs w:val="20"/>
          <w:highlight w:val="none"/>
        </w:rPr>
        <w:t>年</w:t>
      </w:r>
      <w:r>
        <w:rPr>
          <w:rFonts w:ascii="宋体" w:hAnsi="宋体" w:eastAsia="宋体" w:cs="宋体"/>
          <w:color w:val="auto"/>
          <w:spacing w:val="5"/>
          <w:sz w:val="20"/>
          <w:szCs w:val="20"/>
          <w:highlight w:val="none"/>
        </w:rPr>
        <w:t xml:space="preserve">   </w:t>
      </w:r>
      <w:r>
        <w:rPr>
          <w:rFonts w:ascii="宋体" w:hAnsi="宋体" w:eastAsia="宋体" w:cs="宋体"/>
          <w:color w:val="auto"/>
          <w:spacing w:val="-22"/>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22"/>
          <w:sz w:val="20"/>
          <w:szCs w:val="20"/>
          <w:highlight w:val="none"/>
        </w:rPr>
        <w:t>日</w:t>
      </w:r>
    </w:p>
    <w:p w14:paraId="3EBC5955">
      <w:pPr>
        <w:spacing w:line="220" w:lineRule="auto"/>
        <w:rPr>
          <w:rFonts w:ascii="宋体" w:hAnsi="宋体" w:eastAsia="宋体" w:cs="宋体"/>
          <w:color w:val="auto"/>
          <w:sz w:val="20"/>
          <w:szCs w:val="20"/>
          <w:highlight w:val="none"/>
        </w:rPr>
        <w:sectPr>
          <w:footerReference r:id="rId78" w:type="default"/>
          <w:pgSz w:w="11905" w:h="16839"/>
          <w:pgMar w:top="400" w:right="1587" w:bottom="909" w:left="1596" w:header="0" w:footer="673" w:gutter="0"/>
          <w:cols w:space="720" w:num="1"/>
        </w:sectPr>
      </w:pPr>
    </w:p>
    <w:p w14:paraId="48F4A59A">
      <w:pPr>
        <w:pStyle w:val="2"/>
        <w:spacing w:line="256" w:lineRule="auto"/>
        <w:rPr>
          <w:color w:val="auto"/>
          <w:highlight w:val="none"/>
        </w:rPr>
      </w:pPr>
    </w:p>
    <w:p w14:paraId="09B4A253">
      <w:pPr>
        <w:pStyle w:val="2"/>
        <w:spacing w:line="257" w:lineRule="auto"/>
        <w:rPr>
          <w:color w:val="auto"/>
          <w:highlight w:val="none"/>
        </w:rPr>
      </w:pPr>
    </w:p>
    <w:p w14:paraId="460A76BA">
      <w:pPr>
        <w:pStyle w:val="2"/>
        <w:spacing w:line="257" w:lineRule="auto"/>
        <w:rPr>
          <w:color w:val="auto"/>
          <w:highlight w:val="none"/>
        </w:rPr>
      </w:pPr>
    </w:p>
    <w:p w14:paraId="25F45BC9">
      <w:pPr>
        <w:pStyle w:val="2"/>
        <w:spacing w:line="257" w:lineRule="auto"/>
        <w:rPr>
          <w:color w:val="auto"/>
          <w:highlight w:val="none"/>
        </w:rPr>
      </w:pPr>
    </w:p>
    <w:p w14:paraId="25456C5E">
      <w:pPr>
        <w:spacing w:before="114" w:line="226" w:lineRule="auto"/>
        <w:ind w:left="846"/>
        <w:rPr>
          <w:rFonts w:ascii="宋体" w:hAnsi="宋体" w:eastAsia="宋体" w:cs="宋体"/>
          <w:color w:val="auto"/>
          <w:sz w:val="31"/>
          <w:szCs w:val="31"/>
          <w:highlight w:val="none"/>
        </w:rPr>
      </w:pPr>
      <w:r>
        <w:rPr>
          <w:rFonts w:ascii="宋体" w:hAnsi="宋体" w:eastAsia="宋体" w:cs="宋体"/>
          <w:color w:val="auto"/>
          <w:spacing w:val="5"/>
          <w:sz w:val="35"/>
          <w:szCs w:val="35"/>
          <w:highlight w:val="none"/>
        </w:rPr>
        <w:t>三</w:t>
      </w:r>
      <w:r>
        <w:rPr>
          <w:rFonts w:ascii="宋体" w:hAnsi="宋体" w:eastAsia="宋体" w:cs="宋体"/>
          <w:b/>
          <w:bCs/>
          <w:color w:val="auto"/>
          <w:spacing w:val="5"/>
          <w:sz w:val="35"/>
          <w:szCs w:val="35"/>
          <w:highlight w:val="none"/>
        </w:rPr>
        <w:t>、</w:t>
      </w:r>
      <w:r>
        <w:rPr>
          <w:rFonts w:ascii="宋体" w:hAnsi="宋体" w:eastAsia="宋体" w:cs="宋体"/>
          <w:b/>
          <w:bCs/>
          <w:color w:val="auto"/>
          <w:spacing w:val="5"/>
          <w:sz w:val="31"/>
          <w:szCs w:val="31"/>
          <w:highlight w:val="none"/>
        </w:rPr>
        <w:t>响应报价表</w:t>
      </w:r>
    </w:p>
    <w:p w14:paraId="19305297">
      <w:pPr>
        <w:spacing w:before="78" w:line="219" w:lineRule="auto"/>
        <w:ind w:left="4260"/>
        <w:rPr>
          <w:rFonts w:ascii="宋体" w:hAnsi="宋体" w:eastAsia="宋体" w:cs="宋体"/>
          <w:color w:val="auto"/>
          <w:sz w:val="20"/>
          <w:szCs w:val="20"/>
          <w:highlight w:val="none"/>
        </w:rPr>
      </w:pPr>
      <w:r>
        <w:rPr>
          <w:rFonts w:ascii="宋体" w:hAnsi="宋体" w:eastAsia="宋体" w:cs="宋体"/>
          <w:b/>
          <w:bCs/>
          <w:color w:val="auto"/>
          <w:spacing w:val="-8"/>
          <w:sz w:val="20"/>
          <w:szCs w:val="20"/>
          <w:highlight w:val="none"/>
        </w:rPr>
        <w:t>响应报价表</w:t>
      </w:r>
    </w:p>
    <w:p w14:paraId="345FD868">
      <w:pPr>
        <w:spacing w:before="269" w:line="220" w:lineRule="auto"/>
        <w:ind w:left="12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项目名称：</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3"/>
          <w:sz w:val="20"/>
          <w:szCs w:val="20"/>
          <w:highlight w:val="none"/>
        </w:rPr>
        <w:t xml:space="preserve">   项目编号：</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10"/>
          <w:sz w:val="20"/>
          <w:szCs w:val="20"/>
          <w:highlight w:val="none"/>
        </w:rPr>
        <w:t xml:space="preserve">   </w:t>
      </w:r>
      <w:r>
        <w:rPr>
          <w:rFonts w:ascii="宋体" w:hAnsi="宋体" w:eastAsia="宋体" w:cs="宋体"/>
          <w:color w:val="auto"/>
          <w:spacing w:val="-3"/>
          <w:sz w:val="20"/>
          <w:szCs w:val="20"/>
          <w:highlight w:val="none"/>
        </w:rPr>
        <w:t>分标：</w:t>
      </w:r>
      <w:r>
        <w:rPr>
          <w:rFonts w:ascii="宋体" w:hAnsi="宋体" w:eastAsia="宋体" w:cs="宋体"/>
          <w:color w:val="auto"/>
          <w:spacing w:val="-3"/>
          <w:sz w:val="20"/>
          <w:szCs w:val="20"/>
          <w:highlight w:val="none"/>
          <w:u w:val="single" w:color="auto"/>
        </w:rPr>
        <w:t xml:space="preserve">            </w:t>
      </w:r>
    </w:p>
    <w:p w14:paraId="2E5C3599">
      <w:pPr>
        <w:spacing w:before="230" w:line="219" w:lineRule="auto"/>
        <w:ind w:left="12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供应商名称：</w:t>
      </w:r>
      <w:r>
        <w:rPr>
          <w:rFonts w:ascii="宋体" w:hAnsi="宋体" w:eastAsia="宋体" w:cs="宋体"/>
          <w:color w:val="auto"/>
          <w:sz w:val="20"/>
          <w:szCs w:val="20"/>
          <w:highlight w:val="none"/>
          <w:u w:val="single" w:color="auto"/>
        </w:rPr>
        <w:t xml:space="preserve">                     </w:t>
      </w:r>
    </w:p>
    <w:p w14:paraId="1A7793AC">
      <w:pPr>
        <w:spacing w:line="196" w:lineRule="exact"/>
        <w:rPr>
          <w:color w:val="auto"/>
          <w:sz w:val="20"/>
          <w:szCs w:val="20"/>
          <w:highlight w:val="none"/>
        </w:rPr>
      </w:pPr>
    </w:p>
    <w:tbl>
      <w:tblPr>
        <w:tblStyle w:val="8"/>
        <w:tblW w:w="90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3"/>
        <w:gridCol w:w="3021"/>
        <w:gridCol w:w="1382"/>
        <w:gridCol w:w="2386"/>
        <w:gridCol w:w="1502"/>
      </w:tblGrid>
      <w:tr w14:paraId="4678D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jc w:val="center"/>
        </w:trPr>
        <w:tc>
          <w:tcPr>
            <w:tcW w:w="723" w:type="dxa"/>
            <w:vAlign w:val="top"/>
          </w:tcPr>
          <w:p w14:paraId="0D6AA965">
            <w:pPr>
              <w:pStyle w:val="9"/>
              <w:spacing w:before="252" w:line="222" w:lineRule="auto"/>
              <w:ind w:left="128"/>
              <w:rPr>
                <w:color w:val="auto"/>
                <w:sz w:val="20"/>
                <w:szCs w:val="20"/>
                <w:highlight w:val="none"/>
              </w:rPr>
            </w:pPr>
            <w:r>
              <w:rPr>
                <w:color w:val="auto"/>
                <w:spacing w:val="-5"/>
                <w:sz w:val="20"/>
                <w:szCs w:val="20"/>
                <w:highlight w:val="none"/>
              </w:rPr>
              <w:t>序号</w:t>
            </w:r>
          </w:p>
        </w:tc>
        <w:tc>
          <w:tcPr>
            <w:tcW w:w="3021" w:type="dxa"/>
            <w:vAlign w:val="top"/>
          </w:tcPr>
          <w:p w14:paraId="54F2F0D5">
            <w:pPr>
              <w:pStyle w:val="9"/>
              <w:spacing w:before="252" w:line="221" w:lineRule="auto"/>
              <w:ind w:left="916"/>
              <w:rPr>
                <w:color w:val="auto"/>
                <w:sz w:val="20"/>
                <w:szCs w:val="20"/>
                <w:highlight w:val="none"/>
              </w:rPr>
            </w:pPr>
            <w:r>
              <w:rPr>
                <w:color w:val="auto"/>
                <w:spacing w:val="-3"/>
                <w:sz w:val="20"/>
                <w:szCs w:val="20"/>
                <w:highlight w:val="none"/>
              </w:rPr>
              <w:t>标的的名称</w:t>
            </w:r>
          </w:p>
        </w:tc>
        <w:tc>
          <w:tcPr>
            <w:tcW w:w="1382" w:type="dxa"/>
            <w:vAlign w:val="top"/>
          </w:tcPr>
          <w:p w14:paraId="0A981574">
            <w:pPr>
              <w:pStyle w:val="9"/>
              <w:spacing w:before="252" w:line="221" w:lineRule="auto"/>
              <w:ind w:firstLine="194" w:firstLineChars="100"/>
              <w:rPr>
                <w:color w:val="auto"/>
                <w:sz w:val="20"/>
                <w:szCs w:val="20"/>
                <w:highlight w:val="none"/>
              </w:rPr>
            </w:pPr>
            <w:r>
              <w:rPr>
                <w:color w:val="auto"/>
                <w:spacing w:val="-3"/>
                <w:sz w:val="20"/>
                <w:szCs w:val="20"/>
                <w:highlight w:val="none"/>
              </w:rPr>
              <w:t>数量及单位</w:t>
            </w:r>
          </w:p>
        </w:tc>
        <w:tc>
          <w:tcPr>
            <w:tcW w:w="2386" w:type="dxa"/>
            <w:vAlign w:val="top"/>
          </w:tcPr>
          <w:p w14:paraId="2AFE4D83">
            <w:pPr>
              <w:pStyle w:val="9"/>
              <w:spacing w:before="252" w:line="219" w:lineRule="auto"/>
              <w:ind w:left="709"/>
              <w:rPr>
                <w:color w:val="auto"/>
                <w:sz w:val="20"/>
                <w:szCs w:val="20"/>
                <w:highlight w:val="none"/>
              </w:rPr>
            </w:pPr>
            <w:r>
              <w:rPr>
                <w:color w:val="auto"/>
                <w:spacing w:val="-3"/>
                <w:sz w:val="20"/>
                <w:szCs w:val="20"/>
                <w:highlight w:val="none"/>
              </w:rPr>
              <w:t>总价（元）</w:t>
            </w:r>
          </w:p>
        </w:tc>
        <w:tc>
          <w:tcPr>
            <w:tcW w:w="1502" w:type="dxa"/>
            <w:vAlign w:val="top"/>
          </w:tcPr>
          <w:p w14:paraId="7804FBD9">
            <w:pPr>
              <w:pStyle w:val="9"/>
              <w:spacing w:before="252" w:line="222" w:lineRule="auto"/>
              <w:ind w:left="378"/>
              <w:rPr>
                <w:color w:val="auto"/>
                <w:sz w:val="20"/>
                <w:szCs w:val="20"/>
                <w:highlight w:val="none"/>
              </w:rPr>
            </w:pPr>
            <w:r>
              <w:rPr>
                <w:color w:val="auto"/>
                <w:spacing w:val="-7"/>
                <w:sz w:val="20"/>
                <w:szCs w:val="20"/>
                <w:highlight w:val="none"/>
              </w:rPr>
              <w:t>备注</w:t>
            </w:r>
          </w:p>
        </w:tc>
      </w:tr>
      <w:tr w14:paraId="55954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jc w:val="center"/>
        </w:trPr>
        <w:tc>
          <w:tcPr>
            <w:tcW w:w="723" w:type="dxa"/>
            <w:vAlign w:val="top"/>
          </w:tcPr>
          <w:p w14:paraId="0894F727">
            <w:pPr>
              <w:pStyle w:val="9"/>
              <w:spacing w:before="310" w:line="242" w:lineRule="auto"/>
              <w:ind w:left="326"/>
              <w:rPr>
                <w:color w:val="auto"/>
                <w:sz w:val="20"/>
                <w:szCs w:val="20"/>
                <w:highlight w:val="none"/>
              </w:rPr>
            </w:pPr>
            <w:r>
              <w:rPr>
                <w:color w:val="auto"/>
                <w:sz w:val="20"/>
                <w:szCs w:val="20"/>
                <w:highlight w:val="none"/>
              </w:rPr>
              <w:t>1</w:t>
            </w:r>
          </w:p>
        </w:tc>
        <w:tc>
          <w:tcPr>
            <w:tcW w:w="3021" w:type="dxa"/>
            <w:vAlign w:val="top"/>
          </w:tcPr>
          <w:p w14:paraId="3023EF40">
            <w:pPr>
              <w:rPr>
                <w:rFonts w:ascii="Arial"/>
                <w:color w:val="auto"/>
                <w:sz w:val="20"/>
                <w:szCs w:val="20"/>
                <w:highlight w:val="none"/>
              </w:rPr>
            </w:pPr>
          </w:p>
        </w:tc>
        <w:tc>
          <w:tcPr>
            <w:tcW w:w="1382" w:type="dxa"/>
            <w:vAlign w:val="top"/>
          </w:tcPr>
          <w:p w14:paraId="6C594793">
            <w:pPr>
              <w:pStyle w:val="9"/>
              <w:spacing w:before="310" w:line="221" w:lineRule="auto"/>
              <w:ind w:left="355"/>
              <w:rPr>
                <w:color w:val="auto"/>
                <w:sz w:val="20"/>
                <w:szCs w:val="20"/>
                <w:highlight w:val="none"/>
              </w:rPr>
            </w:pPr>
            <w:r>
              <w:rPr>
                <w:color w:val="auto"/>
                <w:spacing w:val="-14"/>
                <w:sz w:val="20"/>
                <w:szCs w:val="20"/>
                <w:highlight w:val="none"/>
              </w:rPr>
              <w:t>1</w:t>
            </w:r>
            <w:r>
              <w:rPr>
                <w:color w:val="auto"/>
                <w:spacing w:val="-47"/>
                <w:sz w:val="20"/>
                <w:szCs w:val="20"/>
                <w:highlight w:val="none"/>
              </w:rPr>
              <w:t xml:space="preserve"> </w:t>
            </w:r>
            <w:r>
              <w:rPr>
                <w:color w:val="auto"/>
                <w:spacing w:val="-14"/>
                <w:sz w:val="20"/>
                <w:szCs w:val="20"/>
                <w:highlight w:val="none"/>
              </w:rPr>
              <w:t>项</w:t>
            </w:r>
          </w:p>
        </w:tc>
        <w:tc>
          <w:tcPr>
            <w:tcW w:w="2386" w:type="dxa"/>
            <w:vAlign w:val="top"/>
          </w:tcPr>
          <w:p w14:paraId="58D995DC">
            <w:pPr>
              <w:rPr>
                <w:rFonts w:ascii="Arial"/>
                <w:color w:val="auto"/>
                <w:sz w:val="20"/>
                <w:szCs w:val="20"/>
                <w:highlight w:val="none"/>
              </w:rPr>
            </w:pPr>
          </w:p>
        </w:tc>
        <w:tc>
          <w:tcPr>
            <w:tcW w:w="1502" w:type="dxa"/>
            <w:vAlign w:val="top"/>
          </w:tcPr>
          <w:p w14:paraId="4C2D523A">
            <w:pPr>
              <w:rPr>
                <w:rFonts w:ascii="Arial"/>
                <w:color w:val="auto"/>
                <w:sz w:val="20"/>
                <w:szCs w:val="20"/>
                <w:highlight w:val="none"/>
              </w:rPr>
            </w:pPr>
          </w:p>
        </w:tc>
      </w:tr>
      <w:tr w14:paraId="39034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9014" w:type="dxa"/>
            <w:gridSpan w:val="5"/>
            <w:vAlign w:val="top"/>
          </w:tcPr>
          <w:p w14:paraId="71C0D61E">
            <w:pPr>
              <w:pStyle w:val="9"/>
              <w:spacing w:before="187" w:line="219" w:lineRule="auto"/>
              <w:jc w:val="right"/>
              <w:rPr>
                <w:color w:val="auto"/>
                <w:sz w:val="20"/>
                <w:szCs w:val="20"/>
                <w:highlight w:val="none"/>
              </w:rPr>
            </w:pPr>
            <w:r>
              <w:rPr>
                <w:color w:val="auto"/>
                <w:spacing w:val="-4"/>
                <w:sz w:val="20"/>
                <w:szCs w:val="20"/>
                <w:highlight w:val="none"/>
              </w:rPr>
              <w:t>报价合计（包含税费等所有费用</w:t>
            </w:r>
            <w:r>
              <w:rPr>
                <w:color w:val="auto"/>
                <w:spacing w:val="-63"/>
                <w:sz w:val="20"/>
                <w:szCs w:val="20"/>
                <w:highlight w:val="none"/>
              </w:rPr>
              <w:t>）：（</w:t>
            </w:r>
            <w:r>
              <w:rPr>
                <w:color w:val="auto"/>
                <w:spacing w:val="-4"/>
                <w:sz w:val="20"/>
                <w:szCs w:val="20"/>
                <w:highlight w:val="none"/>
              </w:rPr>
              <w:t>大写）人民币              (¥        元）</w:t>
            </w:r>
          </w:p>
        </w:tc>
      </w:tr>
      <w:tr w14:paraId="08285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jc w:val="center"/>
        </w:trPr>
        <w:tc>
          <w:tcPr>
            <w:tcW w:w="9014" w:type="dxa"/>
            <w:gridSpan w:val="5"/>
            <w:vAlign w:val="top"/>
          </w:tcPr>
          <w:p w14:paraId="59865292">
            <w:pPr>
              <w:pStyle w:val="9"/>
              <w:spacing w:before="188" w:line="221" w:lineRule="auto"/>
              <w:ind w:left="120"/>
              <w:rPr>
                <w:color w:val="auto"/>
                <w:sz w:val="20"/>
                <w:szCs w:val="20"/>
                <w:highlight w:val="none"/>
              </w:rPr>
            </w:pPr>
            <w:r>
              <w:rPr>
                <w:color w:val="auto"/>
                <w:spacing w:val="-5"/>
                <w:sz w:val="20"/>
                <w:szCs w:val="20"/>
                <w:highlight w:val="none"/>
              </w:rPr>
              <w:t>工期：</w:t>
            </w:r>
          </w:p>
        </w:tc>
      </w:tr>
      <w:tr w14:paraId="38C4C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9014" w:type="dxa"/>
            <w:gridSpan w:val="5"/>
            <w:vAlign w:val="top"/>
          </w:tcPr>
          <w:p w14:paraId="6A5D3596">
            <w:pPr>
              <w:pStyle w:val="9"/>
              <w:spacing w:before="145" w:line="220" w:lineRule="auto"/>
              <w:ind w:left="116"/>
              <w:rPr>
                <w:color w:val="auto"/>
                <w:sz w:val="20"/>
                <w:szCs w:val="20"/>
                <w:highlight w:val="none"/>
              </w:rPr>
            </w:pPr>
            <w:r>
              <w:rPr>
                <w:color w:val="auto"/>
                <w:spacing w:val="-2"/>
                <w:sz w:val="20"/>
                <w:szCs w:val="20"/>
                <w:highlight w:val="none"/>
              </w:rPr>
              <w:t>验收标准、规范：</w:t>
            </w:r>
          </w:p>
        </w:tc>
      </w:tr>
    </w:tbl>
    <w:p w14:paraId="06F7FE4A">
      <w:pPr>
        <w:pStyle w:val="2"/>
        <w:spacing w:line="260" w:lineRule="auto"/>
        <w:rPr>
          <w:color w:val="auto"/>
          <w:sz w:val="20"/>
          <w:szCs w:val="20"/>
          <w:highlight w:val="none"/>
        </w:rPr>
      </w:pPr>
    </w:p>
    <w:p w14:paraId="70017004">
      <w:pPr>
        <w:pStyle w:val="2"/>
        <w:spacing w:line="261" w:lineRule="auto"/>
        <w:rPr>
          <w:color w:val="auto"/>
          <w:sz w:val="20"/>
          <w:szCs w:val="20"/>
          <w:highlight w:val="none"/>
        </w:rPr>
      </w:pPr>
    </w:p>
    <w:p w14:paraId="62545CDB">
      <w:pPr>
        <w:spacing w:before="78" w:line="224" w:lineRule="auto"/>
        <w:ind w:left="60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注：</w:t>
      </w:r>
    </w:p>
    <w:p w14:paraId="748E6F95">
      <w:pPr>
        <w:spacing w:before="227" w:line="288" w:lineRule="auto"/>
        <w:ind w:left="134" w:right="59" w:firstLine="48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1.供应商需按本表格式填写，不得自行更改，也不得留空, 如有多分标，按分标分别提供</w:t>
      </w:r>
      <w:r>
        <w:rPr>
          <w:rFonts w:ascii="宋体" w:hAnsi="宋体" w:eastAsia="宋体" w:cs="宋体"/>
          <w:color w:val="auto"/>
          <w:spacing w:val="1"/>
          <w:sz w:val="20"/>
          <w:szCs w:val="20"/>
          <w:highlight w:val="none"/>
        </w:rPr>
        <w:t xml:space="preserve"> </w:t>
      </w:r>
      <w:r>
        <w:rPr>
          <w:rFonts w:ascii="宋体" w:hAnsi="宋体" w:eastAsia="宋体" w:cs="宋体"/>
          <w:color w:val="auto"/>
          <w:spacing w:val="-5"/>
          <w:sz w:val="20"/>
          <w:szCs w:val="20"/>
          <w:highlight w:val="none"/>
        </w:rPr>
        <w:t>响应报价表</w:t>
      </w:r>
      <w:r>
        <w:rPr>
          <w:rFonts w:ascii="宋体" w:hAnsi="宋体" w:eastAsia="宋体" w:cs="宋体"/>
          <w:b/>
          <w:bCs/>
          <w:color w:val="auto"/>
          <w:spacing w:val="-5"/>
          <w:sz w:val="20"/>
          <w:szCs w:val="20"/>
          <w:highlight w:val="none"/>
        </w:rPr>
        <w:t>。</w:t>
      </w:r>
    </w:p>
    <w:p w14:paraId="19665ECC">
      <w:pPr>
        <w:spacing w:before="231" w:line="290" w:lineRule="auto"/>
        <w:ind w:left="125" w:right="59" w:firstLine="48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2.如为联合体响应的，“供应商名称</w:t>
      </w:r>
      <w:r>
        <w:rPr>
          <w:rFonts w:ascii="宋体" w:hAnsi="宋体" w:eastAsia="宋体" w:cs="宋体"/>
          <w:color w:val="auto"/>
          <w:spacing w:val="-88"/>
          <w:sz w:val="20"/>
          <w:szCs w:val="20"/>
          <w:highlight w:val="none"/>
        </w:rPr>
        <w:t xml:space="preserve"> </w:t>
      </w:r>
      <w:r>
        <w:rPr>
          <w:rFonts w:ascii="宋体" w:hAnsi="宋体" w:eastAsia="宋体" w:cs="宋体"/>
          <w:color w:val="auto"/>
          <w:spacing w:val="-3"/>
          <w:sz w:val="20"/>
          <w:szCs w:val="20"/>
          <w:highlight w:val="none"/>
        </w:rPr>
        <w:t>”处必须</w:t>
      </w:r>
      <w:r>
        <w:rPr>
          <w:rFonts w:ascii="宋体" w:hAnsi="宋体" w:eastAsia="宋体" w:cs="宋体"/>
          <w:color w:val="auto"/>
          <w:spacing w:val="-4"/>
          <w:sz w:val="20"/>
          <w:szCs w:val="20"/>
          <w:highlight w:val="none"/>
        </w:rPr>
        <w:t>列明联合体各方名称，并标注联合体牵头人</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名称，且盖章处须加盖联合体各方公章，</w:t>
      </w:r>
      <w:r>
        <w:rPr>
          <w:rFonts w:ascii="宋体" w:hAnsi="宋体" w:eastAsia="宋体" w:cs="宋体"/>
          <w:b/>
          <w:bCs/>
          <w:color w:val="auto"/>
          <w:spacing w:val="-1"/>
          <w:sz w:val="20"/>
          <w:szCs w:val="20"/>
          <w:highlight w:val="none"/>
        </w:rPr>
        <w:t>否则其响应作无</w:t>
      </w:r>
      <w:r>
        <w:rPr>
          <w:rFonts w:ascii="宋体" w:hAnsi="宋体" w:eastAsia="宋体" w:cs="宋体"/>
          <w:b/>
          <w:bCs/>
          <w:color w:val="auto"/>
          <w:spacing w:val="-2"/>
          <w:sz w:val="20"/>
          <w:szCs w:val="20"/>
          <w:highlight w:val="none"/>
        </w:rPr>
        <w:t>效响应处理。</w:t>
      </w:r>
    </w:p>
    <w:p w14:paraId="7AAC440B">
      <w:pPr>
        <w:spacing w:before="230" w:line="290" w:lineRule="auto"/>
        <w:ind w:left="123" w:right="59" w:firstLine="48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3.特别提示：采购机构将对项目名称和项目编号，成交供应商名称、地址和成交金额，主</w:t>
      </w:r>
      <w:r>
        <w:rPr>
          <w:rFonts w:ascii="宋体" w:hAnsi="宋体" w:eastAsia="宋体" w:cs="宋体"/>
          <w:color w:val="auto"/>
          <w:spacing w:val="11"/>
          <w:sz w:val="20"/>
          <w:szCs w:val="20"/>
          <w:highlight w:val="none"/>
        </w:rPr>
        <w:t xml:space="preserve"> </w:t>
      </w:r>
      <w:r>
        <w:rPr>
          <w:rFonts w:ascii="宋体" w:hAnsi="宋体" w:eastAsia="宋体" w:cs="宋体"/>
          <w:color w:val="auto"/>
          <w:sz w:val="20"/>
          <w:szCs w:val="20"/>
          <w:highlight w:val="none"/>
        </w:rPr>
        <w:t>要成交标的的名称、施工范围、施工工期、项目经理、</w:t>
      </w:r>
      <w:r>
        <w:rPr>
          <w:rFonts w:ascii="宋体" w:hAnsi="宋体" w:eastAsia="宋体" w:cs="宋体"/>
          <w:color w:val="auto"/>
          <w:spacing w:val="-1"/>
          <w:sz w:val="20"/>
          <w:szCs w:val="20"/>
          <w:highlight w:val="none"/>
        </w:rPr>
        <w:t>执业证书信息等予以公示。</w:t>
      </w:r>
    </w:p>
    <w:p w14:paraId="134BDE0B">
      <w:pPr>
        <w:spacing w:before="185" w:line="312" w:lineRule="auto"/>
        <w:ind w:left="122" w:firstLine="47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4.符合采购文件中列明的可享受小微企业扶持政策的供应商，请填写小微企业声明函。注：</w:t>
      </w:r>
      <w:r>
        <w:rPr>
          <w:rFonts w:ascii="宋体" w:hAnsi="宋体" w:eastAsia="宋体" w:cs="宋体"/>
          <w:color w:val="auto"/>
          <w:spacing w:val="3"/>
          <w:sz w:val="20"/>
          <w:szCs w:val="20"/>
          <w:highlight w:val="none"/>
        </w:rPr>
        <w:t xml:space="preserve"> </w:t>
      </w:r>
      <w:r>
        <w:rPr>
          <w:rFonts w:ascii="宋体" w:hAnsi="宋体" w:eastAsia="宋体" w:cs="宋体"/>
          <w:color w:val="auto"/>
          <w:spacing w:val="-2"/>
          <w:sz w:val="20"/>
          <w:szCs w:val="20"/>
          <w:highlight w:val="none"/>
        </w:rPr>
        <w:t>供应商提供的小微企业声明函内容不实的，</w:t>
      </w:r>
      <w:r>
        <w:rPr>
          <w:rFonts w:ascii="宋体" w:hAnsi="宋体" w:eastAsia="宋体" w:cs="宋体"/>
          <w:color w:val="auto"/>
          <w:spacing w:val="-3"/>
          <w:sz w:val="20"/>
          <w:szCs w:val="20"/>
          <w:highlight w:val="none"/>
        </w:rPr>
        <w:t>属于提供虚假材料谋取中标、成交，依照《中华人</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民共和国政府采购法》等国家有关规定追究相应责任。</w:t>
      </w:r>
    </w:p>
    <w:p w14:paraId="45532906">
      <w:pPr>
        <w:pStyle w:val="2"/>
        <w:spacing w:line="344" w:lineRule="auto"/>
        <w:rPr>
          <w:color w:val="auto"/>
          <w:sz w:val="20"/>
          <w:szCs w:val="20"/>
          <w:highlight w:val="none"/>
        </w:rPr>
      </w:pPr>
    </w:p>
    <w:p w14:paraId="66C3F6E4">
      <w:pPr>
        <w:pStyle w:val="2"/>
        <w:spacing w:line="345" w:lineRule="auto"/>
        <w:rPr>
          <w:color w:val="auto"/>
          <w:sz w:val="20"/>
          <w:szCs w:val="20"/>
          <w:highlight w:val="none"/>
        </w:rPr>
      </w:pPr>
    </w:p>
    <w:p w14:paraId="75A86776">
      <w:pPr>
        <w:spacing w:before="78" w:line="219" w:lineRule="auto"/>
        <w:ind w:left="4216"/>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5A41F126">
      <w:pPr>
        <w:spacing w:before="277" w:line="220" w:lineRule="auto"/>
        <w:ind w:left="6463"/>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5"/>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00A3CA9D">
      <w:pPr>
        <w:spacing w:line="220" w:lineRule="auto"/>
        <w:rPr>
          <w:rFonts w:ascii="宋体" w:hAnsi="宋体" w:eastAsia="宋体" w:cs="宋体"/>
          <w:color w:val="auto"/>
          <w:sz w:val="20"/>
          <w:szCs w:val="20"/>
          <w:highlight w:val="none"/>
        </w:rPr>
        <w:sectPr>
          <w:footerReference r:id="rId79" w:type="default"/>
          <w:pgSz w:w="11906" w:h="16839"/>
          <w:pgMar w:top="400" w:right="1019" w:bottom="849" w:left="967" w:header="0" w:footer="689" w:gutter="0"/>
          <w:cols w:space="720" w:num="1"/>
        </w:sectPr>
      </w:pPr>
    </w:p>
    <w:p w14:paraId="4FD3E353">
      <w:pPr>
        <w:pStyle w:val="2"/>
        <w:spacing w:line="252" w:lineRule="auto"/>
        <w:rPr>
          <w:color w:val="auto"/>
          <w:highlight w:val="none"/>
        </w:rPr>
      </w:pPr>
    </w:p>
    <w:p w14:paraId="51BDBBA5">
      <w:pPr>
        <w:pStyle w:val="2"/>
        <w:spacing w:line="252" w:lineRule="auto"/>
        <w:rPr>
          <w:color w:val="auto"/>
          <w:highlight w:val="none"/>
        </w:rPr>
      </w:pPr>
    </w:p>
    <w:p w14:paraId="7E54F8EC">
      <w:pPr>
        <w:pStyle w:val="2"/>
        <w:spacing w:line="253" w:lineRule="auto"/>
        <w:rPr>
          <w:color w:val="auto"/>
          <w:highlight w:val="none"/>
        </w:rPr>
      </w:pPr>
    </w:p>
    <w:p w14:paraId="098FAF27">
      <w:pPr>
        <w:pStyle w:val="2"/>
        <w:spacing w:line="253" w:lineRule="auto"/>
        <w:rPr>
          <w:color w:val="auto"/>
          <w:highlight w:val="none"/>
        </w:rPr>
      </w:pPr>
    </w:p>
    <w:p w14:paraId="6AFFD830">
      <w:pPr>
        <w:spacing w:before="113" w:line="224" w:lineRule="auto"/>
        <w:ind w:left="2202"/>
        <w:rPr>
          <w:rFonts w:ascii="宋体" w:hAnsi="宋体" w:eastAsia="宋体" w:cs="宋体"/>
          <w:color w:val="auto"/>
          <w:sz w:val="35"/>
          <w:szCs w:val="35"/>
          <w:highlight w:val="none"/>
        </w:rPr>
      </w:pPr>
      <w:r>
        <w:rPr>
          <w:rFonts w:ascii="宋体" w:hAnsi="宋体" w:eastAsia="宋体" w:cs="宋体"/>
          <w:color w:val="auto"/>
          <w:spacing w:val="4"/>
          <w:sz w:val="35"/>
          <w:szCs w:val="35"/>
          <w:highlight w:val="none"/>
        </w:rPr>
        <w:t>四、</w:t>
      </w:r>
      <w:r>
        <w:rPr>
          <w:rFonts w:ascii="宋体" w:hAnsi="宋体" w:eastAsia="宋体" w:cs="宋体"/>
          <w:b/>
          <w:bCs/>
          <w:color w:val="auto"/>
          <w:spacing w:val="4"/>
          <w:sz w:val="35"/>
          <w:szCs w:val="35"/>
          <w:highlight w:val="none"/>
        </w:rPr>
        <w:t>已标价的工程量清单报价文件</w:t>
      </w:r>
    </w:p>
    <w:p w14:paraId="0EFAB8E9">
      <w:pPr>
        <w:pStyle w:val="2"/>
        <w:spacing w:line="267" w:lineRule="auto"/>
        <w:rPr>
          <w:color w:val="auto"/>
          <w:highlight w:val="none"/>
        </w:rPr>
      </w:pPr>
    </w:p>
    <w:p w14:paraId="1D5E95C8">
      <w:pPr>
        <w:pStyle w:val="2"/>
        <w:spacing w:line="267" w:lineRule="auto"/>
        <w:rPr>
          <w:color w:val="auto"/>
          <w:highlight w:val="none"/>
        </w:rPr>
      </w:pPr>
    </w:p>
    <w:p w14:paraId="41C5DDB0">
      <w:pPr>
        <w:pStyle w:val="2"/>
        <w:spacing w:line="268" w:lineRule="auto"/>
        <w:rPr>
          <w:color w:val="auto"/>
          <w:highlight w:val="none"/>
        </w:rPr>
      </w:pPr>
    </w:p>
    <w:p w14:paraId="3103B6A8">
      <w:pPr>
        <w:spacing w:before="65" w:line="229" w:lineRule="auto"/>
        <w:ind w:left="2398"/>
        <w:rPr>
          <w:rFonts w:ascii="仿宋" w:hAnsi="仿宋" w:eastAsia="仿宋" w:cs="仿宋"/>
          <w:color w:val="auto"/>
          <w:sz w:val="24"/>
          <w:szCs w:val="24"/>
          <w:highlight w:val="none"/>
        </w:rPr>
      </w:pPr>
      <w:r>
        <w:rPr>
          <w:rFonts w:ascii="仿宋" w:hAnsi="仿宋" w:eastAsia="仿宋" w:cs="仿宋"/>
          <w:b/>
          <w:bCs/>
          <w:color w:val="auto"/>
          <w:spacing w:val="5"/>
          <w:sz w:val="24"/>
          <w:szCs w:val="24"/>
          <w:highlight w:val="none"/>
        </w:rPr>
        <w:t>按</w:t>
      </w:r>
      <w:r>
        <w:rPr>
          <w:rFonts w:ascii="仿宋" w:hAnsi="仿宋" w:eastAsia="仿宋" w:cs="仿宋"/>
          <w:color w:val="auto"/>
          <w:spacing w:val="5"/>
          <w:sz w:val="24"/>
          <w:szCs w:val="24"/>
          <w:highlight w:val="none"/>
        </w:rPr>
        <w:t xml:space="preserve"> </w:t>
      </w:r>
      <w:r>
        <w:rPr>
          <w:rFonts w:ascii="仿宋" w:hAnsi="仿宋" w:eastAsia="仿宋" w:cs="仿宋"/>
          <w:b/>
          <w:bCs/>
          <w:color w:val="auto"/>
          <w:spacing w:val="5"/>
          <w:sz w:val="24"/>
          <w:szCs w:val="24"/>
          <w:highlight w:val="none"/>
        </w:rPr>
        <w:t>“工程量清单</w:t>
      </w:r>
      <w:r>
        <w:rPr>
          <w:rFonts w:ascii="仿宋" w:hAnsi="仿宋" w:eastAsia="仿宋" w:cs="仿宋"/>
          <w:color w:val="auto"/>
          <w:spacing w:val="-54"/>
          <w:sz w:val="24"/>
          <w:szCs w:val="24"/>
          <w:highlight w:val="none"/>
        </w:rPr>
        <w:t xml:space="preserve"> </w:t>
      </w:r>
      <w:r>
        <w:rPr>
          <w:rFonts w:ascii="仿宋" w:hAnsi="仿宋" w:eastAsia="仿宋" w:cs="仿宋"/>
          <w:b/>
          <w:bCs/>
          <w:color w:val="auto"/>
          <w:spacing w:val="5"/>
          <w:sz w:val="24"/>
          <w:szCs w:val="24"/>
          <w:highlight w:val="none"/>
        </w:rPr>
        <w:t>”</w:t>
      </w:r>
      <w:r>
        <w:rPr>
          <w:rFonts w:ascii="仿宋" w:hAnsi="仿宋" w:eastAsia="仿宋" w:cs="仿宋"/>
          <w:color w:val="auto"/>
          <w:spacing w:val="-76"/>
          <w:sz w:val="24"/>
          <w:szCs w:val="24"/>
          <w:highlight w:val="none"/>
        </w:rPr>
        <w:t xml:space="preserve"> </w:t>
      </w:r>
      <w:r>
        <w:rPr>
          <w:rFonts w:ascii="仿宋" w:hAnsi="仿宋" w:eastAsia="仿宋" w:cs="仿宋"/>
          <w:b/>
          <w:bCs/>
          <w:color w:val="auto"/>
          <w:spacing w:val="5"/>
          <w:sz w:val="24"/>
          <w:szCs w:val="24"/>
          <w:highlight w:val="none"/>
        </w:rPr>
        <w:t>中的相关表格及投标报价说明填写</w:t>
      </w:r>
    </w:p>
    <w:p w14:paraId="45228EF0">
      <w:pPr>
        <w:pStyle w:val="2"/>
        <w:spacing w:line="309" w:lineRule="auto"/>
        <w:rPr>
          <w:color w:val="auto"/>
          <w:sz w:val="20"/>
          <w:szCs w:val="20"/>
          <w:highlight w:val="none"/>
        </w:rPr>
      </w:pPr>
    </w:p>
    <w:p w14:paraId="20FFE5FC">
      <w:pPr>
        <w:spacing w:before="78" w:line="360" w:lineRule="auto"/>
        <w:ind w:firstLine="481"/>
        <w:jc w:val="both"/>
        <w:rPr>
          <w:rFonts w:ascii="宋体" w:hAnsi="宋体" w:eastAsia="宋体" w:cs="宋体"/>
          <w:color w:val="auto"/>
          <w:sz w:val="20"/>
          <w:szCs w:val="20"/>
          <w:highlight w:val="none"/>
        </w:rPr>
      </w:pPr>
      <w:r>
        <w:rPr>
          <w:rFonts w:ascii="宋体" w:hAnsi="宋体" w:eastAsia="宋体" w:cs="宋体"/>
          <w:b/>
          <w:bCs/>
          <w:color w:val="auto"/>
          <w:spacing w:val="1"/>
          <w:sz w:val="20"/>
          <w:szCs w:val="20"/>
          <w:highlight w:val="none"/>
        </w:rPr>
        <w:t>说明：二次报价或最后报价与首次报价相比有调整的，请供应商提前准备好调</w:t>
      </w:r>
      <w:r>
        <w:rPr>
          <w:rFonts w:ascii="宋体" w:hAnsi="宋体" w:eastAsia="宋体" w:cs="宋体"/>
          <w:b/>
          <w:bCs/>
          <w:color w:val="auto"/>
          <w:sz w:val="20"/>
          <w:szCs w:val="20"/>
          <w:highlight w:val="none"/>
        </w:rPr>
        <w:t>整后的已</w:t>
      </w:r>
      <w:r>
        <w:rPr>
          <w:rFonts w:ascii="宋体" w:hAnsi="宋体" w:eastAsia="宋体" w:cs="宋体"/>
          <w:color w:val="auto"/>
          <w:sz w:val="20"/>
          <w:szCs w:val="20"/>
          <w:highlight w:val="none"/>
        </w:rPr>
        <w:t xml:space="preserve"> </w:t>
      </w:r>
      <w:r>
        <w:rPr>
          <w:rFonts w:ascii="宋体" w:hAnsi="宋体" w:eastAsia="宋体" w:cs="宋体"/>
          <w:b/>
          <w:bCs/>
          <w:color w:val="auto"/>
          <w:sz w:val="20"/>
          <w:szCs w:val="20"/>
          <w:highlight w:val="none"/>
        </w:rPr>
        <w:t>标价工程量清单（已标价工程量清单合计金额须与相对应的竞标总报价金额保持一致</w:t>
      </w:r>
      <w:r>
        <w:rPr>
          <w:rFonts w:ascii="宋体" w:hAnsi="宋体" w:eastAsia="宋体" w:cs="宋体"/>
          <w:b/>
          <w:bCs/>
          <w:color w:val="auto"/>
          <w:spacing w:val="15"/>
          <w:sz w:val="20"/>
          <w:szCs w:val="20"/>
          <w:highlight w:val="none"/>
        </w:rPr>
        <w:t>），</w:t>
      </w:r>
      <w:r>
        <w:rPr>
          <w:rFonts w:ascii="宋体" w:hAnsi="宋体" w:eastAsia="宋体" w:cs="宋体"/>
          <w:b/>
          <w:bCs/>
          <w:color w:val="auto"/>
          <w:sz w:val="20"/>
          <w:szCs w:val="20"/>
          <w:highlight w:val="none"/>
        </w:rPr>
        <w:t>如</w:t>
      </w:r>
      <w:r>
        <w:rPr>
          <w:rFonts w:ascii="宋体" w:hAnsi="宋体" w:eastAsia="宋体" w:cs="宋体"/>
          <w:color w:val="auto"/>
          <w:spacing w:val="1"/>
          <w:sz w:val="20"/>
          <w:szCs w:val="20"/>
          <w:highlight w:val="none"/>
        </w:rPr>
        <w:t xml:space="preserve"> </w:t>
      </w:r>
      <w:r>
        <w:rPr>
          <w:rFonts w:ascii="宋体" w:hAnsi="宋体" w:eastAsia="宋体" w:cs="宋体"/>
          <w:b/>
          <w:bCs/>
          <w:color w:val="auto"/>
          <w:spacing w:val="-2"/>
          <w:sz w:val="20"/>
          <w:szCs w:val="20"/>
          <w:highlight w:val="none"/>
        </w:rPr>
        <w:t>未在规定时间内提供调整后的已标价工程量清单，由此造成的后果供应商自行承担。</w:t>
      </w:r>
    </w:p>
    <w:p w14:paraId="008E8ED3">
      <w:pPr>
        <w:pStyle w:val="2"/>
        <w:spacing w:line="247" w:lineRule="auto"/>
        <w:rPr>
          <w:color w:val="auto"/>
          <w:highlight w:val="none"/>
        </w:rPr>
      </w:pPr>
    </w:p>
    <w:p w14:paraId="58B73708">
      <w:pPr>
        <w:pStyle w:val="2"/>
        <w:spacing w:line="247" w:lineRule="auto"/>
        <w:rPr>
          <w:color w:val="auto"/>
          <w:highlight w:val="none"/>
        </w:rPr>
      </w:pPr>
    </w:p>
    <w:p w14:paraId="3480849E">
      <w:pPr>
        <w:pStyle w:val="2"/>
        <w:spacing w:line="247" w:lineRule="auto"/>
        <w:rPr>
          <w:color w:val="auto"/>
          <w:highlight w:val="none"/>
        </w:rPr>
      </w:pPr>
    </w:p>
    <w:p w14:paraId="06A5AB4B">
      <w:pPr>
        <w:pStyle w:val="2"/>
        <w:spacing w:line="248" w:lineRule="auto"/>
        <w:rPr>
          <w:color w:val="auto"/>
          <w:highlight w:val="none"/>
        </w:rPr>
      </w:pPr>
    </w:p>
    <w:p w14:paraId="44A73E87">
      <w:pPr>
        <w:pStyle w:val="2"/>
        <w:spacing w:line="248" w:lineRule="auto"/>
        <w:rPr>
          <w:color w:val="auto"/>
          <w:highlight w:val="none"/>
        </w:rPr>
      </w:pPr>
    </w:p>
    <w:p w14:paraId="210C89D5">
      <w:pPr>
        <w:pStyle w:val="2"/>
        <w:spacing w:line="248" w:lineRule="auto"/>
        <w:rPr>
          <w:color w:val="auto"/>
          <w:highlight w:val="none"/>
        </w:rPr>
      </w:pPr>
    </w:p>
    <w:p w14:paraId="33D3576A">
      <w:pPr>
        <w:pStyle w:val="2"/>
        <w:spacing w:line="248" w:lineRule="auto"/>
        <w:rPr>
          <w:color w:val="auto"/>
          <w:highlight w:val="none"/>
        </w:rPr>
      </w:pPr>
    </w:p>
    <w:p w14:paraId="44AFE511">
      <w:pPr>
        <w:pStyle w:val="2"/>
        <w:spacing w:line="248" w:lineRule="auto"/>
        <w:rPr>
          <w:color w:val="auto"/>
          <w:highlight w:val="none"/>
        </w:rPr>
      </w:pPr>
    </w:p>
    <w:p w14:paraId="69344611">
      <w:pPr>
        <w:pStyle w:val="2"/>
        <w:spacing w:line="248" w:lineRule="auto"/>
        <w:rPr>
          <w:color w:val="auto"/>
          <w:highlight w:val="none"/>
        </w:rPr>
      </w:pPr>
    </w:p>
    <w:p w14:paraId="01388A7F">
      <w:pPr>
        <w:pStyle w:val="2"/>
        <w:spacing w:line="248" w:lineRule="auto"/>
        <w:rPr>
          <w:color w:val="auto"/>
          <w:highlight w:val="none"/>
        </w:rPr>
      </w:pPr>
    </w:p>
    <w:p w14:paraId="7799D93A">
      <w:pPr>
        <w:pStyle w:val="2"/>
        <w:spacing w:line="248" w:lineRule="auto"/>
        <w:rPr>
          <w:color w:val="auto"/>
          <w:highlight w:val="none"/>
        </w:rPr>
      </w:pPr>
    </w:p>
    <w:p w14:paraId="4415C0F0">
      <w:pPr>
        <w:pStyle w:val="2"/>
        <w:spacing w:line="248" w:lineRule="auto"/>
        <w:rPr>
          <w:color w:val="auto"/>
          <w:highlight w:val="none"/>
        </w:rPr>
      </w:pPr>
    </w:p>
    <w:p w14:paraId="3E777D6E">
      <w:pPr>
        <w:pStyle w:val="2"/>
        <w:spacing w:line="248" w:lineRule="auto"/>
        <w:rPr>
          <w:color w:val="auto"/>
          <w:highlight w:val="none"/>
        </w:rPr>
      </w:pPr>
    </w:p>
    <w:p w14:paraId="0B5C3C9F">
      <w:pPr>
        <w:pStyle w:val="2"/>
        <w:spacing w:line="248" w:lineRule="auto"/>
        <w:rPr>
          <w:color w:val="auto"/>
          <w:highlight w:val="none"/>
        </w:rPr>
      </w:pPr>
    </w:p>
    <w:p w14:paraId="75189B6D">
      <w:pPr>
        <w:pStyle w:val="2"/>
        <w:spacing w:line="248" w:lineRule="auto"/>
        <w:rPr>
          <w:color w:val="auto"/>
          <w:highlight w:val="none"/>
        </w:rPr>
      </w:pPr>
    </w:p>
    <w:p w14:paraId="6CD7CDCF">
      <w:pPr>
        <w:pStyle w:val="2"/>
        <w:spacing w:line="248" w:lineRule="auto"/>
        <w:rPr>
          <w:color w:val="auto"/>
          <w:highlight w:val="none"/>
        </w:rPr>
      </w:pPr>
    </w:p>
    <w:p w14:paraId="7D5982E0">
      <w:pPr>
        <w:pStyle w:val="2"/>
        <w:spacing w:line="248" w:lineRule="auto"/>
        <w:rPr>
          <w:color w:val="auto"/>
          <w:highlight w:val="none"/>
        </w:rPr>
      </w:pPr>
    </w:p>
    <w:p w14:paraId="19297C62">
      <w:pPr>
        <w:pStyle w:val="2"/>
        <w:spacing w:line="248" w:lineRule="auto"/>
        <w:rPr>
          <w:color w:val="auto"/>
          <w:highlight w:val="none"/>
        </w:rPr>
      </w:pPr>
    </w:p>
    <w:p w14:paraId="375BF1AB">
      <w:pPr>
        <w:pStyle w:val="2"/>
        <w:spacing w:line="248" w:lineRule="auto"/>
        <w:rPr>
          <w:color w:val="auto"/>
          <w:highlight w:val="none"/>
        </w:rPr>
      </w:pPr>
    </w:p>
    <w:p w14:paraId="6AD508B5">
      <w:pPr>
        <w:pStyle w:val="2"/>
        <w:spacing w:line="248" w:lineRule="auto"/>
        <w:rPr>
          <w:color w:val="auto"/>
          <w:highlight w:val="none"/>
        </w:rPr>
      </w:pPr>
    </w:p>
    <w:p w14:paraId="5451432D">
      <w:pPr>
        <w:pStyle w:val="2"/>
        <w:spacing w:line="248" w:lineRule="auto"/>
        <w:rPr>
          <w:color w:val="auto"/>
          <w:highlight w:val="none"/>
        </w:rPr>
      </w:pPr>
    </w:p>
    <w:p w14:paraId="279973DF">
      <w:pPr>
        <w:pStyle w:val="2"/>
        <w:spacing w:line="248" w:lineRule="auto"/>
        <w:rPr>
          <w:color w:val="auto"/>
          <w:highlight w:val="none"/>
        </w:rPr>
      </w:pPr>
    </w:p>
    <w:p w14:paraId="60BA32B8">
      <w:pPr>
        <w:pStyle w:val="2"/>
        <w:spacing w:line="248" w:lineRule="auto"/>
        <w:rPr>
          <w:color w:val="auto"/>
          <w:highlight w:val="none"/>
        </w:rPr>
      </w:pPr>
    </w:p>
    <w:p w14:paraId="16B1B8BB">
      <w:pPr>
        <w:pStyle w:val="2"/>
        <w:spacing w:line="248" w:lineRule="auto"/>
        <w:rPr>
          <w:color w:val="auto"/>
          <w:highlight w:val="none"/>
        </w:rPr>
      </w:pPr>
    </w:p>
    <w:p w14:paraId="615BAF0F">
      <w:pPr>
        <w:pStyle w:val="2"/>
        <w:spacing w:line="248" w:lineRule="auto"/>
        <w:rPr>
          <w:color w:val="auto"/>
          <w:highlight w:val="none"/>
        </w:rPr>
      </w:pPr>
    </w:p>
    <w:p w14:paraId="2AB5654E">
      <w:pPr>
        <w:pStyle w:val="2"/>
        <w:spacing w:line="248" w:lineRule="auto"/>
        <w:rPr>
          <w:color w:val="auto"/>
          <w:highlight w:val="none"/>
        </w:rPr>
      </w:pPr>
    </w:p>
    <w:p w14:paraId="4A5F6E97">
      <w:pPr>
        <w:spacing w:before="98" w:line="219" w:lineRule="auto"/>
        <w:ind w:left="629"/>
        <w:rPr>
          <w:rFonts w:ascii="宋体" w:hAnsi="宋体" w:eastAsia="宋体" w:cs="宋体"/>
          <w:color w:val="auto"/>
          <w:sz w:val="30"/>
          <w:szCs w:val="30"/>
          <w:highlight w:val="none"/>
        </w:rPr>
      </w:pPr>
      <w:r>
        <w:rPr>
          <w:rFonts w:ascii="宋体" w:hAnsi="宋体" w:eastAsia="宋体" w:cs="宋体"/>
          <w:b/>
          <w:bCs/>
          <w:color w:val="auto"/>
          <w:spacing w:val="-5"/>
          <w:sz w:val="30"/>
          <w:szCs w:val="30"/>
          <w:highlight w:val="none"/>
        </w:rPr>
        <w:t>四、供应商认为需要提供的其他有关资料</w:t>
      </w:r>
    </w:p>
    <w:p w14:paraId="5AFCE9D4">
      <w:pPr>
        <w:pStyle w:val="2"/>
        <w:spacing w:line="267" w:lineRule="auto"/>
        <w:rPr>
          <w:color w:val="auto"/>
          <w:highlight w:val="none"/>
        </w:rPr>
      </w:pPr>
    </w:p>
    <w:p w14:paraId="7D1EA1D8">
      <w:pPr>
        <w:pStyle w:val="2"/>
        <w:spacing w:line="268" w:lineRule="auto"/>
        <w:rPr>
          <w:color w:val="auto"/>
          <w:highlight w:val="none"/>
        </w:rPr>
      </w:pPr>
    </w:p>
    <w:p w14:paraId="441AE299">
      <w:pPr>
        <w:pStyle w:val="2"/>
        <w:spacing w:line="268" w:lineRule="auto"/>
        <w:rPr>
          <w:color w:val="auto"/>
          <w:highlight w:val="none"/>
        </w:rPr>
      </w:pPr>
    </w:p>
    <w:p w14:paraId="26C3C6EB">
      <w:pPr>
        <w:pStyle w:val="2"/>
        <w:spacing w:line="268" w:lineRule="auto"/>
        <w:rPr>
          <w:color w:val="auto"/>
          <w:highlight w:val="none"/>
        </w:rPr>
      </w:pPr>
    </w:p>
    <w:p w14:paraId="65BEB208">
      <w:pPr>
        <w:pStyle w:val="2"/>
        <w:spacing w:line="268" w:lineRule="auto"/>
        <w:rPr>
          <w:color w:val="auto"/>
          <w:highlight w:val="none"/>
        </w:rPr>
      </w:pPr>
    </w:p>
    <w:p w14:paraId="06C8703D">
      <w:pPr>
        <w:spacing w:before="78" w:line="360" w:lineRule="auto"/>
        <w:ind w:firstLine="5452" w:firstLineChars="2726"/>
        <w:jc w:val="both"/>
        <w:rPr>
          <w:rFonts w:ascii="宋体" w:hAnsi="宋体" w:eastAsia="宋体" w:cs="宋体"/>
          <w:b w:val="0"/>
          <w:bCs w:val="0"/>
          <w:color w:val="auto"/>
          <w:sz w:val="20"/>
          <w:szCs w:val="20"/>
          <w:highlight w:val="none"/>
        </w:rPr>
      </w:pPr>
      <w:r>
        <w:rPr>
          <w:rFonts w:ascii="宋体" w:hAnsi="宋体" w:eastAsia="宋体" w:cs="宋体"/>
          <w:b w:val="0"/>
          <w:bCs w:val="0"/>
          <w:color w:val="auto"/>
          <w:sz w:val="20"/>
          <w:szCs w:val="20"/>
          <w:highlight w:val="none"/>
        </w:rPr>
        <w:t>供应商名称（电子签章）：</w:t>
      </w:r>
    </w:p>
    <w:p w14:paraId="3B2972E2">
      <w:pPr>
        <w:spacing w:before="78" w:line="360" w:lineRule="auto"/>
        <w:ind w:firstLine="5452" w:firstLineChars="2726"/>
        <w:jc w:val="both"/>
        <w:rPr>
          <w:rFonts w:ascii="宋体" w:hAnsi="宋体" w:eastAsia="宋体" w:cs="宋体"/>
          <w:b w:val="0"/>
          <w:bCs w:val="0"/>
          <w:color w:val="auto"/>
          <w:sz w:val="20"/>
          <w:szCs w:val="20"/>
          <w:highlight w:val="none"/>
        </w:rPr>
      </w:pPr>
      <w:r>
        <w:rPr>
          <w:rFonts w:ascii="宋体" w:hAnsi="宋体" w:eastAsia="宋体" w:cs="宋体"/>
          <w:b w:val="0"/>
          <w:bCs w:val="0"/>
          <w:color w:val="auto"/>
          <w:sz w:val="20"/>
          <w:szCs w:val="20"/>
          <w:highlight w:val="none"/>
        </w:rPr>
        <w:t>日期：  年  月</w:t>
      </w:r>
    </w:p>
    <w:p w14:paraId="6E383DBE">
      <w:pPr>
        <w:spacing w:before="78" w:line="360" w:lineRule="auto"/>
        <w:ind w:firstLine="481"/>
        <w:jc w:val="both"/>
        <w:rPr>
          <w:rFonts w:ascii="宋体" w:hAnsi="宋体" w:eastAsia="宋体" w:cs="宋体"/>
          <w:b w:val="0"/>
          <w:bCs w:val="0"/>
          <w:color w:val="auto"/>
          <w:sz w:val="20"/>
          <w:szCs w:val="20"/>
          <w:highlight w:val="none"/>
        </w:rPr>
        <w:sectPr>
          <w:footerReference r:id="rId80" w:type="default"/>
          <w:pgSz w:w="11906" w:h="16839"/>
          <w:pgMar w:top="400" w:right="1082" w:bottom="909" w:left="1090" w:header="0" w:footer="673" w:gutter="0"/>
          <w:cols w:space="720" w:num="1"/>
        </w:sectPr>
      </w:pPr>
    </w:p>
    <w:p w14:paraId="186B625B">
      <w:pPr>
        <w:pStyle w:val="2"/>
        <w:spacing w:line="245" w:lineRule="auto"/>
        <w:rPr>
          <w:color w:val="auto"/>
          <w:highlight w:val="none"/>
        </w:rPr>
      </w:pPr>
    </w:p>
    <w:p w14:paraId="4C46D248">
      <w:pPr>
        <w:pStyle w:val="2"/>
        <w:spacing w:line="245" w:lineRule="auto"/>
        <w:rPr>
          <w:color w:val="auto"/>
          <w:highlight w:val="none"/>
        </w:rPr>
      </w:pPr>
    </w:p>
    <w:p w14:paraId="417B8938">
      <w:pPr>
        <w:pStyle w:val="2"/>
        <w:spacing w:line="245" w:lineRule="auto"/>
        <w:rPr>
          <w:color w:val="auto"/>
          <w:highlight w:val="none"/>
        </w:rPr>
      </w:pPr>
    </w:p>
    <w:p w14:paraId="2526F925">
      <w:pPr>
        <w:pStyle w:val="2"/>
        <w:spacing w:line="245" w:lineRule="auto"/>
        <w:rPr>
          <w:color w:val="auto"/>
          <w:highlight w:val="none"/>
        </w:rPr>
      </w:pPr>
    </w:p>
    <w:p w14:paraId="3EA5E0CA">
      <w:pPr>
        <w:pStyle w:val="2"/>
        <w:spacing w:line="245" w:lineRule="auto"/>
        <w:rPr>
          <w:color w:val="auto"/>
          <w:highlight w:val="none"/>
        </w:rPr>
      </w:pPr>
    </w:p>
    <w:p w14:paraId="70E160D9">
      <w:pPr>
        <w:pStyle w:val="2"/>
        <w:spacing w:line="245" w:lineRule="auto"/>
        <w:rPr>
          <w:color w:val="auto"/>
          <w:highlight w:val="none"/>
        </w:rPr>
      </w:pPr>
    </w:p>
    <w:p w14:paraId="3E00BE76">
      <w:pPr>
        <w:pStyle w:val="2"/>
        <w:spacing w:line="245" w:lineRule="auto"/>
        <w:rPr>
          <w:color w:val="auto"/>
          <w:highlight w:val="none"/>
        </w:rPr>
      </w:pPr>
    </w:p>
    <w:p w14:paraId="6288556B">
      <w:pPr>
        <w:spacing w:before="101" w:line="225" w:lineRule="auto"/>
        <w:ind w:left="2369"/>
        <w:outlineLvl w:val="1"/>
        <w:rPr>
          <w:rFonts w:ascii="宋体" w:hAnsi="宋体" w:eastAsia="宋体" w:cs="宋体"/>
          <w:color w:val="auto"/>
          <w:sz w:val="31"/>
          <w:szCs w:val="31"/>
          <w:highlight w:val="none"/>
        </w:rPr>
      </w:pPr>
      <w:bookmarkStart w:id="24" w:name="_Toc13736"/>
      <w:r>
        <w:rPr>
          <w:rFonts w:ascii="宋体" w:hAnsi="宋体" w:eastAsia="宋体" w:cs="宋体"/>
          <w:color w:val="auto"/>
          <w:spacing w:val="8"/>
          <w:sz w:val="31"/>
          <w:szCs w:val="31"/>
          <w:highlight w:val="none"/>
        </w:rPr>
        <w:t>第五节 其他文书、文件格式</w:t>
      </w:r>
      <w:bookmarkEnd w:id="24"/>
    </w:p>
    <w:p w14:paraId="49DE996B">
      <w:pPr>
        <w:pStyle w:val="2"/>
        <w:spacing w:line="443" w:lineRule="auto"/>
        <w:rPr>
          <w:color w:val="auto"/>
          <w:highlight w:val="none"/>
        </w:rPr>
      </w:pPr>
    </w:p>
    <w:p w14:paraId="04DEB1C1">
      <w:pPr>
        <w:spacing w:before="101" w:line="225" w:lineRule="auto"/>
        <w:ind w:left="2929"/>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知识产权合规性声明</w:t>
      </w:r>
    </w:p>
    <w:p w14:paraId="139DC237">
      <w:pPr>
        <w:pStyle w:val="2"/>
        <w:spacing w:line="371" w:lineRule="auto"/>
        <w:rPr>
          <w:color w:val="auto"/>
          <w:sz w:val="20"/>
          <w:szCs w:val="20"/>
          <w:highlight w:val="none"/>
        </w:rPr>
      </w:pPr>
    </w:p>
    <w:p w14:paraId="66F6980B">
      <w:pPr>
        <w:spacing w:before="91" w:line="437" w:lineRule="auto"/>
        <w:ind w:firstLine="563"/>
        <w:jc w:val="both"/>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本企业（单位）自愿参与政府投资政府采购的</w:t>
      </w:r>
      <w:r>
        <w:rPr>
          <w:rFonts w:ascii="宋体" w:hAnsi="宋体" w:eastAsia="宋体" w:cs="宋体"/>
          <w:color w:val="auto"/>
          <w:spacing w:val="29"/>
          <w:sz w:val="20"/>
          <w:szCs w:val="20"/>
          <w:highlight w:val="none"/>
          <w:u w:val="single" w:color="auto"/>
        </w:rPr>
        <w:t xml:space="preserve">    </w:t>
      </w:r>
      <w:r>
        <w:rPr>
          <w:rFonts w:ascii="宋体" w:hAnsi="宋体" w:eastAsia="宋体" w:cs="宋体"/>
          <w:color w:val="auto"/>
          <w:spacing w:val="-3"/>
          <w:sz w:val="20"/>
          <w:szCs w:val="20"/>
          <w:highlight w:val="none"/>
          <w:u w:val="single" w:color="auto"/>
        </w:rPr>
        <w:t>（项目名称</w:t>
      </w:r>
      <w:r>
        <w:rPr>
          <w:rFonts w:ascii="宋体" w:hAnsi="宋体" w:eastAsia="宋体" w:cs="宋体"/>
          <w:color w:val="auto"/>
          <w:spacing w:val="-4"/>
          <w:sz w:val="20"/>
          <w:szCs w:val="20"/>
          <w:highlight w:val="none"/>
          <w:u w:val="single" w:color="auto"/>
        </w:rPr>
        <w:t>）</w:t>
      </w:r>
      <w:r>
        <w:rPr>
          <w:rFonts w:ascii="宋体" w:hAnsi="宋体" w:eastAsia="宋体" w:cs="宋体"/>
          <w:color w:val="auto"/>
          <w:spacing w:val="-4"/>
          <w:sz w:val="20"/>
          <w:szCs w:val="20"/>
          <w:highlight w:val="none"/>
        </w:rPr>
        <w:t>项</w:t>
      </w:r>
      <w:r>
        <w:rPr>
          <w:rFonts w:ascii="宋体" w:hAnsi="宋体" w:eastAsia="宋体" w:cs="宋体"/>
          <w:color w:val="auto"/>
          <w:spacing w:val="3"/>
          <w:sz w:val="20"/>
          <w:szCs w:val="20"/>
          <w:highlight w:val="none"/>
        </w:rPr>
        <w:t xml:space="preserve"> </w:t>
      </w:r>
      <w:r>
        <w:rPr>
          <w:rFonts w:ascii="宋体" w:hAnsi="宋体" w:eastAsia="宋体" w:cs="宋体"/>
          <w:color w:val="auto"/>
          <w:spacing w:val="1"/>
          <w:sz w:val="20"/>
          <w:szCs w:val="20"/>
          <w:highlight w:val="none"/>
        </w:rPr>
        <w:t>目，</w:t>
      </w:r>
      <w:r>
        <w:rPr>
          <w:rFonts w:ascii="宋体" w:hAnsi="宋体" w:eastAsia="宋体" w:cs="宋体"/>
          <w:b/>
          <w:bCs/>
          <w:color w:val="auto"/>
          <w:spacing w:val="1"/>
          <w:sz w:val="20"/>
          <w:szCs w:val="20"/>
          <w:highlight w:val="none"/>
        </w:rPr>
        <w:t>在此郑重承诺：</w:t>
      </w:r>
      <w:r>
        <w:rPr>
          <w:rFonts w:ascii="宋体" w:hAnsi="宋体" w:eastAsia="宋体" w:cs="宋体"/>
          <w:color w:val="auto"/>
          <w:spacing w:val="1"/>
          <w:sz w:val="20"/>
          <w:szCs w:val="20"/>
          <w:highlight w:val="none"/>
        </w:rPr>
        <w:t>遵守中国知识产权法律、法规</w:t>
      </w:r>
      <w:r>
        <w:rPr>
          <w:rFonts w:ascii="宋体" w:hAnsi="宋体" w:eastAsia="宋体" w:cs="宋体"/>
          <w:color w:val="auto"/>
          <w:sz w:val="20"/>
          <w:szCs w:val="20"/>
          <w:highlight w:val="none"/>
        </w:rPr>
        <w:t xml:space="preserve">、规章、规范性文件 </w:t>
      </w:r>
      <w:r>
        <w:rPr>
          <w:rFonts w:ascii="宋体" w:hAnsi="宋体" w:eastAsia="宋体" w:cs="宋体"/>
          <w:color w:val="auto"/>
          <w:spacing w:val="1"/>
          <w:sz w:val="20"/>
          <w:szCs w:val="20"/>
          <w:highlight w:val="none"/>
        </w:rPr>
        <w:t>及在中国适用的与知识产权有关的国际公约，所参与项目的知识产权明</w:t>
      </w:r>
      <w:r>
        <w:rPr>
          <w:rFonts w:ascii="宋体" w:hAnsi="宋体" w:eastAsia="宋体" w:cs="宋体"/>
          <w:color w:val="auto"/>
          <w:spacing w:val="9"/>
          <w:sz w:val="20"/>
          <w:szCs w:val="20"/>
          <w:highlight w:val="none"/>
        </w:rPr>
        <w:t xml:space="preserve"> </w:t>
      </w:r>
      <w:r>
        <w:rPr>
          <w:rFonts w:ascii="宋体" w:hAnsi="宋体" w:eastAsia="宋体" w:cs="宋体"/>
          <w:color w:val="auto"/>
          <w:spacing w:val="1"/>
          <w:sz w:val="20"/>
          <w:szCs w:val="20"/>
          <w:highlight w:val="none"/>
        </w:rPr>
        <w:t>晰无争议，归属或技术来源正当合法。近三年在知识产权领域不存在违</w:t>
      </w:r>
      <w:r>
        <w:rPr>
          <w:rFonts w:ascii="宋体" w:hAnsi="宋体" w:eastAsia="宋体" w:cs="宋体"/>
          <w:color w:val="auto"/>
          <w:spacing w:val="9"/>
          <w:sz w:val="20"/>
          <w:szCs w:val="20"/>
          <w:highlight w:val="none"/>
        </w:rPr>
        <w:t xml:space="preserve"> </w:t>
      </w:r>
      <w:r>
        <w:rPr>
          <w:rFonts w:ascii="宋体" w:hAnsi="宋体" w:eastAsia="宋体" w:cs="宋体"/>
          <w:color w:val="auto"/>
          <w:spacing w:val="1"/>
          <w:sz w:val="20"/>
          <w:szCs w:val="20"/>
          <w:highlight w:val="none"/>
        </w:rPr>
        <w:t>反法律、法规、规章及其他规范性文件的失信行为。所参与的项目不对</w:t>
      </w:r>
      <w:r>
        <w:rPr>
          <w:rFonts w:ascii="宋体" w:hAnsi="宋体" w:eastAsia="宋体" w:cs="宋体"/>
          <w:color w:val="auto"/>
          <w:spacing w:val="9"/>
          <w:sz w:val="20"/>
          <w:szCs w:val="20"/>
          <w:highlight w:val="none"/>
        </w:rPr>
        <w:t xml:space="preserve"> </w:t>
      </w:r>
      <w:r>
        <w:rPr>
          <w:rFonts w:ascii="宋体" w:hAnsi="宋体" w:eastAsia="宋体" w:cs="宋体"/>
          <w:color w:val="auto"/>
          <w:spacing w:val="1"/>
          <w:sz w:val="20"/>
          <w:szCs w:val="20"/>
          <w:highlight w:val="none"/>
        </w:rPr>
        <w:t>其他单位及个人的知识产权构成侵权。如经核查确有违反上述承诺应遵</w:t>
      </w:r>
      <w:r>
        <w:rPr>
          <w:rFonts w:ascii="宋体" w:hAnsi="宋体" w:eastAsia="宋体" w:cs="宋体"/>
          <w:color w:val="auto"/>
          <w:spacing w:val="9"/>
          <w:sz w:val="20"/>
          <w:szCs w:val="20"/>
          <w:highlight w:val="none"/>
        </w:rPr>
        <w:t xml:space="preserve"> </w:t>
      </w:r>
      <w:r>
        <w:rPr>
          <w:rFonts w:ascii="宋体" w:hAnsi="宋体" w:eastAsia="宋体" w:cs="宋体"/>
          <w:color w:val="auto"/>
          <w:spacing w:val="-1"/>
          <w:sz w:val="20"/>
          <w:szCs w:val="20"/>
          <w:highlight w:val="none"/>
        </w:rPr>
        <w:t>守的行为，本企业（单位）将承担由此产生的全部责任。</w:t>
      </w:r>
    </w:p>
    <w:p w14:paraId="52594179">
      <w:pPr>
        <w:pStyle w:val="2"/>
        <w:spacing w:line="258" w:lineRule="auto"/>
        <w:rPr>
          <w:color w:val="auto"/>
          <w:sz w:val="20"/>
          <w:szCs w:val="20"/>
          <w:highlight w:val="none"/>
        </w:rPr>
      </w:pPr>
    </w:p>
    <w:p w14:paraId="785270E1">
      <w:pPr>
        <w:pStyle w:val="2"/>
        <w:spacing w:line="258" w:lineRule="auto"/>
        <w:rPr>
          <w:color w:val="auto"/>
          <w:sz w:val="20"/>
          <w:szCs w:val="20"/>
          <w:highlight w:val="none"/>
        </w:rPr>
      </w:pPr>
    </w:p>
    <w:p w14:paraId="31D9AC60">
      <w:pPr>
        <w:pStyle w:val="2"/>
        <w:spacing w:line="259" w:lineRule="auto"/>
        <w:rPr>
          <w:color w:val="auto"/>
          <w:sz w:val="20"/>
          <w:szCs w:val="20"/>
          <w:highlight w:val="none"/>
        </w:rPr>
      </w:pPr>
    </w:p>
    <w:p w14:paraId="749E8417">
      <w:pPr>
        <w:pStyle w:val="2"/>
        <w:spacing w:line="259" w:lineRule="auto"/>
        <w:rPr>
          <w:color w:val="auto"/>
          <w:sz w:val="20"/>
          <w:szCs w:val="20"/>
          <w:highlight w:val="none"/>
        </w:rPr>
      </w:pPr>
    </w:p>
    <w:p w14:paraId="6097EC81">
      <w:pPr>
        <w:pStyle w:val="2"/>
        <w:spacing w:line="259" w:lineRule="auto"/>
        <w:rPr>
          <w:color w:val="auto"/>
          <w:sz w:val="20"/>
          <w:szCs w:val="20"/>
          <w:highlight w:val="none"/>
        </w:rPr>
      </w:pPr>
    </w:p>
    <w:p w14:paraId="061429E7">
      <w:pPr>
        <w:pStyle w:val="2"/>
        <w:spacing w:line="259" w:lineRule="auto"/>
        <w:rPr>
          <w:color w:val="auto"/>
          <w:sz w:val="20"/>
          <w:szCs w:val="20"/>
          <w:highlight w:val="none"/>
        </w:rPr>
      </w:pPr>
    </w:p>
    <w:p w14:paraId="4745B988">
      <w:pPr>
        <w:pStyle w:val="2"/>
        <w:spacing w:line="259" w:lineRule="auto"/>
        <w:rPr>
          <w:color w:val="auto"/>
          <w:sz w:val="20"/>
          <w:szCs w:val="20"/>
          <w:highlight w:val="none"/>
        </w:rPr>
      </w:pPr>
    </w:p>
    <w:p w14:paraId="6119FBB1">
      <w:pPr>
        <w:pStyle w:val="2"/>
        <w:spacing w:line="259" w:lineRule="auto"/>
        <w:rPr>
          <w:color w:val="auto"/>
          <w:sz w:val="20"/>
          <w:szCs w:val="20"/>
          <w:highlight w:val="none"/>
        </w:rPr>
      </w:pPr>
    </w:p>
    <w:p w14:paraId="6A02682F">
      <w:pPr>
        <w:spacing w:before="91" w:line="220" w:lineRule="auto"/>
        <w:ind w:left="273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供应商名称（电子签章</w:t>
      </w:r>
      <w:r>
        <w:rPr>
          <w:rFonts w:ascii="宋体" w:hAnsi="宋体" w:eastAsia="宋体" w:cs="宋体"/>
          <w:color w:val="auto"/>
          <w:spacing w:val="4"/>
          <w:sz w:val="20"/>
          <w:szCs w:val="20"/>
          <w:highlight w:val="none"/>
        </w:rPr>
        <w:t>）：</w:t>
      </w:r>
    </w:p>
    <w:p w14:paraId="751E7169">
      <w:pPr>
        <w:spacing w:before="297" w:line="221" w:lineRule="auto"/>
        <w:ind w:left="5307"/>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日期：</w:t>
      </w:r>
      <w:r>
        <w:rPr>
          <w:rFonts w:ascii="宋体" w:hAnsi="宋体" w:eastAsia="宋体" w:cs="宋体"/>
          <w:color w:val="auto"/>
          <w:spacing w:val="7"/>
          <w:sz w:val="20"/>
          <w:szCs w:val="20"/>
          <w:highlight w:val="none"/>
        </w:rPr>
        <w:t xml:space="preserve">  </w:t>
      </w:r>
      <w:r>
        <w:rPr>
          <w:rFonts w:ascii="宋体" w:hAnsi="宋体" w:eastAsia="宋体" w:cs="宋体"/>
          <w:color w:val="auto"/>
          <w:spacing w:val="-15"/>
          <w:sz w:val="20"/>
          <w:szCs w:val="20"/>
          <w:highlight w:val="none"/>
        </w:rPr>
        <w:t>年</w:t>
      </w:r>
      <w:r>
        <w:rPr>
          <w:rFonts w:ascii="宋体" w:hAnsi="宋体" w:eastAsia="宋体" w:cs="宋体"/>
          <w:color w:val="auto"/>
          <w:spacing w:val="8"/>
          <w:sz w:val="20"/>
          <w:szCs w:val="20"/>
          <w:highlight w:val="none"/>
        </w:rPr>
        <w:t xml:space="preserve">  </w:t>
      </w:r>
      <w:r>
        <w:rPr>
          <w:rFonts w:ascii="宋体" w:hAnsi="宋体" w:eastAsia="宋体" w:cs="宋体"/>
          <w:color w:val="auto"/>
          <w:spacing w:val="-15"/>
          <w:sz w:val="20"/>
          <w:szCs w:val="20"/>
          <w:highlight w:val="none"/>
        </w:rPr>
        <w:t>月</w:t>
      </w:r>
      <w:r>
        <w:rPr>
          <w:rFonts w:ascii="宋体" w:hAnsi="宋体" w:eastAsia="宋体" w:cs="宋体"/>
          <w:color w:val="auto"/>
          <w:spacing w:val="19"/>
          <w:sz w:val="20"/>
          <w:szCs w:val="20"/>
          <w:highlight w:val="none"/>
        </w:rPr>
        <w:t xml:space="preserve">   </w:t>
      </w:r>
      <w:r>
        <w:rPr>
          <w:rFonts w:ascii="宋体" w:hAnsi="宋体" w:eastAsia="宋体" w:cs="宋体"/>
          <w:color w:val="auto"/>
          <w:spacing w:val="-15"/>
          <w:sz w:val="20"/>
          <w:szCs w:val="20"/>
          <w:highlight w:val="none"/>
        </w:rPr>
        <w:t>日</w:t>
      </w:r>
    </w:p>
    <w:p w14:paraId="36466DBC">
      <w:pPr>
        <w:spacing w:line="221" w:lineRule="auto"/>
        <w:rPr>
          <w:rFonts w:ascii="宋体" w:hAnsi="宋体" w:eastAsia="宋体" w:cs="宋体"/>
          <w:color w:val="auto"/>
          <w:sz w:val="20"/>
          <w:szCs w:val="20"/>
          <w:highlight w:val="none"/>
        </w:rPr>
        <w:sectPr>
          <w:footerReference r:id="rId81" w:type="default"/>
          <w:pgSz w:w="11905" w:h="16839"/>
          <w:pgMar w:top="400" w:right="1584" w:bottom="909" w:left="1596" w:header="0" w:footer="673" w:gutter="0"/>
          <w:cols w:space="720" w:num="1"/>
        </w:sectPr>
      </w:pPr>
    </w:p>
    <w:p w14:paraId="44509EFF">
      <w:pPr>
        <w:pStyle w:val="2"/>
        <w:spacing w:line="270" w:lineRule="auto"/>
        <w:rPr>
          <w:color w:val="auto"/>
          <w:highlight w:val="none"/>
        </w:rPr>
      </w:pPr>
    </w:p>
    <w:p w14:paraId="3155B4DF">
      <w:pPr>
        <w:pStyle w:val="2"/>
        <w:spacing w:line="271" w:lineRule="auto"/>
        <w:rPr>
          <w:color w:val="auto"/>
          <w:highlight w:val="none"/>
        </w:rPr>
      </w:pPr>
    </w:p>
    <w:p w14:paraId="34FCBBD6">
      <w:pPr>
        <w:pStyle w:val="2"/>
        <w:spacing w:line="271" w:lineRule="auto"/>
        <w:rPr>
          <w:color w:val="auto"/>
          <w:highlight w:val="none"/>
        </w:rPr>
      </w:pPr>
    </w:p>
    <w:p w14:paraId="4D7F5790">
      <w:pPr>
        <w:spacing w:before="98" w:line="220" w:lineRule="auto"/>
        <w:ind w:left="3003"/>
        <w:rPr>
          <w:rFonts w:ascii="宋体" w:hAnsi="宋体" w:eastAsia="宋体" w:cs="宋体"/>
          <w:color w:val="auto"/>
          <w:sz w:val="30"/>
          <w:szCs w:val="30"/>
          <w:highlight w:val="none"/>
        </w:rPr>
      </w:pPr>
      <w:r>
        <w:rPr>
          <w:rFonts w:ascii="宋体" w:hAnsi="宋体" w:eastAsia="宋体" w:cs="宋体"/>
          <w:b/>
          <w:bCs/>
          <w:color w:val="auto"/>
          <w:spacing w:val="-4"/>
          <w:sz w:val="30"/>
          <w:szCs w:val="30"/>
          <w:highlight w:val="none"/>
        </w:rPr>
        <w:t>小微企业声明函（工程类）</w:t>
      </w:r>
    </w:p>
    <w:p w14:paraId="62958CC7">
      <w:pPr>
        <w:pStyle w:val="2"/>
        <w:spacing w:line="337" w:lineRule="auto"/>
        <w:rPr>
          <w:color w:val="auto"/>
          <w:highlight w:val="none"/>
        </w:rPr>
      </w:pPr>
    </w:p>
    <w:p w14:paraId="5BA72770">
      <w:pPr>
        <w:spacing w:before="78" w:line="382" w:lineRule="auto"/>
        <w:ind w:left="9" w:right="199" w:firstLine="640"/>
        <w:jc w:val="both"/>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本公司郑重声明，根据《政府采购促进中小企业发展管理办法》（财库﹝2020﹞</w:t>
      </w:r>
      <w:r>
        <w:rPr>
          <w:rFonts w:ascii="宋体" w:hAnsi="宋体" w:eastAsia="宋体" w:cs="宋体"/>
          <w:color w:val="auto"/>
          <w:spacing w:val="1"/>
          <w:sz w:val="20"/>
          <w:szCs w:val="20"/>
          <w:highlight w:val="none"/>
        </w:rPr>
        <w:t xml:space="preserve"> </w:t>
      </w:r>
      <w:r>
        <w:rPr>
          <w:rFonts w:ascii="宋体" w:hAnsi="宋体" w:eastAsia="宋体" w:cs="宋体"/>
          <w:color w:val="auto"/>
          <w:spacing w:val="-1"/>
          <w:sz w:val="20"/>
          <w:szCs w:val="20"/>
          <w:highlight w:val="none"/>
        </w:rPr>
        <w:t>46</w:t>
      </w:r>
      <w:r>
        <w:rPr>
          <w:rFonts w:ascii="宋体" w:hAnsi="宋体" w:eastAsia="宋体" w:cs="宋体"/>
          <w:color w:val="auto"/>
          <w:spacing w:val="-45"/>
          <w:sz w:val="20"/>
          <w:szCs w:val="20"/>
          <w:highlight w:val="none"/>
        </w:rPr>
        <w:t xml:space="preserve"> </w:t>
      </w:r>
      <w:r>
        <w:rPr>
          <w:rFonts w:ascii="宋体" w:hAnsi="宋体" w:eastAsia="宋体" w:cs="宋体"/>
          <w:color w:val="auto"/>
          <w:spacing w:val="-1"/>
          <w:sz w:val="20"/>
          <w:szCs w:val="20"/>
          <w:highlight w:val="none"/>
        </w:rPr>
        <w:t>号）的规定，本公司参加</w:t>
      </w:r>
      <w:r>
        <w:rPr>
          <w:rFonts w:ascii="宋体" w:hAnsi="宋体" w:eastAsia="宋体" w:cs="宋体"/>
          <w:color w:val="auto"/>
          <w:spacing w:val="-1"/>
          <w:sz w:val="20"/>
          <w:szCs w:val="20"/>
          <w:highlight w:val="none"/>
          <w:u w:val="single" w:color="auto"/>
        </w:rPr>
        <w:t>（采购单位）</w:t>
      </w:r>
      <w:r>
        <w:rPr>
          <w:rFonts w:ascii="宋体" w:hAnsi="宋体" w:eastAsia="宋体" w:cs="宋体"/>
          <w:color w:val="auto"/>
          <w:spacing w:val="-2"/>
          <w:sz w:val="20"/>
          <w:szCs w:val="20"/>
          <w:highlight w:val="none"/>
        </w:rPr>
        <w:t>的</w:t>
      </w:r>
      <w:r>
        <w:rPr>
          <w:rFonts w:ascii="宋体" w:hAnsi="宋体" w:eastAsia="宋体" w:cs="宋体"/>
          <w:color w:val="auto"/>
          <w:spacing w:val="-2"/>
          <w:sz w:val="20"/>
          <w:szCs w:val="20"/>
          <w:highlight w:val="none"/>
          <w:u w:val="single" w:color="auto"/>
        </w:rPr>
        <w:t>*************工程</w:t>
      </w:r>
      <w:r>
        <w:rPr>
          <w:rFonts w:ascii="宋体" w:hAnsi="宋体" w:eastAsia="宋体" w:cs="宋体"/>
          <w:color w:val="auto"/>
          <w:spacing w:val="-2"/>
          <w:sz w:val="20"/>
          <w:szCs w:val="20"/>
          <w:highlight w:val="none"/>
        </w:rPr>
        <w:t>采购活动，工程的施工</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单位全部为符合政策要求的小微企业（或者：服务全部由符合政策要求的小微企业承</w:t>
      </w:r>
      <w:r>
        <w:rPr>
          <w:rFonts w:ascii="宋体" w:hAnsi="宋体" w:eastAsia="宋体" w:cs="宋体"/>
          <w:color w:val="auto"/>
          <w:spacing w:val="13"/>
          <w:sz w:val="20"/>
          <w:szCs w:val="20"/>
          <w:highlight w:val="none"/>
        </w:rPr>
        <w:t xml:space="preserve"> </w:t>
      </w:r>
      <w:r>
        <w:rPr>
          <w:rFonts w:ascii="宋体" w:hAnsi="宋体" w:eastAsia="宋体" w:cs="宋体"/>
          <w:color w:val="auto"/>
          <w:spacing w:val="-3"/>
          <w:sz w:val="20"/>
          <w:szCs w:val="20"/>
          <w:highlight w:val="none"/>
        </w:rPr>
        <w:t>接）。相关企业（含联合体中的小微企业、签订分包意向协议的小微企业）的具体情况</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如下：</w:t>
      </w:r>
    </w:p>
    <w:p w14:paraId="699CEB04">
      <w:pPr>
        <w:tabs>
          <w:tab w:val="left" w:pos="136"/>
        </w:tabs>
        <w:spacing w:line="328" w:lineRule="auto"/>
        <w:ind w:firstLine="68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w:t>
      </w:r>
      <w:r>
        <w:rPr>
          <w:rFonts w:ascii="宋体" w:hAnsi="宋体" w:eastAsia="宋体" w:cs="宋体"/>
          <w:color w:val="auto"/>
          <w:spacing w:val="-3"/>
          <w:sz w:val="20"/>
          <w:szCs w:val="20"/>
          <w:highlight w:val="none"/>
          <w:u w:val="single" w:color="auto"/>
        </w:rPr>
        <w:t>（标的名称）</w:t>
      </w:r>
      <w:r>
        <w:rPr>
          <w:rFonts w:ascii="宋体" w:hAnsi="宋体" w:eastAsia="宋体" w:cs="宋体"/>
          <w:color w:val="auto"/>
          <w:spacing w:val="-3"/>
          <w:sz w:val="20"/>
          <w:szCs w:val="20"/>
          <w:highlight w:val="none"/>
        </w:rPr>
        <w:t>，属于</w:t>
      </w:r>
      <w:r>
        <w:rPr>
          <w:rFonts w:ascii="宋体" w:hAnsi="宋体" w:eastAsia="宋体" w:cs="宋体"/>
          <w:color w:val="auto"/>
          <w:spacing w:val="-3"/>
          <w:sz w:val="20"/>
          <w:szCs w:val="20"/>
          <w:highlight w:val="none"/>
          <w:u w:val="single" w:color="auto"/>
        </w:rPr>
        <w:t>（采购文件中明确的所属行业）</w:t>
      </w:r>
      <w:r>
        <w:rPr>
          <w:rFonts w:ascii="宋体" w:hAnsi="宋体" w:eastAsia="宋体" w:cs="宋体"/>
          <w:color w:val="auto"/>
          <w:spacing w:val="-3"/>
          <w:sz w:val="20"/>
          <w:szCs w:val="20"/>
          <w:highlight w:val="none"/>
        </w:rPr>
        <w:t>行业；承建（承接）企业为</w:t>
      </w:r>
      <w:r>
        <w:rPr>
          <w:rFonts w:ascii="宋体" w:hAnsi="宋体" w:eastAsia="宋体" w:cs="宋体"/>
          <w:color w:val="auto"/>
          <w:spacing w:val="1"/>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6"/>
          <w:sz w:val="20"/>
          <w:szCs w:val="20"/>
          <w:highlight w:val="none"/>
          <w:u w:val="single" w:color="auto"/>
        </w:rPr>
        <w:t>（企业名称</w:t>
      </w:r>
      <w:r>
        <w:rPr>
          <w:rFonts w:ascii="宋体" w:hAnsi="宋体" w:eastAsia="宋体" w:cs="宋体"/>
          <w:color w:val="auto"/>
          <w:spacing w:val="17"/>
          <w:sz w:val="20"/>
          <w:szCs w:val="20"/>
          <w:highlight w:val="none"/>
          <w:u w:val="single" w:color="auto"/>
        </w:rPr>
        <w:t>）</w:t>
      </w:r>
      <w:r>
        <w:rPr>
          <w:rFonts w:ascii="宋体" w:hAnsi="宋体" w:eastAsia="宋体" w:cs="宋体"/>
          <w:color w:val="auto"/>
          <w:spacing w:val="17"/>
          <w:sz w:val="20"/>
          <w:szCs w:val="20"/>
          <w:highlight w:val="none"/>
        </w:rPr>
        <w:t>，</w:t>
      </w:r>
      <w:r>
        <w:rPr>
          <w:rFonts w:ascii="宋体" w:hAnsi="宋体" w:eastAsia="宋体" w:cs="宋体"/>
          <w:color w:val="auto"/>
          <w:spacing w:val="-6"/>
          <w:sz w:val="20"/>
          <w:szCs w:val="20"/>
          <w:highlight w:val="none"/>
        </w:rPr>
        <w:t>从业人员</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8"/>
          <w:sz w:val="20"/>
          <w:szCs w:val="20"/>
          <w:highlight w:val="none"/>
        </w:rPr>
        <w:t xml:space="preserve"> </w:t>
      </w:r>
      <w:r>
        <w:rPr>
          <w:rFonts w:ascii="宋体" w:hAnsi="宋体" w:eastAsia="宋体" w:cs="宋体"/>
          <w:color w:val="auto"/>
          <w:spacing w:val="-6"/>
          <w:sz w:val="20"/>
          <w:szCs w:val="20"/>
          <w:highlight w:val="none"/>
        </w:rPr>
        <w:t>人，营业收入为</w:t>
      </w:r>
      <w:r>
        <w:rPr>
          <w:rFonts w:ascii="宋体" w:hAnsi="宋体" w:eastAsia="宋体" w:cs="宋体"/>
          <w:color w:val="auto"/>
          <w:spacing w:val="-119"/>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万元，资产总额为</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w:t>
      </w:r>
      <w:r>
        <w:rPr>
          <w:rFonts w:ascii="宋体" w:hAnsi="宋体" w:eastAsia="宋体" w:cs="宋体"/>
          <w:color w:val="auto"/>
          <w:sz w:val="20"/>
          <w:szCs w:val="20"/>
          <w:highlight w:val="none"/>
        </w:rPr>
        <w:t xml:space="preserve"> 属于</w:t>
      </w:r>
      <w:r>
        <w:rPr>
          <w:rFonts w:ascii="宋体" w:hAnsi="宋体" w:eastAsia="宋体" w:cs="宋体"/>
          <w:color w:val="auto"/>
          <w:sz w:val="20"/>
          <w:szCs w:val="20"/>
          <w:highlight w:val="none"/>
          <w:u w:val="single" w:color="auto"/>
        </w:rPr>
        <w:t>（中型企业、小型企业、微型企业）</w:t>
      </w:r>
      <w:r>
        <w:rPr>
          <w:rFonts w:ascii="宋体" w:hAnsi="宋体" w:eastAsia="宋体" w:cs="宋体"/>
          <w:color w:val="auto"/>
          <w:sz w:val="20"/>
          <w:szCs w:val="20"/>
          <w:highlight w:val="none"/>
        </w:rPr>
        <w:t>；</w:t>
      </w:r>
    </w:p>
    <w:p w14:paraId="7B1EECFA">
      <w:pPr>
        <w:tabs>
          <w:tab w:val="left" w:pos="136"/>
        </w:tabs>
        <w:spacing w:before="208" w:line="328" w:lineRule="auto"/>
        <w:ind w:firstLine="66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w:t>
      </w:r>
      <w:r>
        <w:rPr>
          <w:rFonts w:ascii="宋体" w:hAnsi="宋体" w:eastAsia="宋体" w:cs="宋体"/>
          <w:color w:val="auto"/>
          <w:spacing w:val="-3"/>
          <w:sz w:val="20"/>
          <w:szCs w:val="20"/>
          <w:highlight w:val="none"/>
          <w:u w:val="single" w:color="auto"/>
        </w:rPr>
        <w:t>（标的名称</w:t>
      </w:r>
      <w:r>
        <w:rPr>
          <w:rFonts w:ascii="宋体" w:hAnsi="宋体" w:eastAsia="宋体" w:cs="宋体"/>
          <w:color w:val="auto"/>
          <w:spacing w:val="5"/>
          <w:sz w:val="20"/>
          <w:szCs w:val="20"/>
          <w:highlight w:val="none"/>
          <w:u w:val="single" w:color="auto"/>
        </w:rPr>
        <w:t>）</w:t>
      </w:r>
      <w:r>
        <w:rPr>
          <w:rFonts w:ascii="宋体" w:hAnsi="宋体" w:eastAsia="宋体" w:cs="宋体"/>
          <w:color w:val="auto"/>
          <w:spacing w:val="5"/>
          <w:sz w:val="20"/>
          <w:szCs w:val="20"/>
          <w:highlight w:val="none"/>
        </w:rPr>
        <w:t>，</w:t>
      </w:r>
      <w:r>
        <w:rPr>
          <w:rFonts w:ascii="宋体" w:hAnsi="宋体" w:eastAsia="宋体" w:cs="宋体"/>
          <w:color w:val="auto"/>
          <w:spacing w:val="-3"/>
          <w:sz w:val="20"/>
          <w:szCs w:val="20"/>
          <w:highlight w:val="none"/>
        </w:rPr>
        <w:t>属于</w:t>
      </w:r>
      <w:r>
        <w:rPr>
          <w:rFonts w:ascii="宋体" w:hAnsi="宋体" w:eastAsia="宋体" w:cs="宋体"/>
          <w:color w:val="auto"/>
          <w:spacing w:val="-3"/>
          <w:sz w:val="20"/>
          <w:szCs w:val="20"/>
          <w:highlight w:val="none"/>
          <w:u w:val="single" w:color="auto"/>
        </w:rPr>
        <w:t>（采购文件中明确的所属行业）</w:t>
      </w:r>
      <w:r>
        <w:rPr>
          <w:rFonts w:ascii="宋体" w:hAnsi="宋体" w:eastAsia="宋体" w:cs="宋体"/>
          <w:color w:val="auto"/>
          <w:spacing w:val="-3"/>
          <w:sz w:val="20"/>
          <w:szCs w:val="20"/>
          <w:highlight w:val="none"/>
        </w:rPr>
        <w:t>行业；承建（承接）企业为</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6"/>
          <w:sz w:val="20"/>
          <w:szCs w:val="20"/>
          <w:highlight w:val="none"/>
          <w:u w:val="single" w:color="auto"/>
        </w:rPr>
        <w:t>（企业名称</w:t>
      </w:r>
      <w:r>
        <w:rPr>
          <w:rFonts w:ascii="宋体" w:hAnsi="宋体" w:eastAsia="宋体" w:cs="宋体"/>
          <w:color w:val="auto"/>
          <w:spacing w:val="17"/>
          <w:sz w:val="20"/>
          <w:szCs w:val="20"/>
          <w:highlight w:val="none"/>
          <w:u w:val="single" w:color="auto"/>
        </w:rPr>
        <w:t>）</w:t>
      </w:r>
      <w:r>
        <w:rPr>
          <w:rFonts w:ascii="宋体" w:hAnsi="宋体" w:eastAsia="宋体" w:cs="宋体"/>
          <w:color w:val="auto"/>
          <w:spacing w:val="17"/>
          <w:sz w:val="20"/>
          <w:szCs w:val="20"/>
          <w:highlight w:val="none"/>
        </w:rPr>
        <w:t>，</w:t>
      </w:r>
      <w:r>
        <w:rPr>
          <w:rFonts w:ascii="宋体" w:hAnsi="宋体" w:eastAsia="宋体" w:cs="宋体"/>
          <w:color w:val="auto"/>
          <w:spacing w:val="-6"/>
          <w:sz w:val="20"/>
          <w:szCs w:val="20"/>
          <w:highlight w:val="none"/>
        </w:rPr>
        <w:t>从业人员</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8"/>
          <w:sz w:val="20"/>
          <w:szCs w:val="20"/>
          <w:highlight w:val="none"/>
        </w:rPr>
        <w:t xml:space="preserve"> </w:t>
      </w:r>
      <w:r>
        <w:rPr>
          <w:rFonts w:ascii="宋体" w:hAnsi="宋体" w:eastAsia="宋体" w:cs="宋体"/>
          <w:color w:val="auto"/>
          <w:spacing w:val="-6"/>
          <w:sz w:val="20"/>
          <w:szCs w:val="20"/>
          <w:highlight w:val="none"/>
        </w:rPr>
        <w:t>人，营业收入为</w:t>
      </w:r>
      <w:r>
        <w:rPr>
          <w:rFonts w:ascii="宋体" w:hAnsi="宋体" w:eastAsia="宋体" w:cs="宋体"/>
          <w:color w:val="auto"/>
          <w:spacing w:val="-119"/>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万元，资产总额为</w:t>
      </w:r>
      <w:r>
        <w:rPr>
          <w:rFonts w:ascii="宋体" w:hAnsi="宋体" w:eastAsia="宋体" w:cs="宋体"/>
          <w:color w:val="auto"/>
          <w:spacing w:val="-118"/>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6"/>
          <w:sz w:val="20"/>
          <w:szCs w:val="20"/>
          <w:highlight w:val="none"/>
        </w:rPr>
        <w:t>万元，</w:t>
      </w:r>
      <w:r>
        <w:rPr>
          <w:rFonts w:ascii="宋体" w:hAnsi="宋体" w:eastAsia="宋体" w:cs="宋体"/>
          <w:color w:val="auto"/>
          <w:sz w:val="20"/>
          <w:szCs w:val="20"/>
          <w:highlight w:val="none"/>
        </w:rPr>
        <w:t xml:space="preserve"> 属于</w:t>
      </w:r>
      <w:r>
        <w:rPr>
          <w:rFonts w:ascii="宋体" w:hAnsi="宋体" w:eastAsia="宋体" w:cs="宋体"/>
          <w:color w:val="auto"/>
          <w:sz w:val="20"/>
          <w:szCs w:val="20"/>
          <w:highlight w:val="none"/>
          <w:u w:val="single" w:color="auto"/>
        </w:rPr>
        <w:t>（中型企业、小型企业、微型企业）</w:t>
      </w:r>
      <w:r>
        <w:rPr>
          <w:rFonts w:ascii="宋体" w:hAnsi="宋体" w:eastAsia="宋体" w:cs="宋体"/>
          <w:color w:val="auto"/>
          <w:sz w:val="20"/>
          <w:szCs w:val="20"/>
          <w:highlight w:val="none"/>
        </w:rPr>
        <w:t>；</w:t>
      </w:r>
    </w:p>
    <w:p w14:paraId="600203B7">
      <w:pPr>
        <w:spacing w:before="210" w:line="379" w:lineRule="exact"/>
        <w:ind w:left="591"/>
        <w:rPr>
          <w:rFonts w:ascii="宋体" w:hAnsi="宋体" w:eastAsia="宋体" w:cs="宋体"/>
          <w:color w:val="auto"/>
          <w:sz w:val="20"/>
          <w:szCs w:val="20"/>
          <w:highlight w:val="none"/>
        </w:rPr>
      </w:pPr>
      <w:r>
        <w:rPr>
          <w:rFonts w:ascii="宋体" w:hAnsi="宋体" w:eastAsia="宋体" w:cs="宋体"/>
          <w:color w:val="auto"/>
          <w:spacing w:val="-13"/>
          <w:position w:val="3"/>
          <w:sz w:val="20"/>
          <w:szCs w:val="20"/>
          <w:highlight w:val="none"/>
        </w:rPr>
        <w:t>……</w:t>
      </w:r>
    </w:p>
    <w:p w14:paraId="7CFAEE2C">
      <w:pPr>
        <w:spacing w:before="118" w:line="382" w:lineRule="auto"/>
        <w:ind w:left="33" w:right="199" w:firstLine="47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以上企业，不属于大企业的分支机构，不存在控股股东为大企业的情形，也不存在</w:t>
      </w:r>
      <w:r>
        <w:rPr>
          <w:rFonts w:ascii="宋体" w:hAnsi="宋体" w:eastAsia="宋体" w:cs="宋体"/>
          <w:color w:val="auto"/>
          <w:spacing w:val="5"/>
          <w:sz w:val="20"/>
          <w:szCs w:val="20"/>
          <w:highlight w:val="none"/>
        </w:rPr>
        <w:t xml:space="preserve"> </w:t>
      </w:r>
      <w:r>
        <w:rPr>
          <w:rFonts w:ascii="宋体" w:hAnsi="宋体" w:eastAsia="宋体" w:cs="宋体"/>
          <w:color w:val="auto"/>
          <w:spacing w:val="-1"/>
          <w:sz w:val="20"/>
          <w:szCs w:val="20"/>
          <w:highlight w:val="none"/>
        </w:rPr>
        <w:t>与大企业的负责人为同一人的情形。</w:t>
      </w:r>
    </w:p>
    <w:p w14:paraId="674564F2">
      <w:pPr>
        <w:spacing w:before="1" w:line="219" w:lineRule="auto"/>
        <w:ind w:left="577"/>
        <w:rPr>
          <w:rFonts w:ascii="宋体" w:hAnsi="宋体" w:eastAsia="宋体" w:cs="宋体"/>
          <w:color w:val="auto"/>
          <w:sz w:val="20"/>
          <w:szCs w:val="20"/>
          <w:highlight w:val="none"/>
        </w:rPr>
      </w:pPr>
      <w:r>
        <w:rPr>
          <w:rFonts w:ascii="宋体" w:hAnsi="宋体" w:eastAsia="宋体" w:cs="宋体"/>
          <w:color w:val="auto"/>
          <w:sz w:val="20"/>
          <w:szCs w:val="20"/>
          <w:highlight w:val="none"/>
        </w:rPr>
        <w:t>本企业对上述声明内容的真实性负责。如有虚</w:t>
      </w:r>
      <w:r>
        <w:rPr>
          <w:rFonts w:ascii="宋体" w:hAnsi="宋体" w:eastAsia="宋体" w:cs="宋体"/>
          <w:color w:val="auto"/>
          <w:spacing w:val="-1"/>
          <w:sz w:val="20"/>
          <w:szCs w:val="20"/>
          <w:highlight w:val="none"/>
        </w:rPr>
        <w:t>假，将依法承担相应责任。</w:t>
      </w:r>
    </w:p>
    <w:p w14:paraId="288CC1A7">
      <w:pPr>
        <w:pStyle w:val="2"/>
        <w:spacing w:line="313" w:lineRule="auto"/>
        <w:rPr>
          <w:color w:val="auto"/>
          <w:sz w:val="20"/>
          <w:szCs w:val="20"/>
          <w:highlight w:val="none"/>
        </w:rPr>
      </w:pPr>
    </w:p>
    <w:p w14:paraId="2AD93A0C">
      <w:pPr>
        <w:pStyle w:val="2"/>
        <w:spacing w:line="314" w:lineRule="auto"/>
        <w:rPr>
          <w:color w:val="auto"/>
          <w:sz w:val="20"/>
          <w:szCs w:val="20"/>
          <w:highlight w:val="none"/>
        </w:rPr>
      </w:pPr>
    </w:p>
    <w:p w14:paraId="39D89F14">
      <w:pPr>
        <w:spacing w:before="78" w:line="219" w:lineRule="auto"/>
        <w:ind w:left="452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21624741">
      <w:pPr>
        <w:spacing w:before="209" w:line="220" w:lineRule="auto"/>
        <w:ind w:right="6"/>
        <w:jc w:val="right"/>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日期：</w:t>
      </w:r>
      <w:r>
        <w:rPr>
          <w:rFonts w:ascii="宋体" w:hAnsi="宋体" w:eastAsia="宋体" w:cs="宋体"/>
          <w:color w:val="auto"/>
          <w:spacing w:val="102"/>
          <w:sz w:val="20"/>
          <w:szCs w:val="20"/>
          <w:highlight w:val="none"/>
        </w:rPr>
        <w:t xml:space="preserve"> </w:t>
      </w:r>
      <w:r>
        <w:rPr>
          <w:rFonts w:ascii="宋体" w:hAnsi="宋体" w:eastAsia="宋体" w:cs="宋体"/>
          <w:color w:val="auto"/>
          <w:spacing w:val="-13"/>
          <w:sz w:val="20"/>
          <w:szCs w:val="20"/>
          <w:highlight w:val="none"/>
        </w:rPr>
        <w:t>年</w:t>
      </w:r>
      <w:r>
        <w:rPr>
          <w:rFonts w:ascii="宋体" w:hAnsi="宋体" w:eastAsia="宋体" w:cs="宋体"/>
          <w:color w:val="auto"/>
          <w:spacing w:val="7"/>
          <w:sz w:val="20"/>
          <w:szCs w:val="20"/>
          <w:highlight w:val="none"/>
        </w:rPr>
        <w:t xml:space="preserve">  </w:t>
      </w:r>
      <w:r>
        <w:rPr>
          <w:rFonts w:ascii="宋体" w:hAnsi="宋体" w:eastAsia="宋体" w:cs="宋体"/>
          <w:color w:val="auto"/>
          <w:spacing w:val="-13"/>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13"/>
          <w:sz w:val="20"/>
          <w:szCs w:val="20"/>
          <w:highlight w:val="none"/>
        </w:rPr>
        <w:t>日</w:t>
      </w:r>
    </w:p>
    <w:p w14:paraId="23C5E451">
      <w:pPr>
        <w:pStyle w:val="2"/>
        <w:spacing w:line="313" w:lineRule="auto"/>
        <w:rPr>
          <w:color w:val="auto"/>
          <w:sz w:val="20"/>
          <w:szCs w:val="20"/>
          <w:highlight w:val="none"/>
        </w:rPr>
      </w:pPr>
    </w:p>
    <w:p w14:paraId="6D0B7518">
      <w:pPr>
        <w:pStyle w:val="2"/>
        <w:spacing w:line="313" w:lineRule="auto"/>
        <w:rPr>
          <w:color w:val="auto"/>
          <w:sz w:val="20"/>
          <w:szCs w:val="20"/>
          <w:highlight w:val="none"/>
        </w:rPr>
      </w:pPr>
    </w:p>
    <w:p w14:paraId="1FE1D80E">
      <w:pPr>
        <w:spacing w:before="79" w:line="383" w:lineRule="auto"/>
        <w:ind w:left="435" w:right="88" w:hanging="1"/>
        <w:jc w:val="both"/>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注：享受《政府采购促进中小企业发展管理办法》（财库〔2020〕46</w:t>
      </w:r>
      <w:r>
        <w:rPr>
          <w:rFonts w:ascii="宋体" w:hAnsi="宋体" w:eastAsia="宋体" w:cs="宋体"/>
          <w:color w:val="auto"/>
          <w:spacing w:val="-32"/>
          <w:sz w:val="20"/>
          <w:szCs w:val="20"/>
          <w:highlight w:val="none"/>
        </w:rPr>
        <w:t xml:space="preserve"> </w:t>
      </w:r>
      <w:r>
        <w:rPr>
          <w:rFonts w:ascii="宋体" w:hAnsi="宋体" w:eastAsia="宋体" w:cs="宋体"/>
          <w:color w:val="auto"/>
          <w:spacing w:val="-1"/>
          <w:sz w:val="20"/>
          <w:szCs w:val="20"/>
          <w:highlight w:val="none"/>
        </w:rPr>
        <w:t>号）规定的中</w:t>
      </w:r>
      <w:r>
        <w:rPr>
          <w:rFonts w:ascii="宋体" w:hAnsi="宋体" w:eastAsia="宋体" w:cs="宋体"/>
          <w:color w:val="auto"/>
          <w:sz w:val="20"/>
          <w:szCs w:val="20"/>
          <w:highlight w:val="none"/>
        </w:rPr>
        <w:t xml:space="preserve"> 小企业扶持政策的，采购人、采购代理机构应当随成</w:t>
      </w:r>
      <w:r>
        <w:rPr>
          <w:rFonts w:ascii="宋体" w:hAnsi="宋体" w:eastAsia="宋体" w:cs="宋体"/>
          <w:color w:val="auto"/>
          <w:spacing w:val="-1"/>
          <w:sz w:val="20"/>
          <w:szCs w:val="20"/>
          <w:highlight w:val="none"/>
        </w:rPr>
        <w:t>交结果公开成交供应商的《中</w:t>
      </w:r>
      <w:r>
        <w:rPr>
          <w:rFonts w:ascii="宋体" w:hAnsi="宋体" w:eastAsia="宋体" w:cs="宋体"/>
          <w:color w:val="auto"/>
          <w:sz w:val="20"/>
          <w:szCs w:val="20"/>
          <w:highlight w:val="none"/>
        </w:rPr>
        <w:t xml:space="preserve"> 小企业声明函》。从业人员、营业收入、资产总额填</w:t>
      </w:r>
      <w:r>
        <w:rPr>
          <w:rFonts w:ascii="宋体" w:hAnsi="宋体" w:eastAsia="宋体" w:cs="宋体"/>
          <w:color w:val="auto"/>
          <w:spacing w:val="-1"/>
          <w:sz w:val="20"/>
          <w:szCs w:val="20"/>
          <w:highlight w:val="none"/>
        </w:rPr>
        <w:t>报上一年度数据，无上一年度</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数据的新成立企业可不填报。</w:t>
      </w:r>
    </w:p>
    <w:p w14:paraId="1AB3F76C">
      <w:pPr>
        <w:spacing w:line="383" w:lineRule="auto"/>
        <w:rPr>
          <w:rFonts w:ascii="宋体" w:hAnsi="宋体" w:eastAsia="宋体" w:cs="宋体"/>
          <w:color w:val="auto"/>
          <w:sz w:val="24"/>
          <w:szCs w:val="24"/>
          <w:highlight w:val="none"/>
        </w:rPr>
        <w:sectPr>
          <w:footerReference r:id="rId82" w:type="default"/>
          <w:pgSz w:w="11905" w:h="16839"/>
          <w:pgMar w:top="400" w:right="1529" w:bottom="909" w:left="1160" w:header="0" w:footer="673" w:gutter="0"/>
          <w:cols w:space="720" w:num="1"/>
        </w:sectPr>
      </w:pPr>
    </w:p>
    <w:p w14:paraId="4FD30A2E">
      <w:pPr>
        <w:pStyle w:val="2"/>
        <w:spacing w:line="263" w:lineRule="auto"/>
        <w:rPr>
          <w:color w:val="auto"/>
          <w:highlight w:val="none"/>
        </w:rPr>
      </w:pPr>
    </w:p>
    <w:p w14:paraId="1FCE1409">
      <w:pPr>
        <w:pStyle w:val="2"/>
        <w:spacing w:line="264" w:lineRule="auto"/>
        <w:rPr>
          <w:color w:val="auto"/>
          <w:highlight w:val="none"/>
        </w:rPr>
      </w:pPr>
    </w:p>
    <w:p w14:paraId="0A873D26">
      <w:pPr>
        <w:pStyle w:val="2"/>
        <w:spacing w:line="264" w:lineRule="auto"/>
        <w:rPr>
          <w:color w:val="auto"/>
          <w:highlight w:val="none"/>
        </w:rPr>
      </w:pPr>
    </w:p>
    <w:p w14:paraId="4884FC87">
      <w:pPr>
        <w:spacing w:before="97" w:line="220" w:lineRule="auto"/>
        <w:ind w:left="2110"/>
        <w:rPr>
          <w:rFonts w:ascii="宋体" w:hAnsi="宋体" w:eastAsia="宋体" w:cs="宋体"/>
          <w:color w:val="auto"/>
          <w:sz w:val="30"/>
          <w:szCs w:val="30"/>
          <w:highlight w:val="none"/>
        </w:rPr>
      </w:pPr>
      <w:r>
        <w:rPr>
          <w:rFonts w:ascii="宋体" w:hAnsi="宋体" w:eastAsia="宋体" w:cs="宋体"/>
          <w:b/>
          <w:bCs/>
          <w:color w:val="auto"/>
          <w:spacing w:val="-3"/>
          <w:sz w:val="30"/>
          <w:szCs w:val="30"/>
          <w:highlight w:val="none"/>
        </w:rPr>
        <w:t>残疾人福利性单位声明函（格式）</w:t>
      </w:r>
    </w:p>
    <w:p w14:paraId="3F7567F6">
      <w:pPr>
        <w:pStyle w:val="2"/>
        <w:spacing w:line="284" w:lineRule="auto"/>
        <w:rPr>
          <w:color w:val="auto"/>
          <w:highlight w:val="none"/>
        </w:rPr>
      </w:pPr>
    </w:p>
    <w:p w14:paraId="47CB1871">
      <w:pPr>
        <w:pStyle w:val="2"/>
        <w:spacing w:line="284" w:lineRule="auto"/>
        <w:rPr>
          <w:color w:val="auto"/>
          <w:highlight w:val="none"/>
        </w:rPr>
      </w:pPr>
    </w:p>
    <w:p w14:paraId="667AE069">
      <w:pPr>
        <w:spacing w:before="78" w:line="382" w:lineRule="auto"/>
        <w:ind w:firstLine="481"/>
        <w:jc w:val="both"/>
        <w:rPr>
          <w:rFonts w:ascii="宋体" w:hAnsi="宋体" w:eastAsia="宋体" w:cs="宋体"/>
          <w:color w:val="auto"/>
          <w:sz w:val="20"/>
          <w:szCs w:val="20"/>
          <w:highlight w:val="none"/>
        </w:rPr>
      </w:pPr>
      <w:r>
        <w:rPr>
          <w:rFonts w:ascii="宋体" w:hAnsi="宋体" w:eastAsia="宋体" w:cs="宋体"/>
          <w:color w:val="auto"/>
          <w:sz w:val="20"/>
          <w:szCs w:val="20"/>
          <w:highlight w:val="none"/>
        </w:rPr>
        <w:t>本单位郑重声明，根据《财政部</w:t>
      </w:r>
      <w:r>
        <w:rPr>
          <w:rFonts w:ascii="宋体" w:hAnsi="宋体" w:eastAsia="宋体" w:cs="宋体"/>
          <w:color w:val="auto"/>
          <w:spacing w:val="42"/>
          <w:sz w:val="20"/>
          <w:szCs w:val="20"/>
          <w:highlight w:val="none"/>
        </w:rPr>
        <w:t xml:space="preserve"> </w:t>
      </w:r>
      <w:r>
        <w:rPr>
          <w:rFonts w:ascii="宋体" w:hAnsi="宋体" w:eastAsia="宋体" w:cs="宋体"/>
          <w:color w:val="auto"/>
          <w:sz w:val="20"/>
          <w:szCs w:val="20"/>
          <w:highlight w:val="none"/>
        </w:rPr>
        <w:t>民政部</w:t>
      </w:r>
      <w:r>
        <w:rPr>
          <w:rFonts w:ascii="宋体" w:hAnsi="宋体" w:eastAsia="宋体" w:cs="宋体"/>
          <w:color w:val="auto"/>
          <w:spacing w:val="37"/>
          <w:sz w:val="20"/>
          <w:szCs w:val="20"/>
          <w:highlight w:val="none"/>
        </w:rPr>
        <w:t xml:space="preserve"> </w:t>
      </w:r>
      <w:r>
        <w:rPr>
          <w:rFonts w:ascii="宋体" w:hAnsi="宋体" w:eastAsia="宋体" w:cs="宋体"/>
          <w:color w:val="auto"/>
          <w:sz w:val="20"/>
          <w:szCs w:val="20"/>
          <w:highlight w:val="none"/>
        </w:rPr>
        <w:t xml:space="preserve">中国残疾人联合会关于促进残疾人就 </w:t>
      </w:r>
      <w:r>
        <w:rPr>
          <w:rFonts w:ascii="宋体" w:hAnsi="宋体" w:eastAsia="宋体" w:cs="宋体"/>
          <w:color w:val="auto"/>
          <w:spacing w:val="-3"/>
          <w:sz w:val="20"/>
          <w:szCs w:val="20"/>
          <w:highlight w:val="none"/>
        </w:rPr>
        <w:t>业政府采购政策的通知》（财库〔2017〕141</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号）的规定，本单位为符合条件的残疾</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人福利性单位，且本单位参加</w:t>
      </w:r>
      <w:r>
        <w:rPr>
          <w:rFonts w:ascii="宋体" w:hAnsi="宋体" w:eastAsia="宋体" w:cs="宋体"/>
          <w:color w:val="auto"/>
          <w:spacing w:val="-1"/>
          <w:sz w:val="20"/>
          <w:szCs w:val="20"/>
          <w:highlight w:val="none"/>
          <w:u w:val="single" w:color="auto"/>
        </w:rPr>
        <w:t>（采购单位）</w:t>
      </w:r>
      <w:r>
        <w:rPr>
          <w:rFonts w:ascii="宋体" w:hAnsi="宋体" w:eastAsia="宋体" w:cs="宋体"/>
          <w:color w:val="auto"/>
          <w:spacing w:val="-1"/>
          <w:sz w:val="20"/>
          <w:szCs w:val="20"/>
          <w:highlight w:val="none"/>
        </w:rPr>
        <w:t>单位的</w:t>
      </w:r>
      <w:r>
        <w:rPr>
          <w:rFonts w:ascii="宋体" w:hAnsi="宋体" w:eastAsia="宋体" w:cs="宋体"/>
          <w:color w:val="auto"/>
          <w:spacing w:val="-1"/>
          <w:sz w:val="20"/>
          <w:szCs w:val="20"/>
          <w:highlight w:val="none"/>
          <w:u w:val="single" w:color="auto"/>
        </w:rPr>
        <w:t>*************工程</w:t>
      </w:r>
      <w:r>
        <w:rPr>
          <w:rFonts w:ascii="宋体" w:hAnsi="宋体" w:eastAsia="宋体" w:cs="宋体"/>
          <w:color w:val="auto"/>
          <w:spacing w:val="-1"/>
          <w:sz w:val="20"/>
          <w:szCs w:val="20"/>
          <w:highlight w:val="none"/>
        </w:rPr>
        <w:t>采购活动由本</w:t>
      </w:r>
      <w:r>
        <w:rPr>
          <w:rFonts w:ascii="宋体" w:hAnsi="宋体" w:eastAsia="宋体" w:cs="宋体"/>
          <w:color w:val="auto"/>
          <w:spacing w:val="4"/>
          <w:sz w:val="20"/>
          <w:szCs w:val="20"/>
          <w:highlight w:val="none"/>
        </w:rPr>
        <w:t xml:space="preserve"> </w:t>
      </w:r>
      <w:r>
        <w:rPr>
          <w:rFonts w:ascii="宋体" w:hAnsi="宋体" w:eastAsia="宋体" w:cs="宋体"/>
          <w:color w:val="auto"/>
          <w:spacing w:val="-2"/>
          <w:sz w:val="20"/>
          <w:szCs w:val="20"/>
          <w:highlight w:val="none"/>
        </w:rPr>
        <w:t>单位提供服务。</w:t>
      </w:r>
    </w:p>
    <w:p w14:paraId="426773A7">
      <w:pPr>
        <w:spacing w:line="219" w:lineRule="auto"/>
        <w:ind w:left="48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本单位对上述声明的真实性负责。如有虚假，将依法承担相应责任。</w:t>
      </w:r>
    </w:p>
    <w:p w14:paraId="0BA5DF32">
      <w:pPr>
        <w:pStyle w:val="2"/>
        <w:spacing w:line="269" w:lineRule="auto"/>
        <w:rPr>
          <w:color w:val="auto"/>
          <w:sz w:val="20"/>
          <w:szCs w:val="20"/>
          <w:highlight w:val="none"/>
        </w:rPr>
      </w:pPr>
    </w:p>
    <w:p w14:paraId="7F735E2A">
      <w:pPr>
        <w:pStyle w:val="2"/>
        <w:spacing w:line="269" w:lineRule="auto"/>
        <w:rPr>
          <w:color w:val="auto"/>
          <w:sz w:val="20"/>
          <w:szCs w:val="20"/>
          <w:highlight w:val="none"/>
        </w:rPr>
      </w:pPr>
    </w:p>
    <w:p w14:paraId="69EB38E2">
      <w:pPr>
        <w:pStyle w:val="2"/>
        <w:spacing w:line="269" w:lineRule="auto"/>
        <w:rPr>
          <w:color w:val="auto"/>
          <w:sz w:val="20"/>
          <w:szCs w:val="20"/>
          <w:highlight w:val="none"/>
        </w:rPr>
      </w:pPr>
    </w:p>
    <w:p w14:paraId="60EB856D">
      <w:pPr>
        <w:pStyle w:val="2"/>
        <w:spacing w:line="269" w:lineRule="auto"/>
        <w:rPr>
          <w:color w:val="auto"/>
          <w:sz w:val="20"/>
          <w:szCs w:val="20"/>
          <w:highlight w:val="none"/>
        </w:rPr>
      </w:pPr>
    </w:p>
    <w:p w14:paraId="3D0C61BA">
      <w:pPr>
        <w:pStyle w:val="2"/>
        <w:spacing w:line="269" w:lineRule="auto"/>
        <w:rPr>
          <w:color w:val="auto"/>
          <w:sz w:val="20"/>
          <w:szCs w:val="20"/>
          <w:highlight w:val="none"/>
        </w:rPr>
      </w:pPr>
    </w:p>
    <w:p w14:paraId="6C41609A">
      <w:pPr>
        <w:pStyle w:val="2"/>
        <w:spacing w:line="269" w:lineRule="auto"/>
        <w:rPr>
          <w:color w:val="auto"/>
          <w:sz w:val="20"/>
          <w:szCs w:val="20"/>
          <w:highlight w:val="none"/>
        </w:rPr>
      </w:pPr>
    </w:p>
    <w:p w14:paraId="2811FA43">
      <w:pPr>
        <w:spacing w:before="78" w:line="219" w:lineRule="auto"/>
        <w:ind w:left="240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供应商名称（电子签章</w:t>
      </w:r>
      <w:r>
        <w:rPr>
          <w:rFonts w:ascii="宋体" w:hAnsi="宋体" w:eastAsia="宋体" w:cs="宋体"/>
          <w:color w:val="auto"/>
          <w:sz w:val="20"/>
          <w:szCs w:val="20"/>
          <w:highlight w:val="none"/>
        </w:rPr>
        <w:t>）：</w:t>
      </w:r>
    </w:p>
    <w:p w14:paraId="50F0351E">
      <w:pPr>
        <w:spacing w:before="212" w:line="220" w:lineRule="auto"/>
        <w:ind w:left="4362"/>
        <w:rPr>
          <w:rFonts w:ascii="宋体" w:hAnsi="宋体" w:eastAsia="宋体" w:cs="宋体"/>
          <w:color w:val="auto"/>
          <w:sz w:val="20"/>
          <w:szCs w:val="20"/>
          <w:highlight w:val="none"/>
        </w:rPr>
      </w:pPr>
      <w:r>
        <w:rPr>
          <w:rFonts w:ascii="宋体" w:hAnsi="宋体" w:eastAsia="宋体" w:cs="宋体"/>
          <w:color w:val="auto"/>
          <w:spacing w:val="-20"/>
          <w:sz w:val="20"/>
          <w:szCs w:val="20"/>
          <w:highlight w:val="none"/>
        </w:rPr>
        <w:t>日</w:t>
      </w:r>
      <w:r>
        <w:rPr>
          <w:rFonts w:ascii="宋体" w:hAnsi="宋体" w:eastAsia="宋体" w:cs="宋体"/>
          <w:color w:val="auto"/>
          <w:spacing w:val="6"/>
          <w:sz w:val="20"/>
          <w:szCs w:val="20"/>
          <w:highlight w:val="none"/>
        </w:rPr>
        <w:t xml:space="preserve">  </w:t>
      </w:r>
      <w:r>
        <w:rPr>
          <w:rFonts w:ascii="宋体" w:hAnsi="宋体" w:eastAsia="宋体" w:cs="宋体"/>
          <w:color w:val="auto"/>
          <w:spacing w:val="-20"/>
          <w:sz w:val="20"/>
          <w:szCs w:val="20"/>
          <w:highlight w:val="none"/>
        </w:rPr>
        <w:t>期</w:t>
      </w:r>
      <w:r>
        <w:rPr>
          <w:rFonts w:ascii="宋体" w:hAnsi="宋体" w:eastAsia="宋体" w:cs="宋体"/>
          <w:color w:val="auto"/>
          <w:spacing w:val="-89"/>
          <w:sz w:val="20"/>
          <w:szCs w:val="20"/>
          <w:highlight w:val="none"/>
        </w:rPr>
        <w:t xml:space="preserve"> </w:t>
      </w:r>
      <w:r>
        <w:rPr>
          <w:rFonts w:ascii="宋体" w:hAnsi="宋体" w:eastAsia="宋体" w:cs="宋体"/>
          <w:color w:val="auto"/>
          <w:spacing w:val="-20"/>
          <w:sz w:val="20"/>
          <w:szCs w:val="20"/>
          <w:highlight w:val="none"/>
        </w:rPr>
        <w:t>：</w:t>
      </w:r>
      <w:r>
        <w:rPr>
          <w:rFonts w:ascii="宋体" w:hAnsi="宋体" w:eastAsia="宋体" w:cs="宋体"/>
          <w:color w:val="auto"/>
          <w:spacing w:val="3"/>
          <w:sz w:val="20"/>
          <w:szCs w:val="20"/>
          <w:highlight w:val="none"/>
        </w:rPr>
        <w:t xml:space="preserve">   </w:t>
      </w:r>
      <w:r>
        <w:rPr>
          <w:rFonts w:ascii="宋体" w:hAnsi="宋体" w:eastAsia="宋体" w:cs="宋体"/>
          <w:color w:val="auto"/>
          <w:spacing w:val="-20"/>
          <w:sz w:val="20"/>
          <w:szCs w:val="20"/>
          <w:highlight w:val="none"/>
        </w:rPr>
        <w:t>年</w:t>
      </w:r>
      <w:r>
        <w:rPr>
          <w:rFonts w:ascii="宋体" w:hAnsi="宋体" w:eastAsia="宋体" w:cs="宋体"/>
          <w:color w:val="auto"/>
          <w:spacing w:val="5"/>
          <w:sz w:val="20"/>
          <w:szCs w:val="20"/>
          <w:highlight w:val="none"/>
        </w:rPr>
        <w:t xml:space="preserve">   </w:t>
      </w:r>
      <w:r>
        <w:rPr>
          <w:rFonts w:ascii="宋体" w:hAnsi="宋体" w:eastAsia="宋体" w:cs="宋体"/>
          <w:color w:val="auto"/>
          <w:spacing w:val="-20"/>
          <w:sz w:val="20"/>
          <w:szCs w:val="20"/>
          <w:highlight w:val="none"/>
        </w:rPr>
        <w:t>月</w:t>
      </w:r>
      <w:r>
        <w:rPr>
          <w:rFonts w:ascii="宋体" w:hAnsi="宋体" w:eastAsia="宋体" w:cs="宋体"/>
          <w:color w:val="auto"/>
          <w:spacing w:val="17"/>
          <w:sz w:val="20"/>
          <w:szCs w:val="20"/>
          <w:highlight w:val="none"/>
        </w:rPr>
        <w:t xml:space="preserve">   </w:t>
      </w:r>
      <w:r>
        <w:rPr>
          <w:rFonts w:ascii="宋体" w:hAnsi="宋体" w:eastAsia="宋体" w:cs="宋体"/>
          <w:color w:val="auto"/>
          <w:spacing w:val="-20"/>
          <w:sz w:val="20"/>
          <w:szCs w:val="20"/>
          <w:highlight w:val="none"/>
        </w:rPr>
        <w:t>日</w:t>
      </w:r>
    </w:p>
    <w:p w14:paraId="5DB16BA8">
      <w:pPr>
        <w:pStyle w:val="2"/>
        <w:spacing w:line="268" w:lineRule="auto"/>
        <w:rPr>
          <w:color w:val="auto"/>
          <w:sz w:val="20"/>
          <w:szCs w:val="20"/>
          <w:highlight w:val="none"/>
        </w:rPr>
      </w:pPr>
    </w:p>
    <w:p w14:paraId="29A36AEB">
      <w:pPr>
        <w:pStyle w:val="2"/>
        <w:spacing w:line="268" w:lineRule="auto"/>
        <w:rPr>
          <w:color w:val="auto"/>
          <w:sz w:val="20"/>
          <w:szCs w:val="20"/>
          <w:highlight w:val="none"/>
        </w:rPr>
      </w:pPr>
    </w:p>
    <w:p w14:paraId="03BE0384">
      <w:pPr>
        <w:pStyle w:val="2"/>
        <w:spacing w:line="268" w:lineRule="auto"/>
        <w:rPr>
          <w:color w:val="auto"/>
          <w:sz w:val="20"/>
          <w:szCs w:val="20"/>
          <w:highlight w:val="none"/>
        </w:rPr>
      </w:pPr>
    </w:p>
    <w:p w14:paraId="721686EC">
      <w:pPr>
        <w:pStyle w:val="2"/>
        <w:spacing w:line="269" w:lineRule="auto"/>
        <w:rPr>
          <w:color w:val="auto"/>
          <w:sz w:val="20"/>
          <w:szCs w:val="20"/>
          <w:highlight w:val="none"/>
        </w:rPr>
      </w:pPr>
    </w:p>
    <w:p w14:paraId="3F81478B">
      <w:pPr>
        <w:pStyle w:val="2"/>
        <w:spacing w:line="269" w:lineRule="auto"/>
        <w:rPr>
          <w:color w:val="auto"/>
          <w:sz w:val="20"/>
          <w:szCs w:val="20"/>
          <w:highlight w:val="none"/>
        </w:rPr>
      </w:pPr>
    </w:p>
    <w:p w14:paraId="0FEC5C75">
      <w:pPr>
        <w:pStyle w:val="2"/>
        <w:spacing w:line="269" w:lineRule="auto"/>
        <w:rPr>
          <w:color w:val="auto"/>
          <w:sz w:val="20"/>
          <w:szCs w:val="20"/>
          <w:highlight w:val="none"/>
        </w:rPr>
      </w:pPr>
    </w:p>
    <w:p w14:paraId="0A5541B8">
      <w:pPr>
        <w:spacing w:before="78" w:line="383" w:lineRule="auto"/>
        <w:jc w:val="both"/>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注：请根据自己的真实情况出具《残疾人福利性单位声明函》。依法享受中小企业</w:t>
      </w:r>
      <w:r>
        <w:rPr>
          <w:rFonts w:ascii="宋体" w:hAnsi="宋体" w:eastAsia="宋体" w:cs="宋体"/>
          <w:color w:val="auto"/>
          <w:spacing w:val="8"/>
          <w:sz w:val="20"/>
          <w:szCs w:val="20"/>
          <w:highlight w:val="none"/>
        </w:rPr>
        <w:t xml:space="preserve"> </w:t>
      </w:r>
      <w:r>
        <w:rPr>
          <w:rFonts w:ascii="宋体" w:hAnsi="宋体" w:eastAsia="宋体" w:cs="宋体"/>
          <w:color w:val="auto"/>
          <w:spacing w:val="2"/>
          <w:sz w:val="20"/>
          <w:szCs w:val="20"/>
          <w:highlight w:val="none"/>
        </w:rPr>
        <w:t>优惠政策的，采购人或者采购代理机构在公告中标结果时，同时公告其《残疾人福</w:t>
      </w:r>
      <w:r>
        <w:rPr>
          <w:rFonts w:ascii="宋体" w:hAnsi="宋体" w:eastAsia="宋体" w:cs="宋体"/>
          <w:color w:val="auto"/>
          <w:spacing w:val="9"/>
          <w:sz w:val="20"/>
          <w:szCs w:val="20"/>
          <w:highlight w:val="none"/>
        </w:rPr>
        <w:t xml:space="preserve"> </w:t>
      </w:r>
      <w:r>
        <w:rPr>
          <w:rFonts w:ascii="宋体" w:hAnsi="宋体" w:eastAsia="宋体" w:cs="宋体"/>
          <w:color w:val="auto"/>
          <w:spacing w:val="-1"/>
          <w:sz w:val="20"/>
          <w:szCs w:val="20"/>
          <w:highlight w:val="none"/>
        </w:rPr>
        <w:t>利性单位声明函》，接受社会监督。</w:t>
      </w:r>
    </w:p>
    <w:p w14:paraId="3C3938C9">
      <w:pPr>
        <w:spacing w:line="383" w:lineRule="auto"/>
        <w:rPr>
          <w:rFonts w:ascii="宋体" w:hAnsi="宋体" w:eastAsia="宋体" w:cs="宋体"/>
          <w:color w:val="auto"/>
          <w:sz w:val="20"/>
          <w:szCs w:val="20"/>
          <w:highlight w:val="none"/>
        </w:rPr>
        <w:sectPr>
          <w:footerReference r:id="rId83" w:type="default"/>
          <w:pgSz w:w="11905" w:h="16839"/>
          <w:pgMar w:top="400" w:right="1587" w:bottom="909" w:left="1594" w:header="0" w:footer="673" w:gutter="0"/>
          <w:cols w:space="720" w:num="1"/>
        </w:sectPr>
      </w:pPr>
    </w:p>
    <w:p w14:paraId="4F290B98">
      <w:pPr>
        <w:pStyle w:val="2"/>
        <w:spacing w:line="241" w:lineRule="auto"/>
        <w:rPr>
          <w:color w:val="auto"/>
          <w:highlight w:val="none"/>
        </w:rPr>
      </w:pPr>
    </w:p>
    <w:p w14:paraId="143A2376">
      <w:pPr>
        <w:pStyle w:val="2"/>
        <w:spacing w:line="241" w:lineRule="auto"/>
        <w:rPr>
          <w:color w:val="auto"/>
          <w:highlight w:val="none"/>
        </w:rPr>
      </w:pPr>
    </w:p>
    <w:p w14:paraId="41950CDA">
      <w:pPr>
        <w:pStyle w:val="2"/>
        <w:spacing w:line="241" w:lineRule="auto"/>
        <w:rPr>
          <w:color w:val="auto"/>
          <w:highlight w:val="none"/>
        </w:rPr>
      </w:pPr>
    </w:p>
    <w:p w14:paraId="564DEEC9">
      <w:pPr>
        <w:pStyle w:val="2"/>
        <w:spacing w:line="241" w:lineRule="auto"/>
        <w:rPr>
          <w:color w:val="auto"/>
          <w:highlight w:val="none"/>
        </w:rPr>
      </w:pPr>
    </w:p>
    <w:p w14:paraId="341C1D6B">
      <w:pPr>
        <w:pStyle w:val="2"/>
        <w:spacing w:line="241" w:lineRule="auto"/>
        <w:rPr>
          <w:color w:val="auto"/>
          <w:highlight w:val="none"/>
        </w:rPr>
      </w:pPr>
    </w:p>
    <w:p w14:paraId="0C952C5E">
      <w:pPr>
        <w:spacing w:before="140" w:line="223" w:lineRule="auto"/>
        <w:ind w:left="3224"/>
        <w:outlineLvl w:val="0"/>
        <w:rPr>
          <w:rFonts w:ascii="宋体" w:hAnsi="宋体" w:eastAsia="宋体" w:cs="宋体"/>
          <w:color w:val="auto"/>
          <w:sz w:val="43"/>
          <w:szCs w:val="43"/>
          <w:highlight w:val="none"/>
        </w:rPr>
      </w:pPr>
      <w:bookmarkStart w:id="25" w:name="_Toc20678"/>
      <w:r>
        <w:rPr>
          <w:rFonts w:ascii="宋体" w:hAnsi="宋体" w:eastAsia="宋体" w:cs="宋体"/>
          <w:b/>
          <w:bCs/>
          <w:color w:val="auto"/>
          <w:spacing w:val="4"/>
          <w:sz w:val="43"/>
          <w:szCs w:val="43"/>
          <w:highlight w:val="none"/>
        </w:rPr>
        <w:t>第六章</w:t>
      </w:r>
      <w:r>
        <w:rPr>
          <w:rFonts w:ascii="宋体" w:hAnsi="宋体" w:eastAsia="宋体" w:cs="宋体"/>
          <w:color w:val="auto"/>
          <w:spacing w:val="4"/>
          <w:sz w:val="43"/>
          <w:szCs w:val="43"/>
          <w:highlight w:val="none"/>
        </w:rPr>
        <w:t xml:space="preserve"> </w:t>
      </w:r>
      <w:r>
        <w:rPr>
          <w:rFonts w:ascii="宋体" w:hAnsi="宋体" w:eastAsia="宋体" w:cs="宋体"/>
          <w:b/>
          <w:bCs/>
          <w:color w:val="auto"/>
          <w:spacing w:val="4"/>
          <w:sz w:val="43"/>
          <w:szCs w:val="43"/>
          <w:highlight w:val="none"/>
        </w:rPr>
        <w:t>合同文本</w:t>
      </w:r>
      <w:bookmarkEnd w:id="25"/>
    </w:p>
    <w:p w14:paraId="2C18D962">
      <w:pPr>
        <w:spacing w:before="306" w:line="219" w:lineRule="auto"/>
        <w:ind w:left="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广西政府采购云平台合同编号：</w:t>
      </w:r>
    </w:p>
    <w:p w14:paraId="4CE64AA2">
      <w:pPr>
        <w:pStyle w:val="2"/>
        <w:spacing w:line="253" w:lineRule="auto"/>
        <w:rPr>
          <w:color w:val="auto"/>
          <w:highlight w:val="none"/>
        </w:rPr>
      </w:pPr>
    </w:p>
    <w:p w14:paraId="5ABA38F1">
      <w:pPr>
        <w:pStyle w:val="2"/>
        <w:spacing w:line="253" w:lineRule="auto"/>
        <w:rPr>
          <w:color w:val="auto"/>
          <w:highlight w:val="none"/>
        </w:rPr>
      </w:pPr>
    </w:p>
    <w:p w14:paraId="4D58B283">
      <w:pPr>
        <w:pStyle w:val="2"/>
        <w:spacing w:line="253" w:lineRule="auto"/>
        <w:rPr>
          <w:color w:val="auto"/>
          <w:highlight w:val="none"/>
        </w:rPr>
      </w:pPr>
    </w:p>
    <w:p w14:paraId="20612DAD">
      <w:pPr>
        <w:pStyle w:val="2"/>
        <w:spacing w:line="253" w:lineRule="auto"/>
        <w:rPr>
          <w:color w:val="auto"/>
          <w:highlight w:val="none"/>
        </w:rPr>
      </w:pPr>
    </w:p>
    <w:p w14:paraId="57BDDFB8">
      <w:pPr>
        <w:pStyle w:val="2"/>
        <w:spacing w:line="254" w:lineRule="auto"/>
        <w:rPr>
          <w:color w:val="auto"/>
          <w:highlight w:val="none"/>
        </w:rPr>
      </w:pPr>
    </w:p>
    <w:p w14:paraId="3528373F">
      <w:pPr>
        <w:pStyle w:val="2"/>
        <w:spacing w:line="254" w:lineRule="auto"/>
        <w:rPr>
          <w:color w:val="auto"/>
          <w:highlight w:val="none"/>
        </w:rPr>
      </w:pPr>
    </w:p>
    <w:p w14:paraId="4DEA1679">
      <w:pPr>
        <w:pStyle w:val="2"/>
        <w:spacing w:line="254" w:lineRule="auto"/>
        <w:rPr>
          <w:color w:val="auto"/>
          <w:highlight w:val="none"/>
        </w:rPr>
      </w:pPr>
    </w:p>
    <w:p w14:paraId="6DF3586C">
      <w:pPr>
        <w:spacing w:before="140" w:line="223" w:lineRule="auto"/>
        <w:ind w:left="2524"/>
        <w:rPr>
          <w:rFonts w:ascii="宋体" w:hAnsi="宋体" w:eastAsia="宋体" w:cs="宋体"/>
          <w:color w:val="auto"/>
          <w:sz w:val="43"/>
          <w:szCs w:val="43"/>
          <w:highlight w:val="none"/>
        </w:rPr>
      </w:pPr>
      <w:r>
        <w:rPr>
          <w:rFonts w:ascii="宋体" w:hAnsi="宋体" w:eastAsia="宋体" w:cs="宋体"/>
          <w:color w:val="auto"/>
          <w:spacing w:val="5"/>
          <w:sz w:val="43"/>
          <w:szCs w:val="43"/>
          <w:highlight w:val="none"/>
        </w:rPr>
        <w:t>横州市横州镇</w:t>
      </w:r>
      <w:r>
        <w:rPr>
          <w:rFonts w:ascii="宋体" w:hAnsi="宋体" w:eastAsia="宋体" w:cs="宋体"/>
          <w:color w:val="auto"/>
          <w:spacing w:val="-88"/>
          <w:sz w:val="43"/>
          <w:szCs w:val="43"/>
          <w:highlight w:val="none"/>
        </w:rPr>
        <w:t xml:space="preserve"> </w:t>
      </w:r>
      <w:r>
        <w:rPr>
          <w:rFonts w:ascii="宋体" w:hAnsi="宋体" w:eastAsia="宋体" w:cs="宋体"/>
          <w:color w:val="auto"/>
          <w:sz w:val="43"/>
          <w:szCs w:val="43"/>
          <w:highlight w:val="none"/>
        </w:rPr>
        <w:t>xxxx</w:t>
      </w:r>
      <w:r>
        <w:rPr>
          <w:rFonts w:ascii="宋体" w:hAnsi="宋体" w:eastAsia="宋体" w:cs="宋体"/>
          <w:color w:val="auto"/>
          <w:spacing w:val="-81"/>
          <w:sz w:val="43"/>
          <w:szCs w:val="43"/>
          <w:highlight w:val="none"/>
        </w:rPr>
        <w:t xml:space="preserve"> </w:t>
      </w:r>
      <w:r>
        <w:rPr>
          <w:rFonts w:ascii="宋体" w:hAnsi="宋体" w:eastAsia="宋体" w:cs="宋体"/>
          <w:color w:val="auto"/>
          <w:spacing w:val="5"/>
          <w:sz w:val="43"/>
          <w:szCs w:val="43"/>
          <w:highlight w:val="none"/>
        </w:rPr>
        <w:t>项目</w:t>
      </w:r>
    </w:p>
    <w:p w14:paraId="7F785CAF">
      <w:pPr>
        <w:pStyle w:val="2"/>
        <w:spacing w:line="249" w:lineRule="auto"/>
        <w:rPr>
          <w:color w:val="auto"/>
          <w:highlight w:val="none"/>
        </w:rPr>
      </w:pPr>
    </w:p>
    <w:p w14:paraId="53E7C0D6">
      <w:pPr>
        <w:pStyle w:val="2"/>
        <w:spacing w:line="249" w:lineRule="auto"/>
        <w:rPr>
          <w:color w:val="auto"/>
          <w:highlight w:val="none"/>
        </w:rPr>
      </w:pPr>
    </w:p>
    <w:p w14:paraId="00315000">
      <w:pPr>
        <w:pStyle w:val="2"/>
        <w:spacing w:line="249" w:lineRule="auto"/>
        <w:rPr>
          <w:color w:val="auto"/>
          <w:highlight w:val="none"/>
        </w:rPr>
      </w:pPr>
    </w:p>
    <w:p w14:paraId="03D3B50E">
      <w:pPr>
        <w:pStyle w:val="2"/>
        <w:spacing w:line="249" w:lineRule="auto"/>
        <w:rPr>
          <w:color w:val="auto"/>
          <w:highlight w:val="none"/>
        </w:rPr>
      </w:pPr>
    </w:p>
    <w:p w14:paraId="290D2612">
      <w:pPr>
        <w:pStyle w:val="2"/>
        <w:spacing w:line="249" w:lineRule="auto"/>
        <w:rPr>
          <w:color w:val="auto"/>
          <w:highlight w:val="none"/>
        </w:rPr>
      </w:pPr>
    </w:p>
    <w:p w14:paraId="7C7F5A80">
      <w:pPr>
        <w:pStyle w:val="2"/>
        <w:spacing w:line="250" w:lineRule="auto"/>
        <w:rPr>
          <w:color w:val="auto"/>
          <w:highlight w:val="none"/>
        </w:rPr>
      </w:pPr>
    </w:p>
    <w:p w14:paraId="44343F57">
      <w:pPr>
        <w:pStyle w:val="2"/>
        <w:spacing w:line="250" w:lineRule="auto"/>
        <w:rPr>
          <w:color w:val="auto"/>
          <w:highlight w:val="none"/>
        </w:rPr>
      </w:pPr>
    </w:p>
    <w:p w14:paraId="108AB279">
      <w:pPr>
        <w:pStyle w:val="2"/>
        <w:spacing w:line="250" w:lineRule="auto"/>
        <w:rPr>
          <w:color w:val="auto"/>
          <w:highlight w:val="none"/>
        </w:rPr>
      </w:pPr>
    </w:p>
    <w:p w14:paraId="2E35E6E6">
      <w:pPr>
        <w:pStyle w:val="2"/>
        <w:spacing w:line="250" w:lineRule="auto"/>
        <w:rPr>
          <w:color w:val="auto"/>
          <w:highlight w:val="none"/>
        </w:rPr>
      </w:pPr>
    </w:p>
    <w:p w14:paraId="03567607">
      <w:pPr>
        <w:pStyle w:val="2"/>
        <w:spacing w:line="250" w:lineRule="auto"/>
        <w:rPr>
          <w:color w:val="auto"/>
          <w:highlight w:val="none"/>
        </w:rPr>
      </w:pPr>
    </w:p>
    <w:p w14:paraId="6AD8C1D2">
      <w:pPr>
        <w:spacing w:before="169" w:line="223" w:lineRule="auto"/>
        <w:ind w:left="3672"/>
        <w:rPr>
          <w:rFonts w:ascii="宋体" w:hAnsi="宋体" w:eastAsia="宋体" w:cs="宋体"/>
          <w:color w:val="auto"/>
          <w:sz w:val="52"/>
          <w:szCs w:val="52"/>
          <w:highlight w:val="none"/>
        </w:rPr>
      </w:pPr>
      <w:r>
        <w:rPr>
          <w:rFonts w:ascii="宋体" w:hAnsi="宋体" w:eastAsia="宋体" w:cs="宋体"/>
          <w:b/>
          <w:bCs/>
          <w:color w:val="auto"/>
          <w:spacing w:val="-9"/>
          <w:sz w:val="52"/>
          <w:szCs w:val="52"/>
          <w:highlight w:val="none"/>
        </w:rPr>
        <w:t>施工合</w:t>
      </w:r>
      <w:r>
        <w:rPr>
          <w:rFonts w:ascii="宋体" w:hAnsi="宋体" w:eastAsia="宋体" w:cs="宋体"/>
          <w:color w:val="auto"/>
          <w:spacing w:val="-67"/>
          <w:sz w:val="52"/>
          <w:szCs w:val="52"/>
          <w:highlight w:val="none"/>
        </w:rPr>
        <w:t xml:space="preserve"> </w:t>
      </w:r>
      <w:r>
        <w:rPr>
          <w:rFonts w:ascii="宋体" w:hAnsi="宋体" w:eastAsia="宋体" w:cs="宋体"/>
          <w:b/>
          <w:bCs/>
          <w:color w:val="auto"/>
          <w:spacing w:val="-9"/>
          <w:sz w:val="52"/>
          <w:szCs w:val="52"/>
          <w:highlight w:val="none"/>
        </w:rPr>
        <w:t>同</w:t>
      </w:r>
    </w:p>
    <w:p w14:paraId="02E42164">
      <w:pPr>
        <w:pStyle w:val="2"/>
        <w:spacing w:line="279" w:lineRule="auto"/>
        <w:rPr>
          <w:color w:val="auto"/>
          <w:highlight w:val="none"/>
        </w:rPr>
      </w:pPr>
    </w:p>
    <w:p w14:paraId="05A559D6">
      <w:pPr>
        <w:pStyle w:val="2"/>
        <w:spacing w:line="279" w:lineRule="auto"/>
        <w:rPr>
          <w:color w:val="auto"/>
          <w:highlight w:val="none"/>
        </w:rPr>
      </w:pPr>
    </w:p>
    <w:p w14:paraId="0F47F3E3">
      <w:pPr>
        <w:pStyle w:val="2"/>
        <w:spacing w:line="279" w:lineRule="auto"/>
        <w:rPr>
          <w:color w:val="auto"/>
          <w:highlight w:val="none"/>
        </w:rPr>
      </w:pPr>
    </w:p>
    <w:p w14:paraId="7C37844E">
      <w:pPr>
        <w:pStyle w:val="2"/>
        <w:spacing w:line="279" w:lineRule="auto"/>
        <w:rPr>
          <w:color w:val="auto"/>
          <w:highlight w:val="none"/>
        </w:rPr>
      </w:pPr>
    </w:p>
    <w:p w14:paraId="467EA702">
      <w:pPr>
        <w:pStyle w:val="2"/>
        <w:spacing w:line="279" w:lineRule="auto"/>
        <w:rPr>
          <w:color w:val="auto"/>
          <w:highlight w:val="none"/>
        </w:rPr>
      </w:pPr>
    </w:p>
    <w:p w14:paraId="56994D07">
      <w:pPr>
        <w:pStyle w:val="2"/>
        <w:spacing w:line="279" w:lineRule="auto"/>
        <w:rPr>
          <w:color w:val="auto"/>
          <w:highlight w:val="none"/>
        </w:rPr>
      </w:pPr>
    </w:p>
    <w:p w14:paraId="01970529">
      <w:pPr>
        <w:pStyle w:val="2"/>
        <w:spacing w:line="279" w:lineRule="auto"/>
        <w:rPr>
          <w:color w:val="auto"/>
          <w:highlight w:val="none"/>
        </w:rPr>
      </w:pPr>
    </w:p>
    <w:p w14:paraId="00923A99">
      <w:pPr>
        <w:pStyle w:val="2"/>
        <w:spacing w:line="279" w:lineRule="auto"/>
        <w:rPr>
          <w:color w:val="auto"/>
          <w:highlight w:val="none"/>
        </w:rPr>
      </w:pPr>
    </w:p>
    <w:p w14:paraId="419366D1">
      <w:pPr>
        <w:pStyle w:val="2"/>
        <w:spacing w:line="279" w:lineRule="auto"/>
        <w:rPr>
          <w:color w:val="auto"/>
          <w:highlight w:val="none"/>
        </w:rPr>
      </w:pPr>
    </w:p>
    <w:p w14:paraId="2CD9BC54">
      <w:pPr>
        <w:pStyle w:val="2"/>
        <w:spacing w:line="279" w:lineRule="auto"/>
        <w:rPr>
          <w:color w:val="auto"/>
          <w:highlight w:val="none"/>
        </w:rPr>
      </w:pPr>
    </w:p>
    <w:p w14:paraId="65F97AD2">
      <w:pPr>
        <w:pStyle w:val="2"/>
        <w:spacing w:line="279" w:lineRule="auto"/>
        <w:rPr>
          <w:color w:val="auto"/>
          <w:highlight w:val="none"/>
        </w:rPr>
      </w:pPr>
    </w:p>
    <w:p w14:paraId="672D3CE2">
      <w:pPr>
        <w:pStyle w:val="2"/>
        <w:spacing w:line="279" w:lineRule="auto"/>
        <w:rPr>
          <w:color w:val="auto"/>
          <w:highlight w:val="none"/>
        </w:rPr>
      </w:pPr>
    </w:p>
    <w:p w14:paraId="1CC613D1">
      <w:pPr>
        <w:pStyle w:val="2"/>
        <w:spacing w:line="279" w:lineRule="auto"/>
        <w:rPr>
          <w:color w:val="auto"/>
          <w:highlight w:val="none"/>
        </w:rPr>
      </w:pPr>
    </w:p>
    <w:p w14:paraId="45B3A606">
      <w:pPr>
        <w:spacing w:before="100" w:line="225" w:lineRule="auto"/>
        <w:ind w:left="652"/>
        <w:rPr>
          <w:rFonts w:ascii="宋体" w:hAnsi="宋体" w:eastAsia="宋体" w:cs="宋体"/>
          <w:color w:val="auto"/>
          <w:sz w:val="31"/>
          <w:szCs w:val="31"/>
          <w:highlight w:val="none"/>
        </w:rPr>
      </w:pPr>
      <w:r>
        <w:rPr>
          <w:rFonts w:ascii="宋体" w:hAnsi="宋体" w:eastAsia="宋体" w:cs="宋体"/>
          <w:color w:val="auto"/>
          <w:spacing w:val="3"/>
          <w:sz w:val="31"/>
          <w:szCs w:val="31"/>
          <w:highlight w:val="none"/>
        </w:rPr>
        <w:t>发包人（全称</w:t>
      </w:r>
      <w:r>
        <w:rPr>
          <w:rFonts w:ascii="宋体" w:hAnsi="宋体" w:eastAsia="宋体" w:cs="宋体"/>
          <w:color w:val="auto"/>
          <w:spacing w:val="9"/>
          <w:sz w:val="31"/>
          <w:szCs w:val="31"/>
          <w:highlight w:val="none"/>
        </w:rPr>
        <w:t>）：</w:t>
      </w:r>
      <w:r>
        <w:rPr>
          <w:rFonts w:ascii="宋体" w:hAnsi="宋体" w:eastAsia="宋体" w:cs="宋体"/>
          <w:color w:val="auto"/>
          <w:spacing w:val="9"/>
          <w:sz w:val="31"/>
          <w:szCs w:val="31"/>
          <w:highlight w:val="none"/>
          <w:u w:val="single" w:color="auto"/>
        </w:rPr>
        <w:t xml:space="preserve">  </w:t>
      </w:r>
      <w:r>
        <w:rPr>
          <w:rFonts w:hint="eastAsia" w:ascii="宋体" w:hAnsi="宋体" w:eastAsia="宋体" w:cs="宋体"/>
          <w:color w:val="auto"/>
          <w:spacing w:val="3"/>
          <w:sz w:val="31"/>
          <w:szCs w:val="31"/>
          <w:highlight w:val="none"/>
          <w:u w:val="single" w:color="auto"/>
          <w:lang w:eastAsia="zh-CN"/>
        </w:rPr>
        <w:t>横州市莲塘镇初级中学</w:t>
      </w:r>
      <w:r>
        <w:rPr>
          <w:rFonts w:ascii="宋体" w:hAnsi="宋体" w:eastAsia="宋体" w:cs="宋体"/>
          <w:color w:val="auto"/>
          <w:spacing w:val="3"/>
          <w:sz w:val="31"/>
          <w:szCs w:val="31"/>
          <w:highlight w:val="none"/>
          <w:u w:val="single" w:color="auto"/>
        </w:rPr>
        <w:t xml:space="preserve">        </w:t>
      </w:r>
    </w:p>
    <w:p w14:paraId="5EE392ED">
      <w:pPr>
        <w:spacing w:before="244" w:line="225" w:lineRule="auto"/>
        <w:ind w:left="652"/>
        <w:rPr>
          <w:rFonts w:ascii="宋体" w:hAnsi="宋体" w:eastAsia="宋体" w:cs="宋体"/>
          <w:color w:val="auto"/>
          <w:sz w:val="31"/>
          <w:szCs w:val="31"/>
          <w:highlight w:val="none"/>
        </w:rPr>
      </w:pPr>
      <w:r>
        <w:rPr>
          <w:rFonts w:ascii="宋体" w:hAnsi="宋体" w:eastAsia="宋体" w:cs="宋体"/>
          <w:color w:val="auto"/>
          <w:spacing w:val="13"/>
          <w:sz w:val="31"/>
          <w:szCs w:val="31"/>
          <w:highlight w:val="none"/>
        </w:rPr>
        <w:t>承包人（全称</w:t>
      </w:r>
      <w:r>
        <w:rPr>
          <w:rFonts w:ascii="宋体" w:hAnsi="宋体" w:eastAsia="宋体" w:cs="宋体"/>
          <w:color w:val="auto"/>
          <w:spacing w:val="2"/>
          <w:sz w:val="31"/>
          <w:szCs w:val="31"/>
          <w:highlight w:val="none"/>
        </w:rPr>
        <w:t>）：</w:t>
      </w:r>
      <w:r>
        <w:rPr>
          <w:rFonts w:ascii="宋体" w:hAnsi="宋体" w:eastAsia="宋体" w:cs="宋体"/>
          <w:color w:val="auto"/>
          <w:spacing w:val="19"/>
          <w:sz w:val="31"/>
          <w:szCs w:val="31"/>
          <w:highlight w:val="none"/>
          <w:u w:val="single" w:color="auto"/>
        </w:rPr>
        <w:t xml:space="preserve">        </w:t>
      </w:r>
      <w:r>
        <w:rPr>
          <w:rFonts w:ascii="宋体" w:hAnsi="宋体" w:eastAsia="宋体" w:cs="宋体"/>
          <w:color w:val="auto"/>
          <w:sz w:val="31"/>
          <w:szCs w:val="31"/>
          <w:highlight w:val="none"/>
          <w:u w:val="single" w:color="auto"/>
        </w:rPr>
        <w:t xml:space="preserve">XXXXXXXXXXXX          </w:t>
      </w:r>
    </w:p>
    <w:p w14:paraId="43CA3394">
      <w:pPr>
        <w:spacing w:line="225" w:lineRule="auto"/>
        <w:rPr>
          <w:rFonts w:ascii="宋体" w:hAnsi="宋体" w:eastAsia="宋体" w:cs="宋体"/>
          <w:color w:val="auto"/>
          <w:sz w:val="31"/>
          <w:szCs w:val="31"/>
          <w:highlight w:val="none"/>
        </w:rPr>
        <w:sectPr>
          <w:headerReference r:id="rId84" w:type="default"/>
          <w:footerReference r:id="rId85" w:type="default"/>
          <w:pgSz w:w="11907" w:h="16841"/>
          <w:pgMar w:top="240" w:right="1134" w:bottom="1274" w:left="1134" w:header="225" w:footer="1038" w:gutter="0"/>
          <w:cols w:space="720" w:num="1"/>
        </w:sectPr>
      </w:pPr>
    </w:p>
    <w:p w14:paraId="0C03E9A5">
      <w:pPr>
        <w:pStyle w:val="2"/>
        <w:spacing w:line="274" w:lineRule="auto"/>
        <w:rPr>
          <w:color w:val="auto"/>
          <w:highlight w:val="none"/>
        </w:rPr>
      </w:pPr>
    </w:p>
    <w:p w14:paraId="6100D480">
      <w:pPr>
        <w:pStyle w:val="2"/>
        <w:spacing w:line="274" w:lineRule="auto"/>
        <w:rPr>
          <w:color w:val="auto"/>
          <w:highlight w:val="none"/>
        </w:rPr>
      </w:pPr>
    </w:p>
    <w:p w14:paraId="5A302B6E">
      <w:pPr>
        <w:spacing w:before="97" w:line="219" w:lineRule="auto"/>
        <w:ind w:left="3213"/>
        <w:outlineLvl w:val="1"/>
        <w:rPr>
          <w:rFonts w:ascii="宋体" w:hAnsi="宋体" w:eastAsia="宋体" w:cs="宋体"/>
          <w:color w:val="auto"/>
          <w:sz w:val="30"/>
          <w:szCs w:val="30"/>
          <w:highlight w:val="none"/>
        </w:rPr>
      </w:pPr>
      <w:bookmarkStart w:id="26" w:name="_Toc14222"/>
      <w:r>
        <w:rPr>
          <w:rFonts w:ascii="宋体" w:hAnsi="宋体" w:eastAsia="宋体" w:cs="宋体"/>
          <w:b/>
          <w:bCs/>
          <w:color w:val="auto"/>
          <w:spacing w:val="10"/>
          <w:sz w:val="30"/>
          <w:szCs w:val="30"/>
          <w:highlight w:val="none"/>
        </w:rPr>
        <w:t>第一部分</w:t>
      </w:r>
      <w:r>
        <w:rPr>
          <w:rFonts w:ascii="宋体" w:hAnsi="宋体" w:eastAsia="宋体" w:cs="宋体"/>
          <w:color w:val="auto"/>
          <w:spacing w:val="59"/>
          <w:sz w:val="30"/>
          <w:szCs w:val="30"/>
          <w:highlight w:val="none"/>
        </w:rPr>
        <w:t xml:space="preserve"> </w:t>
      </w:r>
      <w:r>
        <w:rPr>
          <w:rFonts w:ascii="宋体" w:hAnsi="宋体" w:eastAsia="宋体" w:cs="宋体"/>
          <w:b/>
          <w:bCs/>
          <w:color w:val="auto"/>
          <w:spacing w:val="10"/>
          <w:sz w:val="30"/>
          <w:szCs w:val="30"/>
          <w:highlight w:val="none"/>
        </w:rPr>
        <w:t>合同协议书</w:t>
      </w:r>
      <w:bookmarkEnd w:id="26"/>
    </w:p>
    <w:p w14:paraId="163C349D">
      <w:pPr>
        <w:pStyle w:val="2"/>
        <w:spacing w:line="297" w:lineRule="auto"/>
        <w:rPr>
          <w:color w:val="auto"/>
          <w:highlight w:val="none"/>
        </w:rPr>
      </w:pPr>
    </w:p>
    <w:p w14:paraId="5F8E55AA">
      <w:pPr>
        <w:pStyle w:val="2"/>
        <w:spacing w:line="297" w:lineRule="auto"/>
        <w:rPr>
          <w:color w:val="auto"/>
          <w:highlight w:val="none"/>
        </w:rPr>
      </w:pPr>
    </w:p>
    <w:p w14:paraId="7EE57FBB">
      <w:pPr>
        <w:pStyle w:val="2"/>
        <w:spacing w:line="297" w:lineRule="auto"/>
        <w:rPr>
          <w:color w:val="auto"/>
          <w:highlight w:val="none"/>
        </w:rPr>
      </w:pPr>
    </w:p>
    <w:p w14:paraId="41BD2A24">
      <w:pPr>
        <w:spacing w:before="65" w:line="228" w:lineRule="auto"/>
        <w:ind w:left="1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发包人（全称</w:t>
      </w:r>
      <w:r>
        <w:rPr>
          <w:rFonts w:ascii="宋体" w:hAnsi="宋体" w:eastAsia="宋体" w:cs="宋体"/>
          <w:color w:val="auto"/>
          <w:spacing w:val="11"/>
          <w:sz w:val="20"/>
          <w:szCs w:val="20"/>
          <w:highlight w:val="none"/>
        </w:rPr>
        <w:t>）：</w:t>
      </w:r>
      <w:r>
        <w:rPr>
          <w:rFonts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lang w:eastAsia="zh-CN"/>
        </w:rPr>
        <w:t>横州市莲塘镇初级中学</w:t>
      </w:r>
      <w:r>
        <w:rPr>
          <w:rFonts w:ascii="宋体" w:hAnsi="宋体" w:eastAsia="宋体" w:cs="宋体"/>
          <w:color w:val="auto"/>
          <w:spacing w:val="6"/>
          <w:sz w:val="20"/>
          <w:szCs w:val="20"/>
          <w:highlight w:val="none"/>
          <w:u w:val="single" w:color="auto"/>
        </w:rPr>
        <w:t xml:space="preserve">  </w:t>
      </w:r>
    </w:p>
    <w:p w14:paraId="0A13D37A">
      <w:pPr>
        <w:spacing w:before="221" w:line="228" w:lineRule="auto"/>
        <w:ind w:left="8"/>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承包人（全称</w:t>
      </w:r>
      <w:r>
        <w:rPr>
          <w:rFonts w:ascii="宋体" w:hAnsi="宋体" w:eastAsia="宋体" w:cs="宋体"/>
          <w:color w:val="auto"/>
          <w:spacing w:val="7"/>
          <w:sz w:val="20"/>
          <w:szCs w:val="20"/>
          <w:highlight w:val="none"/>
        </w:rPr>
        <w:t>）</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z w:val="20"/>
          <w:szCs w:val="20"/>
          <w:highlight w:val="none"/>
          <w:u w:val="single" w:color="auto"/>
        </w:rPr>
        <w:t>XXXXXXXXXXXX</w:t>
      </w:r>
      <w:r>
        <w:rPr>
          <w:rFonts w:ascii="宋体" w:hAnsi="宋体" w:eastAsia="宋体" w:cs="宋体"/>
          <w:color w:val="auto"/>
          <w:sz w:val="20"/>
          <w:szCs w:val="20"/>
          <w:highlight w:val="none"/>
          <w:u w:val="single" w:color="000000"/>
        </w:rPr>
        <w:t xml:space="preserve">      </w:t>
      </w:r>
    </w:p>
    <w:p w14:paraId="49857532">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根据《中华人民共和国民法典》、《中华人民共和国建筑法》及有关法律</w:t>
      </w:r>
      <w:r>
        <w:rPr>
          <w:rFonts w:ascii="宋体" w:hAnsi="宋体" w:eastAsia="宋体" w:cs="宋体"/>
          <w:color w:val="auto"/>
          <w:spacing w:val="8"/>
          <w:sz w:val="20"/>
          <w:szCs w:val="20"/>
          <w:highlight w:val="none"/>
        </w:rPr>
        <w:t>规定，遵循平等、</w:t>
      </w:r>
      <w:r>
        <w:rPr>
          <w:rFonts w:ascii="宋体" w:hAnsi="宋体" w:eastAsia="宋体" w:cs="宋体"/>
          <w:color w:val="auto"/>
          <w:spacing w:val="-49"/>
          <w:sz w:val="20"/>
          <w:szCs w:val="20"/>
          <w:highlight w:val="none"/>
        </w:rPr>
        <w:t xml:space="preserve"> </w:t>
      </w:r>
      <w:r>
        <w:rPr>
          <w:rFonts w:ascii="宋体" w:hAnsi="宋体" w:eastAsia="宋体" w:cs="宋体"/>
          <w:color w:val="auto"/>
          <w:spacing w:val="8"/>
          <w:sz w:val="20"/>
          <w:szCs w:val="20"/>
          <w:highlight w:val="none"/>
        </w:rPr>
        <w:t>自愿、</w:t>
      </w:r>
    </w:p>
    <w:p w14:paraId="0F10E9DA">
      <w:pPr>
        <w:spacing w:before="220" w:line="228" w:lineRule="auto"/>
        <w:jc w:val="righ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公平和诚实信用的原则，双方就</w:t>
      </w:r>
      <w:r>
        <w:rPr>
          <w:rFonts w:ascii="宋体" w:hAnsi="宋体" w:eastAsia="宋体" w:cs="宋体"/>
          <w:color w:val="auto"/>
          <w:spacing w:val="8"/>
          <w:sz w:val="20"/>
          <w:szCs w:val="20"/>
          <w:highlight w:val="none"/>
          <w:u w:val="single" w:color="000000"/>
        </w:rPr>
        <w:t xml:space="preserve"> </w:t>
      </w:r>
      <w:r>
        <w:rPr>
          <w:rFonts w:ascii="宋体" w:hAnsi="宋体" w:eastAsia="宋体" w:cs="宋体"/>
          <w:color w:val="auto"/>
          <w:spacing w:val="8"/>
          <w:sz w:val="20"/>
          <w:szCs w:val="20"/>
          <w:highlight w:val="none"/>
          <w:u w:val="single" w:color="auto"/>
        </w:rPr>
        <w:t>横州市</w:t>
      </w:r>
      <w:r>
        <w:rPr>
          <w:rFonts w:ascii="宋体" w:hAnsi="宋体" w:eastAsia="宋体" w:cs="宋体"/>
          <w:color w:val="auto"/>
          <w:spacing w:val="-29"/>
          <w:sz w:val="20"/>
          <w:szCs w:val="20"/>
          <w:highlight w:val="none"/>
          <w:u w:val="single" w:color="000000"/>
        </w:rPr>
        <w:t xml:space="preserve"> </w:t>
      </w:r>
      <w:r>
        <w:rPr>
          <w:rFonts w:ascii="宋体" w:hAnsi="宋体" w:eastAsia="宋体" w:cs="宋体"/>
          <w:color w:val="auto"/>
          <w:sz w:val="20"/>
          <w:szCs w:val="20"/>
          <w:highlight w:val="none"/>
          <w:u w:val="single" w:color="auto"/>
        </w:rPr>
        <w:t>XXXX</w:t>
      </w:r>
      <w:r>
        <w:rPr>
          <w:rFonts w:ascii="宋体" w:hAnsi="宋体" w:eastAsia="宋体" w:cs="宋体"/>
          <w:color w:val="auto"/>
          <w:spacing w:val="-37"/>
          <w:sz w:val="20"/>
          <w:szCs w:val="20"/>
          <w:highlight w:val="none"/>
          <w:u w:val="single" w:color="000000"/>
        </w:rPr>
        <w:t xml:space="preserve"> </w:t>
      </w:r>
      <w:r>
        <w:rPr>
          <w:rFonts w:ascii="宋体" w:hAnsi="宋体" w:eastAsia="宋体" w:cs="宋体"/>
          <w:color w:val="auto"/>
          <w:spacing w:val="8"/>
          <w:sz w:val="20"/>
          <w:szCs w:val="20"/>
          <w:highlight w:val="none"/>
          <w:u w:val="single" w:color="auto"/>
        </w:rPr>
        <w:t>项目</w:t>
      </w:r>
      <w:r>
        <w:rPr>
          <w:rFonts w:ascii="宋体" w:hAnsi="宋体" w:eastAsia="宋体" w:cs="宋体"/>
          <w:color w:val="auto"/>
          <w:spacing w:val="8"/>
          <w:sz w:val="20"/>
          <w:szCs w:val="20"/>
          <w:highlight w:val="none"/>
          <w:u w:val="single" w:color="000000"/>
        </w:rPr>
        <w:t xml:space="preserve"> </w:t>
      </w:r>
      <w:r>
        <w:rPr>
          <w:rFonts w:ascii="宋体" w:hAnsi="宋体" w:eastAsia="宋体" w:cs="宋体"/>
          <w:color w:val="auto"/>
          <w:spacing w:val="8"/>
          <w:sz w:val="20"/>
          <w:szCs w:val="20"/>
          <w:highlight w:val="none"/>
        </w:rPr>
        <w:t>工程施工及有关事项协商一致，共同达成如下协议：</w:t>
      </w:r>
    </w:p>
    <w:p w14:paraId="1DEEF0C4">
      <w:pPr>
        <w:spacing w:before="222" w:line="228" w:lineRule="auto"/>
        <w:ind w:left="431"/>
        <w:outlineLvl w:val="0"/>
        <w:rPr>
          <w:rFonts w:ascii="宋体" w:hAnsi="宋体" w:eastAsia="宋体" w:cs="宋体"/>
          <w:color w:val="auto"/>
          <w:sz w:val="20"/>
          <w:szCs w:val="20"/>
          <w:highlight w:val="none"/>
        </w:rPr>
      </w:pPr>
      <w:bookmarkStart w:id="27" w:name="_Toc1216"/>
      <w:r>
        <w:rPr>
          <w:rFonts w:ascii="宋体" w:hAnsi="宋体" w:eastAsia="宋体" w:cs="宋体"/>
          <w:b/>
          <w:bCs/>
          <w:color w:val="auto"/>
          <w:spacing w:val="6"/>
          <w:sz w:val="20"/>
          <w:szCs w:val="20"/>
          <w:highlight w:val="none"/>
        </w:rPr>
        <w:t>一、工程概况</w:t>
      </w:r>
      <w:bookmarkEnd w:id="27"/>
    </w:p>
    <w:p w14:paraId="0C68171A">
      <w:pPr>
        <w:spacing w:before="220" w:line="228" w:lineRule="auto"/>
        <w:ind w:left="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1.工程名称：</w:t>
      </w:r>
      <w:r>
        <w:rPr>
          <w:rFonts w:ascii="宋体" w:hAnsi="宋体" w:eastAsia="宋体" w:cs="宋体"/>
          <w:color w:val="auto"/>
          <w:spacing w:val="7"/>
          <w:sz w:val="20"/>
          <w:szCs w:val="20"/>
          <w:highlight w:val="none"/>
          <w:u w:val="single" w:color="auto"/>
        </w:rPr>
        <w:t xml:space="preserve"> 横州市</w:t>
      </w:r>
      <w:r>
        <w:rPr>
          <w:rFonts w:ascii="宋体" w:hAnsi="宋体" w:eastAsia="宋体" w:cs="宋体"/>
          <w:color w:val="auto"/>
          <w:spacing w:val="-31"/>
          <w:sz w:val="20"/>
          <w:szCs w:val="20"/>
          <w:highlight w:val="none"/>
          <w:u w:val="single" w:color="000000"/>
        </w:rPr>
        <w:t xml:space="preserve"> </w:t>
      </w:r>
      <w:r>
        <w:rPr>
          <w:rFonts w:ascii="宋体" w:hAnsi="宋体" w:eastAsia="宋体" w:cs="宋体"/>
          <w:color w:val="auto"/>
          <w:sz w:val="20"/>
          <w:szCs w:val="20"/>
          <w:highlight w:val="none"/>
          <w:u w:val="single" w:color="auto"/>
        </w:rPr>
        <w:t>XXXXXXXX</w:t>
      </w:r>
      <w:r>
        <w:rPr>
          <w:rFonts w:ascii="宋体" w:hAnsi="宋体" w:eastAsia="宋体" w:cs="宋体"/>
          <w:color w:val="auto"/>
          <w:spacing w:val="-34"/>
          <w:sz w:val="20"/>
          <w:szCs w:val="20"/>
          <w:highlight w:val="none"/>
          <w:u w:val="single" w:color="000000"/>
        </w:rPr>
        <w:t xml:space="preserve"> </w:t>
      </w:r>
      <w:r>
        <w:rPr>
          <w:rFonts w:ascii="宋体" w:hAnsi="宋体" w:eastAsia="宋体" w:cs="宋体"/>
          <w:color w:val="auto"/>
          <w:spacing w:val="7"/>
          <w:sz w:val="20"/>
          <w:szCs w:val="20"/>
          <w:highlight w:val="none"/>
          <w:u w:val="single" w:color="auto"/>
        </w:rPr>
        <w:t>项目</w:t>
      </w:r>
      <w:r>
        <w:rPr>
          <w:rFonts w:ascii="宋体" w:hAnsi="宋体" w:eastAsia="宋体" w:cs="宋体"/>
          <w:color w:val="auto"/>
          <w:spacing w:val="7"/>
          <w:sz w:val="20"/>
          <w:szCs w:val="20"/>
          <w:highlight w:val="none"/>
        </w:rPr>
        <w:t>。</w:t>
      </w:r>
    </w:p>
    <w:p w14:paraId="38A34007">
      <w:pPr>
        <w:spacing w:before="221" w:line="228" w:lineRule="auto"/>
        <w:ind w:left="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2.工程地点：</w:t>
      </w:r>
      <w:r>
        <w:rPr>
          <w:rFonts w:ascii="宋体" w:hAnsi="宋体" w:eastAsia="宋体" w:cs="宋体"/>
          <w:color w:val="auto"/>
          <w:spacing w:val="8"/>
          <w:sz w:val="20"/>
          <w:szCs w:val="20"/>
          <w:highlight w:val="none"/>
          <w:u w:val="single" w:color="auto"/>
        </w:rPr>
        <w:t>横州市</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z w:val="20"/>
          <w:szCs w:val="20"/>
          <w:highlight w:val="none"/>
          <w:u w:val="single" w:color="auto"/>
        </w:rPr>
        <w:t>xxxx</w:t>
      </w:r>
      <w:r>
        <w:rPr>
          <w:rFonts w:ascii="宋体" w:hAnsi="宋体" w:eastAsia="宋体" w:cs="宋体"/>
          <w:color w:val="auto"/>
          <w:spacing w:val="8"/>
          <w:sz w:val="20"/>
          <w:szCs w:val="20"/>
          <w:highlight w:val="none"/>
        </w:rPr>
        <w:t>。</w:t>
      </w:r>
    </w:p>
    <w:p w14:paraId="50CE0E8D">
      <w:pPr>
        <w:spacing w:before="222" w:line="228" w:lineRule="auto"/>
        <w:ind w:left="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3.资金来源：</w:t>
      </w:r>
      <w:r>
        <w:rPr>
          <w:rFonts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lang w:eastAsia="zh-CN"/>
        </w:rPr>
        <w:t>中央补助资金</w:t>
      </w:r>
      <w:r>
        <w:rPr>
          <w:rFonts w:ascii="宋体" w:hAnsi="宋体" w:eastAsia="宋体" w:cs="宋体"/>
          <w:color w:val="auto"/>
          <w:spacing w:val="6"/>
          <w:sz w:val="20"/>
          <w:szCs w:val="20"/>
          <w:highlight w:val="none"/>
        </w:rPr>
        <w:t>。</w:t>
      </w:r>
    </w:p>
    <w:p w14:paraId="15C28FE1">
      <w:pPr>
        <w:spacing w:before="220" w:line="228" w:lineRule="auto"/>
        <w:ind w:left="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4.工程内容：</w:t>
      </w:r>
      <w:r>
        <w:rPr>
          <w:rFonts w:ascii="宋体" w:hAnsi="宋体" w:eastAsia="宋体" w:cs="宋体"/>
          <w:color w:val="auto"/>
          <w:spacing w:val="7"/>
          <w:sz w:val="20"/>
          <w:szCs w:val="20"/>
          <w:highlight w:val="none"/>
          <w:u w:val="single" w:color="auto"/>
        </w:rPr>
        <w:t xml:space="preserve"> 横州市</w:t>
      </w:r>
      <w:r>
        <w:rPr>
          <w:rFonts w:ascii="宋体" w:hAnsi="宋体" w:eastAsia="宋体" w:cs="宋体"/>
          <w:color w:val="auto"/>
          <w:spacing w:val="-40"/>
          <w:sz w:val="20"/>
          <w:szCs w:val="20"/>
          <w:highlight w:val="none"/>
          <w:u w:val="single" w:color="000000"/>
        </w:rPr>
        <w:t xml:space="preserve"> </w:t>
      </w:r>
      <w:r>
        <w:rPr>
          <w:rFonts w:ascii="宋体" w:hAnsi="宋体" w:eastAsia="宋体" w:cs="宋体"/>
          <w:color w:val="auto"/>
          <w:sz w:val="20"/>
          <w:szCs w:val="20"/>
          <w:highlight w:val="none"/>
          <w:u w:val="single" w:color="auto"/>
        </w:rPr>
        <w:t>XXX</w:t>
      </w:r>
      <w:r>
        <w:rPr>
          <w:rFonts w:ascii="宋体" w:hAnsi="宋体" w:eastAsia="宋体" w:cs="宋体"/>
          <w:color w:val="auto"/>
          <w:spacing w:val="-35"/>
          <w:sz w:val="20"/>
          <w:szCs w:val="20"/>
          <w:highlight w:val="none"/>
          <w:u w:val="single" w:color="000000"/>
        </w:rPr>
        <w:t xml:space="preserve"> </w:t>
      </w:r>
      <w:r>
        <w:rPr>
          <w:rFonts w:ascii="宋体" w:hAnsi="宋体" w:eastAsia="宋体" w:cs="宋体"/>
          <w:color w:val="auto"/>
          <w:spacing w:val="7"/>
          <w:sz w:val="20"/>
          <w:szCs w:val="20"/>
          <w:highlight w:val="none"/>
          <w:u w:val="single" w:color="auto"/>
        </w:rPr>
        <w:t>项目</w:t>
      </w:r>
      <w:r>
        <w:rPr>
          <w:rFonts w:ascii="宋体" w:hAnsi="宋体" w:eastAsia="宋体" w:cs="宋体"/>
          <w:color w:val="auto"/>
          <w:spacing w:val="7"/>
          <w:sz w:val="20"/>
          <w:szCs w:val="20"/>
          <w:highlight w:val="none"/>
        </w:rPr>
        <w:t>。</w:t>
      </w:r>
    </w:p>
    <w:p w14:paraId="5352395B">
      <w:pPr>
        <w:spacing w:before="222" w:line="228" w:lineRule="auto"/>
        <w:ind w:left="42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5.工程承包范围：</w:t>
      </w:r>
    </w:p>
    <w:p w14:paraId="75E5E860">
      <w:pPr>
        <w:tabs>
          <w:tab w:val="left" w:pos="524"/>
        </w:tabs>
        <w:spacing w:before="220" w:line="226" w:lineRule="auto"/>
        <w:ind w:left="404"/>
        <w:rPr>
          <w:rFonts w:ascii="宋体" w:hAnsi="宋体" w:eastAsia="宋体" w:cs="宋体"/>
          <w:color w:val="auto"/>
          <w:sz w:val="20"/>
          <w:szCs w:val="20"/>
          <w:highlight w:val="none"/>
        </w:rPr>
      </w:pPr>
      <w:r>
        <w:rPr>
          <w:rFonts w:ascii="宋体" w:hAnsi="宋体" w:eastAsia="宋体" w:cs="宋体"/>
          <w:color w:val="auto"/>
          <w:sz w:val="20"/>
          <w:szCs w:val="20"/>
          <w:highlight w:val="none"/>
          <w:u w:val="single" w:color="auto"/>
        </w:rPr>
        <w:tab/>
      </w:r>
      <w:r>
        <w:rPr>
          <w:rFonts w:ascii="宋体" w:hAnsi="宋体" w:eastAsia="宋体" w:cs="宋体"/>
          <w:color w:val="auto"/>
          <w:spacing w:val="4"/>
          <w:sz w:val="20"/>
          <w:szCs w:val="20"/>
          <w:highlight w:val="none"/>
          <w:u w:val="single" w:color="auto"/>
        </w:rPr>
        <w:t>（1）横州市</w:t>
      </w:r>
      <w:r>
        <w:rPr>
          <w:rFonts w:ascii="宋体" w:hAnsi="宋体" w:eastAsia="宋体" w:cs="宋体"/>
          <w:color w:val="auto"/>
          <w:spacing w:val="-28"/>
          <w:sz w:val="20"/>
          <w:szCs w:val="20"/>
          <w:highlight w:val="none"/>
          <w:u w:val="single" w:color="000000"/>
        </w:rPr>
        <w:t xml:space="preserve"> </w:t>
      </w:r>
      <w:r>
        <w:rPr>
          <w:rFonts w:ascii="宋体" w:hAnsi="宋体" w:eastAsia="宋体" w:cs="宋体"/>
          <w:color w:val="auto"/>
          <w:sz w:val="20"/>
          <w:szCs w:val="20"/>
          <w:highlight w:val="none"/>
          <w:u w:val="single" w:color="auto"/>
        </w:rPr>
        <w:t>XXXX</w:t>
      </w:r>
      <w:r>
        <w:rPr>
          <w:rFonts w:ascii="宋体" w:hAnsi="宋体" w:eastAsia="宋体" w:cs="宋体"/>
          <w:color w:val="auto"/>
          <w:spacing w:val="-35"/>
          <w:sz w:val="20"/>
          <w:szCs w:val="20"/>
          <w:highlight w:val="none"/>
          <w:u w:val="single" w:color="000000"/>
        </w:rPr>
        <w:t xml:space="preserve"> </w:t>
      </w:r>
      <w:r>
        <w:rPr>
          <w:rFonts w:ascii="宋体" w:hAnsi="宋体" w:eastAsia="宋体" w:cs="宋体"/>
          <w:color w:val="auto"/>
          <w:spacing w:val="4"/>
          <w:sz w:val="20"/>
          <w:szCs w:val="20"/>
          <w:highlight w:val="none"/>
          <w:u w:val="single" w:color="auto"/>
        </w:rPr>
        <w:t>项目工程,具体详见施工图纸及工程量清单</w:t>
      </w:r>
      <w:r>
        <w:rPr>
          <w:rFonts w:ascii="宋体" w:hAnsi="宋体" w:eastAsia="宋体" w:cs="宋体"/>
          <w:color w:val="auto"/>
          <w:spacing w:val="4"/>
          <w:sz w:val="20"/>
          <w:szCs w:val="20"/>
          <w:highlight w:val="none"/>
        </w:rPr>
        <w:t>。</w:t>
      </w:r>
    </w:p>
    <w:p w14:paraId="1730B66A">
      <w:pPr>
        <w:spacing w:before="223" w:line="228" w:lineRule="auto"/>
        <w:ind w:left="41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6.工程承包方式：发包人提供建筑用水、用电，其它材料由承包人负</w:t>
      </w:r>
      <w:r>
        <w:rPr>
          <w:rFonts w:ascii="宋体" w:hAnsi="宋体" w:eastAsia="宋体" w:cs="宋体"/>
          <w:color w:val="auto"/>
          <w:spacing w:val="8"/>
          <w:sz w:val="20"/>
          <w:szCs w:val="20"/>
          <w:highlight w:val="none"/>
        </w:rPr>
        <w:t>责。</w:t>
      </w:r>
    </w:p>
    <w:p w14:paraId="6BDD44A9">
      <w:pPr>
        <w:spacing w:before="222" w:line="229" w:lineRule="auto"/>
        <w:ind w:left="417"/>
        <w:outlineLvl w:val="0"/>
        <w:rPr>
          <w:rFonts w:ascii="宋体" w:hAnsi="宋体" w:eastAsia="宋体" w:cs="宋体"/>
          <w:color w:val="auto"/>
          <w:sz w:val="20"/>
          <w:szCs w:val="20"/>
          <w:highlight w:val="none"/>
        </w:rPr>
      </w:pPr>
      <w:bookmarkStart w:id="28" w:name="_Toc23227"/>
      <w:r>
        <w:rPr>
          <w:rFonts w:ascii="宋体" w:hAnsi="宋体" w:eastAsia="宋体" w:cs="宋体"/>
          <w:b/>
          <w:bCs/>
          <w:color w:val="auto"/>
          <w:spacing w:val="6"/>
          <w:sz w:val="20"/>
          <w:szCs w:val="20"/>
          <w:highlight w:val="none"/>
        </w:rPr>
        <w:t>二、合同工期</w:t>
      </w:r>
      <w:bookmarkEnd w:id="28"/>
    </w:p>
    <w:p w14:paraId="1AE40E1D">
      <w:pPr>
        <w:spacing w:before="219" w:line="228" w:lineRule="auto"/>
        <w:ind w:left="46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计划开工日期：</w:t>
      </w:r>
      <w:r>
        <w:rPr>
          <w:rFonts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u w:val="single" w:color="auto"/>
          <w:lang w:val="en-US" w:eastAsia="zh-CN"/>
        </w:rPr>
        <w:t xml:space="preserve">    </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90"/>
          <w:sz w:val="20"/>
          <w:szCs w:val="20"/>
          <w:highlight w:val="none"/>
        </w:rPr>
        <w:t xml:space="preserve"> </w:t>
      </w:r>
      <w:r>
        <w:rPr>
          <w:rFonts w:ascii="宋体" w:hAnsi="宋体" w:eastAsia="宋体" w:cs="宋体"/>
          <w:color w:val="auto"/>
          <w:spacing w:val="6"/>
          <w:sz w:val="20"/>
          <w:szCs w:val="20"/>
          <w:highlight w:val="none"/>
        </w:rPr>
        <w:t>年</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6"/>
          <w:sz w:val="20"/>
          <w:szCs w:val="20"/>
          <w:highlight w:val="none"/>
        </w:rPr>
        <w:t>月</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56"/>
          <w:sz w:val="20"/>
          <w:szCs w:val="20"/>
          <w:highlight w:val="none"/>
        </w:rPr>
        <w:t xml:space="preserve"> </w:t>
      </w:r>
      <w:r>
        <w:rPr>
          <w:rFonts w:ascii="宋体" w:hAnsi="宋体" w:eastAsia="宋体" w:cs="宋体"/>
          <w:color w:val="auto"/>
          <w:spacing w:val="6"/>
          <w:sz w:val="20"/>
          <w:szCs w:val="20"/>
          <w:highlight w:val="none"/>
        </w:rPr>
        <w:t>日。（实际开工日期</w:t>
      </w:r>
      <w:r>
        <w:rPr>
          <w:rFonts w:ascii="宋体" w:hAnsi="宋体" w:eastAsia="宋体" w:cs="宋体"/>
          <w:color w:val="auto"/>
          <w:spacing w:val="5"/>
          <w:sz w:val="20"/>
          <w:szCs w:val="20"/>
          <w:highlight w:val="none"/>
        </w:rPr>
        <w:t>以开工令为准）</w:t>
      </w:r>
    </w:p>
    <w:p w14:paraId="5BACF95A">
      <w:pPr>
        <w:spacing w:before="222" w:line="228" w:lineRule="auto"/>
        <w:ind w:left="46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计划竣工日期：</w:t>
      </w:r>
      <w:r>
        <w:rPr>
          <w:rFonts w:ascii="宋体" w:hAnsi="宋体" w:eastAsia="宋体" w:cs="宋体"/>
          <w:color w:val="auto"/>
          <w:spacing w:val="3"/>
          <w:sz w:val="20"/>
          <w:szCs w:val="20"/>
          <w:highlight w:val="none"/>
          <w:u w:val="single" w:color="auto"/>
        </w:rPr>
        <w:t xml:space="preserve">  </w:t>
      </w:r>
      <w:r>
        <w:rPr>
          <w:rFonts w:hint="eastAsia" w:ascii="宋体" w:hAnsi="宋体" w:eastAsia="宋体" w:cs="宋体"/>
          <w:color w:val="auto"/>
          <w:spacing w:val="3"/>
          <w:sz w:val="20"/>
          <w:szCs w:val="20"/>
          <w:highlight w:val="none"/>
          <w:u w:val="single" w:color="auto"/>
          <w:lang w:val="en-US" w:eastAsia="zh-CN"/>
        </w:rPr>
        <w:t xml:space="preserve">    </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3"/>
          <w:sz w:val="20"/>
          <w:szCs w:val="20"/>
          <w:highlight w:val="none"/>
        </w:rPr>
        <w:t>年</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3"/>
          <w:sz w:val="20"/>
          <w:szCs w:val="20"/>
          <w:highlight w:val="none"/>
        </w:rPr>
        <w:t>月</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5"/>
          <w:sz w:val="20"/>
          <w:szCs w:val="20"/>
          <w:highlight w:val="none"/>
        </w:rPr>
        <w:t xml:space="preserve"> </w:t>
      </w:r>
      <w:r>
        <w:rPr>
          <w:rFonts w:ascii="宋体" w:hAnsi="宋体" w:eastAsia="宋体" w:cs="宋体"/>
          <w:color w:val="auto"/>
          <w:spacing w:val="3"/>
          <w:sz w:val="20"/>
          <w:szCs w:val="20"/>
          <w:highlight w:val="none"/>
        </w:rPr>
        <w:t>日。</w:t>
      </w:r>
    </w:p>
    <w:p w14:paraId="759122A0">
      <w:pPr>
        <w:spacing w:before="221" w:line="432" w:lineRule="auto"/>
        <w:ind w:left="11" w:right="36" w:firstLine="45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工期总日历天数：</w:t>
      </w:r>
      <w:r>
        <w:rPr>
          <w:rFonts w:ascii="宋体" w:hAnsi="宋体" w:eastAsia="宋体" w:cs="宋体"/>
          <w:color w:val="auto"/>
          <w:spacing w:val="10"/>
          <w:sz w:val="20"/>
          <w:szCs w:val="20"/>
          <w:highlight w:val="none"/>
          <w:u w:val="single" w:color="auto"/>
        </w:rPr>
        <w:t xml:space="preserve">       </w:t>
      </w:r>
      <w:r>
        <w:rPr>
          <w:rFonts w:ascii="宋体" w:hAnsi="宋体" w:eastAsia="宋体" w:cs="宋体"/>
          <w:color w:val="auto"/>
          <w:spacing w:val="-55"/>
          <w:sz w:val="20"/>
          <w:szCs w:val="20"/>
          <w:highlight w:val="none"/>
        </w:rPr>
        <w:t xml:space="preserve"> </w:t>
      </w:r>
      <w:r>
        <w:rPr>
          <w:rFonts w:ascii="宋体" w:hAnsi="宋体" w:eastAsia="宋体" w:cs="宋体"/>
          <w:color w:val="auto"/>
          <w:spacing w:val="10"/>
          <w:sz w:val="20"/>
          <w:szCs w:val="20"/>
          <w:highlight w:val="none"/>
        </w:rPr>
        <w:t>日历天。工期总日历天数与根据前述计划开竣工</w:t>
      </w:r>
      <w:r>
        <w:rPr>
          <w:rFonts w:ascii="宋体" w:hAnsi="宋体" w:eastAsia="宋体" w:cs="宋体"/>
          <w:color w:val="auto"/>
          <w:spacing w:val="9"/>
          <w:sz w:val="20"/>
          <w:szCs w:val="20"/>
          <w:highlight w:val="none"/>
        </w:rPr>
        <w:t>日期计算的工期天数不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一致的，以工期总日历天数为准。</w:t>
      </w:r>
    </w:p>
    <w:p w14:paraId="5DDCFB00">
      <w:pPr>
        <w:spacing w:line="229" w:lineRule="auto"/>
        <w:ind w:left="466"/>
        <w:outlineLvl w:val="0"/>
        <w:rPr>
          <w:rFonts w:ascii="宋体" w:hAnsi="宋体" w:eastAsia="宋体" w:cs="宋体"/>
          <w:color w:val="auto"/>
          <w:sz w:val="20"/>
          <w:szCs w:val="20"/>
          <w:highlight w:val="none"/>
        </w:rPr>
      </w:pPr>
      <w:bookmarkStart w:id="29" w:name="_Toc6539"/>
      <w:r>
        <w:rPr>
          <w:rFonts w:ascii="宋体" w:hAnsi="宋体" w:eastAsia="宋体" w:cs="宋体"/>
          <w:b/>
          <w:bCs/>
          <w:color w:val="auto"/>
          <w:spacing w:val="6"/>
          <w:sz w:val="20"/>
          <w:szCs w:val="20"/>
          <w:highlight w:val="none"/>
        </w:rPr>
        <w:t>三、质量标准</w:t>
      </w:r>
      <w:bookmarkEnd w:id="29"/>
    </w:p>
    <w:p w14:paraId="3CBFAB98">
      <w:pPr>
        <w:spacing w:before="220" w:line="228" w:lineRule="auto"/>
        <w:ind w:left="46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工程质量符合</w:t>
      </w:r>
      <w:r>
        <w:rPr>
          <w:rFonts w:ascii="宋体" w:hAnsi="宋体" w:eastAsia="宋体" w:cs="宋体"/>
          <w:color w:val="auto"/>
          <w:spacing w:val="6"/>
          <w:sz w:val="20"/>
          <w:szCs w:val="20"/>
          <w:highlight w:val="none"/>
          <w:u w:val="single" w:color="auto"/>
        </w:rPr>
        <w:t xml:space="preserve">    合格    </w:t>
      </w:r>
      <w:r>
        <w:rPr>
          <w:rFonts w:ascii="宋体" w:hAnsi="宋体" w:eastAsia="宋体" w:cs="宋体"/>
          <w:color w:val="auto"/>
          <w:spacing w:val="-88"/>
          <w:sz w:val="20"/>
          <w:szCs w:val="20"/>
          <w:highlight w:val="none"/>
        </w:rPr>
        <w:t xml:space="preserve"> </w:t>
      </w:r>
      <w:r>
        <w:rPr>
          <w:rFonts w:ascii="宋体" w:hAnsi="宋体" w:eastAsia="宋体" w:cs="宋体"/>
          <w:color w:val="auto"/>
          <w:spacing w:val="6"/>
          <w:sz w:val="20"/>
          <w:szCs w:val="20"/>
          <w:highlight w:val="none"/>
        </w:rPr>
        <w:t>标准。</w:t>
      </w:r>
    </w:p>
    <w:p w14:paraId="35EB9B26">
      <w:pPr>
        <w:spacing w:before="220" w:line="227" w:lineRule="auto"/>
        <w:ind w:left="486"/>
        <w:outlineLvl w:val="0"/>
        <w:rPr>
          <w:rFonts w:ascii="宋体" w:hAnsi="宋体" w:eastAsia="宋体" w:cs="宋体"/>
          <w:color w:val="auto"/>
          <w:sz w:val="20"/>
          <w:szCs w:val="20"/>
          <w:highlight w:val="none"/>
        </w:rPr>
      </w:pPr>
      <w:bookmarkStart w:id="30" w:name="_Toc28295"/>
      <w:r>
        <w:rPr>
          <w:rFonts w:ascii="宋体" w:hAnsi="宋体" w:eastAsia="宋体" w:cs="宋体"/>
          <w:b/>
          <w:bCs/>
          <w:color w:val="auto"/>
          <w:spacing w:val="6"/>
          <w:sz w:val="20"/>
          <w:szCs w:val="20"/>
          <w:highlight w:val="none"/>
        </w:rPr>
        <w:t>四、签约合同价与合同价格形式</w:t>
      </w:r>
      <w:bookmarkEnd w:id="30"/>
    </w:p>
    <w:p w14:paraId="4EDB7EB2">
      <w:pPr>
        <w:spacing w:before="222" w:line="227" w:lineRule="auto"/>
        <w:ind w:left="48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 签约合同价为：</w:t>
      </w:r>
    </w:p>
    <w:p w14:paraId="4091BE8B">
      <w:pPr>
        <w:spacing w:before="222" w:line="228" w:lineRule="auto"/>
        <w:ind w:left="53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人民币（大写）</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18"/>
          <w:sz w:val="20"/>
          <w:szCs w:val="20"/>
          <w:highlight w:val="none"/>
        </w:rPr>
        <w:t xml:space="preserve"> </w:t>
      </w:r>
      <w:r>
        <w:rPr>
          <w:rFonts w:ascii="宋体" w:hAnsi="宋体" w:eastAsia="宋体" w:cs="宋体"/>
          <w:b/>
          <w:bCs/>
          <w:color w:val="auto"/>
          <w:spacing w:val="4"/>
          <w:sz w:val="20"/>
          <w:szCs w:val="20"/>
          <w:highlight w:val="none"/>
        </w:rPr>
        <w:t>(¥</w:t>
      </w:r>
      <w:r>
        <w:rPr>
          <w:rFonts w:ascii="宋体" w:hAnsi="宋体" w:eastAsia="宋体" w:cs="宋体"/>
          <w:color w:val="auto"/>
          <w:spacing w:val="-97"/>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0"/>
          <w:sz w:val="20"/>
          <w:szCs w:val="20"/>
          <w:highlight w:val="none"/>
        </w:rPr>
        <w:t xml:space="preserve"> </w:t>
      </w:r>
      <w:r>
        <w:rPr>
          <w:rFonts w:ascii="宋体" w:hAnsi="宋体" w:eastAsia="宋体" w:cs="宋体"/>
          <w:b/>
          <w:bCs/>
          <w:color w:val="auto"/>
          <w:spacing w:val="4"/>
          <w:sz w:val="20"/>
          <w:szCs w:val="20"/>
          <w:highlight w:val="none"/>
        </w:rPr>
        <w:t>元</w:t>
      </w:r>
      <w:r>
        <w:rPr>
          <w:rFonts w:ascii="宋体" w:hAnsi="宋体" w:eastAsia="宋体" w:cs="宋体"/>
          <w:b/>
          <w:bCs/>
          <w:color w:val="auto"/>
          <w:spacing w:val="5"/>
          <w:sz w:val="20"/>
          <w:szCs w:val="20"/>
          <w:highlight w:val="none"/>
        </w:rPr>
        <w:t>）</w:t>
      </w:r>
      <w:r>
        <w:rPr>
          <w:rFonts w:ascii="宋体" w:hAnsi="宋体" w:eastAsia="宋体" w:cs="宋体"/>
          <w:color w:val="auto"/>
          <w:spacing w:val="5"/>
          <w:sz w:val="20"/>
          <w:szCs w:val="20"/>
          <w:highlight w:val="none"/>
        </w:rPr>
        <w:t>；</w:t>
      </w:r>
    </w:p>
    <w:p w14:paraId="3CF4BC4B">
      <w:pPr>
        <w:spacing w:before="222" w:line="229" w:lineRule="auto"/>
        <w:ind w:left="534"/>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其中：</w:t>
      </w:r>
    </w:p>
    <w:p w14:paraId="227996E0">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（1）安全文明施工费：</w:t>
      </w:r>
    </w:p>
    <w:p w14:paraId="5A9873F5">
      <w:pPr>
        <w:spacing w:before="220" w:line="228" w:lineRule="auto"/>
        <w:ind w:left="9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人民币（大写）</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20"/>
          <w:sz w:val="20"/>
          <w:szCs w:val="20"/>
          <w:highlight w:val="none"/>
        </w:rPr>
        <w:t xml:space="preserve"> </w:t>
      </w:r>
      <w:r>
        <w:rPr>
          <w:rFonts w:ascii="宋体" w:hAnsi="宋体" w:eastAsia="宋体" w:cs="宋体"/>
          <w:b/>
          <w:bCs/>
          <w:color w:val="auto"/>
          <w:spacing w:val="4"/>
          <w:sz w:val="20"/>
          <w:szCs w:val="20"/>
          <w:highlight w:val="none"/>
        </w:rPr>
        <w:t>(¥</w:t>
      </w:r>
      <w:r>
        <w:rPr>
          <w:rFonts w:ascii="宋体" w:hAnsi="宋体" w:eastAsia="宋体" w:cs="宋体"/>
          <w:color w:val="auto"/>
          <w:spacing w:val="-99"/>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8"/>
          <w:sz w:val="20"/>
          <w:szCs w:val="20"/>
          <w:highlight w:val="none"/>
        </w:rPr>
        <w:t xml:space="preserve"> </w:t>
      </w:r>
      <w:r>
        <w:rPr>
          <w:rFonts w:ascii="宋体" w:hAnsi="宋体" w:eastAsia="宋体" w:cs="宋体"/>
          <w:b/>
          <w:bCs/>
          <w:color w:val="auto"/>
          <w:spacing w:val="4"/>
          <w:sz w:val="20"/>
          <w:szCs w:val="20"/>
          <w:highlight w:val="none"/>
        </w:rPr>
        <w:t>元</w:t>
      </w:r>
      <w:r>
        <w:rPr>
          <w:rFonts w:ascii="宋体" w:hAnsi="宋体" w:eastAsia="宋体" w:cs="宋体"/>
          <w:b/>
          <w:bCs/>
          <w:color w:val="auto"/>
          <w:spacing w:val="5"/>
          <w:sz w:val="20"/>
          <w:szCs w:val="20"/>
          <w:highlight w:val="none"/>
        </w:rPr>
        <w:t>）</w:t>
      </w:r>
      <w:r>
        <w:rPr>
          <w:rFonts w:ascii="宋体" w:hAnsi="宋体" w:eastAsia="宋体" w:cs="宋体"/>
          <w:color w:val="auto"/>
          <w:spacing w:val="5"/>
          <w:sz w:val="20"/>
          <w:szCs w:val="20"/>
          <w:highlight w:val="none"/>
        </w:rPr>
        <w:t>；</w:t>
      </w:r>
    </w:p>
    <w:p w14:paraId="2D362881">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（2）材料和工程设备暂估价金额：</w:t>
      </w:r>
    </w:p>
    <w:p w14:paraId="660EB7E4">
      <w:pPr>
        <w:spacing w:line="227" w:lineRule="auto"/>
        <w:rPr>
          <w:rFonts w:ascii="宋体" w:hAnsi="宋体" w:eastAsia="宋体" w:cs="宋体"/>
          <w:color w:val="auto"/>
          <w:sz w:val="20"/>
          <w:szCs w:val="20"/>
          <w:highlight w:val="none"/>
        </w:rPr>
        <w:sectPr>
          <w:headerReference r:id="rId86" w:type="default"/>
          <w:footerReference r:id="rId87" w:type="default"/>
          <w:pgSz w:w="11906" w:h="16839"/>
          <w:pgMar w:top="1091" w:right="1184" w:bottom="1158" w:left="1219" w:header="1076" w:footer="922" w:gutter="0"/>
          <w:cols w:space="720" w:num="1"/>
        </w:sectPr>
      </w:pPr>
    </w:p>
    <w:p w14:paraId="15097733">
      <w:pPr>
        <w:spacing w:before="256" w:line="228" w:lineRule="auto"/>
        <w:ind w:left="9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人民币（大写）</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13"/>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4"/>
          <w:sz w:val="20"/>
          <w:szCs w:val="20"/>
          <w:highlight w:val="none"/>
          <w:u w:val="single" w:color="auto"/>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4"/>
          <w:sz w:val="20"/>
          <w:szCs w:val="20"/>
          <w:highlight w:val="none"/>
        </w:rPr>
        <w:t>元</w:t>
      </w:r>
      <w:r>
        <w:rPr>
          <w:rFonts w:ascii="宋体" w:hAnsi="宋体" w:eastAsia="宋体" w:cs="宋体"/>
          <w:color w:val="auto"/>
          <w:spacing w:val="3"/>
          <w:sz w:val="20"/>
          <w:szCs w:val="20"/>
          <w:highlight w:val="none"/>
        </w:rPr>
        <w:t>）；</w:t>
      </w:r>
    </w:p>
    <w:p w14:paraId="6F5E8367">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（3）专业工程暂估价金额：</w:t>
      </w:r>
    </w:p>
    <w:p w14:paraId="4F53B055">
      <w:pPr>
        <w:spacing w:before="221" w:line="228" w:lineRule="auto"/>
        <w:ind w:left="9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人民币（大写）</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14"/>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4"/>
          <w:sz w:val="20"/>
          <w:szCs w:val="20"/>
          <w:highlight w:val="none"/>
          <w:u w:val="single" w:color="auto"/>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4"/>
          <w:sz w:val="20"/>
          <w:szCs w:val="20"/>
          <w:highlight w:val="none"/>
        </w:rPr>
        <w:t>元</w:t>
      </w:r>
      <w:r>
        <w:rPr>
          <w:rFonts w:ascii="宋体" w:hAnsi="宋体" w:eastAsia="宋体" w:cs="宋体"/>
          <w:color w:val="auto"/>
          <w:spacing w:val="3"/>
          <w:sz w:val="20"/>
          <w:szCs w:val="20"/>
          <w:highlight w:val="none"/>
        </w:rPr>
        <w:t>）；</w:t>
      </w:r>
    </w:p>
    <w:p w14:paraId="7694B66F">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（4）暂列金额：</w:t>
      </w:r>
    </w:p>
    <w:p w14:paraId="6EC01C1D">
      <w:pPr>
        <w:spacing w:before="220" w:line="228" w:lineRule="auto"/>
        <w:ind w:left="9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人民币（大写）</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15"/>
          <w:sz w:val="20"/>
          <w:szCs w:val="20"/>
          <w:highlight w:val="none"/>
        </w:rPr>
        <w:t xml:space="preserve">  </w:t>
      </w:r>
      <w:r>
        <w:rPr>
          <w:rFonts w:ascii="宋体" w:hAnsi="宋体" w:eastAsia="宋体" w:cs="宋体"/>
          <w:color w:val="auto"/>
          <w:spacing w:val="4"/>
          <w:sz w:val="20"/>
          <w:szCs w:val="20"/>
          <w:highlight w:val="none"/>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4"/>
          <w:sz w:val="20"/>
          <w:szCs w:val="20"/>
          <w:highlight w:val="none"/>
          <w:u w:val="single" w:color="auto"/>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7"/>
          <w:sz w:val="20"/>
          <w:szCs w:val="20"/>
          <w:highlight w:val="none"/>
        </w:rPr>
        <w:t xml:space="preserve"> </w:t>
      </w:r>
      <w:r>
        <w:rPr>
          <w:rFonts w:ascii="宋体" w:hAnsi="宋体" w:eastAsia="宋体" w:cs="宋体"/>
          <w:color w:val="auto"/>
          <w:spacing w:val="4"/>
          <w:sz w:val="20"/>
          <w:szCs w:val="20"/>
          <w:highlight w:val="none"/>
        </w:rPr>
        <w:t>元）。</w:t>
      </w:r>
    </w:p>
    <w:p w14:paraId="7401CDFD">
      <w:pPr>
        <w:spacing w:before="221" w:line="227"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 合同价格形式：</w:t>
      </w:r>
      <w:r>
        <w:rPr>
          <w:rFonts w:ascii="宋体" w:hAnsi="宋体" w:eastAsia="宋体" w:cs="宋体"/>
          <w:color w:val="auto"/>
          <w:spacing w:val="7"/>
          <w:sz w:val="20"/>
          <w:szCs w:val="20"/>
          <w:highlight w:val="none"/>
          <w:u w:val="single" w:color="auto"/>
        </w:rPr>
        <w:t xml:space="preserve"> 单价合同  </w:t>
      </w:r>
      <w:r>
        <w:rPr>
          <w:rFonts w:ascii="宋体" w:hAnsi="宋体" w:eastAsia="宋体" w:cs="宋体"/>
          <w:color w:val="auto"/>
          <w:spacing w:val="7"/>
          <w:sz w:val="20"/>
          <w:szCs w:val="20"/>
          <w:highlight w:val="none"/>
        </w:rPr>
        <w:t>。</w:t>
      </w:r>
    </w:p>
    <w:p w14:paraId="6F9DCE79">
      <w:pPr>
        <w:spacing w:before="222" w:line="229" w:lineRule="auto"/>
        <w:ind w:left="431"/>
        <w:outlineLvl w:val="0"/>
        <w:rPr>
          <w:rFonts w:ascii="宋体" w:hAnsi="宋体" w:eastAsia="宋体" w:cs="宋体"/>
          <w:color w:val="auto"/>
          <w:sz w:val="20"/>
          <w:szCs w:val="20"/>
          <w:highlight w:val="none"/>
        </w:rPr>
      </w:pPr>
      <w:bookmarkStart w:id="31" w:name="_Toc61"/>
      <w:r>
        <w:rPr>
          <w:rFonts w:ascii="宋体" w:hAnsi="宋体" w:eastAsia="宋体" w:cs="宋体"/>
          <w:b/>
          <w:bCs/>
          <w:color w:val="auto"/>
          <w:spacing w:val="6"/>
          <w:sz w:val="20"/>
          <w:szCs w:val="20"/>
          <w:highlight w:val="none"/>
        </w:rPr>
        <w:t>五、项目经理</w:t>
      </w:r>
      <w:bookmarkEnd w:id="31"/>
    </w:p>
    <w:p w14:paraId="5FD3BBA4">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1、承包人项目经理</w:t>
      </w:r>
      <w:r>
        <w:rPr>
          <w:rFonts w:ascii="宋体" w:hAnsi="宋体" w:eastAsia="宋体" w:cs="宋体"/>
          <w:b/>
          <w:bCs/>
          <w:color w:val="auto"/>
          <w:spacing w:val="6"/>
          <w:sz w:val="20"/>
          <w:szCs w:val="20"/>
          <w:highlight w:val="none"/>
        </w:rPr>
        <w:t>：</w:t>
      </w:r>
      <w:r>
        <w:rPr>
          <w:rFonts w:ascii="宋体" w:hAnsi="宋体" w:eastAsia="宋体" w:cs="宋体"/>
          <w:color w:val="auto"/>
          <w:spacing w:val="6"/>
          <w:sz w:val="20"/>
          <w:szCs w:val="20"/>
          <w:highlight w:val="none"/>
          <w:u w:val="single" w:color="000000"/>
        </w:rPr>
        <w:t xml:space="preserve">   </w:t>
      </w:r>
      <w:r>
        <w:rPr>
          <w:rFonts w:ascii="宋体" w:hAnsi="宋体" w:eastAsia="宋体" w:cs="宋体"/>
          <w:b/>
          <w:bCs/>
          <w:color w:val="auto"/>
          <w:sz w:val="20"/>
          <w:szCs w:val="20"/>
          <w:highlight w:val="none"/>
          <w:u w:val="single" w:color="auto"/>
        </w:rPr>
        <w:t>XXXX</w:t>
      </w:r>
      <w:r>
        <w:rPr>
          <w:rFonts w:ascii="宋体" w:hAnsi="宋体" w:eastAsia="宋体" w:cs="宋体"/>
          <w:color w:val="auto"/>
          <w:spacing w:val="6"/>
          <w:sz w:val="20"/>
          <w:szCs w:val="20"/>
          <w:highlight w:val="none"/>
          <w:u w:val="single" w:color="000000"/>
        </w:rPr>
        <w:t xml:space="preserve">  </w:t>
      </w:r>
      <w:r>
        <w:rPr>
          <w:rFonts w:ascii="宋体" w:hAnsi="宋体" w:eastAsia="宋体" w:cs="宋体"/>
          <w:b/>
          <w:bCs/>
          <w:color w:val="auto"/>
          <w:spacing w:val="6"/>
          <w:sz w:val="20"/>
          <w:szCs w:val="20"/>
          <w:highlight w:val="none"/>
        </w:rPr>
        <w:t>。</w:t>
      </w:r>
    </w:p>
    <w:p w14:paraId="0EC684BC">
      <w:pPr>
        <w:spacing w:before="221" w:line="228" w:lineRule="auto"/>
        <w:ind w:left="430"/>
        <w:outlineLvl w:val="0"/>
        <w:rPr>
          <w:rFonts w:ascii="宋体" w:hAnsi="宋体" w:eastAsia="宋体" w:cs="宋体"/>
          <w:color w:val="auto"/>
          <w:sz w:val="20"/>
          <w:szCs w:val="20"/>
          <w:highlight w:val="none"/>
        </w:rPr>
      </w:pPr>
      <w:bookmarkStart w:id="32" w:name="_Toc2635"/>
      <w:r>
        <w:rPr>
          <w:rFonts w:ascii="宋体" w:hAnsi="宋体" w:eastAsia="宋体" w:cs="宋体"/>
          <w:b/>
          <w:bCs/>
          <w:color w:val="auto"/>
          <w:spacing w:val="7"/>
          <w:sz w:val="20"/>
          <w:szCs w:val="20"/>
          <w:highlight w:val="none"/>
        </w:rPr>
        <w:t>六、合同文件构成</w:t>
      </w:r>
      <w:bookmarkEnd w:id="32"/>
    </w:p>
    <w:p w14:paraId="62276300">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本协议书与下列文件一起构成合同文件：</w:t>
      </w:r>
    </w:p>
    <w:p w14:paraId="69387C6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（1）专用合同条款及其附件；</w:t>
      </w:r>
    </w:p>
    <w:p w14:paraId="307C941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（2）通用合同条款；</w:t>
      </w:r>
    </w:p>
    <w:p w14:paraId="5FD20D32">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w:t>
      </w:r>
      <w:r>
        <w:rPr>
          <w:rFonts w:ascii="宋体" w:hAnsi="宋体" w:eastAsia="宋体" w:cs="宋体"/>
          <w:color w:val="auto"/>
          <w:spacing w:val="6"/>
          <w:sz w:val="20"/>
          <w:szCs w:val="20"/>
          <w:highlight w:val="none"/>
          <w:u w:val="single" w:color="auto"/>
        </w:rPr>
        <w:t>技术标准和要求</w:t>
      </w:r>
      <w:r>
        <w:rPr>
          <w:rFonts w:ascii="宋体" w:hAnsi="宋体" w:eastAsia="宋体" w:cs="宋体"/>
          <w:color w:val="auto"/>
          <w:spacing w:val="6"/>
          <w:sz w:val="20"/>
          <w:szCs w:val="20"/>
          <w:highlight w:val="none"/>
        </w:rPr>
        <w:t>；</w:t>
      </w:r>
    </w:p>
    <w:p w14:paraId="143C0E73">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w:t>
      </w:r>
      <w:r>
        <w:rPr>
          <w:rFonts w:ascii="宋体" w:hAnsi="宋体" w:eastAsia="宋体" w:cs="宋体"/>
          <w:color w:val="auto"/>
          <w:spacing w:val="-46"/>
          <w:sz w:val="20"/>
          <w:szCs w:val="20"/>
          <w:highlight w:val="none"/>
        </w:rPr>
        <w:t xml:space="preserve"> </w:t>
      </w:r>
      <w:r>
        <w:rPr>
          <w:rFonts w:ascii="宋体" w:hAnsi="宋体" w:eastAsia="宋体" w:cs="宋体"/>
          <w:color w:val="auto"/>
          <w:spacing w:val="5"/>
          <w:sz w:val="20"/>
          <w:szCs w:val="20"/>
          <w:highlight w:val="none"/>
          <w:u w:val="single" w:color="auto"/>
        </w:rPr>
        <w:t>已标价工程量清单或工程预算书</w:t>
      </w:r>
      <w:r>
        <w:rPr>
          <w:rFonts w:ascii="宋体" w:hAnsi="宋体" w:eastAsia="宋体" w:cs="宋体"/>
          <w:color w:val="auto"/>
          <w:spacing w:val="5"/>
          <w:sz w:val="20"/>
          <w:szCs w:val="20"/>
          <w:highlight w:val="none"/>
        </w:rPr>
        <w:t>；</w:t>
      </w:r>
    </w:p>
    <w:p w14:paraId="7A1F00A7">
      <w:pPr>
        <w:spacing w:before="222" w:line="230" w:lineRule="auto"/>
        <w:ind w:left="43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（5）</w:t>
      </w:r>
      <w:r>
        <w:rPr>
          <w:rFonts w:ascii="宋体" w:hAnsi="宋体" w:eastAsia="宋体" w:cs="宋体"/>
          <w:color w:val="auto"/>
          <w:spacing w:val="-58"/>
          <w:sz w:val="20"/>
          <w:szCs w:val="20"/>
          <w:highlight w:val="none"/>
        </w:rPr>
        <w:t xml:space="preserve"> </w:t>
      </w:r>
      <w:r>
        <w:rPr>
          <w:rFonts w:ascii="宋体" w:hAnsi="宋体" w:eastAsia="宋体" w:cs="宋体"/>
          <w:color w:val="auto"/>
          <w:spacing w:val="-3"/>
          <w:sz w:val="20"/>
          <w:szCs w:val="20"/>
          <w:highlight w:val="none"/>
          <w:u w:val="single" w:color="auto"/>
        </w:rPr>
        <w:t>图纸</w:t>
      </w:r>
      <w:r>
        <w:rPr>
          <w:rFonts w:ascii="宋体" w:hAnsi="宋体" w:eastAsia="宋体" w:cs="宋体"/>
          <w:color w:val="auto"/>
          <w:spacing w:val="-3"/>
          <w:sz w:val="20"/>
          <w:szCs w:val="20"/>
          <w:highlight w:val="none"/>
        </w:rPr>
        <w:t>；</w:t>
      </w:r>
    </w:p>
    <w:p w14:paraId="7F1FB682">
      <w:pPr>
        <w:spacing w:before="219"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（6）其他合同文件；</w:t>
      </w:r>
    </w:p>
    <w:p w14:paraId="47125120">
      <w:pPr>
        <w:spacing w:before="221" w:line="432" w:lineRule="auto"/>
        <w:ind w:left="8" w:right="19" w:firstLine="421"/>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上述各项合同文件包括合同当事人就该项合同文件所作出的补充和修</w:t>
      </w:r>
      <w:r>
        <w:rPr>
          <w:rFonts w:ascii="宋体" w:hAnsi="宋体" w:eastAsia="宋体" w:cs="宋体"/>
          <w:color w:val="auto"/>
          <w:spacing w:val="9"/>
          <w:sz w:val="20"/>
          <w:szCs w:val="20"/>
          <w:highlight w:val="none"/>
        </w:rPr>
        <w:t>改，属于同一类内容的文件，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应以最新签署的为准（违反招标文件实质性内容的约定除外）。专用合同条款</w:t>
      </w:r>
      <w:r>
        <w:rPr>
          <w:rFonts w:ascii="宋体" w:hAnsi="宋体" w:eastAsia="宋体" w:cs="宋体"/>
          <w:color w:val="auto"/>
          <w:spacing w:val="9"/>
          <w:sz w:val="20"/>
          <w:szCs w:val="20"/>
          <w:highlight w:val="none"/>
        </w:rPr>
        <w:t>及其附件须经合同当事人</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签字或盖章。</w:t>
      </w:r>
    </w:p>
    <w:p w14:paraId="506AC93C">
      <w:pPr>
        <w:spacing w:line="228" w:lineRule="auto"/>
        <w:ind w:left="427"/>
        <w:outlineLvl w:val="0"/>
        <w:rPr>
          <w:rFonts w:ascii="宋体" w:hAnsi="宋体" w:eastAsia="宋体" w:cs="宋体"/>
          <w:color w:val="auto"/>
          <w:sz w:val="20"/>
          <w:szCs w:val="20"/>
          <w:highlight w:val="none"/>
        </w:rPr>
      </w:pPr>
      <w:bookmarkStart w:id="33" w:name="_Toc6911"/>
      <w:r>
        <w:rPr>
          <w:rFonts w:ascii="宋体" w:hAnsi="宋体" w:eastAsia="宋体" w:cs="宋体"/>
          <w:b/>
          <w:bCs/>
          <w:color w:val="auto"/>
          <w:spacing w:val="6"/>
          <w:sz w:val="20"/>
          <w:szCs w:val="20"/>
          <w:highlight w:val="none"/>
        </w:rPr>
        <w:t>七、承诺</w:t>
      </w:r>
      <w:bookmarkEnd w:id="33"/>
    </w:p>
    <w:p w14:paraId="1AC937CE">
      <w:pPr>
        <w:spacing w:before="222" w:line="329" w:lineRule="auto"/>
        <w:ind w:left="8" w:right="2" w:firstLine="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 发包人承诺按照法律规定履行项目审批手续、筹集工程建设资金并按照合同约定的期限和方式支</w:t>
      </w:r>
      <w:r>
        <w:rPr>
          <w:rFonts w:ascii="宋体" w:hAnsi="宋体" w:eastAsia="宋体" w:cs="宋体"/>
          <w:color w:val="auto"/>
          <w:spacing w:val="6"/>
          <w:sz w:val="20"/>
          <w:szCs w:val="20"/>
          <w:highlight w:val="none"/>
        </w:rPr>
        <w:t xml:space="preserve"> 付合同价款。</w:t>
      </w:r>
    </w:p>
    <w:p w14:paraId="5383EC85">
      <w:pPr>
        <w:spacing w:before="223" w:line="330" w:lineRule="auto"/>
        <w:ind w:left="9" w:right="2" w:firstLine="42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 承包人承诺按照法律规定及合同约定</w:t>
      </w:r>
      <w:r>
        <w:rPr>
          <w:rFonts w:ascii="宋体" w:hAnsi="宋体" w:eastAsia="宋体" w:cs="宋体"/>
          <w:color w:val="auto"/>
          <w:spacing w:val="7"/>
          <w:sz w:val="20"/>
          <w:szCs w:val="20"/>
          <w:highlight w:val="none"/>
        </w:rPr>
        <w:t>组织完成工程施工，确保工程质量和安全，不进行转包及违</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法分包，并在缺陷责任期及保修期内承担相应的工程维修责任。</w:t>
      </w:r>
    </w:p>
    <w:p w14:paraId="74F04827">
      <w:pPr>
        <w:spacing w:before="221" w:line="330" w:lineRule="auto"/>
        <w:ind w:left="11"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3. 发包人和承包人通过招投标形式/定点采购方式签订合</w:t>
      </w:r>
      <w:r>
        <w:rPr>
          <w:rFonts w:ascii="宋体" w:hAnsi="宋体" w:eastAsia="宋体" w:cs="宋体"/>
          <w:color w:val="auto"/>
          <w:spacing w:val="9"/>
          <w:sz w:val="20"/>
          <w:szCs w:val="20"/>
          <w:highlight w:val="none"/>
        </w:rPr>
        <w:t>同的，双方理解并承诺不再就同一工程另</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行签订与合同实质性内容相背离的协议。</w:t>
      </w:r>
    </w:p>
    <w:p w14:paraId="181AFF06">
      <w:pPr>
        <w:spacing w:before="221" w:line="228" w:lineRule="auto"/>
        <w:ind w:left="431"/>
        <w:outlineLvl w:val="0"/>
        <w:rPr>
          <w:rFonts w:ascii="宋体" w:hAnsi="宋体" w:eastAsia="宋体" w:cs="宋体"/>
          <w:color w:val="auto"/>
          <w:sz w:val="20"/>
          <w:szCs w:val="20"/>
          <w:highlight w:val="none"/>
        </w:rPr>
      </w:pPr>
      <w:bookmarkStart w:id="34" w:name="_Toc22263"/>
      <w:r>
        <w:rPr>
          <w:rFonts w:ascii="宋体" w:hAnsi="宋体" w:eastAsia="宋体" w:cs="宋体"/>
          <w:b/>
          <w:bCs/>
          <w:color w:val="auto"/>
          <w:spacing w:val="6"/>
          <w:sz w:val="20"/>
          <w:szCs w:val="20"/>
          <w:highlight w:val="none"/>
        </w:rPr>
        <w:t>八、词语含义</w:t>
      </w:r>
      <w:bookmarkEnd w:id="34"/>
    </w:p>
    <w:p w14:paraId="6059BFC5">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本协议书中词语含义与第二部分通用合同条款中赋予的含义相同。</w:t>
      </w:r>
    </w:p>
    <w:p w14:paraId="6B56F259">
      <w:pPr>
        <w:spacing w:before="221" w:line="231" w:lineRule="auto"/>
        <w:ind w:left="433"/>
        <w:outlineLvl w:val="0"/>
        <w:rPr>
          <w:rFonts w:ascii="宋体" w:hAnsi="宋体" w:eastAsia="宋体" w:cs="宋体"/>
          <w:color w:val="auto"/>
          <w:sz w:val="20"/>
          <w:szCs w:val="20"/>
          <w:highlight w:val="none"/>
        </w:rPr>
      </w:pPr>
      <w:bookmarkStart w:id="35" w:name="_Toc10436"/>
      <w:r>
        <w:rPr>
          <w:rFonts w:ascii="宋体" w:hAnsi="宋体" w:eastAsia="宋体" w:cs="宋体"/>
          <w:b/>
          <w:bCs/>
          <w:color w:val="auto"/>
          <w:spacing w:val="6"/>
          <w:sz w:val="20"/>
          <w:szCs w:val="20"/>
          <w:highlight w:val="none"/>
        </w:rPr>
        <w:t>九、签订时间</w:t>
      </w:r>
      <w:bookmarkEnd w:id="35"/>
    </w:p>
    <w:p w14:paraId="3FE6DFA0">
      <w:pPr>
        <w:spacing w:before="218" w:line="228" w:lineRule="auto"/>
        <w:ind w:left="42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本合同于</w:t>
      </w:r>
      <w:r>
        <w:rPr>
          <w:rFonts w:ascii="宋体" w:hAnsi="宋体" w:eastAsia="宋体" w:cs="宋体"/>
          <w:color w:val="auto"/>
          <w:spacing w:val="9"/>
          <w:sz w:val="20"/>
          <w:szCs w:val="20"/>
          <w:highlight w:val="none"/>
          <w:u w:val="single" w:color="auto"/>
        </w:rPr>
        <w:t xml:space="preserve">    </w:t>
      </w:r>
      <w:r>
        <w:rPr>
          <w:rFonts w:hint="eastAsia" w:ascii="宋体" w:hAnsi="宋体" w:eastAsia="宋体" w:cs="宋体"/>
          <w:color w:val="auto"/>
          <w:spacing w:val="9"/>
          <w:sz w:val="20"/>
          <w:szCs w:val="20"/>
          <w:highlight w:val="none"/>
          <w:u w:val="single" w:color="auto"/>
          <w:lang w:val="en-US" w:eastAsia="zh-CN"/>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2"/>
          <w:sz w:val="20"/>
          <w:szCs w:val="20"/>
          <w:highlight w:val="none"/>
        </w:rPr>
        <w:t>年</w:t>
      </w:r>
      <w:r>
        <w:rPr>
          <w:rFonts w:ascii="宋体" w:hAnsi="宋体" w:eastAsia="宋体" w:cs="宋体"/>
          <w:color w:val="auto"/>
          <w:spacing w:val="-98"/>
          <w:sz w:val="20"/>
          <w:szCs w:val="20"/>
          <w:highlight w:val="none"/>
        </w:rPr>
        <w:t xml:space="preserve">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86"/>
          <w:sz w:val="20"/>
          <w:szCs w:val="20"/>
          <w:highlight w:val="none"/>
        </w:rPr>
        <w:t xml:space="preserve"> </w:t>
      </w:r>
      <w:r>
        <w:rPr>
          <w:rFonts w:ascii="宋体" w:hAnsi="宋体" w:eastAsia="宋体" w:cs="宋体"/>
          <w:color w:val="auto"/>
          <w:spacing w:val="2"/>
          <w:sz w:val="20"/>
          <w:szCs w:val="20"/>
          <w:highlight w:val="none"/>
        </w:rPr>
        <w:t>月</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55"/>
          <w:sz w:val="20"/>
          <w:szCs w:val="20"/>
          <w:highlight w:val="none"/>
        </w:rPr>
        <w:t xml:space="preserve"> </w:t>
      </w:r>
      <w:r>
        <w:rPr>
          <w:rFonts w:ascii="宋体" w:hAnsi="宋体" w:eastAsia="宋体" w:cs="宋体"/>
          <w:color w:val="auto"/>
          <w:spacing w:val="2"/>
          <w:sz w:val="20"/>
          <w:szCs w:val="20"/>
          <w:highlight w:val="none"/>
        </w:rPr>
        <w:t>日签订。</w:t>
      </w:r>
    </w:p>
    <w:p w14:paraId="1DFD8084">
      <w:pPr>
        <w:spacing w:line="228" w:lineRule="auto"/>
        <w:rPr>
          <w:rFonts w:ascii="宋体" w:hAnsi="宋体" w:eastAsia="宋体" w:cs="宋体"/>
          <w:color w:val="auto"/>
          <w:sz w:val="20"/>
          <w:szCs w:val="20"/>
          <w:highlight w:val="none"/>
        </w:rPr>
        <w:sectPr>
          <w:headerReference r:id="rId88" w:type="default"/>
          <w:footerReference r:id="rId89" w:type="default"/>
          <w:pgSz w:w="11906" w:h="16839"/>
          <w:pgMar w:top="1091" w:right="1219" w:bottom="1158" w:left="1219" w:header="1076" w:footer="922" w:gutter="0"/>
          <w:cols w:space="720" w:num="1"/>
        </w:sectPr>
      </w:pPr>
    </w:p>
    <w:p w14:paraId="6146507B">
      <w:pPr>
        <w:spacing w:before="256" w:line="230" w:lineRule="auto"/>
        <w:ind w:left="429"/>
        <w:outlineLvl w:val="0"/>
        <w:rPr>
          <w:rFonts w:ascii="宋体" w:hAnsi="宋体" w:eastAsia="宋体" w:cs="宋体"/>
          <w:color w:val="auto"/>
          <w:sz w:val="20"/>
          <w:szCs w:val="20"/>
          <w:highlight w:val="none"/>
        </w:rPr>
      </w:pPr>
      <w:bookmarkStart w:id="36" w:name="_Toc29291"/>
      <w:r>
        <w:rPr>
          <w:rFonts w:ascii="宋体" w:hAnsi="宋体" w:eastAsia="宋体" w:cs="宋体"/>
          <w:b/>
          <w:bCs/>
          <w:color w:val="auto"/>
          <w:spacing w:val="6"/>
          <w:sz w:val="20"/>
          <w:szCs w:val="20"/>
          <w:highlight w:val="none"/>
        </w:rPr>
        <w:t>十、签订地点</w:t>
      </w:r>
      <w:bookmarkEnd w:id="36"/>
    </w:p>
    <w:p w14:paraId="65004A24">
      <w:pPr>
        <w:spacing w:before="218"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本合同在</w:t>
      </w:r>
      <w:r>
        <w:rPr>
          <w:rFonts w:ascii="宋体" w:hAnsi="宋体" w:eastAsia="宋体" w:cs="宋体"/>
          <w:color w:val="auto"/>
          <w:spacing w:val="8"/>
          <w:sz w:val="20"/>
          <w:szCs w:val="20"/>
          <w:highlight w:val="none"/>
          <w:u w:val="single" w:color="auto"/>
        </w:rPr>
        <w:t xml:space="preserve"> </w:t>
      </w:r>
      <w:r>
        <w:rPr>
          <w:rFonts w:hint="eastAsia" w:ascii="宋体" w:hAnsi="宋体" w:eastAsia="宋体" w:cs="宋体"/>
          <w:color w:val="auto"/>
          <w:spacing w:val="8"/>
          <w:sz w:val="20"/>
          <w:szCs w:val="20"/>
          <w:highlight w:val="none"/>
          <w:u w:val="single" w:color="auto"/>
          <w:lang w:eastAsia="zh-CN"/>
        </w:rPr>
        <w:t>横州市莲塘镇初级中学</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8"/>
          <w:sz w:val="20"/>
          <w:szCs w:val="20"/>
          <w:highlight w:val="none"/>
        </w:rPr>
        <w:t>签订。</w:t>
      </w:r>
    </w:p>
    <w:p w14:paraId="25A851AE">
      <w:pPr>
        <w:spacing w:before="221" w:line="229" w:lineRule="auto"/>
        <w:ind w:left="429"/>
        <w:outlineLvl w:val="0"/>
        <w:rPr>
          <w:rFonts w:ascii="宋体" w:hAnsi="宋体" w:eastAsia="宋体" w:cs="宋体"/>
          <w:color w:val="auto"/>
          <w:sz w:val="20"/>
          <w:szCs w:val="20"/>
          <w:highlight w:val="none"/>
        </w:rPr>
      </w:pPr>
      <w:bookmarkStart w:id="37" w:name="_Toc10175"/>
      <w:r>
        <w:rPr>
          <w:rFonts w:ascii="宋体" w:hAnsi="宋体" w:eastAsia="宋体" w:cs="宋体"/>
          <w:b/>
          <w:bCs/>
          <w:color w:val="auto"/>
          <w:spacing w:val="7"/>
          <w:sz w:val="20"/>
          <w:szCs w:val="20"/>
          <w:highlight w:val="none"/>
        </w:rPr>
        <w:t>十一、补充协议</w:t>
      </w:r>
      <w:bookmarkEnd w:id="37"/>
    </w:p>
    <w:p w14:paraId="20F082AC">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合同未尽事宜，合同当事人另行签订补充协议，补充协议是合同的组成部分。</w:t>
      </w:r>
    </w:p>
    <w:p w14:paraId="37591921">
      <w:pPr>
        <w:spacing w:before="220" w:line="229" w:lineRule="auto"/>
        <w:ind w:left="429"/>
        <w:outlineLvl w:val="0"/>
        <w:rPr>
          <w:rFonts w:ascii="宋体" w:hAnsi="宋体" w:eastAsia="宋体" w:cs="宋体"/>
          <w:color w:val="auto"/>
          <w:sz w:val="20"/>
          <w:szCs w:val="20"/>
          <w:highlight w:val="none"/>
        </w:rPr>
      </w:pPr>
      <w:bookmarkStart w:id="38" w:name="_Toc8856"/>
      <w:r>
        <w:rPr>
          <w:rFonts w:ascii="宋体" w:hAnsi="宋体" w:eastAsia="宋体" w:cs="宋体"/>
          <w:b/>
          <w:bCs/>
          <w:color w:val="auto"/>
          <w:spacing w:val="7"/>
          <w:sz w:val="20"/>
          <w:szCs w:val="20"/>
          <w:highlight w:val="none"/>
        </w:rPr>
        <w:t>十二、合同生效</w:t>
      </w:r>
      <w:bookmarkEnd w:id="38"/>
    </w:p>
    <w:p w14:paraId="0C0D73D0">
      <w:pPr>
        <w:spacing w:before="219"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本合同自</w:t>
      </w:r>
      <w:r>
        <w:rPr>
          <w:rFonts w:ascii="宋体" w:hAnsi="宋体" w:eastAsia="宋体" w:cs="宋体"/>
          <w:color w:val="auto"/>
          <w:spacing w:val="9"/>
          <w:sz w:val="20"/>
          <w:szCs w:val="20"/>
          <w:highlight w:val="none"/>
          <w:u w:val="single" w:color="auto"/>
        </w:rPr>
        <w:t>双方法定代表人签字（或签章）且加盖单位印章后</w:t>
      </w:r>
      <w:r>
        <w:rPr>
          <w:rFonts w:ascii="宋体" w:hAnsi="宋体" w:eastAsia="宋体" w:cs="宋体"/>
          <w:color w:val="auto"/>
          <w:spacing w:val="9"/>
          <w:sz w:val="20"/>
          <w:szCs w:val="20"/>
          <w:highlight w:val="none"/>
        </w:rPr>
        <w:t>生效。</w:t>
      </w:r>
    </w:p>
    <w:p w14:paraId="44A0B10F">
      <w:pPr>
        <w:spacing w:before="222" w:line="228" w:lineRule="auto"/>
        <w:ind w:left="429"/>
        <w:outlineLvl w:val="0"/>
        <w:rPr>
          <w:rFonts w:ascii="宋体" w:hAnsi="宋体" w:eastAsia="宋体" w:cs="宋体"/>
          <w:color w:val="auto"/>
          <w:sz w:val="20"/>
          <w:szCs w:val="20"/>
          <w:highlight w:val="none"/>
        </w:rPr>
      </w:pPr>
      <w:bookmarkStart w:id="39" w:name="_Toc11388"/>
      <w:r>
        <w:rPr>
          <w:rFonts w:ascii="宋体" w:hAnsi="宋体" w:eastAsia="宋体" w:cs="宋体"/>
          <w:b/>
          <w:bCs/>
          <w:color w:val="auto"/>
          <w:spacing w:val="7"/>
          <w:sz w:val="20"/>
          <w:szCs w:val="20"/>
          <w:highlight w:val="none"/>
        </w:rPr>
        <w:t>十三、合同份数</w:t>
      </w:r>
      <w:bookmarkEnd w:id="39"/>
    </w:p>
    <w:p w14:paraId="66CCF8CE">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本合同一式</w:t>
      </w:r>
      <w:r>
        <w:rPr>
          <w:rFonts w:ascii="宋体" w:hAnsi="宋体" w:eastAsia="宋体" w:cs="宋体"/>
          <w:color w:val="auto"/>
          <w:spacing w:val="8"/>
          <w:sz w:val="20"/>
          <w:szCs w:val="20"/>
          <w:highlight w:val="none"/>
          <w:u w:val="single" w:color="auto"/>
        </w:rPr>
        <w:t xml:space="preserve"> 陆 </w:t>
      </w:r>
      <w:r>
        <w:rPr>
          <w:rFonts w:ascii="宋体" w:hAnsi="宋体" w:eastAsia="宋体" w:cs="宋体"/>
          <w:color w:val="auto"/>
          <w:spacing w:val="8"/>
          <w:sz w:val="20"/>
          <w:szCs w:val="20"/>
          <w:highlight w:val="none"/>
        </w:rPr>
        <w:t>份，均具有同等法律效力，发包人执</w:t>
      </w:r>
      <w:r>
        <w:rPr>
          <w:rFonts w:ascii="宋体" w:hAnsi="宋体" w:eastAsia="宋体" w:cs="宋体"/>
          <w:color w:val="auto"/>
          <w:spacing w:val="8"/>
          <w:sz w:val="20"/>
          <w:szCs w:val="20"/>
          <w:highlight w:val="none"/>
          <w:u w:val="single" w:color="auto"/>
        </w:rPr>
        <w:t xml:space="preserve"> 肆 </w:t>
      </w:r>
      <w:r>
        <w:rPr>
          <w:rFonts w:ascii="宋体" w:hAnsi="宋体" w:eastAsia="宋体" w:cs="宋体"/>
          <w:color w:val="auto"/>
          <w:spacing w:val="8"/>
          <w:sz w:val="20"/>
          <w:szCs w:val="20"/>
          <w:highlight w:val="none"/>
        </w:rPr>
        <w:t>份，承包人执</w:t>
      </w:r>
      <w:r>
        <w:rPr>
          <w:rFonts w:ascii="宋体" w:hAnsi="宋体" w:eastAsia="宋体" w:cs="宋体"/>
          <w:color w:val="auto"/>
          <w:spacing w:val="26"/>
          <w:sz w:val="20"/>
          <w:szCs w:val="20"/>
          <w:highlight w:val="none"/>
          <w:u w:val="single" w:color="auto"/>
        </w:rPr>
        <w:t xml:space="preserve"> </w:t>
      </w:r>
      <w:r>
        <w:rPr>
          <w:rFonts w:ascii="宋体" w:hAnsi="宋体" w:eastAsia="宋体" w:cs="宋体"/>
          <w:color w:val="auto"/>
          <w:spacing w:val="8"/>
          <w:sz w:val="20"/>
          <w:szCs w:val="20"/>
          <w:highlight w:val="none"/>
          <w:u w:val="single" w:color="auto"/>
        </w:rPr>
        <w:t>贰</w:t>
      </w:r>
      <w:r>
        <w:rPr>
          <w:rFonts w:ascii="宋体" w:hAnsi="宋体" w:eastAsia="宋体" w:cs="宋体"/>
          <w:color w:val="auto"/>
          <w:spacing w:val="13"/>
          <w:sz w:val="20"/>
          <w:szCs w:val="20"/>
          <w:highlight w:val="none"/>
          <w:u w:val="single" w:color="auto"/>
        </w:rPr>
        <w:t xml:space="preserve"> </w:t>
      </w:r>
      <w:r>
        <w:rPr>
          <w:rFonts w:ascii="宋体" w:hAnsi="宋体" w:eastAsia="宋体" w:cs="宋体"/>
          <w:color w:val="auto"/>
          <w:spacing w:val="8"/>
          <w:sz w:val="20"/>
          <w:szCs w:val="20"/>
          <w:highlight w:val="none"/>
        </w:rPr>
        <w:t>份。</w:t>
      </w:r>
    </w:p>
    <w:p w14:paraId="2E17810E">
      <w:pPr>
        <w:pStyle w:val="2"/>
        <w:spacing w:line="271" w:lineRule="auto"/>
        <w:rPr>
          <w:color w:val="auto"/>
          <w:highlight w:val="none"/>
        </w:rPr>
      </w:pPr>
    </w:p>
    <w:p w14:paraId="414973E4">
      <w:pPr>
        <w:pStyle w:val="2"/>
        <w:spacing w:line="272" w:lineRule="auto"/>
        <w:rPr>
          <w:color w:val="auto"/>
          <w:highlight w:val="none"/>
        </w:rPr>
      </w:pPr>
    </w:p>
    <w:p w14:paraId="4DA30FA6">
      <w:pPr>
        <w:spacing w:before="66" w:line="228" w:lineRule="auto"/>
        <w:ind w:left="1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w:t>
      </w:r>
      <w:r>
        <w:rPr>
          <w:rFonts w:hint="eastAsia" w:ascii="宋体" w:hAnsi="宋体" w:eastAsia="宋体" w:cs="宋体"/>
          <w:color w:val="auto"/>
          <w:spacing w:val="9"/>
          <w:sz w:val="20"/>
          <w:szCs w:val="20"/>
          <w:highlight w:val="none"/>
          <w:lang w:eastAsia="zh-CN"/>
        </w:rPr>
        <w:t>横州市莲塘镇初级中学</w:t>
      </w:r>
      <w:r>
        <w:rPr>
          <w:rFonts w:ascii="宋体" w:hAnsi="宋体" w:eastAsia="宋体" w:cs="宋体"/>
          <w:color w:val="auto"/>
          <w:spacing w:val="9"/>
          <w:sz w:val="20"/>
          <w:szCs w:val="20"/>
          <w:highlight w:val="none"/>
        </w:rPr>
        <w:t>（公章）              承包人：</w:t>
      </w:r>
      <w:r>
        <w:rPr>
          <w:rFonts w:ascii="宋体" w:hAnsi="宋体" w:eastAsia="宋体" w:cs="宋体"/>
          <w:color w:val="auto"/>
          <w:sz w:val="20"/>
          <w:szCs w:val="20"/>
          <w:highlight w:val="none"/>
        </w:rPr>
        <w:t>xxxxxxxxxxxx</w:t>
      </w:r>
      <w:r>
        <w:rPr>
          <w:rFonts w:ascii="宋体" w:hAnsi="宋体" w:eastAsia="宋体" w:cs="宋体"/>
          <w:color w:val="auto"/>
          <w:spacing w:val="9"/>
          <w:sz w:val="20"/>
          <w:szCs w:val="20"/>
          <w:highlight w:val="none"/>
        </w:rPr>
        <w:t>（公章）</w:t>
      </w:r>
    </w:p>
    <w:p w14:paraId="35B781A8">
      <w:pPr>
        <w:pStyle w:val="2"/>
        <w:spacing w:line="271" w:lineRule="auto"/>
        <w:rPr>
          <w:color w:val="auto"/>
          <w:highlight w:val="none"/>
        </w:rPr>
      </w:pPr>
    </w:p>
    <w:p w14:paraId="70CD6A7C">
      <w:pPr>
        <w:pStyle w:val="2"/>
        <w:spacing w:line="271" w:lineRule="auto"/>
        <w:rPr>
          <w:color w:val="auto"/>
          <w:highlight w:val="none"/>
        </w:rPr>
      </w:pPr>
    </w:p>
    <w:p w14:paraId="3B02EA80">
      <w:pPr>
        <w:spacing w:before="65" w:line="228" w:lineRule="auto"/>
        <w:ind w:left="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法定代表人或其委托代理人：                      法定代表人或其委托代理人：</w:t>
      </w:r>
    </w:p>
    <w:p w14:paraId="2BC0191F">
      <w:pPr>
        <w:spacing w:before="221" w:line="228" w:lineRule="auto"/>
        <w:ind w:left="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（签字或盖章</w:t>
      </w:r>
      <w:r>
        <w:rPr>
          <w:rFonts w:ascii="宋体" w:hAnsi="宋体" w:eastAsia="宋体" w:cs="宋体"/>
          <w:color w:val="auto"/>
          <w:spacing w:val="-9"/>
          <w:sz w:val="20"/>
          <w:szCs w:val="20"/>
          <w:highlight w:val="none"/>
        </w:rPr>
        <w:t>）</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w:t>
      </w:r>
      <w:r>
        <w:rPr>
          <w:rFonts w:ascii="宋体" w:hAnsi="宋体" w:eastAsia="宋体" w:cs="宋体"/>
          <w:color w:val="auto"/>
          <w:spacing w:val="9"/>
          <w:sz w:val="20"/>
          <w:szCs w:val="20"/>
          <w:highlight w:val="none"/>
        </w:rPr>
        <w:t>签字或盖章）</w:t>
      </w:r>
    </w:p>
    <w:p w14:paraId="52EE876E">
      <w:pPr>
        <w:pStyle w:val="2"/>
        <w:spacing w:line="310" w:lineRule="auto"/>
        <w:rPr>
          <w:color w:val="auto"/>
          <w:highlight w:val="none"/>
        </w:rPr>
      </w:pPr>
    </w:p>
    <w:p w14:paraId="7FD2D585">
      <w:pPr>
        <w:pStyle w:val="2"/>
        <w:spacing w:line="310" w:lineRule="auto"/>
        <w:rPr>
          <w:color w:val="auto"/>
          <w:highlight w:val="none"/>
        </w:rPr>
      </w:pPr>
    </w:p>
    <w:p w14:paraId="131F2E16">
      <w:pPr>
        <w:spacing w:before="65" w:line="228" w:lineRule="auto"/>
        <w:ind w:left="1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统一社会信用代码：</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 xml:space="preserve"> 统一社会信</w:t>
      </w:r>
      <w:r>
        <w:rPr>
          <w:rFonts w:ascii="宋体" w:hAnsi="宋体" w:eastAsia="宋体" w:cs="宋体"/>
          <w:color w:val="auto"/>
          <w:spacing w:val="4"/>
          <w:sz w:val="20"/>
          <w:szCs w:val="20"/>
          <w:highlight w:val="none"/>
        </w:rPr>
        <w:t>用代码：</w:t>
      </w:r>
      <w:r>
        <w:rPr>
          <w:rFonts w:ascii="宋体" w:hAnsi="宋体" w:eastAsia="宋体" w:cs="宋体"/>
          <w:color w:val="auto"/>
          <w:spacing w:val="4"/>
          <w:sz w:val="20"/>
          <w:szCs w:val="20"/>
          <w:highlight w:val="none"/>
          <w:u w:val="single" w:color="auto"/>
        </w:rPr>
        <w:t xml:space="preserve">                          </w:t>
      </w:r>
    </w:p>
    <w:p w14:paraId="7263BCE1">
      <w:pPr>
        <w:spacing w:before="221" w:line="238" w:lineRule="auto"/>
        <w:ind w:left="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地</w:t>
      </w:r>
      <w:r>
        <w:rPr>
          <w:rFonts w:ascii="宋体" w:hAnsi="宋体" w:eastAsia="宋体" w:cs="宋体"/>
          <w:color w:val="auto"/>
          <w:spacing w:val="10"/>
          <w:sz w:val="20"/>
          <w:szCs w:val="20"/>
          <w:highlight w:val="none"/>
        </w:rPr>
        <w:t xml:space="preserve">  </w:t>
      </w:r>
      <w:r>
        <w:rPr>
          <w:rFonts w:ascii="宋体" w:hAnsi="宋体" w:eastAsia="宋体" w:cs="宋体"/>
          <w:color w:val="auto"/>
          <w:spacing w:val="-3"/>
          <w:sz w:val="20"/>
          <w:szCs w:val="20"/>
          <w:highlight w:val="none"/>
        </w:rPr>
        <w:t>址</w:t>
      </w:r>
      <w:r>
        <w:rPr>
          <w:rFonts w:ascii="宋体" w:hAnsi="宋体" w:eastAsia="宋体" w:cs="宋体"/>
          <w:color w:val="auto"/>
          <w:spacing w:val="-74"/>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5"/>
          <w:sz w:val="20"/>
          <w:szCs w:val="20"/>
          <w:highlight w:val="none"/>
        </w:rPr>
        <w:t xml:space="preserve"> </w:t>
      </w:r>
      <w:r>
        <w:rPr>
          <w:rFonts w:ascii="宋体" w:hAnsi="宋体" w:eastAsia="宋体" w:cs="宋体"/>
          <w:color w:val="auto"/>
          <w:spacing w:val="-3"/>
          <w:sz w:val="20"/>
          <w:szCs w:val="20"/>
          <w:highlight w:val="none"/>
        </w:rPr>
        <w:t>地</w:t>
      </w:r>
      <w:r>
        <w:rPr>
          <w:rFonts w:ascii="宋体" w:hAnsi="宋体" w:eastAsia="宋体" w:cs="宋体"/>
          <w:color w:val="auto"/>
          <w:spacing w:val="10"/>
          <w:sz w:val="20"/>
          <w:szCs w:val="20"/>
          <w:highlight w:val="none"/>
        </w:rPr>
        <w:t xml:space="preserve">  </w:t>
      </w:r>
      <w:r>
        <w:rPr>
          <w:rFonts w:ascii="宋体" w:hAnsi="宋体" w:eastAsia="宋体" w:cs="宋体"/>
          <w:color w:val="auto"/>
          <w:spacing w:val="-3"/>
          <w:sz w:val="20"/>
          <w:szCs w:val="20"/>
          <w:highlight w:val="none"/>
        </w:rPr>
        <w:t>址</w:t>
      </w:r>
      <w:r>
        <w:rPr>
          <w:rFonts w:ascii="宋体" w:hAnsi="宋体" w:eastAsia="宋体" w:cs="宋体"/>
          <w:color w:val="auto"/>
          <w:spacing w:val="-74"/>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p>
    <w:p w14:paraId="62ABA44F">
      <w:pPr>
        <w:spacing w:before="211" w:line="228" w:lineRule="auto"/>
        <w:ind w:left="2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邮政编码：</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9"/>
          <w:sz w:val="20"/>
          <w:szCs w:val="20"/>
          <w:highlight w:val="none"/>
        </w:rPr>
        <w:t xml:space="preserve">      </w:t>
      </w:r>
      <w:r>
        <w:rPr>
          <w:rFonts w:ascii="宋体" w:hAnsi="宋体" w:eastAsia="宋体" w:cs="宋体"/>
          <w:color w:val="auto"/>
          <w:spacing w:val="3"/>
          <w:sz w:val="20"/>
          <w:szCs w:val="20"/>
          <w:highlight w:val="none"/>
        </w:rPr>
        <w:t>邮政编码：</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2"/>
          <w:sz w:val="20"/>
          <w:szCs w:val="20"/>
          <w:highlight w:val="none"/>
          <w:u w:val="single" w:color="auto"/>
        </w:rPr>
        <w:t xml:space="preserve">                     </w:t>
      </w:r>
    </w:p>
    <w:p w14:paraId="0C8BE2FF">
      <w:pPr>
        <w:pStyle w:val="2"/>
        <w:spacing w:line="464" w:lineRule="auto"/>
        <w:rPr>
          <w:color w:val="auto"/>
          <w:highlight w:val="none"/>
        </w:rPr>
      </w:pPr>
    </w:p>
    <w:p w14:paraId="1160DBE9">
      <w:pPr>
        <w:spacing w:before="65" w:line="231" w:lineRule="auto"/>
        <w:ind w:left="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电</w:t>
      </w:r>
      <w:r>
        <w:rPr>
          <w:rFonts w:ascii="宋体" w:hAnsi="宋体" w:eastAsia="宋体" w:cs="宋体"/>
          <w:color w:val="auto"/>
          <w:spacing w:val="9"/>
          <w:sz w:val="20"/>
          <w:szCs w:val="20"/>
          <w:highlight w:val="none"/>
        </w:rPr>
        <w:t xml:space="preserve">  </w:t>
      </w:r>
      <w:r>
        <w:rPr>
          <w:rFonts w:ascii="宋体" w:hAnsi="宋体" w:eastAsia="宋体" w:cs="宋体"/>
          <w:color w:val="auto"/>
          <w:spacing w:val="-6"/>
          <w:sz w:val="20"/>
          <w:szCs w:val="20"/>
          <w:highlight w:val="none"/>
        </w:rPr>
        <w:t>话</w:t>
      </w:r>
      <w:r>
        <w:rPr>
          <w:rFonts w:ascii="宋体" w:hAnsi="宋体" w:eastAsia="宋体" w:cs="宋体"/>
          <w:color w:val="auto"/>
          <w:spacing w:val="-73"/>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7"/>
          <w:sz w:val="20"/>
          <w:szCs w:val="20"/>
          <w:highlight w:val="none"/>
        </w:rPr>
        <w:t xml:space="preserve">      电</w:t>
      </w:r>
      <w:r>
        <w:rPr>
          <w:rFonts w:ascii="宋体" w:hAnsi="宋体" w:eastAsia="宋体" w:cs="宋体"/>
          <w:color w:val="auto"/>
          <w:spacing w:val="9"/>
          <w:sz w:val="20"/>
          <w:szCs w:val="20"/>
          <w:highlight w:val="none"/>
        </w:rPr>
        <w:t xml:space="preserve">  </w:t>
      </w:r>
      <w:r>
        <w:rPr>
          <w:rFonts w:ascii="宋体" w:hAnsi="宋体" w:eastAsia="宋体" w:cs="宋体"/>
          <w:color w:val="auto"/>
          <w:spacing w:val="-7"/>
          <w:sz w:val="20"/>
          <w:szCs w:val="20"/>
          <w:highlight w:val="none"/>
        </w:rPr>
        <w:t>话</w:t>
      </w:r>
      <w:r>
        <w:rPr>
          <w:rFonts w:ascii="宋体" w:hAnsi="宋体" w:eastAsia="宋体" w:cs="宋体"/>
          <w:color w:val="auto"/>
          <w:spacing w:val="-73"/>
          <w:sz w:val="20"/>
          <w:szCs w:val="20"/>
          <w:highlight w:val="none"/>
        </w:rPr>
        <w:t xml:space="preserve"> </w:t>
      </w:r>
      <w:r>
        <w:rPr>
          <w:rFonts w:ascii="宋体" w:hAnsi="宋体" w:eastAsia="宋体" w:cs="宋体"/>
          <w:color w:val="auto"/>
          <w:spacing w:val="-7"/>
          <w:sz w:val="20"/>
          <w:szCs w:val="20"/>
          <w:highlight w:val="none"/>
        </w:rPr>
        <w:t>：</w:t>
      </w:r>
      <w:r>
        <w:rPr>
          <w:rFonts w:ascii="宋体" w:hAnsi="宋体" w:eastAsia="宋体" w:cs="宋体"/>
          <w:color w:val="auto"/>
          <w:sz w:val="20"/>
          <w:szCs w:val="20"/>
          <w:highlight w:val="none"/>
          <w:u w:val="single" w:color="auto"/>
        </w:rPr>
        <w:t xml:space="preserve">                                    </w:t>
      </w:r>
    </w:p>
    <w:p w14:paraId="1459ECC3">
      <w:pPr>
        <w:spacing w:before="218" w:line="228" w:lineRule="auto"/>
        <w:ind w:left="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传</w:t>
      </w:r>
      <w:r>
        <w:rPr>
          <w:rFonts w:ascii="宋体" w:hAnsi="宋体" w:eastAsia="宋体" w:cs="宋体"/>
          <w:color w:val="auto"/>
          <w:spacing w:val="19"/>
          <w:sz w:val="20"/>
          <w:szCs w:val="20"/>
          <w:highlight w:val="none"/>
        </w:rPr>
        <w:t xml:space="preserve">  </w:t>
      </w:r>
      <w:r>
        <w:rPr>
          <w:rFonts w:ascii="宋体" w:hAnsi="宋体" w:eastAsia="宋体" w:cs="宋体"/>
          <w:color w:val="auto"/>
          <w:spacing w:val="-3"/>
          <w:sz w:val="20"/>
          <w:szCs w:val="20"/>
          <w:highlight w:val="none"/>
        </w:rPr>
        <w:t>真</w:t>
      </w:r>
      <w:r>
        <w:rPr>
          <w:rFonts w:ascii="宋体" w:hAnsi="宋体" w:eastAsia="宋体" w:cs="宋体"/>
          <w:color w:val="auto"/>
          <w:spacing w:val="-73"/>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6"/>
          <w:sz w:val="20"/>
          <w:szCs w:val="20"/>
          <w:highlight w:val="none"/>
        </w:rPr>
        <w:t xml:space="preserve">     </w:t>
      </w:r>
      <w:r>
        <w:rPr>
          <w:rFonts w:ascii="宋体" w:hAnsi="宋体" w:eastAsia="宋体" w:cs="宋体"/>
          <w:color w:val="auto"/>
          <w:spacing w:val="-3"/>
          <w:sz w:val="20"/>
          <w:szCs w:val="20"/>
          <w:highlight w:val="none"/>
        </w:rPr>
        <w:t>传  真</w:t>
      </w:r>
      <w:r>
        <w:rPr>
          <w:rFonts w:ascii="宋体" w:hAnsi="宋体" w:eastAsia="宋体" w:cs="宋体"/>
          <w:color w:val="auto"/>
          <w:spacing w:val="-72"/>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 xml:space="preserve">                                    </w:t>
      </w:r>
    </w:p>
    <w:p w14:paraId="7E3293F3">
      <w:pPr>
        <w:spacing w:before="222" w:line="228" w:lineRule="auto"/>
        <w:ind w:left="3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电子信箱：</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4"/>
          <w:sz w:val="20"/>
          <w:szCs w:val="20"/>
          <w:highlight w:val="none"/>
        </w:rPr>
        <w:t xml:space="preserve">    </w:t>
      </w:r>
      <w:r>
        <w:rPr>
          <w:rFonts w:ascii="宋体" w:hAnsi="宋体" w:eastAsia="宋体" w:cs="宋体"/>
          <w:color w:val="auto"/>
          <w:spacing w:val="3"/>
          <w:sz w:val="20"/>
          <w:szCs w:val="20"/>
          <w:highlight w:val="none"/>
        </w:rPr>
        <w:t>电子信箱：</w:t>
      </w:r>
      <w:r>
        <w:rPr>
          <w:rFonts w:ascii="宋体" w:hAnsi="宋体" w:eastAsia="宋体" w:cs="宋体"/>
          <w:color w:val="auto"/>
          <w:sz w:val="20"/>
          <w:szCs w:val="20"/>
          <w:highlight w:val="none"/>
          <w:u w:val="single" w:color="auto"/>
        </w:rPr>
        <w:t xml:space="preserve">                                 </w:t>
      </w:r>
    </w:p>
    <w:p w14:paraId="6DDBA0F1">
      <w:pPr>
        <w:spacing w:before="220" w:line="229" w:lineRule="auto"/>
        <w:ind w:left="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开户银行：</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4"/>
          <w:sz w:val="20"/>
          <w:szCs w:val="20"/>
          <w:highlight w:val="none"/>
        </w:rPr>
        <w:t xml:space="preserve">      开户银行：</w:t>
      </w:r>
      <w:r>
        <w:rPr>
          <w:rFonts w:ascii="宋体" w:hAnsi="宋体" w:eastAsia="宋体" w:cs="宋体"/>
          <w:color w:val="auto"/>
          <w:spacing w:val="4"/>
          <w:sz w:val="20"/>
          <w:szCs w:val="20"/>
          <w:highlight w:val="none"/>
          <w:u w:val="single" w:color="auto"/>
        </w:rPr>
        <w:t xml:space="preserve">                                </w:t>
      </w:r>
    </w:p>
    <w:p w14:paraId="6DD93F8F">
      <w:pPr>
        <w:spacing w:before="143" w:line="230" w:lineRule="auto"/>
        <w:ind w:left="1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账</w:t>
      </w:r>
      <w:r>
        <w:rPr>
          <w:rFonts w:ascii="宋体" w:hAnsi="宋体" w:eastAsia="宋体" w:cs="宋体"/>
          <w:color w:val="auto"/>
          <w:spacing w:val="12"/>
          <w:sz w:val="20"/>
          <w:szCs w:val="20"/>
          <w:highlight w:val="none"/>
        </w:rPr>
        <w:t xml:space="preserve">  </w:t>
      </w:r>
      <w:r>
        <w:rPr>
          <w:rFonts w:ascii="宋体" w:hAnsi="宋体" w:eastAsia="宋体" w:cs="宋体"/>
          <w:color w:val="auto"/>
          <w:spacing w:val="-3"/>
          <w:sz w:val="20"/>
          <w:szCs w:val="20"/>
          <w:highlight w:val="none"/>
        </w:rPr>
        <w:t>号</w:t>
      </w:r>
      <w:r>
        <w:rPr>
          <w:rFonts w:ascii="宋体" w:hAnsi="宋体" w:eastAsia="宋体" w:cs="宋体"/>
          <w:color w:val="auto"/>
          <w:spacing w:val="-74"/>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3"/>
          <w:sz w:val="20"/>
          <w:szCs w:val="20"/>
          <w:highlight w:val="none"/>
        </w:rPr>
        <w:t xml:space="preserve">         账  号</w:t>
      </w:r>
      <w:r>
        <w:rPr>
          <w:rFonts w:ascii="宋体" w:hAnsi="宋体" w:eastAsia="宋体" w:cs="宋体"/>
          <w:color w:val="auto"/>
          <w:spacing w:val="-74"/>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p>
    <w:p w14:paraId="2DADD350">
      <w:pPr>
        <w:spacing w:line="230" w:lineRule="auto"/>
        <w:rPr>
          <w:rFonts w:ascii="宋体" w:hAnsi="宋体" w:eastAsia="宋体" w:cs="宋体"/>
          <w:color w:val="auto"/>
          <w:sz w:val="20"/>
          <w:szCs w:val="20"/>
          <w:highlight w:val="none"/>
        </w:rPr>
        <w:sectPr>
          <w:footerReference r:id="rId90" w:type="default"/>
          <w:pgSz w:w="11906" w:h="16839"/>
          <w:pgMar w:top="1091" w:right="1219" w:bottom="1158" w:left="1219" w:header="1076" w:footer="922" w:gutter="0"/>
          <w:cols w:space="720" w:num="1"/>
        </w:sectPr>
      </w:pPr>
    </w:p>
    <w:p w14:paraId="08208932">
      <w:pPr>
        <w:pStyle w:val="2"/>
        <w:spacing w:line="301" w:lineRule="auto"/>
        <w:rPr>
          <w:color w:val="auto"/>
          <w:highlight w:val="none"/>
        </w:rPr>
      </w:pPr>
    </w:p>
    <w:p w14:paraId="65A4CB4C">
      <w:pPr>
        <w:pStyle w:val="2"/>
        <w:spacing w:line="301" w:lineRule="auto"/>
        <w:rPr>
          <w:color w:val="auto"/>
          <w:highlight w:val="none"/>
        </w:rPr>
      </w:pPr>
    </w:p>
    <w:p w14:paraId="1880FFF2">
      <w:pPr>
        <w:pStyle w:val="2"/>
        <w:spacing w:line="301" w:lineRule="auto"/>
        <w:rPr>
          <w:color w:val="auto"/>
          <w:highlight w:val="none"/>
        </w:rPr>
      </w:pPr>
    </w:p>
    <w:p w14:paraId="426C9FA9">
      <w:pPr>
        <w:spacing w:before="97" w:line="220" w:lineRule="auto"/>
        <w:ind w:left="3165"/>
        <w:outlineLvl w:val="0"/>
        <w:rPr>
          <w:rFonts w:ascii="宋体" w:hAnsi="宋体" w:eastAsia="宋体" w:cs="宋体"/>
          <w:color w:val="auto"/>
          <w:sz w:val="30"/>
          <w:szCs w:val="30"/>
          <w:highlight w:val="none"/>
        </w:rPr>
      </w:pPr>
      <w:bookmarkStart w:id="40" w:name="_Toc32439"/>
      <w:r>
        <w:rPr>
          <w:rFonts w:ascii="宋体" w:hAnsi="宋体" w:eastAsia="宋体" w:cs="宋体"/>
          <w:b/>
          <w:bCs/>
          <w:color w:val="auto"/>
          <w:spacing w:val="-4"/>
          <w:sz w:val="30"/>
          <w:szCs w:val="30"/>
          <w:highlight w:val="none"/>
        </w:rPr>
        <w:t>第二部分</w:t>
      </w:r>
      <w:r>
        <w:rPr>
          <w:rFonts w:ascii="宋体" w:hAnsi="宋体" w:eastAsia="宋体" w:cs="宋体"/>
          <w:color w:val="auto"/>
          <w:spacing w:val="-4"/>
          <w:sz w:val="30"/>
          <w:szCs w:val="30"/>
          <w:highlight w:val="none"/>
        </w:rPr>
        <w:t xml:space="preserve"> </w:t>
      </w:r>
      <w:r>
        <w:rPr>
          <w:rFonts w:ascii="宋体" w:hAnsi="宋体" w:eastAsia="宋体" w:cs="宋体"/>
          <w:b/>
          <w:bCs/>
          <w:color w:val="auto"/>
          <w:spacing w:val="-4"/>
          <w:sz w:val="30"/>
          <w:szCs w:val="30"/>
          <w:highlight w:val="none"/>
        </w:rPr>
        <w:t>通用合同条款</w:t>
      </w:r>
      <w:bookmarkEnd w:id="40"/>
    </w:p>
    <w:p w14:paraId="5319BC68">
      <w:pPr>
        <w:pStyle w:val="2"/>
        <w:spacing w:line="255" w:lineRule="auto"/>
        <w:rPr>
          <w:color w:val="auto"/>
          <w:highlight w:val="none"/>
        </w:rPr>
      </w:pPr>
    </w:p>
    <w:p w14:paraId="25038B1E">
      <w:pPr>
        <w:pStyle w:val="2"/>
        <w:spacing w:line="255" w:lineRule="auto"/>
        <w:rPr>
          <w:color w:val="auto"/>
          <w:highlight w:val="none"/>
        </w:rPr>
      </w:pPr>
    </w:p>
    <w:p w14:paraId="10C0349F">
      <w:pPr>
        <w:pStyle w:val="2"/>
        <w:spacing w:line="255" w:lineRule="auto"/>
        <w:rPr>
          <w:color w:val="auto"/>
          <w:highlight w:val="none"/>
        </w:rPr>
      </w:pPr>
    </w:p>
    <w:p w14:paraId="54999269">
      <w:pPr>
        <w:pStyle w:val="2"/>
        <w:spacing w:line="256" w:lineRule="auto"/>
        <w:rPr>
          <w:color w:val="auto"/>
          <w:highlight w:val="none"/>
        </w:rPr>
      </w:pPr>
    </w:p>
    <w:p w14:paraId="7A833997">
      <w:pPr>
        <w:spacing w:before="65" w:line="228" w:lineRule="auto"/>
        <w:ind w:left="427"/>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采用《建设工程施工合同（示范文本）》（</w:t>
      </w:r>
      <w:r>
        <w:rPr>
          <w:rFonts w:ascii="宋体" w:hAnsi="宋体" w:eastAsia="宋体" w:cs="宋体"/>
          <w:b/>
          <w:bCs/>
          <w:color w:val="auto"/>
          <w:sz w:val="20"/>
          <w:szCs w:val="20"/>
          <w:highlight w:val="none"/>
        </w:rPr>
        <w:t>GF</w:t>
      </w:r>
      <w:r>
        <w:rPr>
          <w:rFonts w:ascii="宋体" w:hAnsi="宋体" w:eastAsia="宋体" w:cs="宋体"/>
          <w:b/>
          <w:bCs/>
          <w:color w:val="auto"/>
          <w:spacing w:val="7"/>
          <w:sz w:val="20"/>
          <w:szCs w:val="20"/>
          <w:highlight w:val="none"/>
        </w:rPr>
        <w:t>—2</w:t>
      </w:r>
      <w:r>
        <w:rPr>
          <w:rFonts w:ascii="宋体" w:hAnsi="宋体" w:eastAsia="宋体" w:cs="宋体"/>
          <w:b/>
          <w:bCs/>
          <w:color w:val="auto"/>
          <w:spacing w:val="6"/>
          <w:sz w:val="20"/>
          <w:szCs w:val="20"/>
          <w:highlight w:val="none"/>
        </w:rPr>
        <w:t>017—0201）。</w:t>
      </w:r>
    </w:p>
    <w:p w14:paraId="420E5D62">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w:t>
      </w:r>
      <w:r>
        <w:rPr>
          <w:rFonts w:ascii="宋体" w:hAnsi="宋体" w:eastAsia="宋体" w:cs="宋体"/>
          <w:color w:val="auto"/>
          <w:spacing w:val="15"/>
          <w:sz w:val="20"/>
          <w:szCs w:val="20"/>
          <w:highlight w:val="none"/>
        </w:rPr>
        <w:t xml:space="preserve"> </w:t>
      </w:r>
      <w:r>
        <w:rPr>
          <w:rFonts w:ascii="宋体" w:hAnsi="宋体" w:eastAsia="宋体" w:cs="宋体"/>
          <w:color w:val="auto"/>
          <w:spacing w:val="2"/>
          <w:sz w:val="20"/>
          <w:szCs w:val="20"/>
          <w:highlight w:val="none"/>
        </w:rPr>
        <w:t>一般约定</w:t>
      </w:r>
    </w:p>
    <w:p w14:paraId="7C9DD674">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w:t>
      </w:r>
      <w:r>
        <w:rPr>
          <w:rFonts w:ascii="宋体" w:hAnsi="宋体" w:eastAsia="宋体" w:cs="宋体"/>
          <w:color w:val="auto"/>
          <w:spacing w:val="-39"/>
          <w:sz w:val="20"/>
          <w:szCs w:val="20"/>
          <w:highlight w:val="none"/>
        </w:rPr>
        <w:t xml:space="preserve"> </w:t>
      </w:r>
      <w:r>
        <w:rPr>
          <w:rFonts w:ascii="宋体" w:hAnsi="宋体" w:eastAsia="宋体" w:cs="宋体"/>
          <w:color w:val="auto"/>
          <w:spacing w:val="5"/>
          <w:sz w:val="20"/>
          <w:szCs w:val="20"/>
          <w:highlight w:val="none"/>
        </w:rPr>
        <w:t>词语定义与解释</w:t>
      </w:r>
    </w:p>
    <w:p w14:paraId="2F408919">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合同协议书、通用合同条款、专用合同条款中的下列词语具有本款所赋予的含义：</w:t>
      </w:r>
    </w:p>
    <w:p w14:paraId="5936F74B">
      <w:pPr>
        <w:spacing w:before="221" w:line="231"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1.1.1</w:t>
      </w:r>
      <w:r>
        <w:rPr>
          <w:rFonts w:ascii="宋体" w:hAnsi="宋体" w:eastAsia="宋体" w:cs="宋体"/>
          <w:color w:val="auto"/>
          <w:spacing w:val="15"/>
          <w:sz w:val="20"/>
          <w:szCs w:val="20"/>
          <w:highlight w:val="none"/>
        </w:rPr>
        <w:t xml:space="preserve"> </w:t>
      </w:r>
      <w:r>
        <w:rPr>
          <w:rFonts w:ascii="宋体" w:hAnsi="宋体" w:eastAsia="宋体" w:cs="宋体"/>
          <w:color w:val="auto"/>
          <w:spacing w:val="1"/>
          <w:sz w:val="20"/>
          <w:szCs w:val="20"/>
          <w:highlight w:val="none"/>
        </w:rPr>
        <w:t>合同</w:t>
      </w:r>
    </w:p>
    <w:p w14:paraId="16A47A2A">
      <w:pPr>
        <w:spacing w:before="217" w:line="364" w:lineRule="auto"/>
        <w:ind w:left="9"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1.1.1.1 合同：是指根据法律规定和合同当事人约定具有约束力的文件，构成合同的文件包</w:t>
      </w:r>
      <w:r>
        <w:rPr>
          <w:rFonts w:ascii="宋体" w:hAnsi="宋体" w:eastAsia="宋体" w:cs="宋体"/>
          <w:color w:val="auto"/>
          <w:spacing w:val="8"/>
          <w:sz w:val="20"/>
          <w:szCs w:val="20"/>
          <w:highlight w:val="none"/>
        </w:rPr>
        <w:t>括合同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协议书、中标通知书（如果有）、投标函及其附录（如果有）、专用合同条款及其附件、通用合同条款、</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技术标准和要求、图纸、已标价工程量清单或预算书以及其他合同文件。</w:t>
      </w:r>
    </w:p>
    <w:p w14:paraId="5D50F42C">
      <w:pPr>
        <w:spacing w:before="222" w:line="330" w:lineRule="auto"/>
        <w:ind w:left="7" w:right="70" w:firstLine="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1.1.1.2 合同协议书：是指构成合同的由发包人和承包人共同签署的称为“合同协议书</w:t>
      </w:r>
      <w:r>
        <w:rPr>
          <w:rFonts w:ascii="宋体" w:hAnsi="宋体" w:eastAsia="宋体" w:cs="宋体"/>
          <w:color w:val="auto"/>
          <w:spacing w:val="-55"/>
          <w:sz w:val="20"/>
          <w:szCs w:val="20"/>
          <w:highlight w:val="none"/>
        </w:rPr>
        <w:t xml:space="preserve"> </w:t>
      </w:r>
      <w:r>
        <w:rPr>
          <w:rFonts w:ascii="宋体" w:hAnsi="宋体" w:eastAsia="宋体" w:cs="宋体"/>
          <w:color w:val="auto"/>
          <w:spacing w:val="8"/>
          <w:sz w:val="20"/>
          <w:szCs w:val="20"/>
          <w:highlight w:val="none"/>
        </w:rPr>
        <w:t>”的书面文</w:t>
      </w:r>
      <w:r>
        <w:rPr>
          <w:rFonts w:ascii="宋体" w:hAnsi="宋体" w:eastAsia="宋体" w:cs="宋体"/>
          <w:color w:val="auto"/>
          <w:sz w:val="20"/>
          <w:szCs w:val="20"/>
          <w:highlight w:val="none"/>
        </w:rPr>
        <w:t xml:space="preserve"> 件。</w:t>
      </w:r>
    </w:p>
    <w:p w14:paraId="7596FAF6">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1.1.1.3</w:t>
      </w:r>
      <w:r>
        <w:rPr>
          <w:rFonts w:ascii="宋体" w:hAnsi="宋体" w:eastAsia="宋体" w:cs="宋体"/>
          <w:color w:val="auto"/>
          <w:spacing w:val="45"/>
          <w:sz w:val="20"/>
          <w:szCs w:val="20"/>
          <w:highlight w:val="none"/>
        </w:rPr>
        <w:t xml:space="preserve"> </w:t>
      </w:r>
      <w:r>
        <w:rPr>
          <w:rFonts w:ascii="宋体" w:hAnsi="宋体" w:eastAsia="宋体" w:cs="宋体"/>
          <w:color w:val="auto"/>
          <w:spacing w:val="7"/>
          <w:sz w:val="20"/>
          <w:szCs w:val="20"/>
          <w:highlight w:val="none"/>
        </w:rPr>
        <w:t>中标通知书：是指构成合同的由发包人通知承包人中标的书面文件。</w:t>
      </w:r>
    </w:p>
    <w:p w14:paraId="16C5BAAB">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1.1.1.4 投标函：是指构成合同的由承包人填写并签署</w:t>
      </w:r>
      <w:r>
        <w:rPr>
          <w:rFonts w:ascii="宋体" w:hAnsi="宋体" w:eastAsia="宋体" w:cs="宋体"/>
          <w:color w:val="auto"/>
          <w:spacing w:val="7"/>
          <w:sz w:val="20"/>
          <w:szCs w:val="20"/>
          <w:highlight w:val="none"/>
        </w:rPr>
        <w:t>的用于投标的称为“投标函</w:t>
      </w:r>
      <w:r>
        <w:rPr>
          <w:rFonts w:ascii="宋体" w:hAnsi="宋体" w:eastAsia="宋体" w:cs="宋体"/>
          <w:color w:val="auto"/>
          <w:spacing w:val="-70"/>
          <w:sz w:val="20"/>
          <w:szCs w:val="20"/>
          <w:highlight w:val="none"/>
        </w:rPr>
        <w:t xml:space="preserve"> </w:t>
      </w:r>
      <w:r>
        <w:rPr>
          <w:rFonts w:ascii="宋体" w:hAnsi="宋体" w:eastAsia="宋体" w:cs="宋体"/>
          <w:color w:val="auto"/>
          <w:spacing w:val="7"/>
          <w:sz w:val="20"/>
          <w:szCs w:val="20"/>
          <w:highlight w:val="none"/>
        </w:rPr>
        <w:t>”的文件。</w:t>
      </w:r>
    </w:p>
    <w:p w14:paraId="03FFEB76">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1.1.1.5 投标函附录：是指构成合同的附在投标函后的称为“投标函附录</w:t>
      </w:r>
      <w:r>
        <w:rPr>
          <w:rFonts w:ascii="宋体" w:hAnsi="宋体" w:eastAsia="宋体" w:cs="宋体"/>
          <w:color w:val="auto"/>
          <w:spacing w:val="-54"/>
          <w:sz w:val="20"/>
          <w:szCs w:val="20"/>
          <w:highlight w:val="none"/>
        </w:rPr>
        <w:t xml:space="preserve"> </w:t>
      </w:r>
      <w:r>
        <w:rPr>
          <w:rFonts w:ascii="宋体" w:hAnsi="宋体" w:eastAsia="宋体" w:cs="宋体"/>
          <w:color w:val="auto"/>
          <w:spacing w:val="7"/>
          <w:sz w:val="20"/>
          <w:szCs w:val="20"/>
          <w:highlight w:val="none"/>
        </w:rPr>
        <w:t>”的文件。</w:t>
      </w:r>
    </w:p>
    <w:p w14:paraId="3D3D93FF">
      <w:pPr>
        <w:spacing w:before="221" w:line="330" w:lineRule="auto"/>
        <w:ind w:left="9" w:right="71"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1.1.1.6 技术标准和要求：是指构成合同的施工应当遵守的或指导施工的国家、行业或地方</w:t>
      </w:r>
      <w:r>
        <w:rPr>
          <w:rFonts w:ascii="宋体" w:hAnsi="宋体" w:eastAsia="宋体" w:cs="宋体"/>
          <w:color w:val="auto"/>
          <w:spacing w:val="8"/>
          <w:sz w:val="20"/>
          <w:szCs w:val="20"/>
          <w:highlight w:val="none"/>
        </w:rPr>
        <w:t>的技术</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标准和要求，以及合同约定的技术标准和要</w:t>
      </w:r>
      <w:r>
        <w:rPr>
          <w:rFonts w:ascii="宋体" w:hAnsi="宋体" w:eastAsia="宋体" w:cs="宋体"/>
          <w:color w:val="auto"/>
          <w:spacing w:val="8"/>
          <w:sz w:val="20"/>
          <w:szCs w:val="20"/>
          <w:highlight w:val="none"/>
        </w:rPr>
        <w:t>求。</w:t>
      </w:r>
    </w:p>
    <w:p w14:paraId="730D9A09">
      <w:pPr>
        <w:spacing w:before="221" w:line="330" w:lineRule="auto"/>
        <w:ind w:left="7" w:firstLine="43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1.1.1.7</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图纸：是指构成合同的图纸，包括由发</w:t>
      </w:r>
      <w:r>
        <w:rPr>
          <w:rFonts w:ascii="宋体" w:hAnsi="宋体" w:eastAsia="宋体" w:cs="宋体"/>
          <w:color w:val="auto"/>
          <w:spacing w:val="5"/>
          <w:sz w:val="20"/>
          <w:szCs w:val="20"/>
          <w:highlight w:val="none"/>
        </w:rPr>
        <w:t>包人按照合同约定提供或经发包人批准的设计文件、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施工图、鸟瞰图及模型等，以及在合同履行过程中形成</w:t>
      </w:r>
      <w:r>
        <w:rPr>
          <w:rFonts w:ascii="宋体" w:hAnsi="宋体" w:eastAsia="宋体" w:cs="宋体"/>
          <w:color w:val="auto"/>
          <w:spacing w:val="9"/>
          <w:sz w:val="20"/>
          <w:szCs w:val="20"/>
          <w:highlight w:val="none"/>
        </w:rPr>
        <w:t>的图纸文件。图纸应当按照法律规定审查合格。</w:t>
      </w:r>
    </w:p>
    <w:p w14:paraId="6C06107C">
      <w:pPr>
        <w:spacing w:before="221" w:line="330" w:lineRule="auto"/>
        <w:ind w:left="7" w:right="71" w:firstLine="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1.1.1.8</w:t>
      </w:r>
      <w:r>
        <w:rPr>
          <w:rFonts w:ascii="宋体" w:hAnsi="宋体" w:eastAsia="宋体" w:cs="宋体"/>
          <w:color w:val="auto"/>
          <w:spacing w:val="52"/>
          <w:sz w:val="20"/>
          <w:szCs w:val="20"/>
          <w:highlight w:val="none"/>
        </w:rPr>
        <w:t xml:space="preserve"> </w:t>
      </w:r>
      <w:r>
        <w:rPr>
          <w:rFonts w:ascii="宋体" w:hAnsi="宋体" w:eastAsia="宋体" w:cs="宋体"/>
          <w:color w:val="auto"/>
          <w:spacing w:val="8"/>
          <w:sz w:val="20"/>
          <w:szCs w:val="20"/>
          <w:highlight w:val="none"/>
        </w:rPr>
        <w:t>已标价工程量清单：是指构成合同的由承包人按照规定的格式和要求填写并标明价格的工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程量清单，包括说明和表格。</w:t>
      </w:r>
    </w:p>
    <w:p w14:paraId="3D7EDB32">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1.1.1.9 预算书：是指构成合同的由承包人按照发包人规定的格式和要求编制的工程预算文件。</w:t>
      </w:r>
    </w:p>
    <w:p w14:paraId="621F3450">
      <w:pPr>
        <w:spacing w:before="221" w:line="330" w:lineRule="auto"/>
        <w:ind w:left="9" w:right="71" w:firstLine="4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1.1.1.10 其他合同文件：是指经合同当事人约定的与工程施工</w:t>
      </w:r>
      <w:r>
        <w:rPr>
          <w:rFonts w:ascii="宋体" w:hAnsi="宋体" w:eastAsia="宋体" w:cs="宋体"/>
          <w:color w:val="auto"/>
          <w:spacing w:val="6"/>
          <w:sz w:val="20"/>
          <w:szCs w:val="20"/>
          <w:highlight w:val="none"/>
        </w:rPr>
        <w:t>有关的具有合同约束力的文件或书面</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协议。合同当事人可以在专用合同条款中进行约定。</w:t>
      </w:r>
    </w:p>
    <w:p w14:paraId="6A941897">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1.1.2 合同当事人及其他相关方</w:t>
      </w:r>
    </w:p>
    <w:p w14:paraId="193346DA">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1.1.2.1 合同当事人：是指发包人和（或）承包人。</w:t>
      </w:r>
    </w:p>
    <w:p w14:paraId="2169771E">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1.1.2.2 发包人：是指与承包人签订合同协议书的当事人及取得该当事人资格的合法继承人。</w:t>
      </w:r>
    </w:p>
    <w:p w14:paraId="7BF59A6D">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1.1.2.3 承包人：是指与发包人签订合同协议书的，具有相应工程施工承包资质的当事人及</w:t>
      </w:r>
      <w:r>
        <w:rPr>
          <w:rFonts w:ascii="宋体" w:hAnsi="宋体" w:eastAsia="宋体" w:cs="宋体"/>
          <w:color w:val="auto"/>
          <w:spacing w:val="8"/>
          <w:sz w:val="20"/>
          <w:szCs w:val="20"/>
          <w:highlight w:val="none"/>
        </w:rPr>
        <w:t>取得该</w:t>
      </w:r>
    </w:p>
    <w:p w14:paraId="04BC765E">
      <w:pPr>
        <w:spacing w:line="228" w:lineRule="auto"/>
        <w:rPr>
          <w:rFonts w:ascii="宋体" w:hAnsi="宋体" w:eastAsia="宋体" w:cs="宋体"/>
          <w:color w:val="auto"/>
          <w:sz w:val="20"/>
          <w:szCs w:val="20"/>
          <w:highlight w:val="none"/>
        </w:rPr>
        <w:sectPr>
          <w:headerReference r:id="rId91" w:type="default"/>
          <w:footerReference r:id="rId92" w:type="default"/>
          <w:pgSz w:w="11906" w:h="16839"/>
          <w:pgMar w:top="1091" w:right="1150" w:bottom="1158" w:left="1219" w:header="1076" w:footer="922" w:gutter="0"/>
          <w:cols w:space="720" w:num="1"/>
        </w:sectPr>
      </w:pPr>
    </w:p>
    <w:p w14:paraId="18C21A9F">
      <w:pPr>
        <w:spacing w:before="256" w:line="228" w:lineRule="auto"/>
        <w:ind w:left="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当事人资格的合法继承人。</w:t>
      </w:r>
    </w:p>
    <w:p w14:paraId="39F3FDA3">
      <w:pPr>
        <w:spacing w:before="219" w:line="331" w:lineRule="auto"/>
        <w:ind w:left="9" w:right="72"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1.1.2.4 监理人：是指在专用合同条款中指明的，受发包人委托按照法律规定进行工程监督</w:t>
      </w:r>
      <w:r>
        <w:rPr>
          <w:rFonts w:ascii="宋体" w:hAnsi="宋体" w:eastAsia="宋体" w:cs="宋体"/>
          <w:color w:val="auto"/>
          <w:spacing w:val="8"/>
          <w:sz w:val="20"/>
          <w:szCs w:val="20"/>
          <w:highlight w:val="none"/>
        </w:rPr>
        <w:t>管理的</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法人或其他组织。</w:t>
      </w:r>
    </w:p>
    <w:p w14:paraId="2AFD7B99">
      <w:pPr>
        <w:spacing w:before="218" w:line="331" w:lineRule="auto"/>
        <w:ind w:left="17" w:right="72" w:firstLine="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1.1.2.5 设计人：是指在专用合同条款中指明的，受发包人委托负责工程设计并具备相应工</w:t>
      </w:r>
      <w:r>
        <w:rPr>
          <w:rFonts w:ascii="宋体" w:hAnsi="宋体" w:eastAsia="宋体" w:cs="宋体"/>
          <w:color w:val="auto"/>
          <w:spacing w:val="8"/>
          <w:sz w:val="20"/>
          <w:szCs w:val="20"/>
          <w:highlight w:val="none"/>
        </w:rPr>
        <w:t>程设计</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资质的法人或其他组织。</w:t>
      </w:r>
    </w:p>
    <w:p w14:paraId="626CDF91">
      <w:pPr>
        <w:spacing w:before="219" w:line="331" w:lineRule="auto"/>
        <w:ind w:left="25" w:right="72"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1.1.2.6 分包人：是指按照法律规定和合同约定，分包部分工程或工作，并与承包人签订分</w:t>
      </w:r>
      <w:r>
        <w:rPr>
          <w:rFonts w:ascii="宋体" w:hAnsi="宋体" w:eastAsia="宋体" w:cs="宋体"/>
          <w:color w:val="auto"/>
          <w:spacing w:val="8"/>
          <w:sz w:val="20"/>
          <w:szCs w:val="20"/>
          <w:highlight w:val="none"/>
        </w:rPr>
        <w:t>包合同</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的具有相应资质的法人。</w:t>
      </w:r>
    </w:p>
    <w:p w14:paraId="3F5D0394">
      <w:pPr>
        <w:spacing w:before="220" w:line="228" w:lineRule="auto"/>
        <w:jc w:val="right"/>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1.1.2.7 发包人代表：是指由发包人任命并派驻施工现场在发包人授权范围内行使发包人权利的人。</w:t>
      </w:r>
    </w:p>
    <w:p w14:paraId="737B071C">
      <w:pPr>
        <w:spacing w:before="221" w:line="330" w:lineRule="auto"/>
        <w:ind w:left="9" w:right="72"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1.1.2.8 项目经理：是指由承包人任命并派驻施工现场，在承包人授权范围内负责合同履行</w:t>
      </w:r>
      <w:r>
        <w:rPr>
          <w:rFonts w:ascii="宋体" w:hAnsi="宋体" w:eastAsia="宋体" w:cs="宋体"/>
          <w:color w:val="auto"/>
          <w:spacing w:val="8"/>
          <w:sz w:val="20"/>
          <w:szCs w:val="20"/>
          <w:highlight w:val="none"/>
        </w:rPr>
        <w:t>，且按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照法律规定具有相应资格的项目负责人。</w:t>
      </w:r>
    </w:p>
    <w:p w14:paraId="6798950B">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1.1.2.9 总监理工程师：是指由监理人任命并派驻施工现场进行工程监理的总负责人。</w:t>
      </w:r>
    </w:p>
    <w:p w14:paraId="4DB22B48">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1.1.3 工程和设备</w:t>
      </w:r>
    </w:p>
    <w:p w14:paraId="20931A35">
      <w:pPr>
        <w:spacing w:before="219"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1.1.3.1 工程：是指与合同协议书中工程承包范围对应的永久工程和（或）临时工程。</w:t>
      </w:r>
    </w:p>
    <w:p w14:paraId="1DBF61E9">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1.1.3.2 永久工程：是指按合同约定建造并移交给发包人的工程，包括工程设备。</w:t>
      </w:r>
    </w:p>
    <w:p w14:paraId="05C3F541">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1.1.3.3 临时工程：是指为完成合同约定的永久工程所修建的各类临时性工程，不包括施工设备。</w:t>
      </w:r>
    </w:p>
    <w:p w14:paraId="63CF8245">
      <w:pPr>
        <w:spacing w:before="219" w:line="331" w:lineRule="auto"/>
        <w:ind w:left="10" w:right="72" w:firstLine="43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1.1.3.4 单位工程：是指在合同协议书中指明的，具备独立施工条件并能形成独立使用功能</w:t>
      </w:r>
      <w:r>
        <w:rPr>
          <w:rFonts w:ascii="宋体" w:hAnsi="宋体" w:eastAsia="宋体" w:cs="宋体"/>
          <w:color w:val="auto"/>
          <w:spacing w:val="8"/>
          <w:sz w:val="20"/>
          <w:szCs w:val="20"/>
          <w:highlight w:val="none"/>
        </w:rPr>
        <w:t>的永久</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工程。</w:t>
      </w:r>
    </w:p>
    <w:p w14:paraId="20E308AB">
      <w:pPr>
        <w:spacing w:before="220" w:line="228" w:lineRule="auto"/>
        <w:jc w:val="right"/>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1.1.3.5 工程设备：是指构成永久工程的机电设备、金属结构设备、仪器及其他类似的设备和装置。</w:t>
      </w:r>
    </w:p>
    <w:p w14:paraId="1E3D1B8F">
      <w:pPr>
        <w:spacing w:before="221" w:line="330" w:lineRule="auto"/>
        <w:ind w:left="11" w:right="72" w:firstLine="43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1.1.3.6 施工设备：是指为完成合同约定的各项工作所需的设备、器具和其他物品，但不包</w:t>
      </w:r>
      <w:r>
        <w:rPr>
          <w:rFonts w:ascii="宋体" w:hAnsi="宋体" w:eastAsia="宋体" w:cs="宋体"/>
          <w:color w:val="auto"/>
          <w:spacing w:val="8"/>
          <w:sz w:val="20"/>
          <w:szCs w:val="20"/>
          <w:highlight w:val="none"/>
        </w:rPr>
        <w:t>括工程</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设备、临时工程和材料。</w:t>
      </w:r>
    </w:p>
    <w:p w14:paraId="7F32C545">
      <w:pPr>
        <w:spacing w:before="222" w:line="330" w:lineRule="auto"/>
        <w:ind w:left="25" w:right="72"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1.1.3.7 施工现场：是指用于工程施工的场所，以及在专用合同条款中指明作为施工场所组</w:t>
      </w:r>
      <w:r>
        <w:rPr>
          <w:rFonts w:ascii="宋体" w:hAnsi="宋体" w:eastAsia="宋体" w:cs="宋体"/>
          <w:color w:val="auto"/>
          <w:spacing w:val="8"/>
          <w:sz w:val="20"/>
          <w:szCs w:val="20"/>
          <w:highlight w:val="none"/>
        </w:rPr>
        <w:t>成部分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的其他场所，包括永久占地和临时占地。</w:t>
      </w:r>
    </w:p>
    <w:p w14:paraId="4CE5EA52">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1.1.3.8</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临时设施：是指为完成合同约定的各项工作所服务的临时性</w:t>
      </w:r>
      <w:r>
        <w:rPr>
          <w:rFonts w:ascii="宋体" w:hAnsi="宋体" w:eastAsia="宋体" w:cs="宋体"/>
          <w:color w:val="auto"/>
          <w:spacing w:val="7"/>
          <w:sz w:val="20"/>
          <w:szCs w:val="20"/>
          <w:highlight w:val="none"/>
        </w:rPr>
        <w:t>生产和生活设施。</w:t>
      </w:r>
    </w:p>
    <w:p w14:paraId="28972006">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1.1.3.9 永久占地：是指专用合同条款中指明为实施工程需永久占用的土地。</w:t>
      </w:r>
    </w:p>
    <w:p w14:paraId="2C5D835A">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1.1.3.10 临时占地：是指专用合同条款中指明为实施工程需要临时占用的土</w:t>
      </w:r>
      <w:r>
        <w:rPr>
          <w:rFonts w:ascii="宋体" w:hAnsi="宋体" w:eastAsia="宋体" w:cs="宋体"/>
          <w:color w:val="auto"/>
          <w:spacing w:val="7"/>
          <w:sz w:val="20"/>
          <w:szCs w:val="20"/>
          <w:highlight w:val="none"/>
        </w:rPr>
        <w:t>地。</w:t>
      </w:r>
    </w:p>
    <w:p w14:paraId="17DFBC1C">
      <w:pPr>
        <w:spacing w:before="220" w:line="229" w:lineRule="auto"/>
        <w:ind w:left="443"/>
        <w:rPr>
          <w:rFonts w:ascii="宋体" w:hAnsi="宋体" w:eastAsia="宋体" w:cs="宋体"/>
          <w:color w:val="auto"/>
          <w:sz w:val="20"/>
          <w:szCs w:val="20"/>
          <w:highlight w:val="none"/>
        </w:rPr>
      </w:pPr>
      <w:r>
        <w:rPr>
          <w:rFonts w:ascii="宋体" w:hAnsi="宋体" w:eastAsia="宋体" w:cs="宋体"/>
          <w:color w:val="auto"/>
          <w:sz w:val="20"/>
          <w:szCs w:val="20"/>
          <w:highlight w:val="none"/>
        </w:rPr>
        <w:t>1.1.4</w:t>
      </w:r>
      <w:r>
        <w:rPr>
          <w:rFonts w:ascii="宋体" w:hAnsi="宋体" w:eastAsia="宋体" w:cs="宋体"/>
          <w:color w:val="auto"/>
          <w:spacing w:val="53"/>
          <w:sz w:val="20"/>
          <w:szCs w:val="20"/>
          <w:highlight w:val="none"/>
        </w:rPr>
        <w:t xml:space="preserve"> </w:t>
      </w:r>
      <w:r>
        <w:rPr>
          <w:rFonts w:ascii="宋体" w:hAnsi="宋体" w:eastAsia="宋体" w:cs="宋体"/>
          <w:color w:val="auto"/>
          <w:sz w:val="20"/>
          <w:szCs w:val="20"/>
          <w:highlight w:val="none"/>
        </w:rPr>
        <w:t>日期和期限</w:t>
      </w:r>
    </w:p>
    <w:p w14:paraId="116CAEDA">
      <w:pPr>
        <w:spacing w:before="221" w:line="364" w:lineRule="auto"/>
        <w:ind w:left="27" w:right="71" w:firstLine="41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1.1.4.1 开工日期：包括计划开工日期和实际开工日期。计划开工日期是指合同协议书约定</w:t>
      </w:r>
      <w:r>
        <w:rPr>
          <w:rFonts w:ascii="宋体" w:hAnsi="宋体" w:eastAsia="宋体" w:cs="宋体"/>
          <w:color w:val="auto"/>
          <w:spacing w:val="8"/>
          <w:sz w:val="20"/>
          <w:szCs w:val="20"/>
          <w:highlight w:val="none"/>
        </w:rPr>
        <w:t>的开工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日期；实际开工日期是指监理人按照第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7.3.2</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项〔开工通知〕</w:t>
      </w:r>
      <w:r>
        <w:rPr>
          <w:rFonts w:ascii="宋体" w:hAnsi="宋体" w:eastAsia="宋体" w:cs="宋体"/>
          <w:color w:val="auto"/>
          <w:spacing w:val="8"/>
          <w:sz w:val="20"/>
          <w:szCs w:val="20"/>
          <w:highlight w:val="none"/>
        </w:rPr>
        <w:t>约定发出的符合法律规定的开工通知中载</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明的开工日期。</w:t>
      </w:r>
    </w:p>
    <w:p w14:paraId="22889502">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1.1.4.2 竣工日期：包括计划竣工日期和实际竣工日期。计划竣工日期是指合同协议书约定</w:t>
      </w:r>
      <w:r>
        <w:rPr>
          <w:rFonts w:ascii="宋体" w:hAnsi="宋体" w:eastAsia="宋体" w:cs="宋体"/>
          <w:color w:val="auto"/>
          <w:spacing w:val="8"/>
          <w:sz w:val="20"/>
          <w:szCs w:val="20"/>
          <w:highlight w:val="none"/>
        </w:rPr>
        <w:t>的竣工</w:t>
      </w:r>
    </w:p>
    <w:p w14:paraId="5768DEF8">
      <w:pPr>
        <w:spacing w:line="228" w:lineRule="auto"/>
        <w:rPr>
          <w:rFonts w:ascii="宋体" w:hAnsi="宋体" w:eastAsia="宋体" w:cs="宋体"/>
          <w:color w:val="auto"/>
          <w:sz w:val="20"/>
          <w:szCs w:val="20"/>
          <w:highlight w:val="none"/>
        </w:rPr>
        <w:sectPr>
          <w:headerReference r:id="rId93" w:type="default"/>
          <w:footerReference r:id="rId94" w:type="default"/>
          <w:pgSz w:w="11906" w:h="16839"/>
          <w:pgMar w:top="1091" w:right="1149" w:bottom="1158" w:left="1219" w:header="1076" w:footer="922" w:gutter="0"/>
          <w:cols w:space="720" w:num="1"/>
        </w:sectPr>
      </w:pPr>
    </w:p>
    <w:p w14:paraId="5669133A">
      <w:pPr>
        <w:spacing w:before="256" w:line="228" w:lineRule="auto"/>
        <w:ind w:left="4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日期；实际竣工日期按照第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6"/>
          <w:sz w:val="20"/>
          <w:szCs w:val="20"/>
          <w:highlight w:val="none"/>
        </w:rPr>
        <w:t>13.2.3</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项〔竣工日期〕的约定确定。</w:t>
      </w:r>
    </w:p>
    <w:p w14:paraId="0D7EA97D">
      <w:pPr>
        <w:spacing w:before="219" w:line="331" w:lineRule="auto"/>
        <w:ind w:left="22" w:right="2"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1.1.4.3 工期：是指在合同协议书约定的承包人完成工程所需的期限，包括按照合同约定所</w:t>
      </w:r>
      <w:r>
        <w:rPr>
          <w:rFonts w:ascii="宋体" w:hAnsi="宋体" w:eastAsia="宋体" w:cs="宋体"/>
          <w:color w:val="auto"/>
          <w:spacing w:val="8"/>
          <w:sz w:val="20"/>
          <w:szCs w:val="20"/>
          <w:highlight w:val="none"/>
        </w:rPr>
        <w:t>作的期</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限变更。</w:t>
      </w:r>
    </w:p>
    <w:p w14:paraId="614F9C65">
      <w:pPr>
        <w:spacing w:before="220" w:line="330" w:lineRule="auto"/>
        <w:ind w:left="6" w:right="2" w:firstLine="4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1.1.4.4 缺陷责任期：是指承包人按照合同约定承担缺陷修复义务，且发包人预留质量保证</w:t>
      </w:r>
      <w:r>
        <w:rPr>
          <w:rFonts w:ascii="宋体" w:hAnsi="宋体" w:eastAsia="宋体" w:cs="宋体"/>
          <w:color w:val="auto"/>
          <w:spacing w:val="8"/>
          <w:sz w:val="20"/>
          <w:szCs w:val="20"/>
          <w:highlight w:val="none"/>
        </w:rPr>
        <w:t>金（已</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缴纳履约保证金的除外）的期限，</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自工程实际竣工日期起计算。</w:t>
      </w:r>
    </w:p>
    <w:p w14:paraId="0C4B6167">
      <w:pPr>
        <w:spacing w:before="221" w:line="330" w:lineRule="auto"/>
        <w:ind w:left="9" w:right="2"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1.1.4.5 保修期：是指承包人按照合同约定对工程承担保修责任的期限，从工程竣工验收合</w:t>
      </w:r>
      <w:r>
        <w:rPr>
          <w:rFonts w:ascii="宋体" w:hAnsi="宋体" w:eastAsia="宋体" w:cs="宋体"/>
          <w:color w:val="auto"/>
          <w:spacing w:val="8"/>
          <w:sz w:val="20"/>
          <w:szCs w:val="20"/>
          <w:highlight w:val="none"/>
        </w:rPr>
        <w:t>格之日</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起计算。</w:t>
      </w:r>
    </w:p>
    <w:p w14:paraId="2E2E235B">
      <w:pPr>
        <w:spacing w:before="219" w:line="331" w:lineRule="auto"/>
        <w:ind w:left="28" w:right="2" w:firstLine="41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1.1.4.6 基准日期：招标发包的工程以投标截止日前</w:t>
      </w:r>
      <w:r>
        <w:rPr>
          <w:rFonts w:ascii="宋体" w:hAnsi="宋体" w:eastAsia="宋体" w:cs="宋体"/>
          <w:color w:val="auto"/>
          <w:spacing w:val="-31"/>
          <w:sz w:val="20"/>
          <w:szCs w:val="20"/>
          <w:highlight w:val="none"/>
        </w:rPr>
        <w:t xml:space="preserve"> </w:t>
      </w:r>
      <w:r>
        <w:rPr>
          <w:rFonts w:ascii="宋体" w:hAnsi="宋体" w:eastAsia="宋体" w:cs="宋体"/>
          <w:color w:val="auto"/>
          <w:spacing w:val="6"/>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天的日期为基准日期，直接发包的工程以合</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同签订日前</w:t>
      </w:r>
      <w:r>
        <w:rPr>
          <w:rFonts w:ascii="宋体" w:hAnsi="宋体" w:eastAsia="宋体" w:cs="宋体"/>
          <w:color w:val="auto"/>
          <w:spacing w:val="-27"/>
          <w:sz w:val="20"/>
          <w:szCs w:val="20"/>
          <w:highlight w:val="none"/>
        </w:rPr>
        <w:t xml:space="preserve"> </w:t>
      </w:r>
      <w:r>
        <w:rPr>
          <w:rFonts w:ascii="宋体" w:hAnsi="宋体" w:eastAsia="宋体" w:cs="宋体"/>
          <w:color w:val="auto"/>
          <w:spacing w:val="5"/>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天的日期为基准日期。</w:t>
      </w:r>
    </w:p>
    <w:p w14:paraId="7D49F9AE">
      <w:pPr>
        <w:spacing w:before="220" w:line="330" w:lineRule="auto"/>
        <w:ind w:left="8" w:right="2"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1.1.4.7 天：除特别指明外，均指日历天。合同中按天计算时间的，开始当天不计入，从次</w:t>
      </w:r>
      <w:r>
        <w:rPr>
          <w:rFonts w:ascii="宋体" w:hAnsi="宋体" w:eastAsia="宋体" w:cs="宋体"/>
          <w:color w:val="auto"/>
          <w:spacing w:val="8"/>
          <w:sz w:val="20"/>
          <w:szCs w:val="20"/>
          <w:highlight w:val="none"/>
        </w:rPr>
        <w:t>日开始</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计算，期限最后一天的截止时间为当天</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6"/>
          <w:sz w:val="20"/>
          <w:szCs w:val="20"/>
          <w:highlight w:val="none"/>
        </w:rPr>
        <w:t>00</w:t>
      </w:r>
      <w:r>
        <w:rPr>
          <w:rFonts w:ascii="宋体" w:hAnsi="宋体" w:eastAsia="宋体" w:cs="宋体"/>
          <w:color w:val="auto"/>
          <w:spacing w:val="-28"/>
          <w:sz w:val="20"/>
          <w:szCs w:val="20"/>
          <w:highlight w:val="none"/>
        </w:rPr>
        <w:t xml:space="preserve"> </w:t>
      </w:r>
      <w:r>
        <w:rPr>
          <w:rFonts w:ascii="宋体" w:hAnsi="宋体" w:eastAsia="宋体" w:cs="宋体"/>
          <w:color w:val="auto"/>
          <w:spacing w:val="6"/>
          <w:sz w:val="20"/>
          <w:szCs w:val="20"/>
          <w:highlight w:val="none"/>
        </w:rPr>
        <w:t>时。</w:t>
      </w:r>
    </w:p>
    <w:p w14:paraId="2A6C614C">
      <w:pPr>
        <w:spacing w:before="221"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1.1.5 合同价格和费用</w:t>
      </w:r>
    </w:p>
    <w:p w14:paraId="686F9D82">
      <w:pPr>
        <w:spacing w:before="223" w:line="329" w:lineRule="auto"/>
        <w:ind w:left="14" w:right="37" w:firstLine="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1.1.5.1 签约合同价：是指发包人和承包人在合同协议书中确定的总金额，包括安全文明施工费、</w:t>
      </w:r>
      <w:r>
        <w:rPr>
          <w:rFonts w:ascii="宋体" w:hAnsi="宋体" w:eastAsia="宋体" w:cs="宋体"/>
          <w:color w:val="auto"/>
          <w:spacing w:val="10"/>
          <w:sz w:val="20"/>
          <w:szCs w:val="20"/>
          <w:highlight w:val="none"/>
        </w:rPr>
        <w:t xml:space="preserve"> </w:t>
      </w:r>
      <w:r>
        <w:rPr>
          <w:rFonts w:ascii="宋体" w:hAnsi="宋体" w:eastAsia="宋体" w:cs="宋体"/>
          <w:color w:val="auto"/>
          <w:spacing w:val="7"/>
          <w:sz w:val="20"/>
          <w:szCs w:val="20"/>
          <w:highlight w:val="none"/>
        </w:rPr>
        <w:t>暂估价及暂列金额等。</w:t>
      </w:r>
    </w:p>
    <w:p w14:paraId="78312620">
      <w:pPr>
        <w:spacing w:before="223" w:line="329" w:lineRule="auto"/>
        <w:ind w:left="8" w:right="2"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1.1.5.2 合同价格：是指发包人用于支付承包人按照合同约定完成承包范围内全部工作的金</w:t>
      </w:r>
      <w:r>
        <w:rPr>
          <w:rFonts w:ascii="宋体" w:hAnsi="宋体" w:eastAsia="宋体" w:cs="宋体"/>
          <w:color w:val="auto"/>
          <w:spacing w:val="8"/>
          <w:sz w:val="20"/>
          <w:szCs w:val="20"/>
          <w:highlight w:val="none"/>
        </w:rPr>
        <w:t>额，包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括合同履行过程中按合同约定发生的价格变化。</w:t>
      </w:r>
    </w:p>
    <w:p w14:paraId="645FB9B9">
      <w:pPr>
        <w:spacing w:before="221" w:line="331" w:lineRule="auto"/>
        <w:ind w:left="8" w:right="2"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1.1.5.3 费用：是指为履行合同所发生的或将要发生的所有必需的开支，包括管理费和应分</w:t>
      </w:r>
      <w:r>
        <w:rPr>
          <w:rFonts w:ascii="宋体" w:hAnsi="宋体" w:eastAsia="宋体" w:cs="宋体"/>
          <w:color w:val="auto"/>
          <w:spacing w:val="8"/>
          <w:sz w:val="20"/>
          <w:szCs w:val="20"/>
          <w:highlight w:val="none"/>
        </w:rPr>
        <w:t>摊的其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他费用，但不包括利润。</w:t>
      </w:r>
    </w:p>
    <w:p w14:paraId="3816360C">
      <w:pPr>
        <w:spacing w:before="221" w:line="329" w:lineRule="auto"/>
        <w:ind w:left="8" w:right="2"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1.1.5.4 暂估价：是指发包人在工程量清单或预算书中提供的用于支付必然发生但暂时不能</w:t>
      </w:r>
      <w:r>
        <w:rPr>
          <w:rFonts w:ascii="宋体" w:hAnsi="宋体" w:eastAsia="宋体" w:cs="宋体"/>
          <w:color w:val="auto"/>
          <w:spacing w:val="8"/>
          <w:sz w:val="20"/>
          <w:szCs w:val="20"/>
          <w:highlight w:val="none"/>
        </w:rPr>
        <w:t>确定价</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格的材料、工程设备的单价、专业工程以及服务工作的金额。</w:t>
      </w:r>
    </w:p>
    <w:p w14:paraId="11C00AB9">
      <w:pPr>
        <w:spacing w:before="221" w:line="364" w:lineRule="auto"/>
        <w:ind w:left="8" w:right="2" w:firstLine="4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1.1.5.5 暂列金额：是指发包人在工程量清单或预算书中暂定并包括在合同价格中的一笔款</w:t>
      </w:r>
      <w:r>
        <w:rPr>
          <w:rFonts w:ascii="宋体" w:hAnsi="宋体" w:eastAsia="宋体" w:cs="宋体"/>
          <w:color w:val="auto"/>
          <w:spacing w:val="8"/>
          <w:sz w:val="20"/>
          <w:szCs w:val="20"/>
          <w:highlight w:val="none"/>
        </w:rPr>
        <w:t>项，用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于工程合同签订时尚未确定或者不可预见的所需材料、工程设备、服务的采购，施工中可能发生的工程</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变更、合同约定调整因素出现时的合同价格</w:t>
      </w:r>
      <w:r>
        <w:rPr>
          <w:rFonts w:ascii="宋体" w:hAnsi="宋体" w:eastAsia="宋体" w:cs="宋体"/>
          <w:color w:val="auto"/>
          <w:spacing w:val="9"/>
          <w:sz w:val="20"/>
          <w:szCs w:val="20"/>
          <w:highlight w:val="none"/>
        </w:rPr>
        <w:t>调整以及发生的索赔、现场签证确认等的费用。</w:t>
      </w:r>
    </w:p>
    <w:p w14:paraId="0A03E59C">
      <w:pPr>
        <w:spacing w:before="223" w:line="329" w:lineRule="auto"/>
        <w:ind w:left="25" w:right="2"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1.1.5.6 计日工：是指合同履行过程中，承包人完成发包人提出的零星工作或需要采用计日</w:t>
      </w:r>
      <w:r>
        <w:rPr>
          <w:rFonts w:ascii="宋体" w:hAnsi="宋体" w:eastAsia="宋体" w:cs="宋体"/>
          <w:color w:val="auto"/>
          <w:spacing w:val="8"/>
          <w:sz w:val="20"/>
          <w:szCs w:val="20"/>
          <w:highlight w:val="none"/>
        </w:rPr>
        <w:t>工计价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的变更工作时，按合同中约定的单价计价的一种方式。</w:t>
      </w:r>
    </w:p>
    <w:p w14:paraId="2AD7564A">
      <w:pPr>
        <w:spacing w:before="223" w:line="330" w:lineRule="auto"/>
        <w:ind w:left="11" w:right="2" w:firstLine="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1.1.5.7 质量保证金：是指按照第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6"/>
          <w:sz w:val="20"/>
          <w:szCs w:val="20"/>
          <w:highlight w:val="none"/>
        </w:rPr>
        <w:t>15.3</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款〔质量保证金〕约定承包人用于保</w:t>
      </w:r>
      <w:r>
        <w:rPr>
          <w:rFonts w:ascii="宋体" w:hAnsi="宋体" w:eastAsia="宋体" w:cs="宋体"/>
          <w:color w:val="auto"/>
          <w:spacing w:val="5"/>
          <w:sz w:val="20"/>
          <w:szCs w:val="20"/>
          <w:highlight w:val="none"/>
        </w:rPr>
        <w:t>证其在缺陷责任期内履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行缺陷修补义务的担保。</w:t>
      </w:r>
    </w:p>
    <w:p w14:paraId="46797751">
      <w:pPr>
        <w:spacing w:before="221" w:line="329" w:lineRule="auto"/>
        <w:ind w:left="7" w:right="2" w:firstLine="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1.1.5.8 总价项目：是指在现行国家、行业以及地方的计量规则中无工程量计算规则，在已</w:t>
      </w:r>
      <w:r>
        <w:rPr>
          <w:rFonts w:ascii="宋体" w:hAnsi="宋体" w:eastAsia="宋体" w:cs="宋体"/>
          <w:color w:val="auto"/>
          <w:spacing w:val="8"/>
          <w:sz w:val="20"/>
          <w:szCs w:val="20"/>
          <w:highlight w:val="none"/>
        </w:rPr>
        <w:t>标价工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程量清单或预算书中以总价或以费率形式计算的项目。</w:t>
      </w:r>
    </w:p>
    <w:p w14:paraId="201513EF">
      <w:pPr>
        <w:spacing w:before="223" w:line="229"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1.1.6</w:t>
      </w:r>
      <w:r>
        <w:rPr>
          <w:rFonts w:ascii="宋体" w:hAnsi="宋体" w:eastAsia="宋体" w:cs="宋体"/>
          <w:color w:val="auto"/>
          <w:spacing w:val="15"/>
          <w:sz w:val="20"/>
          <w:szCs w:val="20"/>
          <w:highlight w:val="none"/>
        </w:rPr>
        <w:t xml:space="preserve"> </w:t>
      </w:r>
      <w:r>
        <w:rPr>
          <w:rFonts w:ascii="宋体" w:hAnsi="宋体" w:eastAsia="宋体" w:cs="宋体"/>
          <w:color w:val="auto"/>
          <w:spacing w:val="1"/>
          <w:sz w:val="20"/>
          <w:szCs w:val="20"/>
          <w:highlight w:val="none"/>
        </w:rPr>
        <w:t>其他</w:t>
      </w:r>
    </w:p>
    <w:p w14:paraId="4D9D9FF6">
      <w:pPr>
        <w:spacing w:line="229" w:lineRule="auto"/>
        <w:rPr>
          <w:rFonts w:ascii="宋体" w:hAnsi="宋体" w:eastAsia="宋体" w:cs="宋体"/>
          <w:color w:val="auto"/>
          <w:sz w:val="20"/>
          <w:szCs w:val="20"/>
          <w:highlight w:val="none"/>
        </w:rPr>
        <w:sectPr>
          <w:headerReference r:id="rId95" w:type="default"/>
          <w:footerReference r:id="rId96" w:type="default"/>
          <w:pgSz w:w="11906" w:h="16839"/>
          <w:pgMar w:top="1091" w:right="1219" w:bottom="1158" w:left="1219" w:header="1076" w:footer="922" w:gutter="0"/>
          <w:cols w:space="720" w:num="1"/>
        </w:sectPr>
      </w:pPr>
    </w:p>
    <w:p w14:paraId="0979440B">
      <w:pPr>
        <w:spacing w:before="256"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1.1.6.1 书面形式：是指合同文件、信函、电报、传真等可以有形地表现所载内容的形式。</w:t>
      </w:r>
    </w:p>
    <w:p w14:paraId="00214E2B">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1.2</w:t>
      </w:r>
      <w:r>
        <w:rPr>
          <w:rFonts w:ascii="宋体" w:hAnsi="宋体" w:eastAsia="宋体" w:cs="宋体"/>
          <w:color w:val="auto"/>
          <w:spacing w:val="-41"/>
          <w:sz w:val="20"/>
          <w:szCs w:val="20"/>
          <w:highlight w:val="none"/>
        </w:rPr>
        <w:t xml:space="preserve"> </w:t>
      </w:r>
      <w:r>
        <w:rPr>
          <w:rFonts w:ascii="宋体" w:hAnsi="宋体" w:eastAsia="宋体" w:cs="宋体"/>
          <w:color w:val="auto"/>
          <w:spacing w:val="3"/>
          <w:sz w:val="20"/>
          <w:szCs w:val="20"/>
          <w:highlight w:val="none"/>
        </w:rPr>
        <w:t>语言文字</w:t>
      </w:r>
    </w:p>
    <w:p w14:paraId="135C2689">
      <w:pPr>
        <w:spacing w:before="220" w:line="432" w:lineRule="auto"/>
        <w:ind w:left="17" w:right="2" w:firstLine="41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合同以中国的汉语简体文字编写、解释和说明。合同当事人在专用合同条款中约定使用两种以上语</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言时，汉语为优先解释和说明合同的语言。</w:t>
      </w:r>
    </w:p>
    <w:p w14:paraId="08475B0D">
      <w:pPr>
        <w:spacing w:line="228" w:lineRule="auto"/>
        <w:ind w:left="443"/>
        <w:rPr>
          <w:rFonts w:ascii="宋体" w:hAnsi="宋体" w:eastAsia="宋体" w:cs="宋体"/>
          <w:color w:val="auto"/>
          <w:sz w:val="20"/>
          <w:szCs w:val="20"/>
          <w:highlight w:val="none"/>
        </w:rPr>
      </w:pPr>
      <w:r>
        <w:rPr>
          <w:rFonts w:ascii="宋体" w:hAnsi="宋体" w:eastAsia="宋体" w:cs="宋体"/>
          <w:color w:val="auto"/>
          <w:sz w:val="20"/>
          <w:szCs w:val="20"/>
          <w:highlight w:val="none"/>
        </w:rPr>
        <w:t>1.3</w:t>
      </w:r>
      <w:r>
        <w:rPr>
          <w:rFonts w:ascii="宋体" w:hAnsi="宋体" w:eastAsia="宋体" w:cs="宋体"/>
          <w:color w:val="auto"/>
          <w:spacing w:val="-40"/>
          <w:sz w:val="20"/>
          <w:szCs w:val="20"/>
          <w:highlight w:val="none"/>
        </w:rPr>
        <w:t xml:space="preserve"> </w:t>
      </w:r>
      <w:r>
        <w:rPr>
          <w:rFonts w:ascii="宋体" w:hAnsi="宋体" w:eastAsia="宋体" w:cs="宋体"/>
          <w:color w:val="auto"/>
          <w:sz w:val="20"/>
          <w:szCs w:val="20"/>
          <w:highlight w:val="none"/>
        </w:rPr>
        <w:t>法律</w:t>
      </w:r>
    </w:p>
    <w:p w14:paraId="0AB35CFB">
      <w:pPr>
        <w:spacing w:before="220" w:line="432" w:lineRule="auto"/>
        <w:ind w:left="13" w:right="2" w:firstLine="41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合同所称法律是指中华人民共和国法律、行政法规、部门规章，以及工程所在地的地方性法规、</w:t>
      </w:r>
      <w:r>
        <w:rPr>
          <w:rFonts w:ascii="宋体" w:hAnsi="宋体" w:eastAsia="宋体" w:cs="宋体"/>
          <w:color w:val="auto"/>
          <w:spacing w:val="-52"/>
          <w:sz w:val="20"/>
          <w:szCs w:val="20"/>
          <w:highlight w:val="none"/>
        </w:rPr>
        <w:t xml:space="preserve"> </w:t>
      </w:r>
      <w:r>
        <w:rPr>
          <w:rFonts w:ascii="宋体" w:hAnsi="宋体" w:eastAsia="宋体" w:cs="宋体"/>
          <w:color w:val="auto"/>
          <w:spacing w:val="9"/>
          <w:sz w:val="20"/>
          <w:szCs w:val="20"/>
          <w:highlight w:val="none"/>
        </w:rPr>
        <w:t>自</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治条例、单行条例和地方政府规章等。</w:t>
      </w:r>
    </w:p>
    <w:p w14:paraId="43439264">
      <w:pPr>
        <w:spacing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合同当事人可以在专用合同条款中约定合同适用的其他规范性文件。</w:t>
      </w:r>
    </w:p>
    <w:p w14:paraId="40319D61">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1.4 标准和规范</w:t>
      </w:r>
    </w:p>
    <w:p w14:paraId="37317490">
      <w:pPr>
        <w:spacing w:before="220" w:line="330" w:lineRule="auto"/>
        <w:ind w:left="9" w:right="51" w:firstLine="43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1.4.1 适用于工程的国家标准、行业标准、工程所在地的地方性标准，以及相应的规范、规程等，</w:t>
      </w:r>
      <w:r>
        <w:rPr>
          <w:rFonts w:ascii="宋体" w:hAnsi="宋体" w:eastAsia="宋体" w:cs="宋体"/>
          <w:color w:val="auto"/>
          <w:spacing w:val="3"/>
          <w:sz w:val="20"/>
          <w:szCs w:val="20"/>
          <w:highlight w:val="none"/>
        </w:rPr>
        <w:t xml:space="preserve"> </w:t>
      </w:r>
      <w:r>
        <w:rPr>
          <w:rFonts w:ascii="宋体" w:hAnsi="宋体" w:eastAsia="宋体" w:cs="宋体"/>
          <w:color w:val="auto"/>
          <w:spacing w:val="9"/>
          <w:sz w:val="20"/>
          <w:szCs w:val="20"/>
          <w:highlight w:val="none"/>
        </w:rPr>
        <w:t>合同当事人有特别要求的，应在专用合同条款中约定。</w:t>
      </w:r>
    </w:p>
    <w:p w14:paraId="330BB641">
      <w:pPr>
        <w:spacing w:before="221" w:line="330" w:lineRule="auto"/>
        <w:ind w:left="9" w:right="2"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1.4.2 发包人要求使用国外标准、规范的，发包人负责提供原文版本和中文译本，并在专用合同条</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款中约定提供标准规范的名称、份数和时间。</w:t>
      </w:r>
    </w:p>
    <w:p w14:paraId="53715BB2">
      <w:pPr>
        <w:spacing w:before="220" w:line="364" w:lineRule="auto"/>
        <w:ind w:left="9" w:right="2" w:firstLine="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1.4.3 发包人对工程的技术标准、功能要求高于或严于现行国家、行业或地方标准的，应当在专用</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合同条款中予以明确。除专用合同条款另有约定外，应视为承包人在签订合同前已充分预见前述技术标</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准和功能要求的复杂程度，签约合同价中已包含由此产生的费用。</w:t>
      </w:r>
    </w:p>
    <w:p w14:paraId="6867219B">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 合同文件的优先顺序</w:t>
      </w:r>
    </w:p>
    <w:p w14:paraId="345BA60E">
      <w:pPr>
        <w:spacing w:before="221" w:line="432" w:lineRule="auto"/>
        <w:ind w:left="7" w:right="2"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组成合同的各项文件应互相解释，互为说明。除专用合同条款另有约定外，解释合同文件的优先顺</w:t>
      </w:r>
      <w:r>
        <w:rPr>
          <w:rFonts w:ascii="宋体" w:hAnsi="宋体" w:eastAsia="宋体" w:cs="宋体"/>
          <w:color w:val="auto"/>
          <w:spacing w:val="3"/>
          <w:sz w:val="20"/>
          <w:szCs w:val="20"/>
          <w:highlight w:val="none"/>
        </w:rPr>
        <w:t xml:space="preserve"> </w:t>
      </w:r>
      <w:r>
        <w:rPr>
          <w:rFonts w:ascii="宋体" w:hAnsi="宋体" w:eastAsia="宋体" w:cs="宋体"/>
          <w:color w:val="auto"/>
          <w:spacing w:val="5"/>
          <w:sz w:val="20"/>
          <w:szCs w:val="20"/>
          <w:highlight w:val="none"/>
        </w:rPr>
        <w:t>序如下：</w:t>
      </w:r>
    </w:p>
    <w:p w14:paraId="7CB95AFA">
      <w:pPr>
        <w:spacing w:before="1" w:line="227"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（1）合同协议书；</w:t>
      </w:r>
    </w:p>
    <w:p w14:paraId="2980F48B">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（2）中标通知书（如果有</w:t>
      </w:r>
      <w:r>
        <w:rPr>
          <w:rFonts w:ascii="宋体" w:hAnsi="宋体" w:eastAsia="宋体" w:cs="宋体"/>
          <w:color w:val="auto"/>
          <w:spacing w:val="4"/>
          <w:sz w:val="20"/>
          <w:szCs w:val="20"/>
          <w:highlight w:val="none"/>
        </w:rPr>
        <w:t>）；</w:t>
      </w:r>
    </w:p>
    <w:p w14:paraId="0D85363C">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（3）投标函及其附录（如果有</w:t>
      </w:r>
      <w:r>
        <w:rPr>
          <w:rFonts w:ascii="宋体" w:hAnsi="宋体" w:eastAsia="宋体" w:cs="宋体"/>
          <w:color w:val="auto"/>
          <w:sz w:val="20"/>
          <w:szCs w:val="20"/>
          <w:highlight w:val="none"/>
        </w:rPr>
        <w:t>）；</w:t>
      </w:r>
    </w:p>
    <w:p w14:paraId="6F13C1E5">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（4）专用合同条款及其附件；</w:t>
      </w:r>
    </w:p>
    <w:p w14:paraId="78B11891">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（5）通用合同条款；</w:t>
      </w:r>
    </w:p>
    <w:p w14:paraId="1BCA988E">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（6）技术标准和要求；</w:t>
      </w:r>
    </w:p>
    <w:p w14:paraId="796FCAC9">
      <w:pPr>
        <w:spacing w:before="221" w:line="230" w:lineRule="auto"/>
        <w:ind w:left="43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（7）图纸；</w:t>
      </w:r>
    </w:p>
    <w:p w14:paraId="533044DA">
      <w:pPr>
        <w:spacing w:before="219" w:line="227"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（8）</w:t>
      </w:r>
      <w:r>
        <w:rPr>
          <w:rFonts w:ascii="宋体" w:hAnsi="宋体" w:eastAsia="宋体" w:cs="宋体"/>
          <w:color w:val="auto"/>
          <w:spacing w:val="-56"/>
          <w:sz w:val="20"/>
          <w:szCs w:val="20"/>
          <w:highlight w:val="none"/>
        </w:rPr>
        <w:t xml:space="preserve"> </w:t>
      </w:r>
      <w:r>
        <w:rPr>
          <w:rFonts w:ascii="宋体" w:hAnsi="宋体" w:eastAsia="宋体" w:cs="宋体"/>
          <w:color w:val="auto"/>
          <w:spacing w:val="5"/>
          <w:sz w:val="20"/>
          <w:szCs w:val="20"/>
          <w:highlight w:val="none"/>
        </w:rPr>
        <w:t>已标价工程量清单或预算书；</w:t>
      </w:r>
    </w:p>
    <w:p w14:paraId="4F9B9272">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（9）其他合同文件。</w:t>
      </w:r>
    </w:p>
    <w:p w14:paraId="4CF30F3F">
      <w:pPr>
        <w:spacing w:before="222" w:line="433" w:lineRule="auto"/>
        <w:ind w:left="8" w:right="51"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上述各项合同文件包括合同当事人就该项合同文件所作出的补充和修改，属于同一类内容的文</w:t>
      </w:r>
      <w:r>
        <w:rPr>
          <w:rFonts w:ascii="宋体" w:hAnsi="宋体" w:eastAsia="宋体" w:cs="宋体"/>
          <w:color w:val="auto"/>
          <w:spacing w:val="8"/>
          <w:sz w:val="20"/>
          <w:szCs w:val="20"/>
          <w:highlight w:val="none"/>
        </w:rPr>
        <w:t>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应以最新签署的为准。</w:t>
      </w:r>
    </w:p>
    <w:p w14:paraId="1BF84EB2">
      <w:pPr>
        <w:spacing w:line="433" w:lineRule="auto"/>
        <w:rPr>
          <w:rFonts w:ascii="宋体" w:hAnsi="宋体" w:eastAsia="宋体" w:cs="宋体"/>
          <w:color w:val="auto"/>
          <w:sz w:val="20"/>
          <w:szCs w:val="20"/>
          <w:highlight w:val="none"/>
        </w:rPr>
        <w:sectPr>
          <w:footerReference r:id="rId97" w:type="default"/>
          <w:pgSz w:w="11906" w:h="16839"/>
          <w:pgMar w:top="1091" w:right="1219" w:bottom="1158" w:left="1219" w:header="1076" w:footer="922" w:gutter="0"/>
          <w:cols w:space="720" w:num="1"/>
        </w:sectPr>
      </w:pPr>
    </w:p>
    <w:p w14:paraId="0B768567">
      <w:pPr>
        <w:spacing w:before="256" w:line="432" w:lineRule="auto"/>
        <w:ind w:left="12" w:right="2" w:firstLine="41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在合同订立及履行过程中形成的与合同有关的文件均构成合同文件组成部分，并根据其性质确定优</w:t>
      </w:r>
      <w:r>
        <w:rPr>
          <w:rFonts w:ascii="宋体" w:hAnsi="宋体" w:eastAsia="宋体" w:cs="宋体"/>
          <w:color w:val="auto"/>
          <w:spacing w:val="7"/>
          <w:sz w:val="20"/>
          <w:szCs w:val="20"/>
          <w:highlight w:val="none"/>
        </w:rPr>
        <w:t xml:space="preserve"> </w:t>
      </w:r>
      <w:r>
        <w:rPr>
          <w:rFonts w:ascii="宋体" w:hAnsi="宋体" w:eastAsia="宋体" w:cs="宋体"/>
          <w:color w:val="auto"/>
          <w:spacing w:val="6"/>
          <w:sz w:val="20"/>
          <w:szCs w:val="20"/>
          <w:highlight w:val="none"/>
        </w:rPr>
        <w:t>先解释顺序。</w:t>
      </w:r>
    </w:p>
    <w:p w14:paraId="588F865F">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1.6</w:t>
      </w:r>
      <w:r>
        <w:rPr>
          <w:rFonts w:ascii="宋体" w:hAnsi="宋体" w:eastAsia="宋体" w:cs="宋体"/>
          <w:color w:val="auto"/>
          <w:spacing w:val="-13"/>
          <w:sz w:val="20"/>
          <w:szCs w:val="20"/>
          <w:highlight w:val="none"/>
        </w:rPr>
        <w:t xml:space="preserve"> </w:t>
      </w:r>
      <w:r>
        <w:rPr>
          <w:rFonts w:ascii="宋体" w:hAnsi="宋体" w:eastAsia="宋体" w:cs="宋体"/>
          <w:color w:val="auto"/>
          <w:spacing w:val="3"/>
          <w:sz w:val="20"/>
          <w:szCs w:val="20"/>
          <w:highlight w:val="none"/>
        </w:rPr>
        <w:t>图纸和承包人文件</w:t>
      </w:r>
    </w:p>
    <w:p w14:paraId="590A931A">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1.6.1</w:t>
      </w:r>
      <w:r>
        <w:rPr>
          <w:rFonts w:ascii="宋体" w:hAnsi="宋体" w:eastAsia="宋体" w:cs="宋体"/>
          <w:color w:val="auto"/>
          <w:spacing w:val="42"/>
          <w:sz w:val="20"/>
          <w:szCs w:val="20"/>
          <w:highlight w:val="none"/>
        </w:rPr>
        <w:t xml:space="preserve"> </w:t>
      </w:r>
      <w:r>
        <w:rPr>
          <w:rFonts w:ascii="宋体" w:hAnsi="宋体" w:eastAsia="宋体" w:cs="宋体"/>
          <w:color w:val="auto"/>
          <w:spacing w:val="3"/>
          <w:sz w:val="20"/>
          <w:szCs w:val="20"/>
          <w:highlight w:val="none"/>
        </w:rPr>
        <w:t>图纸的提供和交底</w:t>
      </w:r>
    </w:p>
    <w:p w14:paraId="020ED982">
      <w:pPr>
        <w:spacing w:before="221" w:line="432" w:lineRule="auto"/>
        <w:ind w:left="10" w:right="2"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发包人应按照专用合同条款约定的期限、数量和内容向承包人免费提供图纸，并组织承包人、监理</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人和设计人进行图纸会审和设计交底。发包人至迟不得晚于第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7.3</w:t>
      </w:r>
      <w:r>
        <w:rPr>
          <w:rFonts w:ascii="宋体" w:hAnsi="宋体" w:eastAsia="宋体" w:cs="宋体"/>
          <w:color w:val="auto"/>
          <w:spacing w:val="8"/>
          <w:sz w:val="20"/>
          <w:szCs w:val="20"/>
          <w:highlight w:val="none"/>
        </w:rPr>
        <w:t>.2</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项〔开工通知〕载明的开工日期前</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14</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天向承包人提供图纸。</w:t>
      </w:r>
    </w:p>
    <w:p w14:paraId="301DC31F">
      <w:pPr>
        <w:spacing w:before="2" w:line="431" w:lineRule="auto"/>
        <w:ind w:left="8" w:right="2" w:firstLine="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因发包人未按合同约定提供图纸导致承包人费用增加和（或）工</w:t>
      </w:r>
      <w:r>
        <w:rPr>
          <w:rFonts w:ascii="宋体" w:hAnsi="宋体" w:eastAsia="宋体" w:cs="宋体"/>
          <w:color w:val="auto"/>
          <w:spacing w:val="8"/>
          <w:sz w:val="20"/>
          <w:szCs w:val="20"/>
          <w:highlight w:val="none"/>
        </w:rPr>
        <w:t>期延误的，按照第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7.5.1</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项〔因发</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包人原因导致工期延误〕约定办理。</w:t>
      </w:r>
    </w:p>
    <w:p w14:paraId="52E599EF">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1.6.2</w:t>
      </w:r>
      <w:r>
        <w:rPr>
          <w:rFonts w:ascii="宋体" w:hAnsi="宋体" w:eastAsia="宋体" w:cs="宋体"/>
          <w:color w:val="auto"/>
          <w:spacing w:val="33"/>
          <w:sz w:val="20"/>
          <w:szCs w:val="20"/>
          <w:highlight w:val="none"/>
        </w:rPr>
        <w:t xml:space="preserve"> </w:t>
      </w:r>
      <w:r>
        <w:rPr>
          <w:rFonts w:ascii="宋体" w:hAnsi="宋体" w:eastAsia="宋体" w:cs="宋体"/>
          <w:color w:val="auto"/>
          <w:spacing w:val="2"/>
          <w:sz w:val="20"/>
          <w:szCs w:val="20"/>
          <w:highlight w:val="none"/>
        </w:rPr>
        <w:t>图纸的错误</w:t>
      </w:r>
    </w:p>
    <w:p w14:paraId="79AE9A09">
      <w:pPr>
        <w:spacing w:before="219" w:line="432" w:lineRule="auto"/>
        <w:ind w:left="8"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承包人在收到发包人提供的图纸后，发现图纸存在差错、遗漏或缺陷的，应及时通知监理人。监理</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人接到该通知后，应附具相关意见并立即报送发包人，发包人应在收到监理人报送的通知后的合理时间</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内作出决定。合理时间是指发包人在收到监理人的报送通知后，尽其努力且不懈怠地完成图纸修改补充</w:t>
      </w:r>
      <w:r>
        <w:rPr>
          <w:rFonts w:ascii="宋体" w:hAnsi="宋体" w:eastAsia="宋体" w:cs="宋体"/>
          <w:color w:val="auto"/>
          <w:spacing w:val="6"/>
          <w:sz w:val="20"/>
          <w:szCs w:val="20"/>
          <w:highlight w:val="none"/>
        </w:rPr>
        <w:t xml:space="preserve"> 所需的时间。</w:t>
      </w:r>
    </w:p>
    <w:p w14:paraId="198A385B">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1.6.3</w:t>
      </w:r>
      <w:r>
        <w:rPr>
          <w:rFonts w:ascii="宋体" w:hAnsi="宋体" w:eastAsia="宋体" w:cs="宋体"/>
          <w:color w:val="auto"/>
          <w:spacing w:val="42"/>
          <w:sz w:val="20"/>
          <w:szCs w:val="20"/>
          <w:highlight w:val="none"/>
        </w:rPr>
        <w:t xml:space="preserve"> </w:t>
      </w:r>
      <w:r>
        <w:rPr>
          <w:rFonts w:ascii="宋体" w:hAnsi="宋体" w:eastAsia="宋体" w:cs="宋体"/>
          <w:color w:val="auto"/>
          <w:spacing w:val="3"/>
          <w:sz w:val="20"/>
          <w:szCs w:val="20"/>
          <w:highlight w:val="none"/>
        </w:rPr>
        <w:t>图纸的修改和补充</w:t>
      </w:r>
    </w:p>
    <w:p w14:paraId="3A892A85">
      <w:pPr>
        <w:spacing w:before="221" w:line="432" w:lineRule="auto"/>
        <w:ind w:left="10" w:right="2" w:firstLine="43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图纸需要修改和补充的，应经图纸原设计人及审批部门同意，并</w:t>
      </w:r>
      <w:r>
        <w:rPr>
          <w:rFonts w:ascii="宋体" w:hAnsi="宋体" w:eastAsia="宋体" w:cs="宋体"/>
          <w:color w:val="auto"/>
          <w:spacing w:val="9"/>
          <w:sz w:val="20"/>
          <w:szCs w:val="20"/>
          <w:highlight w:val="none"/>
        </w:rPr>
        <w:t>由监理人在工程或工程相应部位施</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工前将修改后的图纸或补充图纸提交给承包人，承包人应按修改或补充后的图纸施工。</w:t>
      </w:r>
    </w:p>
    <w:p w14:paraId="64F3D94F">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1.6.4 承包人文件</w:t>
      </w:r>
    </w:p>
    <w:p w14:paraId="4083D252">
      <w:pPr>
        <w:spacing w:before="221" w:line="432" w:lineRule="auto"/>
        <w:ind w:left="9"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承包人应按照专用合同条款的约定提供应当由其编制的与工程施工有关的文件，并按照专用合同条</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款约定的期限、数量和形式提交监理人，并由监理人报送发包人。</w:t>
      </w:r>
    </w:p>
    <w:p w14:paraId="79B20824">
      <w:pPr>
        <w:spacing w:before="3" w:line="431" w:lineRule="auto"/>
        <w:ind w:left="8" w:right="2" w:firstLine="432"/>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除专用合同条款另有约定外，监理人应在收到承包人文件后</w:t>
      </w:r>
      <w:r>
        <w:rPr>
          <w:rFonts w:ascii="宋体" w:hAnsi="宋体" w:eastAsia="宋体" w:cs="宋体"/>
          <w:color w:val="auto"/>
          <w:spacing w:val="-30"/>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天内审查完毕，监理人对承包人文件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有异议的，承包人应予以修改，并重新报送监理人。监理人的审查并不减轻或免除承包人根据合同约定</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应当承担的责任。</w:t>
      </w:r>
    </w:p>
    <w:p w14:paraId="4BF236A7">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1.6.5</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图纸和承包人文件的保管</w:t>
      </w:r>
    </w:p>
    <w:p w14:paraId="4FEA724E">
      <w:pPr>
        <w:spacing w:before="220" w:line="432" w:lineRule="auto"/>
        <w:ind w:left="10" w:right="2"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除专用合同条款另有约定外，承包人应在施工现场另外保存一套完整的图纸和承包</w:t>
      </w:r>
      <w:r>
        <w:rPr>
          <w:rFonts w:ascii="宋体" w:hAnsi="宋体" w:eastAsia="宋体" w:cs="宋体"/>
          <w:color w:val="auto"/>
          <w:spacing w:val="9"/>
          <w:sz w:val="20"/>
          <w:szCs w:val="20"/>
          <w:highlight w:val="none"/>
        </w:rPr>
        <w:t>人文件，供发包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人、监理人及有关人员进行工程检查时使用。</w:t>
      </w:r>
    </w:p>
    <w:p w14:paraId="66480B1D">
      <w:pPr>
        <w:spacing w:before="1" w:line="230" w:lineRule="auto"/>
        <w:ind w:left="443"/>
        <w:rPr>
          <w:rFonts w:ascii="宋体" w:hAnsi="宋体" w:eastAsia="宋体" w:cs="宋体"/>
          <w:color w:val="auto"/>
          <w:sz w:val="20"/>
          <w:szCs w:val="20"/>
          <w:highlight w:val="none"/>
        </w:rPr>
      </w:pPr>
      <w:r>
        <w:rPr>
          <w:rFonts w:ascii="宋体" w:hAnsi="宋体" w:eastAsia="宋体" w:cs="宋体"/>
          <w:color w:val="auto"/>
          <w:sz w:val="20"/>
          <w:szCs w:val="20"/>
          <w:highlight w:val="none"/>
        </w:rPr>
        <w:t>1.7</w:t>
      </w:r>
      <w:r>
        <w:rPr>
          <w:rFonts w:ascii="宋体" w:hAnsi="宋体" w:eastAsia="宋体" w:cs="宋体"/>
          <w:color w:val="auto"/>
          <w:spacing w:val="-40"/>
          <w:sz w:val="20"/>
          <w:szCs w:val="20"/>
          <w:highlight w:val="none"/>
        </w:rPr>
        <w:t xml:space="preserve"> </w:t>
      </w:r>
      <w:r>
        <w:rPr>
          <w:rFonts w:ascii="宋体" w:hAnsi="宋体" w:eastAsia="宋体" w:cs="宋体"/>
          <w:color w:val="auto"/>
          <w:sz w:val="20"/>
          <w:szCs w:val="20"/>
          <w:highlight w:val="none"/>
        </w:rPr>
        <w:t>联络</w:t>
      </w:r>
    </w:p>
    <w:p w14:paraId="66899D9F">
      <w:pPr>
        <w:spacing w:before="218" w:line="330" w:lineRule="auto"/>
        <w:ind w:left="13" w:right="2"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1.7.1 与合同有关的通知、批准、证明、证书、指示、指令、要求、请求、同意、意见、确定和决</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定等，均应采用书面形式，并应在合同约定的期限内送达接收人和送达地点。</w:t>
      </w:r>
    </w:p>
    <w:p w14:paraId="0E2D3F77">
      <w:pPr>
        <w:spacing w:before="222" w:line="228" w:lineRule="auto"/>
        <w:ind w:right="2"/>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1.7.2 发包人和承包人应在专用合同条款中约定各自的送达接收人和送达地点。任何一方合同当事</w:t>
      </w:r>
    </w:p>
    <w:p w14:paraId="3E7FF2CD">
      <w:pPr>
        <w:spacing w:line="228" w:lineRule="auto"/>
        <w:rPr>
          <w:rFonts w:ascii="宋体" w:hAnsi="宋体" w:eastAsia="宋体" w:cs="宋体"/>
          <w:color w:val="auto"/>
          <w:sz w:val="20"/>
          <w:szCs w:val="20"/>
          <w:highlight w:val="none"/>
        </w:rPr>
        <w:sectPr>
          <w:footerReference r:id="rId98" w:type="default"/>
          <w:pgSz w:w="11906" w:h="16839"/>
          <w:pgMar w:top="1091" w:right="1219" w:bottom="1158" w:left="1219" w:header="1076" w:footer="922" w:gutter="0"/>
          <w:cols w:space="720" w:num="1"/>
        </w:sectPr>
      </w:pPr>
    </w:p>
    <w:p w14:paraId="3106C606">
      <w:pPr>
        <w:spacing w:before="256" w:line="228" w:lineRule="auto"/>
        <w:ind w:left="1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人指定的接收人或送达地点发生变动的，应提前</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天以书面形式通知对方。</w:t>
      </w:r>
    </w:p>
    <w:p w14:paraId="0FC05C35">
      <w:pPr>
        <w:spacing w:before="221" w:line="432" w:lineRule="auto"/>
        <w:ind w:left="33" w:right="15" w:firstLine="41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1.7.3 发包人和承包人应当及时签收另一方送达至送达地点和指定接收人的来往信函。拒</w:t>
      </w:r>
      <w:r>
        <w:rPr>
          <w:rFonts w:ascii="宋体" w:hAnsi="宋体" w:eastAsia="宋体" w:cs="宋体"/>
          <w:color w:val="auto"/>
          <w:spacing w:val="5"/>
          <w:sz w:val="20"/>
          <w:szCs w:val="20"/>
          <w:highlight w:val="none"/>
        </w:rPr>
        <w:t>不签收的，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由此增加的费用和（或）延误的工期由拒绝接收一方承担。</w:t>
      </w:r>
    </w:p>
    <w:p w14:paraId="2238B4DD">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1.8</w:t>
      </w:r>
      <w:r>
        <w:rPr>
          <w:rFonts w:ascii="宋体" w:hAnsi="宋体" w:eastAsia="宋体" w:cs="宋体"/>
          <w:color w:val="auto"/>
          <w:spacing w:val="-34"/>
          <w:sz w:val="20"/>
          <w:szCs w:val="20"/>
          <w:highlight w:val="none"/>
        </w:rPr>
        <w:t xml:space="preserve"> </w:t>
      </w:r>
      <w:r>
        <w:rPr>
          <w:rFonts w:ascii="宋体" w:hAnsi="宋体" w:eastAsia="宋体" w:cs="宋体"/>
          <w:color w:val="auto"/>
          <w:spacing w:val="2"/>
          <w:sz w:val="20"/>
          <w:szCs w:val="20"/>
          <w:highlight w:val="none"/>
        </w:rPr>
        <w:t>严禁贿赂</w:t>
      </w:r>
    </w:p>
    <w:p w14:paraId="600EE438">
      <w:pPr>
        <w:spacing w:before="220" w:line="432" w:lineRule="auto"/>
        <w:ind w:left="9" w:right="7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合同当事人不得以贿赂或变相贿赂的方式，谋取非法利益或损害对方权益。因一方合同当事人的贿</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赂造成对方损失的，应赔偿损失，并承担相应的法律责任。</w:t>
      </w:r>
    </w:p>
    <w:p w14:paraId="45415258">
      <w:pPr>
        <w:spacing w:before="2" w:line="431" w:lineRule="auto"/>
        <w:ind w:left="9" w:right="7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承包人不得与监理人或发包人聘请的第三方串通损害发包人利益。未经发包人书面同意，承包人不</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得为监理人提供合同约定以外的通讯设备、交通工</w:t>
      </w:r>
      <w:r>
        <w:rPr>
          <w:rFonts w:ascii="宋体" w:hAnsi="宋体" w:eastAsia="宋体" w:cs="宋体"/>
          <w:color w:val="auto"/>
          <w:spacing w:val="9"/>
          <w:sz w:val="20"/>
          <w:szCs w:val="20"/>
          <w:highlight w:val="none"/>
        </w:rPr>
        <w:t>具及其他任何形式的利益，不得向监理人支付报酬。</w:t>
      </w:r>
    </w:p>
    <w:p w14:paraId="1FEB0854">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1.9</w:t>
      </w:r>
      <w:r>
        <w:rPr>
          <w:rFonts w:ascii="宋体" w:hAnsi="宋体" w:eastAsia="宋体" w:cs="宋体"/>
          <w:color w:val="auto"/>
          <w:spacing w:val="-40"/>
          <w:sz w:val="20"/>
          <w:szCs w:val="20"/>
          <w:highlight w:val="none"/>
        </w:rPr>
        <w:t xml:space="preserve"> </w:t>
      </w:r>
      <w:r>
        <w:rPr>
          <w:rFonts w:ascii="宋体" w:hAnsi="宋体" w:eastAsia="宋体" w:cs="宋体"/>
          <w:color w:val="auto"/>
          <w:spacing w:val="4"/>
          <w:sz w:val="20"/>
          <w:szCs w:val="20"/>
          <w:highlight w:val="none"/>
        </w:rPr>
        <w:t>化石、文物</w:t>
      </w:r>
    </w:p>
    <w:p w14:paraId="2E7770B3">
      <w:pPr>
        <w:spacing w:before="219" w:line="432" w:lineRule="auto"/>
        <w:ind w:left="11" w:right="72" w:firstLine="41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在施工现场发掘的所有文物、古迹以及具有地质研究或考古价值的其他遗迹、化石、钱币或物品属</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于国家所有。一旦发现上述文物，承包人应采取合理有效的保护措施，防止任何人员移动或损坏上述物</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品，并立即报告有关政府行政管理部门，同时通知监理人。</w:t>
      </w:r>
    </w:p>
    <w:p w14:paraId="4A3893DC">
      <w:pPr>
        <w:spacing w:before="2" w:line="431" w:lineRule="auto"/>
        <w:ind w:left="18" w:right="72" w:firstLine="41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发包人、监理人和承包人应按有关政府行政管理部门要求采取妥善的保护措施，</w:t>
      </w:r>
      <w:r>
        <w:rPr>
          <w:rFonts w:ascii="宋体" w:hAnsi="宋体" w:eastAsia="宋体" w:cs="宋体"/>
          <w:color w:val="auto"/>
          <w:spacing w:val="-55"/>
          <w:sz w:val="20"/>
          <w:szCs w:val="20"/>
          <w:highlight w:val="none"/>
        </w:rPr>
        <w:t xml:space="preserve"> </w:t>
      </w:r>
      <w:r>
        <w:rPr>
          <w:rFonts w:ascii="宋体" w:hAnsi="宋体" w:eastAsia="宋体" w:cs="宋体"/>
          <w:color w:val="auto"/>
          <w:spacing w:val="9"/>
          <w:sz w:val="20"/>
          <w:szCs w:val="20"/>
          <w:highlight w:val="none"/>
        </w:rPr>
        <w:t>由此增加的费用和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（或）延误的工期由发包人承担。</w:t>
      </w:r>
    </w:p>
    <w:p w14:paraId="6CC901E6">
      <w:pPr>
        <w:spacing w:line="432" w:lineRule="auto"/>
        <w:ind w:left="8" w:right="7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承包人发现文物后不及时报告或隐瞒不报，致使文物丢失或损坏的，应赔偿损失，并承担相应的法</w:t>
      </w:r>
      <w:r>
        <w:rPr>
          <w:rFonts w:ascii="宋体" w:hAnsi="宋体" w:eastAsia="宋体" w:cs="宋体"/>
          <w:color w:val="auto"/>
          <w:spacing w:val="6"/>
          <w:sz w:val="20"/>
          <w:szCs w:val="20"/>
          <w:highlight w:val="none"/>
        </w:rPr>
        <w:t xml:space="preserve"> </w:t>
      </w:r>
      <w:r>
        <w:rPr>
          <w:rFonts w:ascii="宋体" w:hAnsi="宋体" w:eastAsia="宋体" w:cs="宋体"/>
          <w:color w:val="auto"/>
          <w:spacing w:val="5"/>
          <w:sz w:val="20"/>
          <w:szCs w:val="20"/>
          <w:highlight w:val="none"/>
        </w:rPr>
        <w:t>律责任。</w:t>
      </w:r>
    </w:p>
    <w:p w14:paraId="6E5C2F14">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1.10</w:t>
      </w:r>
      <w:r>
        <w:rPr>
          <w:rFonts w:ascii="宋体" w:hAnsi="宋体" w:eastAsia="宋体" w:cs="宋体"/>
          <w:color w:val="auto"/>
          <w:spacing w:val="-31"/>
          <w:sz w:val="20"/>
          <w:szCs w:val="20"/>
          <w:highlight w:val="none"/>
        </w:rPr>
        <w:t xml:space="preserve"> </w:t>
      </w:r>
      <w:r>
        <w:rPr>
          <w:rFonts w:ascii="宋体" w:hAnsi="宋体" w:eastAsia="宋体" w:cs="宋体"/>
          <w:color w:val="auto"/>
          <w:spacing w:val="2"/>
          <w:sz w:val="20"/>
          <w:szCs w:val="20"/>
          <w:highlight w:val="none"/>
        </w:rPr>
        <w:t>交通运输</w:t>
      </w:r>
    </w:p>
    <w:p w14:paraId="579C86EC">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1.10.1</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出入现场的权利</w:t>
      </w:r>
    </w:p>
    <w:p w14:paraId="5979EDCD">
      <w:pPr>
        <w:spacing w:before="220" w:line="432" w:lineRule="auto"/>
        <w:ind w:left="10" w:right="72"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除专用合同条款另有约定外，发包人应根据施工需要，负责取得出入施工现场所需</w:t>
      </w:r>
      <w:r>
        <w:rPr>
          <w:rFonts w:ascii="宋体" w:hAnsi="宋体" w:eastAsia="宋体" w:cs="宋体"/>
          <w:color w:val="auto"/>
          <w:spacing w:val="9"/>
          <w:sz w:val="20"/>
          <w:szCs w:val="20"/>
          <w:highlight w:val="none"/>
        </w:rPr>
        <w:t>的批准手续和全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部权利，以及取得因施工所需修建道路、桥梁以及其他基础设施的权利，并承担相关手续费用和建设费</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用。承包人应协助发包人办理修建场内外道路、桥梁以及其他基础设施的手续。</w:t>
      </w:r>
    </w:p>
    <w:p w14:paraId="0A81E515">
      <w:pPr>
        <w:spacing w:line="432" w:lineRule="auto"/>
        <w:ind w:left="10" w:right="72"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承包人应在订立合同前查勘施工现场，并根据工程规模及技术参数合理预见工程施工所需的进出施</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工现场的方式、手段、路径等。因承包人未合</w:t>
      </w:r>
      <w:r>
        <w:rPr>
          <w:rFonts w:ascii="宋体" w:hAnsi="宋体" w:eastAsia="宋体" w:cs="宋体"/>
          <w:color w:val="auto"/>
          <w:spacing w:val="9"/>
          <w:sz w:val="20"/>
          <w:szCs w:val="20"/>
          <w:highlight w:val="none"/>
        </w:rPr>
        <w:t>理预见所增加的费用和（或）延误的工期由承包人承担。</w:t>
      </w:r>
    </w:p>
    <w:p w14:paraId="16F60282">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1.10.2 场外交通</w:t>
      </w:r>
    </w:p>
    <w:p w14:paraId="34744E22">
      <w:pPr>
        <w:spacing w:before="220" w:line="432" w:lineRule="auto"/>
        <w:ind w:left="7"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发包人应提供场外交通设施的技术参数和具体条件，承包人应遵守有关交通法规，严格按照道路和</w:t>
      </w:r>
      <w:r>
        <w:rPr>
          <w:rFonts w:ascii="宋体" w:hAnsi="宋体" w:eastAsia="宋体" w:cs="宋体"/>
          <w:color w:val="auto"/>
          <w:spacing w:val="2"/>
          <w:sz w:val="20"/>
          <w:szCs w:val="20"/>
          <w:highlight w:val="none"/>
        </w:rPr>
        <w:t xml:space="preserve"> </w:t>
      </w:r>
      <w:r>
        <w:rPr>
          <w:rFonts w:ascii="宋体" w:hAnsi="宋体" w:eastAsia="宋体" w:cs="宋体"/>
          <w:color w:val="auto"/>
          <w:spacing w:val="7"/>
          <w:sz w:val="20"/>
          <w:szCs w:val="20"/>
          <w:highlight w:val="none"/>
        </w:rPr>
        <w:t xml:space="preserve">桥梁的限制荷载行驶，执行有关道路限速、限行、禁止超载的规定，并配合交通管理部门的监督和检查。 </w:t>
      </w:r>
      <w:r>
        <w:rPr>
          <w:rFonts w:ascii="宋体" w:hAnsi="宋体" w:eastAsia="宋体" w:cs="宋体"/>
          <w:color w:val="auto"/>
          <w:spacing w:val="8"/>
          <w:sz w:val="20"/>
          <w:szCs w:val="20"/>
          <w:highlight w:val="none"/>
        </w:rPr>
        <w:t>场外交通设施无法满足工程施工需要的，</w:t>
      </w:r>
      <w:r>
        <w:rPr>
          <w:rFonts w:ascii="宋体" w:hAnsi="宋体" w:eastAsia="宋体" w:cs="宋体"/>
          <w:color w:val="auto"/>
          <w:spacing w:val="-52"/>
          <w:sz w:val="20"/>
          <w:szCs w:val="20"/>
          <w:highlight w:val="none"/>
        </w:rPr>
        <w:t xml:space="preserve"> </w:t>
      </w:r>
      <w:r>
        <w:rPr>
          <w:rFonts w:ascii="宋体" w:hAnsi="宋体" w:eastAsia="宋体" w:cs="宋体"/>
          <w:color w:val="auto"/>
          <w:spacing w:val="8"/>
          <w:sz w:val="20"/>
          <w:szCs w:val="20"/>
          <w:highlight w:val="none"/>
        </w:rPr>
        <w:t>由发包人负责完善并承担相关费用。</w:t>
      </w:r>
    </w:p>
    <w:p w14:paraId="27E7C5D3">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1.10.3</w:t>
      </w:r>
      <w:r>
        <w:rPr>
          <w:rFonts w:ascii="宋体" w:hAnsi="宋体" w:eastAsia="宋体" w:cs="宋体"/>
          <w:color w:val="auto"/>
          <w:spacing w:val="-36"/>
          <w:sz w:val="20"/>
          <w:szCs w:val="20"/>
          <w:highlight w:val="none"/>
        </w:rPr>
        <w:t xml:space="preserve"> </w:t>
      </w:r>
      <w:r>
        <w:rPr>
          <w:rFonts w:ascii="宋体" w:hAnsi="宋体" w:eastAsia="宋体" w:cs="宋体"/>
          <w:color w:val="auto"/>
          <w:spacing w:val="3"/>
          <w:sz w:val="20"/>
          <w:szCs w:val="20"/>
          <w:highlight w:val="none"/>
        </w:rPr>
        <w:t>场内交通</w:t>
      </w:r>
    </w:p>
    <w:p w14:paraId="49D5A510">
      <w:pPr>
        <w:spacing w:before="220" w:line="433" w:lineRule="auto"/>
        <w:ind w:left="8" w:right="72"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发包人应提供场内交通设施的技术参数和具体条件，并应按照专用合同条款的约定向承包人免费提</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供满足工程施工所需的场内道路和交通设施。因承包人原因造成上述道路或交通设施损坏的，承包人负</w:t>
      </w:r>
    </w:p>
    <w:p w14:paraId="783BE955">
      <w:pPr>
        <w:spacing w:line="433" w:lineRule="auto"/>
        <w:rPr>
          <w:rFonts w:ascii="宋体" w:hAnsi="宋体" w:eastAsia="宋体" w:cs="宋体"/>
          <w:color w:val="auto"/>
          <w:sz w:val="20"/>
          <w:szCs w:val="20"/>
          <w:highlight w:val="none"/>
        </w:rPr>
        <w:sectPr>
          <w:headerReference r:id="rId99" w:type="default"/>
          <w:footerReference r:id="rId100" w:type="default"/>
          <w:pgSz w:w="11906" w:h="16839"/>
          <w:pgMar w:top="1091" w:right="1149" w:bottom="1158" w:left="1219" w:header="1076" w:footer="922" w:gutter="0"/>
          <w:cols w:space="720" w:num="1"/>
        </w:sectPr>
      </w:pPr>
    </w:p>
    <w:p w14:paraId="1A6C7D43">
      <w:pPr>
        <w:spacing w:before="256" w:line="228" w:lineRule="auto"/>
        <w:ind w:left="1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责修复并承担由此增加的费用。</w:t>
      </w:r>
    </w:p>
    <w:p w14:paraId="22F4860C">
      <w:pPr>
        <w:spacing w:before="220" w:line="432" w:lineRule="auto"/>
        <w:ind w:left="10" w:right="71" w:firstLine="43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除发包人按照合同约定提供的场内道路和交通设施外，承包人负责修建、维修、养</w:t>
      </w:r>
      <w:r>
        <w:rPr>
          <w:rFonts w:ascii="宋体" w:hAnsi="宋体" w:eastAsia="宋体" w:cs="宋体"/>
          <w:color w:val="auto"/>
          <w:spacing w:val="9"/>
          <w:sz w:val="20"/>
          <w:szCs w:val="20"/>
          <w:highlight w:val="none"/>
        </w:rPr>
        <w:t>护和管理施工所</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需的其他场内临时道路和交通设施。发包人和监理人可以为实现合同目的使用承包人修建的场内临时道</w:t>
      </w:r>
      <w:r>
        <w:rPr>
          <w:rFonts w:ascii="宋体" w:hAnsi="宋体" w:eastAsia="宋体" w:cs="宋体"/>
          <w:color w:val="auto"/>
          <w:spacing w:val="4"/>
          <w:sz w:val="20"/>
          <w:szCs w:val="20"/>
          <w:highlight w:val="none"/>
        </w:rPr>
        <w:t xml:space="preserve"> </w:t>
      </w:r>
      <w:r>
        <w:rPr>
          <w:rFonts w:ascii="宋体" w:hAnsi="宋体" w:eastAsia="宋体" w:cs="宋体"/>
          <w:color w:val="auto"/>
          <w:spacing w:val="6"/>
          <w:sz w:val="20"/>
          <w:szCs w:val="20"/>
          <w:highlight w:val="none"/>
        </w:rPr>
        <w:t>路和交通设施。</w:t>
      </w:r>
    </w:p>
    <w:p w14:paraId="1CB99E9E">
      <w:pPr>
        <w:spacing w:line="228"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场外交通和场内交通的边界由合同当事人在专用合同条款中约定。</w:t>
      </w:r>
    </w:p>
    <w:p w14:paraId="487721F7">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1.10.4 超大件和超重件的运输</w:t>
      </w:r>
    </w:p>
    <w:p w14:paraId="5856FA07">
      <w:pPr>
        <w:spacing w:before="220" w:line="432" w:lineRule="auto"/>
        <w:ind w:left="9" w:right="71" w:firstLine="44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由承包人负责运输的超大件或超重件，应由承包人负</w:t>
      </w:r>
      <w:r>
        <w:rPr>
          <w:rFonts w:ascii="宋体" w:hAnsi="宋体" w:eastAsia="宋体" w:cs="宋体"/>
          <w:color w:val="auto"/>
          <w:spacing w:val="9"/>
          <w:sz w:val="20"/>
          <w:szCs w:val="20"/>
          <w:highlight w:val="none"/>
        </w:rPr>
        <w:t>责向交通管理部门办理申请手续，发包人给予</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协助。运输超大件或超重件所需的道路和桥梁临时加固改造费用和其他有关费用，</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由承包人承担，但专</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用合同条款另有约定除外。</w:t>
      </w:r>
    </w:p>
    <w:p w14:paraId="1D542CD7">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1.10.5 道路和桥梁的损坏责任</w:t>
      </w:r>
    </w:p>
    <w:p w14:paraId="7342D663">
      <w:pPr>
        <w:spacing w:before="221" w:line="432" w:lineRule="auto"/>
        <w:ind w:left="23" w:right="71"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因承包人运输造成施工场地内外公共道路和桥梁损坏的，</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由承包人承担修复损坏</w:t>
      </w:r>
      <w:r>
        <w:rPr>
          <w:rFonts w:ascii="宋体" w:hAnsi="宋体" w:eastAsia="宋体" w:cs="宋体"/>
          <w:color w:val="auto"/>
          <w:spacing w:val="8"/>
          <w:sz w:val="20"/>
          <w:szCs w:val="20"/>
          <w:highlight w:val="none"/>
        </w:rPr>
        <w:t>的全部费用和可能</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引起的赔偿。</w:t>
      </w:r>
    </w:p>
    <w:p w14:paraId="54AA7604">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1.10.6 水路和航空运输</w:t>
      </w:r>
    </w:p>
    <w:p w14:paraId="2861E854">
      <w:pPr>
        <w:spacing w:before="221" w:line="432" w:lineRule="auto"/>
        <w:ind w:left="7" w:firstLine="42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本款前述各项的内容适用于水路运输和航空运输，其中“道路</w:t>
      </w:r>
      <w:r>
        <w:rPr>
          <w:rFonts w:ascii="宋体" w:hAnsi="宋体" w:eastAsia="宋体" w:cs="宋体"/>
          <w:color w:val="auto"/>
          <w:spacing w:val="-58"/>
          <w:sz w:val="20"/>
          <w:szCs w:val="20"/>
          <w:highlight w:val="none"/>
        </w:rPr>
        <w:t xml:space="preserve"> </w:t>
      </w:r>
      <w:r>
        <w:rPr>
          <w:rFonts w:ascii="宋体" w:hAnsi="宋体" w:eastAsia="宋体" w:cs="宋体"/>
          <w:color w:val="auto"/>
          <w:spacing w:val="6"/>
          <w:sz w:val="20"/>
          <w:szCs w:val="20"/>
          <w:highlight w:val="none"/>
        </w:rPr>
        <w:t>”一词的涵义包括河道、航线、船闸、</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机场、码头、堤防以及水路或航空运输中其他相似结构物；</w:t>
      </w:r>
      <w:r>
        <w:rPr>
          <w:rFonts w:ascii="宋体" w:hAnsi="宋体" w:eastAsia="宋体" w:cs="宋体"/>
          <w:color w:val="auto"/>
          <w:spacing w:val="-62"/>
          <w:sz w:val="20"/>
          <w:szCs w:val="20"/>
          <w:highlight w:val="none"/>
        </w:rPr>
        <w:t xml:space="preserve"> </w:t>
      </w:r>
      <w:r>
        <w:rPr>
          <w:rFonts w:ascii="宋体" w:hAnsi="宋体" w:eastAsia="宋体" w:cs="宋体"/>
          <w:color w:val="auto"/>
          <w:spacing w:val="8"/>
          <w:sz w:val="20"/>
          <w:szCs w:val="20"/>
          <w:highlight w:val="none"/>
        </w:rPr>
        <w:t>“车辆</w:t>
      </w:r>
      <w:r>
        <w:rPr>
          <w:rFonts w:ascii="宋体" w:hAnsi="宋体" w:eastAsia="宋体" w:cs="宋体"/>
          <w:color w:val="auto"/>
          <w:spacing w:val="-70"/>
          <w:sz w:val="20"/>
          <w:szCs w:val="20"/>
          <w:highlight w:val="none"/>
        </w:rPr>
        <w:t xml:space="preserve"> </w:t>
      </w:r>
      <w:r>
        <w:rPr>
          <w:rFonts w:ascii="宋体" w:hAnsi="宋体" w:eastAsia="宋体" w:cs="宋体"/>
          <w:color w:val="auto"/>
          <w:spacing w:val="8"/>
          <w:sz w:val="20"/>
          <w:szCs w:val="20"/>
          <w:highlight w:val="none"/>
        </w:rPr>
        <w:t>”一词的涵义包括船舶和飞机等。</w:t>
      </w:r>
    </w:p>
    <w:p w14:paraId="02FF1821">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1.11</w:t>
      </w:r>
      <w:r>
        <w:rPr>
          <w:rFonts w:ascii="宋体" w:hAnsi="宋体" w:eastAsia="宋体" w:cs="宋体"/>
          <w:color w:val="auto"/>
          <w:spacing w:val="-31"/>
          <w:sz w:val="20"/>
          <w:szCs w:val="20"/>
          <w:highlight w:val="none"/>
        </w:rPr>
        <w:t xml:space="preserve"> </w:t>
      </w:r>
      <w:r>
        <w:rPr>
          <w:rFonts w:ascii="宋体" w:hAnsi="宋体" w:eastAsia="宋体" w:cs="宋体"/>
          <w:color w:val="auto"/>
          <w:spacing w:val="2"/>
          <w:sz w:val="20"/>
          <w:szCs w:val="20"/>
          <w:highlight w:val="none"/>
        </w:rPr>
        <w:t>知识产权</w:t>
      </w:r>
    </w:p>
    <w:p w14:paraId="7BB60CDF">
      <w:pPr>
        <w:spacing w:before="221" w:line="381" w:lineRule="auto"/>
        <w:ind w:left="8" w:right="70" w:firstLine="43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1.11.1 除专用合同条款另有约定外，发包人提供给承包人的图纸、发包人为实施</w:t>
      </w:r>
      <w:r>
        <w:rPr>
          <w:rFonts w:ascii="宋体" w:hAnsi="宋体" w:eastAsia="宋体" w:cs="宋体"/>
          <w:color w:val="auto"/>
          <w:spacing w:val="6"/>
          <w:sz w:val="20"/>
          <w:szCs w:val="20"/>
          <w:highlight w:val="none"/>
        </w:rPr>
        <w:t>工程自行编制或委</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托编制的技术规范以及反映发包人要求的或其他类似性质的文件的著作权属于发包人，承包人可以为实</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现合同目的而复制、使用此类文件，但不能用于与合同无关的其他事项。未经发包人书面同意，承包人</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不得为了合同以外的目的而复制、使用上述文件或将之提供给任何第三方。</w:t>
      </w:r>
    </w:p>
    <w:p w14:paraId="2DB3A44D">
      <w:pPr>
        <w:spacing w:before="221" w:line="381" w:lineRule="auto"/>
        <w:ind w:left="6" w:right="70" w:firstLine="43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1.11.2 除专用合同条款另有约定外，承包人为实施工程所编制的文件，除署名权</w:t>
      </w:r>
      <w:r>
        <w:rPr>
          <w:rFonts w:ascii="宋体" w:hAnsi="宋体" w:eastAsia="宋体" w:cs="宋体"/>
          <w:color w:val="auto"/>
          <w:spacing w:val="6"/>
          <w:sz w:val="20"/>
          <w:szCs w:val="20"/>
          <w:highlight w:val="none"/>
        </w:rPr>
        <w:t>以外的著作权属于</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发包人，承包人可因实施工程的运行、调试、维修、改造等目的而复制、使用此类文件，但不能用于与</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合同无关的其他事项。未经发包人书面同意，承包人不得为了合同以外的目的而复制、使用上述文件或</w:t>
      </w:r>
      <w:r>
        <w:rPr>
          <w:rFonts w:ascii="宋体" w:hAnsi="宋体" w:eastAsia="宋体" w:cs="宋体"/>
          <w:color w:val="auto"/>
          <w:spacing w:val="7"/>
          <w:sz w:val="20"/>
          <w:szCs w:val="20"/>
          <w:highlight w:val="none"/>
        </w:rPr>
        <w:t xml:space="preserve"> </w:t>
      </w:r>
      <w:r>
        <w:rPr>
          <w:rFonts w:ascii="宋体" w:hAnsi="宋体" w:eastAsia="宋体" w:cs="宋体"/>
          <w:color w:val="auto"/>
          <w:spacing w:val="8"/>
          <w:sz w:val="20"/>
          <w:szCs w:val="20"/>
          <w:highlight w:val="none"/>
        </w:rPr>
        <w:t>将之提供给任何第三方。</w:t>
      </w:r>
    </w:p>
    <w:p w14:paraId="0073D0F0">
      <w:pPr>
        <w:spacing w:before="221" w:line="364" w:lineRule="auto"/>
        <w:ind w:left="9" w:right="70" w:firstLine="4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1.11.3 合同当事人保证在履行合同过程中不侵犯对方及第三方的知识产权。承包</w:t>
      </w:r>
      <w:r>
        <w:rPr>
          <w:rFonts w:ascii="宋体" w:hAnsi="宋体" w:eastAsia="宋体" w:cs="宋体"/>
          <w:color w:val="auto"/>
          <w:spacing w:val="6"/>
          <w:sz w:val="20"/>
          <w:szCs w:val="20"/>
          <w:highlight w:val="none"/>
        </w:rPr>
        <w:t>人在使用材料、施</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工设备、工程设备或采用施工工艺时，因侵犯他人的专利权或其他知识产权所引起的责任，</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由承包人承</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担；因发包人提供的材料、施工设备、工程设备或施工工艺导致侵权的，</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由发包人承担责任。</w:t>
      </w:r>
    </w:p>
    <w:p w14:paraId="795019B4">
      <w:pPr>
        <w:spacing w:before="222" w:line="329" w:lineRule="auto"/>
        <w:ind w:left="10" w:right="70" w:firstLine="85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1.11.4 除专用合同条款另有约定外，承包人在合同签订前和签</w:t>
      </w:r>
      <w:r>
        <w:rPr>
          <w:rFonts w:ascii="宋体" w:hAnsi="宋体" w:eastAsia="宋体" w:cs="宋体"/>
          <w:color w:val="auto"/>
          <w:spacing w:val="6"/>
          <w:sz w:val="20"/>
          <w:szCs w:val="20"/>
          <w:highlight w:val="none"/>
        </w:rPr>
        <w:t>订时已确定采用的专利、专有技</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术、技术秘密的使用费已包含在签约合同价中。</w:t>
      </w:r>
    </w:p>
    <w:p w14:paraId="0B712E14">
      <w:pPr>
        <w:spacing w:before="222" w:line="229"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1.12</w:t>
      </w:r>
      <w:r>
        <w:rPr>
          <w:rFonts w:ascii="宋体" w:hAnsi="宋体" w:eastAsia="宋体" w:cs="宋体"/>
          <w:color w:val="auto"/>
          <w:spacing w:val="-40"/>
          <w:sz w:val="20"/>
          <w:szCs w:val="20"/>
          <w:highlight w:val="none"/>
        </w:rPr>
        <w:t xml:space="preserve"> </w:t>
      </w:r>
      <w:r>
        <w:rPr>
          <w:rFonts w:ascii="宋体" w:hAnsi="宋体" w:eastAsia="宋体" w:cs="宋体"/>
          <w:color w:val="auto"/>
          <w:spacing w:val="1"/>
          <w:sz w:val="20"/>
          <w:szCs w:val="20"/>
          <w:highlight w:val="none"/>
        </w:rPr>
        <w:t>保密</w:t>
      </w:r>
    </w:p>
    <w:p w14:paraId="09AD1ABA">
      <w:pPr>
        <w:spacing w:line="229" w:lineRule="auto"/>
        <w:rPr>
          <w:rFonts w:ascii="宋体" w:hAnsi="宋体" w:eastAsia="宋体" w:cs="宋体"/>
          <w:color w:val="auto"/>
          <w:sz w:val="20"/>
          <w:szCs w:val="20"/>
          <w:highlight w:val="none"/>
        </w:rPr>
        <w:sectPr>
          <w:headerReference r:id="rId101" w:type="default"/>
          <w:footerReference r:id="rId102" w:type="default"/>
          <w:pgSz w:w="11906" w:h="16839"/>
          <w:pgMar w:top="1091" w:right="1150" w:bottom="1158" w:left="1219" w:header="1076" w:footer="922" w:gutter="0"/>
          <w:cols w:space="720" w:num="1"/>
        </w:sectPr>
      </w:pPr>
    </w:p>
    <w:p w14:paraId="1D9A134D">
      <w:pPr>
        <w:spacing w:before="256" w:line="432" w:lineRule="auto"/>
        <w:ind w:left="18" w:right="2"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除法律规定或合同另有约定外，未经发包人同意，承包人不得将发包人提供的图纸</w:t>
      </w:r>
      <w:r>
        <w:rPr>
          <w:rFonts w:ascii="宋体" w:hAnsi="宋体" w:eastAsia="宋体" w:cs="宋体"/>
          <w:color w:val="auto"/>
          <w:spacing w:val="9"/>
          <w:sz w:val="20"/>
          <w:szCs w:val="20"/>
          <w:highlight w:val="none"/>
        </w:rPr>
        <w:t>、文件以及声明</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需要保密的资料信息等商业秘密泄露给第三方。</w:t>
      </w:r>
    </w:p>
    <w:p w14:paraId="503B2AA9">
      <w:pPr>
        <w:spacing w:before="2" w:line="431" w:lineRule="auto"/>
        <w:ind w:left="9" w:right="2" w:firstLine="43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除法律规定或合同另有约定外，未经承包人同意，发包人不得将承包人提供的技术</w:t>
      </w:r>
      <w:r>
        <w:rPr>
          <w:rFonts w:ascii="宋体" w:hAnsi="宋体" w:eastAsia="宋体" w:cs="宋体"/>
          <w:color w:val="auto"/>
          <w:spacing w:val="9"/>
          <w:sz w:val="20"/>
          <w:szCs w:val="20"/>
          <w:highlight w:val="none"/>
        </w:rPr>
        <w:t>秘密及声明需要</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保密的资料信息等商业秘密泄露给第三方。</w:t>
      </w:r>
    </w:p>
    <w:p w14:paraId="03336F6B">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1.13</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工程量清单错误的修正</w:t>
      </w:r>
    </w:p>
    <w:p w14:paraId="7E6C30FD">
      <w:pPr>
        <w:spacing w:before="220" w:line="432" w:lineRule="auto"/>
        <w:ind w:left="10" w:right="2"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除专用合同条款另有约定外，发包人提供的工程量清单，应被认为是准确的和完整</w:t>
      </w:r>
      <w:r>
        <w:rPr>
          <w:rFonts w:ascii="宋体" w:hAnsi="宋体" w:eastAsia="宋体" w:cs="宋体"/>
          <w:color w:val="auto"/>
          <w:spacing w:val="9"/>
          <w:sz w:val="20"/>
          <w:szCs w:val="20"/>
          <w:highlight w:val="none"/>
        </w:rPr>
        <w:t>的。出现下列情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形之一时，发包人应予以修正，并相应调整合同价格：</w:t>
      </w:r>
    </w:p>
    <w:p w14:paraId="710C5438">
      <w:pPr>
        <w:spacing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（1）工程量清单存在缺项、漏项的；</w:t>
      </w:r>
    </w:p>
    <w:p w14:paraId="0CBBC929">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（2）工程量清单偏差超出专用合同条款约定的工程</w:t>
      </w:r>
      <w:r>
        <w:rPr>
          <w:rFonts w:ascii="宋体" w:hAnsi="宋体" w:eastAsia="宋体" w:cs="宋体"/>
          <w:color w:val="auto"/>
          <w:spacing w:val="8"/>
          <w:sz w:val="20"/>
          <w:szCs w:val="20"/>
          <w:highlight w:val="none"/>
        </w:rPr>
        <w:t>量偏差范围的；</w:t>
      </w:r>
    </w:p>
    <w:p w14:paraId="1CC272AE">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（3）未按照国家现行计量规范强制性规定计量的。</w:t>
      </w:r>
    </w:p>
    <w:p w14:paraId="2AC1708B">
      <w:pPr>
        <w:spacing w:before="220" w:line="229" w:lineRule="auto"/>
        <w:ind w:left="43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w:t>
      </w:r>
      <w:r>
        <w:rPr>
          <w:rFonts w:ascii="宋体" w:hAnsi="宋体" w:eastAsia="宋体" w:cs="宋体"/>
          <w:color w:val="auto"/>
          <w:spacing w:val="16"/>
          <w:sz w:val="20"/>
          <w:szCs w:val="20"/>
          <w:highlight w:val="none"/>
        </w:rPr>
        <w:t xml:space="preserve"> </w:t>
      </w:r>
      <w:r>
        <w:rPr>
          <w:rFonts w:ascii="宋体" w:hAnsi="宋体" w:eastAsia="宋体" w:cs="宋体"/>
          <w:color w:val="auto"/>
          <w:spacing w:val="3"/>
          <w:sz w:val="20"/>
          <w:szCs w:val="20"/>
          <w:highlight w:val="none"/>
        </w:rPr>
        <w:t>发包人</w:t>
      </w:r>
    </w:p>
    <w:p w14:paraId="334C9D8F">
      <w:pPr>
        <w:spacing w:before="220" w:line="229"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2.1 许可或批准</w:t>
      </w:r>
    </w:p>
    <w:p w14:paraId="5D6E57D7">
      <w:pPr>
        <w:spacing w:before="220" w:line="432" w:lineRule="auto"/>
        <w:ind w:left="10" w:right="2"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发包人应遵守法律，并办理法律规定由其办理的许可、批准或备案，包括但不限于建设用地规划许</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可证、建设工程规划许可证、建设工程施工许可证、施工所需临时用水、临时用电、中断道路交通、临</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时占用土地等许可和批准。发包人应协助承包人办理法律规定的有关施工证件和批件。</w:t>
      </w:r>
    </w:p>
    <w:p w14:paraId="5ECE9409">
      <w:pPr>
        <w:spacing w:before="2" w:line="431" w:lineRule="auto"/>
        <w:ind w:left="10" w:right="2"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因发包人原因未能及时办理完毕前述许可、批准或备案，</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由发包人承担由此增加</w:t>
      </w:r>
      <w:r>
        <w:rPr>
          <w:rFonts w:ascii="宋体" w:hAnsi="宋体" w:eastAsia="宋体" w:cs="宋体"/>
          <w:color w:val="auto"/>
          <w:spacing w:val="8"/>
          <w:sz w:val="20"/>
          <w:szCs w:val="20"/>
          <w:highlight w:val="none"/>
        </w:rPr>
        <w:t>的费用和（或）延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误的工期，并支付承包人合理的利润。</w:t>
      </w:r>
    </w:p>
    <w:p w14:paraId="4B55D3C1">
      <w:pPr>
        <w:spacing w:before="1"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2.2 发包人代表</w:t>
      </w:r>
    </w:p>
    <w:p w14:paraId="02EF17AD">
      <w:pPr>
        <w:spacing w:before="220" w:line="432" w:lineRule="auto"/>
        <w:ind w:left="8" w:right="2"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发包人应在专用合同条款中明确其派驻施工现场的发包人代表的姓名、职务、联系方式及授权范围</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等事项。发包人代表在发包人的授权范围内，负责处理合同履行过程中与发包人有关的具体事宜。发包</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人代表在授权范围内的行为由发包人承担法</w:t>
      </w:r>
      <w:r>
        <w:rPr>
          <w:rFonts w:ascii="宋体" w:hAnsi="宋体" w:eastAsia="宋体" w:cs="宋体"/>
          <w:color w:val="auto"/>
          <w:spacing w:val="9"/>
          <w:sz w:val="20"/>
          <w:szCs w:val="20"/>
          <w:highlight w:val="none"/>
        </w:rPr>
        <w:t>律责任。发包人更换发包人代表的，应提前</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天书面通知承</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包人。</w:t>
      </w:r>
    </w:p>
    <w:p w14:paraId="4D676BB9">
      <w:pPr>
        <w:spacing w:line="432" w:lineRule="auto"/>
        <w:ind w:left="10" w:right="2"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发包人代表不能按照合同约定履行其职责及义务，并导致合同无法继续正常履行的，承包人可以要</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求发包人撤换发包人代表。</w:t>
      </w:r>
    </w:p>
    <w:p w14:paraId="1713DE80">
      <w:pPr>
        <w:spacing w:before="1"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不属于法定必须监理的工程，监理人的职权可以由发包人代表或发包人指定的其他人员行使。</w:t>
      </w:r>
    </w:p>
    <w:p w14:paraId="3E798A04">
      <w:pPr>
        <w:spacing w:before="220" w:line="229"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2.3 发包人人员</w:t>
      </w:r>
    </w:p>
    <w:p w14:paraId="5CA5222A">
      <w:pPr>
        <w:spacing w:before="220" w:line="432" w:lineRule="auto"/>
        <w:ind w:left="13" w:right="51" w:firstLine="41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发包人应要求在施工现场的发包人人员遵守法律及有关安全、质量、环境保护、文明施工</w:t>
      </w:r>
      <w:r>
        <w:rPr>
          <w:rFonts w:ascii="宋体" w:hAnsi="宋体" w:eastAsia="宋体" w:cs="宋体"/>
          <w:color w:val="auto"/>
          <w:spacing w:val="8"/>
          <w:sz w:val="20"/>
          <w:szCs w:val="20"/>
          <w:highlight w:val="none"/>
        </w:rPr>
        <w:t>等规定，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并保障承包人免于承受因发包人人员未遵守上述要求给承包人造成的损失和责任。</w:t>
      </w:r>
    </w:p>
    <w:p w14:paraId="5A50AB0A">
      <w:pPr>
        <w:spacing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发包人人员包括发包人代表及其他由发包人派驻施工现场的人员。</w:t>
      </w:r>
    </w:p>
    <w:p w14:paraId="5656263C">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2.4 施工现场、施工条件和基础资料的提供</w:t>
      </w:r>
    </w:p>
    <w:p w14:paraId="014153AC">
      <w:pPr>
        <w:spacing w:line="228" w:lineRule="auto"/>
        <w:rPr>
          <w:rFonts w:ascii="宋体" w:hAnsi="宋体" w:eastAsia="宋体" w:cs="宋体"/>
          <w:color w:val="auto"/>
          <w:sz w:val="20"/>
          <w:szCs w:val="20"/>
          <w:highlight w:val="none"/>
        </w:rPr>
        <w:sectPr>
          <w:headerReference r:id="rId103" w:type="default"/>
          <w:footerReference r:id="rId104" w:type="default"/>
          <w:pgSz w:w="11906" w:h="16839"/>
          <w:pgMar w:top="1091" w:right="1219" w:bottom="1158" w:left="1219" w:header="1076" w:footer="922" w:gutter="0"/>
          <w:cols w:space="720" w:num="1"/>
        </w:sectPr>
      </w:pPr>
    </w:p>
    <w:p w14:paraId="3C07A58D">
      <w:pPr>
        <w:spacing w:before="256"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2.4.1 提供施工现场</w:t>
      </w:r>
    </w:p>
    <w:p w14:paraId="4E114400">
      <w:pPr>
        <w:spacing w:before="221" w:line="228" w:lineRule="auto"/>
        <w:ind w:left="4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除专用合同条款另有约定外，发包人应最迟于开工日期</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天前向承包人移交施工现场。</w:t>
      </w:r>
    </w:p>
    <w:p w14:paraId="5D59F97C">
      <w:pPr>
        <w:spacing w:before="220"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2.4.2 提供施工条件</w:t>
      </w:r>
    </w:p>
    <w:p w14:paraId="3F318C22">
      <w:pPr>
        <w:spacing w:before="221"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除专用合同条款另有约定外，发包人应负责提供施工所需要的条件，包括：</w:t>
      </w:r>
    </w:p>
    <w:p w14:paraId="54C26482">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（1）将施工用水、电力、通讯线路等施工所必需的条件接至施</w:t>
      </w:r>
      <w:r>
        <w:rPr>
          <w:rFonts w:ascii="宋体" w:hAnsi="宋体" w:eastAsia="宋体" w:cs="宋体"/>
          <w:color w:val="auto"/>
          <w:spacing w:val="8"/>
          <w:sz w:val="20"/>
          <w:szCs w:val="20"/>
          <w:highlight w:val="none"/>
        </w:rPr>
        <w:t>工现场内；</w:t>
      </w:r>
    </w:p>
    <w:p w14:paraId="7A0D09C3">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（2）保证向承包人提供正常施工所需要的进入施工现</w:t>
      </w:r>
      <w:r>
        <w:rPr>
          <w:rFonts w:ascii="宋体" w:hAnsi="宋体" w:eastAsia="宋体" w:cs="宋体"/>
          <w:color w:val="auto"/>
          <w:spacing w:val="8"/>
          <w:sz w:val="20"/>
          <w:szCs w:val="20"/>
          <w:highlight w:val="none"/>
        </w:rPr>
        <w:t>场的交通条件；</w:t>
      </w:r>
    </w:p>
    <w:p w14:paraId="6037066E">
      <w:pPr>
        <w:spacing w:before="221" w:line="331" w:lineRule="auto"/>
        <w:ind w:left="10" w:right="39"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（3）协调处理施工现场周围地下管线和邻近建筑物、构筑物、古树名木的保护工作，并承担相关费</w:t>
      </w:r>
      <w:r>
        <w:rPr>
          <w:rFonts w:ascii="宋体" w:hAnsi="宋体" w:eastAsia="宋体" w:cs="宋体"/>
          <w:color w:val="auto"/>
          <w:spacing w:val="18"/>
          <w:sz w:val="20"/>
          <w:szCs w:val="20"/>
          <w:highlight w:val="none"/>
        </w:rPr>
        <w:t xml:space="preserve"> </w:t>
      </w:r>
      <w:r>
        <w:rPr>
          <w:rFonts w:ascii="宋体" w:hAnsi="宋体" w:eastAsia="宋体" w:cs="宋体"/>
          <w:color w:val="auto"/>
          <w:spacing w:val="-1"/>
          <w:sz w:val="20"/>
          <w:szCs w:val="20"/>
          <w:highlight w:val="none"/>
        </w:rPr>
        <w:t>用；</w:t>
      </w:r>
    </w:p>
    <w:p w14:paraId="4B37F98F">
      <w:pPr>
        <w:spacing w:before="218"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（4）按照专用合同条款约定应提供的其他设施和条件。</w:t>
      </w:r>
    </w:p>
    <w:p w14:paraId="2E06D800">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2.4.3 提供基础资料</w:t>
      </w:r>
    </w:p>
    <w:p w14:paraId="10CE3933">
      <w:pPr>
        <w:spacing w:before="222" w:line="432" w:lineRule="auto"/>
        <w:ind w:left="8" w:right="39"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发包人应当在移交施工现场前向承包人提供施工现场及工程施工所必需的毗邻区域内供水、排水、</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供电、供气、供热、通信、广播电视等地下管线资料，气象和水文观测资料，地质勘察资料，相邻建筑</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物、构筑物和地下工程等有关基础资料，并</w:t>
      </w:r>
      <w:r>
        <w:rPr>
          <w:rFonts w:ascii="宋体" w:hAnsi="宋体" w:eastAsia="宋体" w:cs="宋体"/>
          <w:color w:val="auto"/>
          <w:spacing w:val="9"/>
          <w:sz w:val="20"/>
          <w:szCs w:val="20"/>
          <w:highlight w:val="none"/>
        </w:rPr>
        <w:t>对所提供资料的真实性、准确性和完整性负责。</w:t>
      </w:r>
    </w:p>
    <w:p w14:paraId="6A177EE2">
      <w:pPr>
        <w:spacing w:line="432" w:lineRule="auto"/>
        <w:ind w:left="10" w:right="39"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按照法律规定确需在开工后方能提供的基础资料，发包人应尽其努力及时地在相应工程施工前的合</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理期限内提供，合理期限应以不影响承包人的正常施工为限。</w:t>
      </w:r>
    </w:p>
    <w:p w14:paraId="73F0913A">
      <w:pPr>
        <w:spacing w:before="1" w:line="227"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2.4.4 逾期提供的责任</w:t>
      </w:r>
    </w:p>
    <w:p w14:paraId="31D95062">
      <w:pPr>
        <w:spacing w:before="221" w:line="432" w:lineRule="auto"/>
        <w:ind w:left="33" w:right="39" w:firstLine="41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因发包人原因未能按合同约定及时向承包人提供施工现场、施工条件、基础资料</w:t>
      </w:r>
      <w:r>
        <w:rPr>
          <w:rFonts w:ascii="宋体" w:hAnsi="宋体" w:eastAsia="宋体" w:cs="宋体"/>
          <w:color w:val="auto"/>
          <w:spacing w:val="8"/>
          <w:sz w:val="20"/>
          <w:szCs w:val="20"/>
          <w:highlight w:val="none"/>
        </w:rPr>
        <w:t>的，</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由发包人承担</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由此增加的费用和（或）延误的工期。</w:t>
      </w:r>
    </w:p>
    <w:p w14:paraId="6578064C">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2.5 资金来源证明及支付担保</w:t>
      </w:r>
    </w:p>
    <w:p w14:paraId="199C908C">
      <w:pPr>
        <w:spacing w:before="221" w:line="432" w:lineRule="auto"/>
        <w:ind w:left="29" w:firstLine="41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除专用合同条款另有约定外，发包人应在收到承包人要求</w:t>
      </w:r>
      <w:r>
        <w:rPr>
          <w:rFonts w:ascii="宋体" w:hAnsi="宋体" w:eastAsia="宋体" w:cs="宋体"/>
          <w:color w:val="auto"/>
          <w:spacing w:val="7"/>
          <w:sz w:val="20"/>
          <w:szCs w:val="20"/>
          <w:highlight w:val="none"/>
        </w:rPr>
        <w:t>提供资金来源证明的书面通知后</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向承包人提供能够按照合同约定支付合同价款的相应资金来源证明。</w:t>
      </w:r>
    </w:p>
    <w:p w14:paraId="333EB232">
      <w:pPr>
        <w:spacing w:line="432" w:lineRule="auto"/>
        <w:ind w:left="9" w:right="39" w:firstLine="43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除专用合同条款另有约定外，发包人要求承包人提供履约担保的，发包人应当向承</w:t>
      </w:r>
      <w:r>
        <w:rPr>
          <w:rFonts w:ascii="宋体" w:hAnsi="宋体" w:eastAsia="宋体" w:cs="宋体"/>
          <w:color w:val="auto"/>
          <w:spacing w:val="9"/>
          <w:sz w:val="20"/>
          <w:szCs w:val="20"/>
          <w:highlight w:val="none"/>
        </w:rPr>
        <w:t>包人提供支付担</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保。支付担保可以采用银行保函或担保公司担保等</w:t>
      </w:r>
      <w:r>
        <w:rPr>
          <w:rFonts w:ascii="宋体" w:hAnsi="宋体" w:eastAsia="宋体" w:cs="宋体"/>
          <w:color w:val="auto"/>
          <w:spacing w:val="9"/>
          <w:sz w:val="20"/>
          <w:szCs w:val="20"/>
          <w:highlight w:val="none"/>
        </w:rPr>
        <w:t>形式，具体由合同当事人在专用合同条款中约定。</w:t>
      </w:r>
    </w:p>
    <w:p w14:paraId="1D148931">
      <w:pPr>
        <w:spacing w:before="1" w:line="226"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2.6 支付合同价款</w:t>
      </w:r>
    </w:p>
    <w:p w14:paraId="05F0C40B">
      <w:pPr>
        <w:spacing w:before="222"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发包人应按合同约定向承包人及时支付合同价</w:t>
      </w:r>
      <w:r>
        <w:rPr>
          <w:rFonts w:ascii="宋体" w:hAnsi="宋体" w:eastAsia="宋体" w:cs="宋体"/>
          <w:color w:val="auto"/>
          <w:spacing w:val="8"/>
          <w:sz w:val="20"/>
          <w:szCs w:val="20"/>
          <w:highlight w:val="none"/>
        </w:rPr>
        <w:t>款。</w:t>
      </w:r>
    </w:p>
    <w:p w14:paraId="014322F2">
      <w:pPr>
        <w:spacing w:before="223"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2.7 组织竣工验收</w:t>
      </w:r>
    </w:p>
    <w:p w14:paraId="517C4AE4">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发包人应按合同约定及时组织竣工验收。</w:t>
      </w:r>
    </w:p>
    <w:p w14:paraId="68B97B68">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2.8 现场统一管理协议</w:t>
      </w:r>
    </w:p>
    <w:p w14:paraId="52B157E1">
      <w:pPr>
        <w:spacing w:before="220" w:line="433" w:lineRule="auto"/>
        <w:ind w:left="25" w:right="39" w:firstLine="40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发包人应与承包人、</w:t>
      </w:r>
      <w:r>
        <w:rPr>
          <w:rFonts w:ascii="宋体" w:hAnsi="宋体" w:eastAsia="宋体" w:cs="宋体"/>
          <w:color w:val="auto"/>
          <w:spacing w:val="-55"/>
          <w:sz w:val="20"/>
          <w:szCs w:val="20"/>
          <w:highlight w:val="none"/>
        </w:rPr>
        <w:t xml:space="preserve"> </w:t>
      </w:r>
      <w:r>
        <w:rPr>
          <w:rFonts w:ascii="宋体" w:hAnsi="宋体" w:eastAsia="宋体" w:cs="宋体"/>
          <w:color w:val="auto"/>
          <w:spacing w:val="9"/>
          <w:sz w:val="20"/>
          <w:szCs w:val="20"/>
          <w:highlight w:val="none"/>
        </w:rPr>
        <w:t>由发包人直接发包的专业工程的承包人签订施工现场统一管理协议，明确各方</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的权利义务。施工现场统一管理协议作为专用合同条款的附件。</w:t>
      </w:r>
    </w:p>
    <w:p w14:paraId="7DF0662B">
      <w:pPr>
        <w:spacing w:line="433" w:lineRule="auto"/>
        <w:rPr>
          <w:rFonts w:ascii="宋体" w:hAnsi="宋体" w:eastAsia="宋体" w:cs="宋体"/>
          <w:color w:val="auto"/>
          <w:sz w:val="20"/>
          <w:szCs w:val="20"/>
          <w:highlight w:val="none"/>
        </w:rPr>
        <w:sectPr>
          <w:headerReference r:id="rId105" w:type="default"/>
          <w:footerReference r:id="rId106" w:type="default"/>
          <w:pgSz w:w="11906" w:h="16839"/>
          <w:pgMar w:top="1091" w:right="1181" w:bottom="1158" w:left="1219" w:header="1076" w:footer="922" w:gutter="0"/>
          <w:cols w:space="720" w:num="1"/>
        </w:sectPr>
      </w:pPr>
    </w:p>
    <w:p w14:paraId="557DCFCB">
      <w:pPr>
        <w:spacing w:before="256" w:line="228" w:lineRule="auto"/>
        <w:ind w:left="43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w:t>
      </w:r>
      <w:r>
        <w:rPr>
          <w:rFonts w:ascii="宋体" w:hAnsi="宋体" w:eastAsia="宋体" w:cs="宋体"/>
          <w:color w:val="auto"/>
          <w:spacing w:val="15"/>
          <w:sz w:val="20"/>
          <w:szCs w:val="20"/>
          <w:highlight w:val="none"/>
        </w:rPr>
        <w:t xml:space="preserve"> </w:t>
      </w:r>
      <w:r>
        <w:rPr>
          <w:rFonts w:ascii="宋体" w:hAnsi="宋体" w:eastAsia="宋体" w:cs="宋体"/>
          <w:color w:val="auto"/>
          <w:spacing w:val="3"/>
          <w:sz w:val="20"/>
          <w:szCs w:val="20"/>
          <w:highlight w:val="none"/>
        </w:rPr>
        <w:t>承包人</w:t>
      </w:r>
    </w:p>
    <w:p w14:paraId="454261A2">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3.1 承包人的一般义务</w:t>
      </w:r>
    </w:p>
    <w:p w14:paraId="45CF3888">
      <w:pPr>
        <w:spacing w:before="220"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承包人在履行合同过程中应遵守法律和工程建设标准规范，并履行以下义务：</w:t>
      </w:r>
    </w:p>
    <w:p w14:paraId="5DBA29A2">
      <w:pPr>
        <w:spacing w:before="220" w:line="228" w:lineRule="auto"/>
        <w:ind w:left="43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办理法律规定应由承包人办理的许可和批准，并将办理结果书面报送发包人留存；</w:t>
      </w:r>
    </w:p>
    <w:p w14:paraId="1320A3EF">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（2）按法律规定和合同约定完成工程，并在保修期内</w:t>
      </w:r>
      <w:r>
        <w:rPr>
          <w:rFonts w:ascii="宋体" w:hAnsi="宋体" w:eastAsia="宋体" w:cs="宋体"/>
          <w:color w:val="auto"/>
          <w:spacing w:val="8"/>
          <w:sz w:val="20"/>
          <w:szCs w:val="20"/>
          <w:highlight w:val="none"/>
        </w:rPr>
        <w:t>承担保修义务；</w:t>
      </w:r>
    </w:p>
    <w:p w14:paraId="27BC910B">
      <w:pPr>
        <w:spacing w:before="221" w:line="331" w:lineRule="auto"/>
        <w:ind w:left="11" w:firstLine="42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（3）按法律规定和合同约定采取施工安全和环境保护措施，办理工伤保险，确保工程及人员、材料、</w:t>
      </w:r>
      <w:r>
        <w:rPr>
          <w:rFonts w:ascii="宋体" w:hAnsi="宋体" w:eastAsia="宋体" w:cs="宋体"/>
          <w:color w:val="auto"/>
          <w:spacing w:val="17"/>
          <w:sz w:val="20"/>
          <w:szCs w:val="20"/>
          <w:highlight w:val="none"/>
        </w:rPr>
        <w:t xml:space="preserve"> </w:t>
      </w:r>
      <w:r>
        <w:rPr>
          <w:rFonts w:ascii="宋体" w:hAnsi="宋体" w:eastAsia="宋体" w:cs="宋体"/>
          <w:color w:val="auto"/>
          <w:spacing w:val="7"/>
          <w:sz w:val="20"/>
          <w:szCs w:val="20"/>
          <w:highlight w:val="none"/>
        </w:rPr>
        <w:t>设备和设施的安全；</w:t>
      </w:r>
    </w:p>
    <w:p w14:paraId="4901F8D2">
      <w:pPr>
        <w:spacing w:before="219" w:line="330" w:lineRule="auto"/>
        <w:ind w:left="7" w:right="70"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（4）按合同约定的工作内容和施工进度要求，编制施工组织设计和施工措施计划，并对所有施工作</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业和施工方法的完备性和安全可靠性负责；</w:t>
      </w:r>
    </w:p>
    <w:p w14:paraId="6D5E4E92">
      <w:pPr>
        <w:spacing w:before="221" w:line="364" w:lineRule="auto"/>
        <w:ind w:left="11" w:right="70" w:firstLine="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（5）在进行合同约定的各项工作时，不得侵害发包人与他人使用公用道路、水源、市政管网等公共</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设施的权利，避免对邻近的公共设施产生干扰。承包人占用或使用他人的施工场地，影响他人作业或生</w:t>
      </w:r>
      <w:r>
        <w:rPr>
          <w:rFonts w:ascii="宋体" w:hAnsi="宋体" w:eastAsia="宋体" w:cs="宋体"/>
          <w:color w:val="auto"/>
          <w:spacing w:val="2"/>
          <w:sz w:val="20"/>
          <w:szCs w:val="20"/>
          <w:highlight w:val="none"/>
        </w:rPr>
        <w:t xml:space="preserve"> </w:t>
      </w:r>
      <w:r>
        <w:rPr>
          <w:rFonts w:ascii="宋体" w:hAnsi="宋体" w:eastAsia="宋体" w:cs="宋体"/>
          <w:color w:val="auto"/>
          <w:spacing w:val="7"/>
          <w:sz w:val="20"/>
          <w:szCs w:val="20"/>
          <w:highlight w:val="none"/>
        </w:rPr>
        <w:t>活的，应承担相应责任；</w:t>
      </w:r>
    </w:p>
    <w:p w14:paraId="2C6989E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（6）按照第</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6.3</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款〔环境保护〕约定负责施工场地及其周边环境与生态的保护工作；</w:t>
      </w:r>
    </w:p>
    <w:p w14:paraId="469B81B4">
      <w:pPr>
        <w:spacing w:before="221" w:line="330" w:lineRule="auto"/>
        <w:ind w:left="25" w:right="70"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（7）按第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6.1</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款〔安全文明施工〕约定采取施工安全措施，确保工</w:t>
      </w:r>
      <w:r>
        <w:rPr>
          <w:rFonts w:ascii="宋体" w:hAnsi="宋体" w:eastAsia="宋体" w:cs="宋体"/>
          <w:color w:val="auto"/>
          <w:spacing w:val="6"/>
          <w:sz w:val="20"/>
          <w:szCs w:val="20"/>
          <w:highlight w:val="none"/>
        </w:rPr>
        <w:t>程及其人员、材料、设备和设施</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的安全，防止因工程施工造成的人身伤害和财产损失；</w:t>
      </w:r>
    </w:p>
    <w:p w14:paraId="51DE204B">
      <w:pPr>
        <w:spacing w:before="222" w:line="329" w:lineRule="auto"/>
        <w:ind w:left="29" w:right="70" w:firstLine="40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（8）将发包人按合同约定支付的各项价款专用于合同工程，且应及时支付其雇用人员工资，并及时</w:t>
      </w:r>
      <w:r>
        <w:rPr>
          <w:rFonts w:ascii="宋体" w:hAnsi="宋体" w:eastAsia="宋体" w:cs="宋体"/>
          <w:color w:val="auto"/>
          <w:spacing w:val="18"/>
          <w:sz w:val="20"/>
          <w:szCs w:val="20"/>
          <w:highlight w:val="none"/>
        </w:rPr>
        <w:t xml:space="preserve"> </w:t>
      </w:r>
      <w:r>
        <w:rPr>
          <w:rFonts w:ascii="宋体" w:hAnsi="宋体" w:eastAsia="宋体" w:cs="宋体"/>
          <w:color w:val="auto"/>
          <w:spacing w:val="6"/>
          <w:sz w:val="20"/>
          <w:szCs w:val="20"/>
          <w:highlight w:val="none"/>
        </w:rPr>
        <w:t>向分包人支付合同价款；</w:t>
      </w:r>
    </w:p>
    <w:p w14:paraId="4EDB85CD">
      <w:pPr>
        <w:spacing w:before="222" w:line="330" w:lineRule="auto"/>
        <w:ind w:left="9" w:right="70"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（9）按照法律规定和合同约定编制竣工资料，完成竣工资料立卷及归档，并按专用合同条款约定的</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竣工资料的套数、</w:t>
      </w:r>
      <w:r>
        <w:rPr>
          <w:rFonts w:ascii="宋体" w:hAnsi="宋体" w:eastAsia="宋体" w:cs="宋体"/>
          <w:color w:val="auto"/>
          <w:spacing w:val="-56"/>
          <w:sz w:val="20"/>
          <w:szCs w:val="20"/>
          <w:highlight w:val="none"/>
        </w:rPr>
        <w:t xml:space="preserve"> </w:t>
      </w:r>
      <w:r>
        <w:rPr>
          <w:rFonts w:ascii="宋体" w:hAnsi="宋体" w:eastAsia="宋体" w:cs="宋体"/>
          <w:color w:val="auto"/>
          <w:spacing w:val="7"/>
          <w:sz w:val="20"/>
          <w:szCs w:val="20"/>
          <w:highlight w:val="none"/>
        </w:rPr>
        <w:t>内容、时间等要求移交发包人；</w:t>
      </w:r>
    </w:p>
    <w:p w14:paraId="78F6E55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（10）应履行的其他义务。</w:t>
      </w:r>
    </w:p>
    <w:p w14:paraId="51724D75">
      <w:pPr>
        <w:spacing w:before="221" w:line="229"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3.2</w:t>
      </w:r>
      <w:r>
        <w:rPr>
          <w:rFonts w:ascii="宋体" w:hAnsi="宋体" w:eastAsia="宋体" w:cs="宋体"/>
          <w:color w:val="auto"/>
          <w:spacing w:val="16"/>
          <w:sz w:val="20"/>
          <w:szCs w:val="20"/>
          <w:highlight w:val="none"/>
        </w:rPr>
        <w:t xml:space="preserve"> </w:t>
      </w:r>
      <w:r>
        <w:rPr>
          <w:rFonts w:ascii="宋体" w:hAnsi="宋体" w:eastAsia="宋体" w:cs="宋体"/>
          <w:color w:val="auto"/>
          <w:spacing w:val="4"/>
          <w:sz w:val="20"/>
          <w:szCs w:val="20"/>
          <w:highlight w:val="none"/>
        </w:rPr>
        <w:t>项目经理</w:t>
      </w:r>
    </w:p>
    <w:p w14:paraId="7D4A790E">
      <w:pPr>
        <w:spacing w:before="220" w:line="432" w:lineRule="auto"/>
        <w:ind w:left="8" w:right="71"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3.2.1 项目经理应为合同当事人所确认的人选，并在专用合同条款中明确项目经理的姓名、职称、</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注册执业证书编号、联系方式及授权范围等事项，项目经理经承包人授权后代表承包人负责履行合同。</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项目经理应是承包人正式聘用的员工，承包人应向发包人提交项目经理与承包人之间的劳动合同，以及</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承包人为项目经理缴纳社会保险的有效证明。承包人不提交上述文件的，项目经理无权履行职责，发包</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人有权要求更换项目经理，</w:t>
      </w:r>
      <w:r>
        <w:rPr>
          <w:rFonts w:ascii="宋体" w:hAnsi="宋体" w:eastAsia="宋体" w:cs="宋体"/>
          <w:color w:val="auto"/>
          <w:spacing w:val="-52"/>
          <w:sz w:val="20"/>
          <w:szCs w:val="20"/>
          <w:highlight w:val="none"/>
        </w:rPr>
        <w:t xml:space="preserve"> </w:t>
      </w:r>
      <w:r>
        <w:rPr>
          <w:rFonts w:ascii="宋体" w:hAnsi="宋体" w:eastAsia="宋体" w:cs="宋体"/>
          <w:color w:val="auto"/>
          <w:spacing w:val="8"/>
          <w:sz w:val="20"/>
          <w:szCs w:val="20"/>
          <w:highlight w:val="none"/>
        </w:rPr>
        <w:t>由此增加的费用和（或）延误的工期由承包人承担。</w:t>
      </w:r>
    </w:p>
    <w:p w14:paraId="3388CEE8">
      <w:pPr>
        <w:spacing w:before="3" w:line="432" w:lineRule="auto"/>
        <w:ind w:left="9" w:right="71" w:firstLine="422"/>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项目经理应常驻施工现场，且每月在施工现场时间不得少于专用合同条款约定的天数。项目经理不</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得同时担任其他项目的项目经理。项目经理确需离开施工现场时，应事先通知监理人，并取得发包人的</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书面同意。项目经理的通知中应当载明临时代行其职责的人员的注册执业资格、管理经验等资料，该人</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员应具备履行相应职责的能力。</w:t>
      </w:r>
    </w:p>
    <w:p w14:paraId="6B8F4A4D">
      <w:pPr>
        <w:spacing w:line="432" w:lineRule="auto"/>
        <w:rPr>
          <w:rFonts w:ascii="宋体" w:hAnsi="宋体" w:eastAsia="宋体" w:cs="宋体"/>
          <w:color w:val="auto"/>
          <w:sz w:val="20"/>
          <w:szCs w:val="20"/>
          <w:highlight w:val="none"/>
        </w:rPr>
        <w:sectPr>
          <w:headerReference r:id="rId107" w:type="default"/>
          <w:footerReference r:id="rId108" w:type="default"/>
          <w:pgSz w:w="11906" w:h="16839"/>
          <w:pgMar w:top="1091" w:right="1150" w:bottom="1158" w:left="1219" w:header="1076" w:footer="922" w:gutter="0"/>
          <w:cols w:space="720" w:num="1"/>
        </w:sectPr>
      </w:pPr>
    </w:p>
    <w:p w14:paraId="1F2BDDB9">
      <w:pPr>
        <w:spacing w:before="256"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承包人违反上述约定的，应按照专用合同条款的约定，承担违约责任。</w:t>
      </w:r>
    </w:p>
    <w:p w14:paraId="268180A8">
      <w:pPr>
        <w:spacing w:before="219" w:line="364" w:lineRule="auto"/>
        <w:ind w:left="8" w:right="71"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3.2.2 项目经理按合同约定组织工程实施。在紧急情况下为确保施工安全和人员安全，在无法与发</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包人代表和总监理工程师及时取得联系时，项目经理有权采取必要的措施保证与工程有关的人身、财产</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和工程的安全，但应在48</w:t>
      </w:r>
      <w:r>
        <w:rPr>
          <w:rFonts w:ascii="宋体" w:hAnsi="宋体" w:eastAsia="宋体" w:cs="宋体"/>
          <w:color w:val="auto"/>
          <w:spacing w:val="-28"/>
          <w:sz w:val="20"/>
          <w:szCs w:val="20"/>
          <w:highlight w:val="none"/>
        </w:rPr>
        <w:t xml:space="preserve"> </w:t>
      </w:r>
      <w:r>
        <w:rPr>
          <w:rFonts w:ascii="宋体" w:hAnsi="宋体" w:eastAsia="宋体" w:cs="宋体"/>
          <w:color w:val="auto"/>
          <w:spacing w:val="10"/>
          <w:sz w:val="20"/>
          <w:szCs w:val="20"/>
          <w:highlight w:val="none"/>
        </w:rPr>
        <w:t>小时内向发包人代表和总监理工程师提交书面报告。</w:t>
      </w:r>
    </w:p>
    <w:p w14:paraId="6C34856B">
      <w:pPr>
        <w:spacing w:before="222" w:line="381" w:lineRule="auto"/>
        <w:ind w:left="8" w:firstLine="42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3.2.3 承包人需要更换项目经理的，应提前</w:t>
      </w:r>
      <w:r>
        <w:rPr>
          <w:rFonts w:ascii="宋体" w:hAnsi="宋体" w:eastAsia="宋体" w:cs="宋体"/>
          <w:color w:val="auto"/>
          <w:spacing w:val="-7"/>
          <w:sz w:val="20"/>
          <w:szCs w:val="20"/>
          <w:highlight w:val="none"/>
        </w:rPr>
        <w:t xml:space="preserve"> </w:t>
      </w:r>
      <w:r>
        <w:rPr>
          <w:rFonts w:ascii="宋体" w:hAnsi="宋体" w:eastAsia="宋体" w:cs="宋体"/>
          <w:color w:val="auto"/>
          <w:spacing w:val="3"/>
          <w:sz w:val="20"/>
          <w:szCs w:val="20"/>
          <w:highlight w:val="none"/>
        </w:rPr>
        <w:t>14</w:t>
      </w:r>
      <w:r>
        <w:rPr>
          <w:rFonts w:ascii="宋体" w:hAnsi="宋体" w:eastAsia="宋体" w:cs="宋体"/>
          <w:color w:val="auto"/>
          <w:spacing w:val="-33"/>
          <w:sz w:val="20"/>
          <w:szCs w:val="20"/>
          <w:highlight w:val="none"/>
        </w:rPr>
        <w:t xml:space="preserve"> </w:t>
      </w:r>
      <w:r>
        <w:rPr>
          <w:rFonts w:ascii="宋体" w:hAnsi="宋体" w:eastAsia="宋体" w:cs="宋体"/>
          <w:color w:val="auto"/>
          <w:spacing w:val="3"/>
          <w:sz w:val="20"/>
          <w:szCs w:val="20"/>
          <w:highlight w:val="none"/>
        </w:rPr>
        <w:t>天书面通知发包人和监理人，并征得发包人书面同意。</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通知中应当载明继任项目经理的注册执业资格、管理经验等资料，继任项目经理继续履行第</w:t>
      </w:r>
      <w:r>
        <w:rPr>
          <w:rFonts w:ascii="宋体" w:hAnsi="宋体" w:eastAsia="宋体" w:cs="宋体"/>
          <w:color w:val="auto"/>
          <w:spacing w:val="-30"/>
          <w:sz w:val="20"/>
          <w:szCs w:val="20"/>
          <w:highlight w:val="none"/>
        </w:rPr>
        <w:t xml:space="preserve"> </w:t>
      </w:r>
      <w:r>
        <w:rPr>
          <w:rFonts w:ascii="宋体" w:hAnsi="宋体" w:eastAsia="宋体" w:cs="宋体"/>
          <w:color w:val="auto"/>
          <w:spacing w:val="9"/>
          <w:sz w:val="20"/>
          <w:szCs w:val="20"/>
          <w:highlight w:val="none"/>
        </w:rPr>
        <w:t>3.2.1</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项约</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定的职责。未经发包人书面同意，承包人不得擅自更换项目经理。承包人擅自更换项目经理的，应按照</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专用合同条款的约定承担违约责任。</w:t>
      </w:r>
    </w:p>
    <w:p w14:paraId="6CA9C435">
      <w:pPr>
        <w:spacing w:before="222" w:line="391" w:lineRule="auto"/>
        <w:ind w:left="8" w:firstLine="42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3.2.4 发包人有权书面通知承包人更换其认</w:t>
      </w:r>
      <w:r>
        <w:rPr>
          <w:rFonts w:ascii="宋体" w:hAnsi="宋体" w:eastAsia="宋体" w:cs="宋体"/>
          <w:color w:val="auto"/>
          <w:spacing w:val="6"/>
          <w:sz w:val="20"/>
          <w:szCs w:val="20"/>
          <w:highlight w:val="none"/>
        </w:rPr>
        <w:t>为不称职的项目经理，通知中应当载明要求更换的理由。</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承包人应在接到更换通知后</w:t>
      </w:r>
      <w:r>
        <w:rPr>
          <w:rFonts w:ascii="宋体" w:hAnsi="宋体" w:eastAsia="宋体" w:cs="宋体"/>
          <w:color w:val="auto"/>
          <w:spacing w:val="-5"/>
          <w:sz w:val="20"/>
          <w:szCs w:val="20"/>
          <w:highlight w:val="none"/>
        </w:rPr>
        <w:t xml:space="preserve"> </w:t>
      </w:r>
      <w:r>
        <w:rPr>
          <w:rFonts w:ascii="宋体" w:hAnsi="宋体" w:eastAsia="宋体" w:cs="宋体"/>
          <w:color w:val="auto"/>
          <w:spacing w:val="11"/>
          <w:sz w:val="20"/>
          <w:szCs w:val="20"/>
          <w:highlight w:val="none"/>
        </w:rPr>
        <w:t>14</w:t>
      </w:r>
      <w:r>
        <w:rPr>
          <w:rFonts w:ascii="宋体" w:hAnsi="宋体" w:eastAsia="宋体" w:cs="宋体"/>
          <w:color w:val="auto"/>
          <w:spacing w:val="-32"/>
          <w:sz w:val="20"/>
          <w:szCs w:val="20"/>
          <w:highlight w:val="none"/>
        </w:rPr>
        <w:t xml:space="preserve"> </w:t>
      </w:r>
      <w:r>
        <w:rPr>
          <w:rFonts w:ascii="宋体" w:hAnsi="宋体" w:eastAsia="宋体" w:cs="宋体"/>
          <w:color w:val="auto"/>
          <w:spacing w:val="11"/>
          <w:sz w:val="20"/>
          <w:szCs w:val="20"/>
          <w:highlight w:val="none"/>
        </w:rPr>
        <w:t>天内向发包人提出书面的改进报告。发包人收到改进报告后仍要求更换</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的，承包人应在接到第二次更换通知的</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天内进行更换，并将新任命的项目经理的注册执业资格、管理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经验等资料书面通知发包人。继任项目经理继续履行第</w:t>
      </w:r>
      <w:r>
        <w:rPr>
          <w:rFonts w:ascii="宋体" w:hAnsi="宋体" w:eastAsia="宋体" w:cs="宋体"/>
          <w:color w:val="auto"/>
          <w:spacing w:val="-30"/>
          <w:sz w:val="20"/>
          <w:szCs w:val="20"/>
          <w:highlight w:val="none"/>
        </w:rPr>
        <w:t xml:space="preserve"> </w:t>
      </w:r>
      <w:r>
        <w:rPr>
          <w:rFonts w:ascii="宋体" w:hAnsi="宋体" w:eastAsia="宋体" w:cs="宋体"/>
          <w:color w:val="auto"/>
          <w:spacing w:val="9"/>
          <w:sz w:val="20"/>
          <w:szCs w:val="20"/>
          <w:highlight w:val="none"/>
        </w:rPr>
        <w:t>3.2.1</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项约定的职责。承包人无正当理由拒绝更</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换项目经理的，应按照专用合同条款的约定承担违约责任。</w:t>
      </w:r>
    </w:p>
    <w:p w14:paraId="74926E1C">
      <w:pPr>
        <w:spacing w:before="220" w:line="330" w:lineRule="auto"/>
        <w:ind w:left="15" w:right="71" w:firstLine="41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3.2.5 项目经理因特殊情况授权其下属人员履行其某项工作职责的，该下属人员应具备履行相应职</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责的能力，并应提前</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天将上述人员的姓名和授权范围书</w:t>
      </w:r>
      <w:r>
        <w:rPr>
          <w:rFonts w:ascii="宋体" w:hAnsi="宋体" w:eastAsia="宋体" w:cs="宋体"/>
          <w:color w:val="auto"/>
          <w:spacing w:val="8"/>
          <w:sz w:val="20"/>
          <w:szCs w:val="20"/>
          <w:highlight w:val="none"/>
        </w:rPr>
        <w:t>面通知监理人，并征得发包人书面同意。</w:t>
      </w:r>
    </w:p>
    <w:p w14:paraId="507928D1">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3.3 承包人人员</w:t>
      </w:r>
    </w:p>
    <w:p w14:paraId="647B4E0C">
      <w:pPr>
        <w:spacing w:before="221" w:line="381" w:lineRule="auto"/>
        <w:ind w:left="9" w:right="71"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3.3.1 除专用合同条款另有约定外，承包人应在接到开工通</w:t>
      </w:r>
      <w:r>
        <w:rPr>
          <w:rFonts w:ascii="宋体" w:hAnsi="宋体" w:eastAsia="宋体" w:cs="宋体"/>
          <w:color w:val="auto"/>
          <w:spacing w:val="8"/>
          <w:sz w:val="20"/>
          <w:szCs w:val="20"/>
          <w:highlight w:val="none"/>
        </w:rPr>
        <w:t>知后</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天内，向监理人提交承包人项目</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管理机构及施工现场人员安排的报告，其内容应包括合同管理、施工、技术、材料、质量、安全、财务</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等主要施工管理人员名单及其岗位、注册执业资格等，以及各工种技术工人的安排情况，并同时提交主</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要施工管理人员与承包人之间的劳动关系证明和缴纳社会保险的有效证明。</w:t>
      </w:r>
    </w:p>
    <w:p w14:paraId="26AA8895">
      <w:pPr>
        <w:spacing w:before="221" w:line="364" w:lineRule="auto"/>
        <w:ind w:left="9" w:right="69"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3.3.2 承包人派驻到施工现场的主要施工管理人员应相对稳定。施工过程中如有变动，承包人应及</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时向监理人提交施工现场人员变动情况的报告。承包人更换主要施工管理人员时，应提前</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天书面通知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监理人，并征得发包人书面同意。通知中应当</w:t>
      </w:r>
      <w:r>
        <w:rPr>
          <w:rFonts w:ascii="宋体" w:hAnsi="宋体" w:eastAsia="宋体" w:cs="宋体"/>
          <w:color w:val="auto"/>
          <w:spacing w:val="9"/>
          <w:sz w:val="20"/>
          <w:szCs w:val="20"/>
          <w:highlight w:val="none"/>
        </w:rPr>
        <w:t>载明继任人员的注册执业资格、管理经验等资料。</w:t>
      </w:r>
    </w:p>
    <w:p w14:paraId="2262403A">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特殊工种作业人员均应持有相应的资格证明，监理人可以随时检查。</w:t>
      </w:r>
    </w:p>
    <w:p w14:paraId="75B62275">
      <w:pPr>
        <w:spacing w:before="221" w:line="381" w:lineRule="auto"/>
        <w:ind w:left="7" w:right="71"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3.3.3 发包人对于承包人主要施工管理人员的资格或能力有异议的，承包人应提供资料证明被质疑</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人员有能力完成其岗位工作或不存在发包人所质疑的情形。发包人要求撤换不能按照合同约定履行职责</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及义务的主要施工管理人员的，承包人应当撤换。承包人无正当理由拒绝撤换的，应按照专用合同条款</w:t>
      </w:r>
      <w:r>
        <w:rPr>
          <w:rFonts w:ascii="宋体" w:hAnsi="宋体" w:eastAsia="宋体" w:cs="宋体"/>
          <w:color w:val="auto"/>
          <w:spacing w:val="7"/>
          <w:sz w:val="20"/>
          <w:szCs w:val="20"/>
          <w:highlight w:val="none"/>
        </w:rPr>
        <w:t xml:space="preserve"> </w:t>
      </w:r>
      <w:r>
        <w:rPr>
          <w:rFonts w:ascii="宋体" w:hAnsi="宋体" w:eastAsia="宋体" w:cs="宋体"/>
          <w:color w:val="auto"/>
          <w:spacing w:val="8"/>
          <w:sz w:val="20"/>
          <w:szCs w:val="20"/>
          <w:highlight w:val="none"/>
        </w:rPr>
        <w:t>的约定承担违约责任。</w:t>
      </w:r>
    </w:p>
    <w:p w14:paraId="0D0A84FE">
      <w:pPr>
        <w:spacing w:before="221" w:line="330" w:lineRule="auto"/>
        <w:ind w:left="25" w:right="71" w:firstLine="40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3.3.4 除专用合同条款另有约定外，承包人的主要施工管理人</w:t>
      </w:r>
      <w:r>
        <w:rPr>
          <w:rFonts w:ascii="宋体" w:hAnsi="宋体" w:eastAsia="宋体" w:cs="宋体"/>
          <w:color w:val="auto"/>
          <w:spacing w:val="8"/>
          <w:sz w:val="20"/>
          <w:szCs w:val="20"/>
          <w:highlight w:val="none"/>
        </w:rPr>
        <w:t>员离开施工现场每月累计不超过</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5</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的，应报监理人同意；离开施工现场每月累计超过</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5</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天的，应通知监理人，并征得发包人书面同意。主</w:t>
      </w:r>
    </w:p>
    <w:p w14:paraId="47C853BD">
      <w:pPr>
        <w:spacing w:line="330" w:lineRule="auto"/>
        <w:rPr>
          <w:rFonts w:ascii="宋体" w:hAnsi="宋体" w:eastAsia="宋体" w:cs="宋体"/>
          <w:color w:val="auto"/>
          <w:sz w:val="20"/>
          <w:szCs w:val="20"/>
          <w:highlight w:val="none"/>
        </w:rPr>
        <w:sectPr>
          <w:headerReference r:id="rId109" w:type="default"/>
          <w:footerReference r:id="rId110" w:type="default"/>
          <w:pgSz w:w="11906" w:h="16839"/>
          <w:pgMar w:top="1091" w:right="1149" w:bottom="1158" w:left="1219" w:header="1076" w:footer="922" w:gutter="0"/>
          <w:cols w:space="720" w:num="1"/>
        </w:sectPr>
      </w:pPr>
    </w:p>
    <w:p w14:paraId="123A52DD">
      <w:pPr>
        <w:spacing w:before="256" w:line="432" w:lineRule="auto"/>
        <w:ind w:left="25" w:right="56" w:hanging="1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要施工管理人员离开施工现场前应指定一名有经验的人员临时代行其职责，该人员应具备履行相应职责</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的资格和能力，且应征得监理人或发包人的同意。</w:t>
      </w:r>
    </w:p>
    <w:p w14:paraId="0D9DEC88">
      <w:pPr>
        <w:spacing w:before="2" w:line="431" w:lineRule="auto"/>
        <w:ind w:left="25" w:right="56" w:firstLine="40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3.3.5 承包人擅自更换主要施工管理人员，或前述人员未经监理人或发包人同意擅自离开施工现场</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的，应按照专用合同条款约定承担违约责任。</w:t>
      </w:r>
    </w:p>
    <w:p w14:paraId="0E3B175B">
      <w:pPr>
        <w:spacing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3.4 承包人现场查勘</w:t>
      </w:r>
    </w:p>
    <w:p w14:paraId="26462417">
      <w:pPr>
        <w:spacing w:before="220" w:line="432" w:lineRule="auto"/>
        <w:ind w:left="6" w:firstLine="42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承包人应对基于发包人按照第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2.4.3</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项〔提供基础资料〕提交的基础资料</w:t>
      </w:r>
      <w:r>
        <w:rPr>
          <w:rFonts w:ascii="宋体" w:hAnsi="宋体" w:eastAsia="宋体" w:cs="宋体"/>
          <w:color w:val="auto"/>
          <w:spacing w:val="5"/>
          <w:sz w:val="20"/>
          <w:szCs w:val="20"/>
          <w:highlight w:val="none"/>
        </w:rPr>
        <w:t>所做出的解释和推断负责，</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但因基础资料存在错误、遗漏导致承包人解释或推断失实的，由发包人承担责任。</w:t>
      </w:r>
    </w:p>
    <w:p w14:paraId="00B73F18">
      <w:pPr>
        <w:spacing w:before="3" w:line="431" w:lineRule="auto"/>
        <w:ind w:left="7" w:right="56" w:firstLine="42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承包人应对施工现场和施工条件进行查勘，并充分了解工程所在地的气象条件、交通条件、风俗习</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惯以及其他与完成合同工作有关的其他资料。因承包人未能充分查勘、了解前述情况或未能充分估计前</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述情况所可能产生后果的，承包人承担由此增加的费用和（或）延误的工期。</w:t>
      </w:r>
    </w:p>
    <w:p w14:paraId="60BC5E5B">
      <w:pPr>
        <w:spacing w:line="229" w:lineRule="auto"/>
        <w:ind w:left="43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3.5</w:t>
      </w:r>
      <w:r>
        <w:rPr>
          <w:rFonts w:ascii="宋体" w:hAnsi="宋体" w:eastAsia="宋体" w:cs="宋体"/>
          <w:color w:val="auto"/>
          <w:spacing w:val="14"/>
          <w:sz w:val="20"/>
          <w:szCs w:val="20"/>
          <w:highlight w:val="none"/>
        </w:rPr>
        <w:t xml:space="preserve"> </w:t>
      </w:r>
      <w:r>
        <w:rPr>
          <w:rFonts w:ascii="宋体" w:hAnsi="宋体" w:eastAsia="宋体" w:cs="宋体"/>
          <w:color w:val="auto"/>
          <w:spacing w:val="2"/>
          <w:sz w:val="20"/>
          <w:szCs w:val="20"/>
          <w:highlight w:val="none"/>
        </w:rPr>
        <w:t>分包</w:t>
      </w:r>
    </w:p>
    <w:p w14:paraId="10EDD610">
      <w:pPr>
        <w:spacing w:before="219" w:line="229"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3.5.1 分包的一般约定</w:t>
      </w:r>
    </w:p>
    <w:p w14:paraId="072B52C6">
      <w:pPr>
        <w:spacing w:before="220" w:line="432" w:lineRule="auto"/>
        <w:ind w:left="8"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承包人不得将其承包的全部工程转包给第三人，或将其承包的全部工程肢解后以分包的名义转包给</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第三人。承包人不得将工程主体结构、关键性工作及专用合同条款中禁止分包的专</w:t>
      </w:r>
      <w:r>
        <w:rPr>
          <w:rFonts w:ascii="宋体" w:hAnsi="宋体" w:eastAsia="宋体" w:cs="宋体"/>
          <w:color w:val="auto"/>
          <w:spacing w:val="6"/>
          <w:sz w:val="20"/>
          <w:szCs w:val="20"/>
          <w:highlight w:val="none"/>
        </w:rPr>
        <w:t>业工程分包给第三人，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主体结构、关键性工作的范围由合同当事人按照法律规定在专用合同条款中予以明确。</w:t>
      </w:r>
    </w:p>
    <w:p w14:paraId="462F37AE">
      <w:pPr>
        <w:spacing w:before="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承包人不得以劳务分包的名义转包或违法分包工程。</w:t>
      </w:r>
    </w:p>
    <w:p w14:paraId="4AE15661">
      <w:pPr>
        <w:spacing w:before="220" w:line="229"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3.5.2 分包的确定</w:t>
      </w:r>
    </w:p>
    <w:p w14:paraId="43687606">
      <w:pPr>
        <w:spacing w:before="220" w:line="432" w:lineRule="auto"/>
        <w:ind w:left="9" w:right="56"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承包人应按专用合同条款的约定进行分包，确定分包人。已标价工程量清单或预算书中给定暂估价</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的专业工程，按照第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10.7</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款〔暂估价〕确定分包人。按照合同约定进行分</w:t>
      </w:r>
      <w:r>
        <w:rPr>
          <w:rFonts w:ascii="宋体" w:hAnsi="宋体" w:eastAsia="宋体" w:cs="宋体"/>
          <w:color w:val="auto"/>
          <w:spacing w:val="6"/>
          <w:sz w:val="20"/>
          <w:szCs w:val="20"/>
          <w:highlight w:val="none"/>
        </w:rPr>
        <w:t>包的，承包人应确保分包人具</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有相应的资质和能力。工程分包不减轻或免除承包人的责任和义务，承包人和分包人就分包工程向发包</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人承担连带责任。除合同另有约定外，承包人应在分包合同签订后</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天内向发包人和监理人提交分包合</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同副本。</w:t>
      </w:r>
    </w:p>
    <w:p w14:paraId="3405F6EB">
      <w:pPr>
        <w:spacing w:before="1" w:line="228"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3.5.3 分包管理</w:t>
      </w:r>
    </w:p>
    <w:p w14:paraId="6903353B">
      <w:pPr>
        <w:spacing w:before="220" w:line="432" w:lineRule="auto"/>
        <w:ind w:left="8" w:right="56"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承包人应向监理人提交分包人的主要施工管理人员表，并对分包人的施工人员进行实名制管理，包</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括但不限于进出场管理、登记造册以及各种证照的办理。</w:t>
      </w:r>
    </w:p>
    <w:p w14:paraId="210920FB">
      <w:pPr>
        <w:spacing w:before="1" w:line="226"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3.5.4 分包合同价款</w:t>
      </w:r>
    </w:p>
    <w:p w14:paraId="1598ACC1">
      <w:pPr>
        <w:spacing w:before="223" w:line="329" w:lineRule="auto"/>
        <w:ind w:left="10" w:right="56" w:firstLine="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（1）除本项第（2）</w:t>
      </w:r>
      <w:r>
        <w:rPr>
          <w:rFonts w:ascii="宋体" w:hAnsi="宋体" w:eastAsia="宋体" w:cs="宋体"/>
          <w:color w:val="auto"/>
          <w:spacing w:val="-26"/>
          <w:sz w:val="20"/>
          <w:szCs w:val="20"/>
          <w:highlight w:val="none"/>
        </w:rPr>
        <w:t xml:space="preserve"> </w:t>
      </w:r>
      <w:r>
        <w:rPr>
          <w:rFonts w:ascii="宋体" w:hAnsi="宋体" w:eastAsia="宋体" w:cs="宋体"/>
          <w:color w:val="auto"/>
          <w:spacing w:val="8"/>
          <w:sz w:val="20"/>
          <w:szCs w:val="20"/>
          <w:highlight w:val="none"/>
        </w:rPr>
        <w:t>目约定的情况或专用合同条款另有约定外，分包合同价款由承包人与分包人结</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算，未经承包人同意，发包人不得向分包人支付分包工程价款；</w:t>
      </w:r>
    </w:p>
    <w:p w14:paraId="53BCDB0E">
      <w:pPr>
        <w:spacing w:before="223" w:line="330" w:lineRule="auto"/>
        <w:ind w:left="20" w:right="56" w:firstLine="41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（2）生效法律文书要求发包人向分包人支付分包合同价款的，发包人有权从应付承包人工程款中扣</w:t>
      </w:r>
      <w:r>
        <w:rPr>
          <w:rFonts w:ascii="宋体" w:hAnsi="宋体" w:eastAsia="宋体" w:cs="宋体"/>
          <w:color w:val="auto"/>
          <w:spacing w:val="18"/>
          <w:sz w:val="20"/>
          <w:szCs w:val="20"/>
          <w:highlight w:val="none"/>
        </w:rPr>
        <w:t xml:space="preserve"> </w:t>
      </w:r>
      <w:r>
        <w:rPr>
          <w:rFonts w:ascii="宋体" w:hAnsi="宋体" w:eastAsia="宋体" w:cs="宋体"/>
          <w:color w:val="auto"/>
          <w:spacing w:val="5"/>
          <w:sz w:val="20"/>
          <w:szCs w:val="20"/>
          <w:highlight w:val="none"/>
        </w:rPr>
        <w:t>除该部分款项。</w:t>
      </w:r>
    </w:p>
    <w:p w14:paraId="3C51893A">
      <w:pPr>
        <w:spacing w:line="330" w:lineRule="auto"/>
        <w:rPr>
          <w:rFonts w:ascii="宋体" w:hAnsi="宋体" w:eastAsia="宋体" w:cs="宋体"/>
          <w:color w:val="auto"/>
          <w:sz w:val="20"/>
          <w:szCs w:val="20"/>
          <w:highlight w:val="none"/>
        </w:rPr>
        <w:sectPr>
          <w:headerReference r:id="rId111" w:type="default"/>
          <w:footerReference r:id="rId112" w:type="default"/>
          <w:pgSz w:w="11906" w:h="16839"/>
          <w:pgMar w:top="1091" w:right="1164" w:bottom="1158" w:left="1219" w:header="1076" w:footer="922" w:gutter="0"/>
          <w:cols w:space="720" w:num="1"/>
        </w:sectPr>
      </w:pPr>
    </w:p>
    <w:p w14:paraId="1B9493E6">
      <w:pPr>
        <w:spacing w:before="256" w:line="228" w:lineRule="auto"/>
        <w:ind w:left="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3.5.5 分包合同权益的转让</w:t>
      </w:r>
    </w:p>
    <w:p w14:paraId="1AF27468">
      <w:pPr>
        <w:spacing w:before="220" w:line="432" w:lineRule="auto"/>
        <w:ind w:left="10" w:right="7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分包人在分包合同项下的义务持续到缺陷责任期届满以后的，发包人有权在缺陷责任期届满前，要</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rPr>
        <w:t>求承包人将其在分包合同项下的权益转让给发包人，承包人应当转让。除转让合同另有约定外，转让合</w:t>
      </w:r>
      <w:r>
        <w:rPr>
          <w:rFonts w:ascii="宋体" w:hAnsi="宋体" w:eastAsia="宋体" w:cs="宋体"/>
          <w:color w:val="auto"/>
          <w:spacing w:val="4"/>
          <w:sz w:val="20"/>
          <w:szCs w:val="20"/>
          <w:highlight w:val="none"/>
        </w:rPr>
        <w:t xml:space="preserve"> </w:t>
      </w:r>
      <w:r>
        <w:rPr>
          <w:rFonts w:ascii="宋体" w:hAnsi="宋体" w:eastAsia="宋体" w:cs="宋体"/>
          <w:color w:val="auto"/>
          <w:spacing w:val="8"/>
          <w:sz w:val="20"/>
          <w:szCs w:val="20"/>
          <w:highlight w:val="none"/>
        </w:rPr>
        <w:t>同生效后，由分包人向发包人履行义务。</w:t>
      </w:r>
    </w:p>
    <w:p w14:paraId="1CD07B5D">
      <w:pPr>
        <w:spacing w:line="228" w:lineRule="auto"/>
        <w:ind w:left="4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3.6 工程照管与成品、半成品保护</w:t>
      </w:r>
    </w:p>
    <w:p w14:paraId="1061CC36">
      <w:pPr>
        <w:spacing w:before="220" w:line="330" w:lineRule="auto"/>
        <w:ind w:left="7" w:right="71"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（1）除专用合同条款另有约定外，自发包人向承包人移交施工现场之日起，承包人应负责照管工程</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及工程相关的材料、工程设备，直到颁发工程接收证书之日止。</w:t>
      </w:r>
    </w:p>
    <w:p w14:paraId="16216580">
      <w:pPr>
        <w:spacing w:before="221" w:line="330" w:lineRule="auto"/>
        <w:ind w:left="10" w:right="71" w:firstLine="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（2）在承包人负责照管期间，因承包人原因造成工程、材料、工程设备损坏的，由承包人负责修复</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或更换，并承担由此增加的费用和（或）延误的工期。</w:t>
      </w:r>
    </w:p>
    <w:p w14:paraId="17132996">
      <w:pPr>
        <w:spacing w:before="222" w:line="364" w:lineRule="auto"/>
        <w:ind w:left="10" w:right="71"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（3）对合同内分期完成的成品和半成品，在工程接收证书颁发前，由承包人承担保护责任。因承包</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人原因造成成品或半成品损坏的，</w:t>
      </w:r>
      <w:r>
        <w:rPr>
          <w:rFonts w:ascii="宋体" w:hAnsi="宋体" w:eastAsia="宋体" w:cs="宋体"/>
          <w:color w:val="auto"/>
          <w:spacing w:val="-51"/>
          <w:sz w:val="20"/>
          <w:szCs w:val="20"/>
          <w:highlight w:val="none"/>
        </w:rPr>
        <w:t xml:space="preserve"> </w:t>
      </w:r>
      <w:r>
        <w:rPr>
          <w:rFonts w:ascii="宋体" w:hAnsi="宋体" w:eastAsia="宋体" w:cs="宋体"/>
          <w:color w:val="auto"/>
          <w:spacing w:val="9"/>
          <w:sz w:val="20"/>
          <w:szCs w:val="20"/>
          <w:highlight w:val="none"/>
        </w:rPr>
        <w:t>由承包人负责修复或更换，并承担由此增加的费用和（或）延误的工</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期。</w:t>
      </w:r>
    </w:p>
    <w:p w14:paraId="22F6BC07">
      <w:pPr>
        <w:spacing w:before="220" w:line="229"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3.7</w:t>
      </w:r>
      <w:r>
        <w:rPr>
          <w:rFonts w:ascii="宋体" w:hAnsi="宋体" w:eastAsia="宋体" w:cs="宋体"/>
          <w:color w:val="auto"/>
          <w:spacing w:val="16"/>
          <w:sz w:val="20"/>
          <w:szCs w:val="20"/>
          <w:highlight w:val="none"/>
        </w:rPr>
        <w:t xml:space="preserve"> </w:t>
      </w:r>
      <w:r>
        <w:rPr>
          <w:rFonts w:ascii="宋体" w:hAnsi="宋体" w:eastAsia="宋体" w:cs="宋体"/>
          <w:color w:val="auto"/>
          <w:spacing w:val="4"/>
          <w:sz w:val="20"/>
          <w:szCs w:val="20"/>
          <w:highlight w:val="none"/>
        </w:rPr>
        <w:t>履约担保</w:t>
      </w:r>
    </w:p>
    <w:p w14:paraId="4C15FDA8">
      <w:pPr>
        <w:spacing w:before="220" w:line="432" w:lineRule="auto"/>
        <w:ind w:left="10"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发包人需要承包人提供履约担保的，</w:t>
      </w:r>
      <w:r>
        <w:rPr>
          <w:rFonts w:ascii="宋体" w:hAnsi="宋体" w:eastAsia="宋体" w:cs="宋体"/>
          <w:color w:val="auto"/>
          <w:spacing w:val="-55"/>
          <w:sz w:val="20"/>
          <w:szCs w:val="20"/>
          <w:highlight w:val="none"/>
        </w:rPr>
        <w:t xml:space="preserve"> </w:t>
      </w:r>
      <w:r>
        <w:rPr>
          <w:rFonts w:ascii="宋体" w:hAnsi="宋体" w:eastAsia="宋体" w:cs="宋体"/>
          <w:color w:val="auto"/>
          <w:spacing w:val="9"/>
          <w:sz w:val="20"/>
          <w:szCs w:val="20"/>
          <w:highlight w:val="none"/>
        </w:rPr>
        <w:t>由合同当事人在专用合同条款中约定履约担保的方式、金额及</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期限等。履约担保可以采用银行保函或担保公司担保等形式，具体由合同当事人在专用合同条款中约定。</w:t>
      </w:r>
    </w:p>
    <w:p w14:paraId="3E782E3D">
      <w:pPr>
        <w:spacing w:before="2" w:line="431" w:lineRule="auto"/>
        <w:ind w:left="8" w:right="72" w:firstLine="43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因承包人原因导致工期延长的，继续提供履约担保所增加的费用由承包人</w:t>
      </w:r>
      <w:r>
        <w:rPr>
          <w:rFonts w:ascii="宋体" w:hAnsi="宋体" w:eastAsia="宋体" w:cs="宋体"/>
          <w:color w:val="auto"/>
          <w:spacing w:val="9"/>
          <w:sz w:val="20"/>
          <w:szCs w:val="20"/>
          <w:highlight w:val="none"/>
        </w:rPr>
        <w:t>承担；非因承包人原因导</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致工期延长的，继续提供履约担保所增加的费用由发包人承担。</w:t>
      </w:r>
    </w:p>
    <w:p w14:paraId="63F7585E">
      <w:pPr>
        <w:spacing w:before="1" w:line="229" w:lineRule="auto"/>
        <w:ind w:left="43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3.8</w:t>
      </w:r>
      <w:r>
        <w:rPr>
          <w:rFonts w:ascii="宋体" w:hAnsi="宋体" w:eastAsia="宋体" w:cs="宋体"/>
          <w:color w:val="auto"/>
          <w:spacing w:val="17"/>
          <w:sz w:val="20"/>
          <w:szCs w:val="20"/>
          <w:highlight w:val="none"/>
        </w:rPr>
        <w:t xml:space="preserve"> </w:t>
      </w:r>
      <w:r>
        <w:rPr>
          <w:rFonts w:ascii="宋体" w:hAnsi="宋体" w:eastAsia="宋体" w:cs="宋体"/>
          <w:color w:val="auto"/>
          <w:spacing w:val="3"/>
          <w:sz w:val="20"/>
          <w:szCs w:val="20"/>
          <w:highlight w:val="none"/>
        </w:rPr>
        <w:t>联合体</w:t>
      </w:r>
    </w:p>
    <w:p w14:paraId="77A81EBD">
      <w:pPr>
        <w:spacing w:before="219" w:line="330" w:lineRule="auto"/>
        <w:ind w:left="7" w:right="71"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3.8.1 联合体各方应共同与发包人签订合同协议书。联合体各方应为履行合同向发包人承担连带责</w:t>
      </w:r>
      <w:r>
        <w:rPr>
          <w:rFonts w:ascii="宋体" w:hAnsi="宋体" w:eastAsia="宋体" w:cs="宋体"/>
          <w:color w:val="auto"/>
          <w:spacing w:val="18"/>
          <w:sz w:val="20"/>
          <w:szCs w:val="20"/>
          <w:highlight w:val="none"/>
        </w:rPr>
        <w:t xml:space="preserve"> </w:t>
      </w:r>
      <w:r>
        <w:rPr>
          <w:rFonts w:ascii="宋体" w:hAnsi="宋体" w:eastAsia="宋体" w:cs="宋体"/>
          <w:color w:val="auto"/>
          <w:sz w:val="20"/>
          <w:szCs w:val="20"/>
          <w:highlight w:val="none"/>
        </w:rPr>
        <w:t>任。</w:t>
      </w:r>
    </w:p>
    <w:p w14:paraId="3307C174">
      <w:pPr>
        <w:spacing w:before="220" w:line="331" w:lineRule="auto"/>
        <w:ind w:left="9" w:right="71"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3.8.2 联合体协议经发包人确认后作为合同附件。在履行合同过程中，未经发包人同意，不得修改</w:t>
      </w:r>
      <w:r>
        <w:rPr>
          <w:rFonts w:ascii="宋体" w:hAnsi="宋体" w:eastAsia="宋体" w:cs="宋体"/>
          <w:color w:val="auto"/>
          <w:spacing w:val="18"/>
          <w:sz w:val="20"/>
          <w:szCs w:val="20"/>
          <w:highlight w:val="none"/>
        </w:rPr>
        <w:t xml:space="preserve"> </w:t>
      </w:r>
      <w:r>
        <w:rPr>
          <w:rFonts w:ascii="宋体" w:hAnsi="宋体" w:eastAsia="宋体" w:cs="宋体"/>
          <w:color w:val="auto"/>
          <w:spacing w:val="6"/>
          <w:sz w:val="20"/>
          <w:szCs w:val="20"/>
          <w:highlight w:val="none"/>
        </w:rPr>
        <w:t>联合体协议。</w:t>
      </w:r>
    </w:p>
    <w:p w14:paraId="77351D54">
      <w:pPr>
        <w:spacing w:before="220" w:line="331" w:lineRule="auto"/>
        <w:ind w:left="28" w:right="71" w:firstLine="40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3.8.3 联合体牵头人负责与发包人和监理人联系，并接受指示，负责组织联合体各成员全面履行合</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同。</w:t>
      </w:r>
    </w:p>
    <w:p w14:paraId="4C68CB9E">
      <w:pPr>
        <w:spacing w:before="219" w:line="231" w:lineRule="auto"/>
        <w:ind w:left="42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4.</w:t>
      </w:r>
      <w:r>
        <w:rPr>
          <w:rFonts w:ascii="宋体" w:hAnsi="宋体" w:eastAsia="宋体" w:cs="宋体"/>
          <w:color w:val="auto"/>
          <w:spacing w:val="15"/>
          <w:sz w:val="20"/>
          <w:szCs w:val="20"/>
          <w:highlight w:val="none"/>
        </w:rPr>
        <w:t xml:space="preserve"> </w:t>
      </w:r>
      <w:r>
        <w:rPr>
          <w:rFonts w:ascii="宋体" w:hAnsi="宋体" w:eastAsia="宋体" w:cs="宋体"/>
          <w:color w:val="auto"/>
          <w:spacing w:val="4"/>
          <w:sz w:val="20"/>
          <w:szCs w:val="20"/>
          <w:highlight w:val="none"/>
        </w:rPr>
        <w:t>监理人</w:t>
      </w:r>
    </w:p>
    <w:p w14:paraId="4BE50189">
      <w:pPr>
        <w:spacing w:before="218" w:line="229" w:lineRule="auto"/>
        <w:ind w:left="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4.1</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监理人的一般规定</w:t>
      </w:r>
    </w:p>
    <w:p w14:paraId="4DB819FE">
      <w:pPr>
        <w:spacing w:before="219" w:line="432" w:lineRule="auto"/>
        <w:ind w:left="9" w:right="15" w:firstLine="421"/>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工程实行监理的，发包人和承包人应在专用合同条款</w:t>
      </w:r>
      <w:r>
        <w:rPr>
          <w:rFonts w:ascii="宋体" w:hAnsi="宋体" w:eastAsia="宋体" w:cs="宋体"/>
          <w:color w:val="auto"/>
          <w:spacing w:val="10"/>
          <w:sz w:val="20"/>
          <w:szCs w:val="20"/>
          <w:highlight w:val="none"/>
        </w:rPr>
        <w:t>中明确监理人的监理内容及监理权限等事项。</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监理人应当根据发包人授权及法律规定，代表发包人对工程施工相关事项进行检</w:t>
      </w:r>
      <w:r>
        <w:rPr>
          <w:rFonts w:ascii="宋体" w:hAnsi="宋体" w:eastAsia="宋体" w:cs="宋体"/>
          <w:color w:val="auto"/>
          <w:spacing w:val="6"/>
          <w:sz w:val="20"/>
          <w:szCs w:val="20"/>
          <w:highlight w:val="none"/>
        </w:rPr>
        <w:t>查、查验、审核、验收，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并签发相关指示，但监理人无权修改合同，且无权</w:t>
      </w:r>
      <w:r>
        <w:rPr>
          <w:rFonts w:ascii="宋体" w:hAnsi="宋体" w:eastAsia="宋体" w:cs="宋体"/>
          <w:color w:val="auto"/>
          <w:spacing w:val="9"/>
          <w:sz w:val="20"/>
          <w:szCs w:val="20"/>
          <w:highlight w:val="none"/>
        </w:rPr>
        <w:t>减轻或免除合同约定的承包人的任何责任与义务。</w:t>
      </w:r>
    </w:p>
    <w:p w14:paraId="32F55B90">
      <w:pPr>
        <w:spacing w:before="1" w:line="227" w:lineRule="auto"/>
        <w:ind w:left="44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除专用合同条款另有约定外，监理人在施工现场的办公场所、生活场所由承包人提</w:t>
      </w:r>
      <w:r>
        <w:rPr>
          <w:rFonts w:ascii="宋体" w:hAnsi="宋体" w:eastAsia="宋体" w:cs="宋体"/>
          <w:color w:val="auto"/>
          <w:spacing w:val="9"/>
          <w:sz w:val="20"/>
          <w:szCs w:val="20"/>
          <w:highlight w:val="none"/>
        </w:rPr>
        <w:t>供，所发生的费</w:t>
      </w:r>
    </w:p>
    <w:p w14:paraId="7217A1B2">
      <w:pPr>
        <w:spacing w:line="227" w:lineRule="auto"/>
        <w:rPr>
          <w:rFonts w:ascii="宋体" w:hAnsi="宋体" w:eastAsia="宋体" w:cs="宋体"/>
          <w:color w:val="auto"/>
          <w:sz w:val="20"/>
          <w:szCs w:val="20"/>
          <w:highlight w:val="none"/>
        </w:rPr>
        <w:sectPr>
          <w:headerReference r:id="rId113" w:type="default"/>
          <w:footerReference r:id="rId114" w:type="default"/>
          <w:pgSz w:w="11906" w:h="16839"/>
          <w:pgMar w:top="1091" w:right="1149" w:bottom="1158" w:left="1219" w:header="1076" w:footer="922" w:gutter="0"/>
          <w:cols w:space="720" w:num="1"/>
        </w:sectPr>
      </w:pPr>
    </w:p>
    <w:p w14:paraId="5BEFAC11">
      <w:pPr>
        <w:spacing w:before="256" w:line="228" w:lineRule="auto"/>
        <w:ind w:left="1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用由发包人承担。</w:t>
      </w:r>
    </w:p>
    <w:p w14:paraId="6680E841">
      <w:pPr>
        <w:spacing w:before="220" w:line="230" w:lineRule="auto"/>
        <w:ind w:left="42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4.2</w:t>
      </w:r>
      <w:r>
        <w:rPr>
          <w:rFonts w:ascii="宋体" w:hAnsi="宋体" w:eastAsia="宋体" w:cs="宋体"/>
          <w:color w:val="auto"/>
          <w:spacing w:val="-39"/>
          <w:sz w:val="20"/>
          <w:szCs w:val="20"/>
          <w:highlight w:val="none"/>
        </w:rPr>
        <w:t xml:space="preserve"> </w:t>
      </w:r>
      <w:r>
        <w:rPr>
          <w:rFonts w:ascii="宋体" w:hAnsi="宋体" w:eastAsia="宋体" w:cs="宋体"/>
          <w:color w:val="auto"/>
          <w:spacing w:val="5"/>
          <w:sz w:val="20"/>
          <w:szCs w:val="20"/>
          <w:highlight w:val="none"/>
        </w:rPr>
        <w:t>监理人员</w:t>
      </w:r>
    </w:p>
    <w:p w14:paraId="4CA729E7">
      <w:pPr>
        <w:spacing w:before="218" w:line="432" w:lineRule="auto"/>
        <w:ind w:left="9" w:right="53"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发包人授予监理人对工程实施监理的权利由监理人派驻施工现场的监理人员行使，监理人员包括总</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监理工程师及监理工程师。监理人应将授权的总监理工程师和监理工程师的姓名及授权范围以书面形式</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提前通知承包人。更换总监理工程师的，监理人应提前</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天书面通知承包人；更换其他监理人员，监理</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人应提前48</w:t>
      </w:r>
      <w:r>
        <w:rPr>
          <w:rFonts w:ascii="宋体" w:hAnsi="宋体" w:eastAsia="宋体" w:cs="宋体"/>
          <w:color w:val="auto"/>
          <w:spacing w:val="-27"/>
          <w:sz w:val="20"/>
          <w:szCs w:val="20"/>
          <w:highlight w:val="none"/>
        </w:rPr>
        <w:t xml:space="preserve"> </w:t>
      </w:r>
      <w:r>
        <w:rPr>
          <w:rFonts w:ascii="宋体" w:hAnsi="宋体" w:eastAsia="宋体" w:cs="宋体"/>
          <w:color w:val="auto"/>
          <w:spacing w:val="10"/>
          <w:sz w:val="20"/>
          <w:szCs w:val="20"/>
          <w:highlight w:val="none"/>
        </w:rPr>
        <w:t>小时书面通知承包人。</w:t>
      </w:r>
    </w:p>
    <w:p w14:paraId="32E6582C">
      <w:pPr>
        <w:spacing w:before="1" w:line="229"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4.3</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监理人的指示</w:t>
      </w:r>
    </w:p>
    <w:p w14:paraId="689D8CAC">
      <w:pPr>
        <w:spacing w:before="219" w:line="432" w:lineRule="auto"/>
        <w:ind w:left="8" w:right="56"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监理人应按照发包人的授权发出监理指示。监理人的指示应采用书面形式，并经其授权的监理人员</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签字。紧急情况下，为了保证施工人员的安全或避免工程受损，监理人员可以口头形式发出指示，该指</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示与书面形式的指示具有同等法律效力，但必须在发出口头指示后</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小时内补发书面监理指示，补发的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书面监理指示应与口头指示一致。</w:t>
      </w:r>
    </w:p>
    <w:p w14:paraId="2830F6FF">
      <w:pPr>
        <w:spacing w:before="4" w:line="431" w:lineRule="auto"/>
        <w:ind w:left="11" w:right="56" w:firstLine="417"/>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监理人发出的指示应送达承包人项目经理或经项目经理授权接收的人员。因监理人未能按合同约定</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发出指示、指示延误或发出了错误指示而导致承包人费用增加和（或）工期延误的，</w:t>
      </w:r>
      <w:r>
        <w:rPr>
          <w:rFonts w:ascii="宋体" w:hAnsi="宋体" w:eastAsia="宋体" w:cs="宋体"/>
          <w:color w:val="auto"/>
          <w:spacing w:val="-53"/>
          <w:sz w:val="20"/>
          <w:szCs w:val="20"/>
          <w:highlight w:val="none"/>
        </w:rPr>
        <w:t xml:space="preserve"> </w:t>
      </w:r>
      <w:r>
        <w:rPr>
          <w:rFonts w:ascii="宋体" w:hAnsi="宋体" w:eastAsia="宋体" w:cs="宋体"/>
          <w:color w:val="auto"/>
          <w:spacing w:val="9"/>
          <w:sz w:val="20"/>
          <w:szCs w:val="20"/>
          <w:highlight w:val="none"/>
        </w:rPr>
        <w:t>由发包人承担相应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责任。除专用合同条款另有约定外，总监理工程师不应将第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9"/>
          <w:sz w:val="20"/>
          <w:szCs w:val="20"/>
          <w:highlight w:val="none"/>
        </w:rPr>
        <w:t>4.4</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款〔商定或确定〕约定应由总监理工程</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师作出确定的权力授权或委托给其他监理人员。</w:t>
      </w:r>
    </w:p>
    <w:p w14:paraId="0B1FD273">
      <w:pPr>
        <w:spacing w:before="2" w:line="431" w:lineRule="auto"/>
        <w:ind w:left="31" w:right="56" w:firstLine="39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承包人对监理人发出的指示有疑问的，应向监理人提出书面异议，监理人应在48</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小时内对该指示予</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以确认、更改或撤销，监理人逾期未回复的，承包人</w:t>
      </w:r>
      <w:r>
        <w:rPr>
          <w:rFonts w:ascii="宋体" w:hAnsi="宋体" w:eastAsia="宋体" w:cs="宋体"/>
          <w:color w:val="auto"/>
          <w:spacing w:val="8"/>
          <w:sz w:val="20"/>
          <w:szCs w:val="20"/>
          <w:highlight w:val="none"/>
        </w:rPr>
        <w:t>有权拒绝执行上述指示。</w:t>
      </w:r>
    </w:p>
    <w:p w14:paraId="79D1B39F">
      <w:pPr>
        <w:spacing w:before="2" w:line="431" w:lineRule="auto"/>
        <w:ind w:left="7"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监理人对承包人的任何工作、工程或其采用的材料和工程设备</w:t>
      </w:r>
      <w:r>
        <w:rPr>
          <w:rFonts w:ascii="宋体" w:hAnsi="宋体" w:eastAsia="宋体" w:cs="宋体"/>
          <w:color w:val="auto"/>
          <w:spacing w:val="6"/>
          <w:sz w:val="20"/>
          <w:szCs w:val="20"/>
          <w:highlight w:val="none"/>
        </w:rPr>
        <w:t>未在约定的或合理期限内提出意见的，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视为批准，但不免除或减轻承包人对该工作、</w:t>
      </w:r>
      <w:r>
        <w:rPr>
          <w:rFonts w:ascii="宋体" w:hAnsi="宋体" w:eastAsia="宋体" w:cs="宋体"/>
          <w:color w:val="auto"/>
          <w:spacing w:val="9"/>
          <w:sz w:val="20"/>
          <w:szCs w:val="20"/>
          <w:highlight w:val="none"/>
        </w:rPr>
        <w:t>工程、材料、工程设备等应承担的责任和义务。</w:t>
      </w:r>
    </w:p>
    <w:p w14:paraId="2029D756">
      <w:pPr>
        <w:spacing w:before="1" w:line="229" w:lineRule="auto"/>
        <w:ind w:left="427"/>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4.4</w:t>
      </w:r>
      <w:r>
        <w:rPr>
          <w:rFonts w:ascii="宋体" w:hAnsi="宋体" w:eastAsia="宋体" w:cs="宋体"/>
          <w:color w:val="auto"/>
          <w:spacing w:val="20"/>
          <w:sz w:val="20"/>
          <w:szCs w:val="20"/>
          <w:highlight w:val="none"/>
        </w:rPr>
        <w:t xml:space="preserve"> </w:t>
      </w:r>
      <w:r>
        <w:rPr>
          <w:rFonts w:ascii="宋体" w:hAnsi="宋体" w:eastAsia="宋体" w:cs="宋体"/>
          <w:color w:val="auto"/>
          <w:spacing w:val="5"/>
          <w:sz w:val="20"/>
          <w:szCs w:val="20"/>
          <w:highlight w:val="none"/>
        </w:rPr>
        <w:t>商定或确定</w:t>
      </w:r>
    </w:p>
    <w:p w14:paraId="5DDD19AC">
      <w:pPr>
        <w:spacing w:before="219" w:line="432" w:lineRule="auto"/>
        <w:ind w:left="10" w:right="56"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合同当事人进行商定或确定时，总监理工程师应当会同合同当事人尽量通过协商达成一致，不能达</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成一致的，由总监理工程师按照合同约定审慎做出公正的确定。</w:t>
      </w:r>
    </w:p>
    <w:p w14:paraId="49F36109">
      <w:pPr>
        <w:spacing w:line="432" w:lineRule="auto"/>
        <w:ind w:left="7" w:right="56" w:firstLine="423"/>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总监理工程师应将确定以书面形式通知发包人和承包人，并附详细依据。合同当事人对总监理工程</w:t>
      </w:r>
      <w:r>
        <w:rPr>
          <w:rFonts w:ascii="宋体" w:hAnsi="宋体" w:eastAsia="宋体" w:cs="宋体"/>
          <w:color w:val="auto"/>
          <w:spacing w:val="3"/>
          <w:sz w:val="20"/>
          <w:szCs w:val="20"/>
          <w:highlight w:val="none"/>
        </w:rPr>
        <w:t xml:space="preserve"> </w:t>
      </w:r>
      <w:r>
        <w:rPr>
          <w:rFonts w:ascii="宋体" w:hAnsi="宋体" w:eastAsia="宋体" w:cs="宋体"/>
          <w:color w:val="auto"/>
          <w:spacing w:val="7"/>
          <w:sz w:val="20"/>
          <w:szCs w:val="20"/>
          <w:highlight w:val="none"/>
        </w:rPr>
        <w:t>师的确定没有异议的，按照总监理工程师的确定执行。任何一方合同当事人有异议，按照第</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20</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条〔争议</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解决〕约定处理。争议解决前，合同当事人暂按总监理工程师的确定执行；争议解决后，争议解决的结</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果与总监理工程师的确定不一致的，按照争议解决的</w:t>
      </w:r>
      <w:r>
        <w:rPr>
          <w:rFonts w:ascii="宋体" w:hAnsi="宋体" w:eastAsia="宋体" w:cs="宋体"/>
          <w:color w:val="auto"/>
          <w:spacing w:val="8"/>
          <w:sz w:val="20"/>
          <w:szCs w:val="20"/>
          <w:highlight w:val="none"/>
        </w:rPr>
        <w:t>结果执行，</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由此造成的损失由责任人承担。</w:t>
      </w:r>
    </w:p>
    <w:p w14:paraId="0D121C9C">
      <w:pPr>
        <w:spacing w:line="229"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5.</w:t>
      </w:r>
      <w:r>
        <w:rPr>
          <w:rFonts w:ascii="宋体" w:hAnsi="宋体" w:eastAsia="宋体" w:cs="宋体"/>
          <w:color w:val="auto"/>
          <w:spacing w:val="14"/>
          <w:sz w:val="20"/>
          <w:szCs w:val="20"/>
          <w:highlight w:val="none"/>
        </w:rPr>
        <w:t xml:space="preserve"> </w:t>
      </w:r>
      <w:r>
        <w:rPr>
          <w:rFonts w:ascii="宋体" w:hAnsi="宋体" w:eastAsia="宋体" w:cs="宋体"/>
          <w:color w:val="auto"/>
          <w:spacing w:val="4"/>
          <w:sz w:val="20"/>
          <w:szCs w:val="20"/>
          <w:highlight w:val="none"/>
        </w:rPr>
        <w:t>工程质量</w:t>
      </w:r>
    </w:p>
    <w:p w14:paraId="3F3C09B5">
      <w:pPr>
        <w:spacing w:before="220" w:line="229"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5.1</w:t>
      </w:r>
      <w:r>
        <w:rPr>
          <w:rFonts w:ascii="宋体" w:hAnsi="宋体" w:eastAsia="宋体" w:cs="宋体"/>
          <w:color w:val="auto"/>
          <w:spacing w:val="-37"/>
          <w:sz w:val="20"/>
          <w:szCs w:val="20"/>
          <w:highlight w:val="none"/>
        </w:rPr>
        <w:t xml:space="preserve"> </w:t>
      </w:r>
      <w:r>
        <w:rPr>
          <w:rFonts w:ascii="宋体" w:hAnsi="宋体" w:eastAsia="宋体" w:cs="宋体"/>
          <w:color w:val="auto"/>
          <w:spacing w:val="4"/>
          <w:sz w:val="20"/>
          <w:szCs w:val="20"/>
          <w:highlight w:val="none"/>
        </w:rPr>
        <w:t>质量要求</w:t>
      </w:r>
    </w:p>
    <w:p w14:paraId="28971925">
      <w:pPr>
        <w:spacing w:before="221" w:line="433" w:lineRule="auto"/>
        <w:ind w:left="8" w:right="56"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5.1.1 工程质量标准必须符合现行国家有关工程施工质量验收规范和标准的要求。有关工程质量的</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特殊标准或要求由合同当事人在专用合同条款中约定。</w:t>
      </w:r>
    </w:p>
    <w:p w14:paraId="65DD54AD">
      <w:pPr>
        <w:spacing w:line="433" w:lineRule="auto"/>
        <w:rPr>
          <w:rFonts w:ascii="宋体" w:hAnsi="宋体" w:eastAsia="宋体" w:cs="宋体"/>
          <w:color w:val="auto"/>
          <w:sz w:val="20"/>
          <w:szCs w:val="20"/>
          <w:highlight w:val="none"/>
        </w:rPr>
        <w:sectPr>
          <w:headerReference r:id="rId115" w:type="default"/>
          <w:footerReference r:id="rId116" w:type="default"/>
          <w:pgSz w:w="11906" w:h="16839"/>
          <w:pgMar w:top="1091" w:right="1164" w:bottom="1158" w:left="1219" w:header="1076" w:footer="922" w:gutter="0"/>
          <w:cols w:space="720" w:num="1"/>
        </w:sectPr>
      </w:pPr>
    </w:p>
    <w:p w14:paraId="15E60CE7">
      <w:pPr>
        <w:spacing w:before="256" w:line="330" w:lineRule="auto"/>
        <w:ind w:left="9" w:right="20" w:firstLine="42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5.1.2 因发包人原因造成工程质量未达到合同约定标准的，</w:t>
      </w:r>
      <w:r>
        <w:rPr>
          <w:rFonts w:ascii="宋体" w:hAnsi="宋体" w:eastAsia="宋体" w:cs="宋体"/>
          <w:color w:val="auto"/>
          <w:spacing w:val="-55"/>
          <w:sz w:val="20"/>
          <w:szCs w:val="20"/>
          <w:highlight w:val="none"/>
        </w:rPr>
        <w:t xml:space="preserve"> </w:t>
      </w:r>
      <w:r>
        <w:rPr>
          <w:rFonts w:ascii="宋体" w:hAnsi="宋体" w:eastAsia="宋体" w:cs="宋体"/>
          <w:color w:val="auto"/>
          <w:spacing w:val="8"/>
          <w:sz w:val="20"/>
          <w:szCs w:val="20"/>
          <w:highlight w:val="none"/>
        </w:rPr>
        <w:t>由发包人承担由此增加的费用和（或）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延误的工期，并支付承包人合理的利润。</w:t>
      </w:r>
    </w:p>
    <w:p w14:paraId="16E75607">
      <w:pPr>
        <w:spacing w:before="220" w:line="330" w:lineRule="auto"/>
        <w:ind w:left="8" w:right="2"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5.1.3 因承包人原因造成工程质量未达到合同约定标准的，发包人有权要求承包人返工直至工程质</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量达到合同约定的标准为止，并由承包人承担由此增加的费用和（或）延误的工期。</w:t>
      </w:r>
    </w:p>
    <w:p w14:paraId="528D37AE">
      <w:pPr>
        <w:spacing w:before="220" w:line="229"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5.2</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质量保证措施</w:t>
      </w:r>
    </w:p>
    <w:p w14:paraId="5289C59D">
      <w:pPr>
        <w:spacing w:before="220"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5.2.1 发包人的质量管理</w:t>
      </w:r>
    </w:p>
    <w:p w14:paraId="0F3F79AC">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发包人应按照法律规定及合同约定完成与工程质量有关的各项工作。</w:t>
      </w:r>
    </w:p>
    <w:p w14:paraId="5AA3EF21">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5.2.2 承包人的质量管理</w:t>
      </w:r>
    </w:p>
    <w:p w14:paraId="11552613">
      <w:pPr>
        <w:spacing w:before="221" w:line="432" w:lineRule="auto"/>
        <w:ind w:left="10" w:right="2" w:firstLine="41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承包人按照第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7.1</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款〔施工组织设计〕约定向发包人和监理人提交工程质量保证体系及措施文件，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建立完善的质量检查制度，并提交相应的工程质量文件。对于发包人和监理人违反法律规定和合同约定</w:t>
      </w:r>
      <w:r>
        <w:rPr>
          <w:rFonts w:ascii="宋体" w:hAnsi="宋体" w:eastAsia="宋体" w:cs="宋体"/>
          <w:color w:val="auto"/>
          <w:spacing w:val="3"/>
          <w:sz w:val="20"/>
          <w:szCs w:val="20"/>
          <w:highlight w:val="none"/>
        </w:rPr>
        <w:t xml:space="preserve"> </w:t>
      </w:r>
      <w:r>
        <w:rPr>
          <w:rFonts w:ascii="宋体" w:hAnsi="宋体" w:eastAsia="宋体" w:cs="宋体"/>
          <w:color w:val="auto"/>
          <w:spacing w:val="8"/>
          <w:sz w:val="20"/>
          <w:szCs w:val="20"/>
          <w:highlight w:val="none"/>
        </w:rPr>
        <w:t>的错误指示，承包人有权拒绝实施。</w:t>
      </w:r>
    </w:p>
    <w:p w14:paraId="52EB3D94">
      <w:pPr>
        <w:spacing w:before="2" w:line="431" w:lineRule="auto"/>
        <w:ind w:left="9"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承包人应对施工人员进行质量教育和技术培训，定期考核施工人员的劳动技能，严格执行施工规范</w:t>
      </w:r>
      <w:r>
        <w:rPr>
          <w:rFonts w:ascii="宋体" w:hAnsi="宋体" w:eastAsia="宋体" w:cs="宋体"/>
          <w:color w:val="auto"/>
          <w:spacing w:val="6"/>
          <w:sz w:val="20"/>
          <w:szCs w:val="20"/>
          <w:highlight w:val="none"/>
        </w:rPr>
        <w:t xml:space="preserve"> 和操作规程。</w:t>
      </w:r>
    </w:p>
    <w:p w14:paraId="4C2255A8">
      <w:pPr>
        <w:spacing w:line="432" w:lineRule="auto"/>
        <w:ind w:left="8"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承包人应按照法律规定和发包人的要求，对材料、工程设备以及工程的所有部位及其施工工艺进行</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全过程的质量检查和检验，并作详细记录，编制工程质量报表，报送监理人审查。此外，承包人还应按</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照法律规定和发包人的要求，进行施工现场取样试验、工程复核测量和设备性能检测，提供试验样品、</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提交试验报告和测量成果以及其他工作。</w:t>
      </w:r>
    </w:p>
    <w:p w14:paraId="6D47AFF3">
      <w:pPr>
        <w:spacing w:line="228" w:lineRule="auto"/>
        <w:ind w:left="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5.2.3 监理人的质量检查和检验</w:t>
      </w:r>
    </w:p>
    <w:p w14:paraId="22BB0D65">
      <w:pPr>
        <w:spacing w:before="221" w:line="432" w:lineRule="auto"/>
        <w:ind w:left="7" w:right="2"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监理人按照法律规定和发包人授权对工程的所有部位及其施工工艺、材料和工程设备进行检查和检</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验。承包人应为监理人的检查和检验提供方便，包括监理人到施工现场，或制造、加工地点，或合同约</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定的其他地方进行察看和查阅施工原始记录。监理人为此进行的检查和检验，不免除或减轻承包人按照</w:t>
      </w:r>
      <w:r>
        <w:rPr>
          <w:rFonts w:ascii="宋体" w:hAnsi="宋体" w:eastAsia="宋体" w:cs="宋体"/>
          <w:color w:val="auto"/>
          <w:spacing w:val="7"/>
          <w:sz w:val="20"/>
          <w:szCs w:val="20"/>
          <w:highlight w:val="none"/>
        </w:rPr>
        <w:t xml:space="preserve"> </w:t>
      </w:r>
      <w:r>
        <w:rPr>
          <w:rFonts w:ascii="宋体" w:hAnsi="宋体" w:eastAsia="宋体" w:cs="宋体"/>
          <w:color w:val="auto"/>
          <w:spacing w:val="8"/>
          <w:sz w:val="20"/>
          <w:szCs w:val="20"/>
          <w:highlight w:val="none"/>
        </w:rPr>
        <w:t>合同约定应当承担的责任。</w:t>
      </w:r>
    </w:p>
    <w:p w14:paraId="763E3F20">
      <w:pPr>
        <w:spacing w:line="432" w:lineRule="auto"/>
        <w:ind w:left="8" w:right="2" w:firstLine="42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监理人的检查和检验不应影响施工正常进行。监理人的检查和检验影响施工正常进行的，且经检查</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检验不合格的，影响正常施工的费用由承包人承担，工期不予顺延；经检查检验合格的，</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由此增加的费</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用和（或）延误的工期由发包人承担。</w:t>
      </w:r>
    </w:p>
    <w:p w14:paraId="211ABCDF">
      <w:pPr>
        <w:spacing w:line="228"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5.3</w:t>
      </w:r>
      <w:r>
        <w:rPr>
          <w:rFonts w:ascii="宋体" w:hAnsi="宋体" w:eastAsia="宋体" w:cs="宋体"/>
          <w:color w:val="auto"/>
          <w:spacing w:val="28"/>
          <w:sz w:val="20"/>
          <w:szCs w:val="20"/>
          <w:highlight w:val="none"/>
        </w:rPr>
        <w:t xml:space="preserve"> </w:t>
      </w:r>
      <w:r>
        <w:rPr>
          <w:rFonts w:ascii="宋体" w:hAnsi="宋体" w:eastAsia="宋体" w:cs="宋体"/>
          <w:color w:val="auto"/>
          <w:spacing w:val="4"/>
          <w:sz w:val="20"/>
          <w:szCs w:val="20"/>
          <w:highlight w:val="none"/>
        </w:rPr>
        <w:t>隐蔽工程检查</w:t>
      </w:r>
    </w:p>
    <w:p w14:paraId="32D6056E">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5.3.1</w:t>
      </w:r>
      <w:r>
        <w:rPr>
          <w:rFonts w:ascii="宋体" w:hAnsi="宋体" w:eastAsia="宋体" w:cs="宋体"/>
          <w:color w:val="auto"/>
          <w:spacing w:val="-39"/>
          <w:sz w:val="20"/>
          <w:szCs w:val="20"/>
          <w:highlight w:val="none"/>
        </w:rPr>
        <w:t xml:space="preserve"> </w:t>
      </w:r>
      <w:r>
        <w:rPr>
          <w:rFonts w:ascii="宋体" w:hAnsi="宋体" w:eastAsia="宋体" w:cs="宋体"/>
          <w:color w:val="auto"/>
          <w:spacing w:val="5"/>
          <w:sz w:val="20"/>
          <w:szCs w:val="20"/>
          <w:highlight w:val="none"/>
        </w:rPr>
        <w:t>承包人自检</w:t>
      </w:r>
    </w:p>
    <w:p w14:paraId="68814C7A">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承包人应当对工程隐蔽部位进行自检，并经自检确认是否具备覆盖条件。</w:t>
      </w:r>
    </w:p>
    <w:p w14:paraId="31DA61DB">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5.3.2</w:t>
      </w:r>
      <w:r>
        <w:rPr>
          <w:rFonts w:ascii="宋体" w:hAnsi="宋体" w:eastAsia="宋体" w:cs="宋体"/>
          <w:color w:val="auto"/>
          <w:spacing w:val="-36"/>
          <w:sz w:val="20"/>
          <w:szCs w:val="20"/>
          <w:highlight w:val="none"/>
        </w:rPr>
        <w:t xml:space="preserve"> </w:t>
      </w:r>
      <w:r>
        <w:rPr>
          <w:rFonts w:ascii="宋体" w:hAnsi="宋体" w:eastAsia="宋体" w:cs="宋体"/>
          <w:color w:val="auto"/>
          <w:spacing w:val="4"/>
          <w:sz w:val="20"/>
          <w:szCs w:val="20"/>
          <w:highlight w:val="none"/>
        </w:rPr>
        <w:t>检查程序</w:t>
      </w:r>
    </w:p>
    <w:p w14:paraId="180C65C8">
      <w:pPr>
        <w:spacing w:before="221" w:line="228" w:lineRule="auto"/>
        <w:ind w:right="2"/>
        <w:jc w:val="right"/>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除专用合同条款另有约定外，工程隐蔽部位经承包人自检确认具备覆盖条件的，承</w:t>
      </w:r>
      <w:r>
        <w:rPr>
          <w:rFonts w:ascii="宋体" w:hAnsi="宋体" w:eastAsia="宋体" w:cs="宋体"/>
          <w:color w:val="auto"/>
          <w:spacing w:val="9"/>
          <w:sz w:val="20"/>
          <w:szCs w:val="20"/>
          <w:highlight w:val="none"/>
        </w:rPr>
        <w:t>包人应在共同检</w:t>
      </w:r>
    </w:p>
    <w:p w14:paraId="3057052F">
      <w:pPr>
        <w:spacing w:line="228" w:lineRule="auto"/>
        <w:rPr>
          <w:rFonts w:ascii="宋体" w:hAnsi="宋体" w:eastAsia="宋体" w:cs="宋体"/>
          <w:color w:val="auto"/>
          <w:sz w:val="20"/>
          <w:szCs w:val="20"/>
          <w:highlight w:val="none"/>
        </w:rPr>
        <w:sectPr>
          <w:headerReference r:id="rId117" w:type="default"/>
          <w:footerReference r:id="rId118" w:type="default"/>
          <w:pgSz w:w="11906" w:h="16839"/>
          <w:pgMar w:top="1091" w:right="1219" w:bottom="1158" w:left="1219" w:header="1076" w:footer="922" w:gutter="0"/>
          <w:cols w:space="720" w:num="1"/>
        </w:sectPr>
      </w:pPr>
    </w:p>
    <w:p w14:paraId="083CE5A3">
      <w:pPr>
        <w:spacing w:before="256" w:line="432" w:lineRule="auto"/>
        <w:ind w:left="9" w:right="2" w:firstLine="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查前48</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小时书面通知监理人检查，通知中应</w:t>
      </w:r>
      <w:r>
        <w:rPr>
          <w:rFonts w:ascii="宋体" w:hAnsi="宋体" w:eastAsia="宋体" w:cs="宋体"/>
          <w:color w:val="auto"/>
          <w:spacing w:val="8"/>
          <w:sz w:val="20"/>
          <w:szCs w:val="20"/>
          <w:highlight w:val="none"/>
        </w:rPr>
        <w:t>载明隐蔽检查的内容、时间和地点，并应附有自检记录和必</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要的检查资料。</w:t>
      </w:r>
    </w:p>
    <w:p w14:paraId="47AC6F24">
      <w:pPr>
        <w:spacing w:line="432" w:lineRule="auto"/>
        <w:ind w:left="7" w:right="2" w:firstLine="421"/>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监理人应按时到场并对隐蔽工程及其施工工艺、材料和工程设备进行检查。经监理人检查确认质量</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符合隐蔽要求，并在验收记录上签字后，承包人才能进行覆盖。经监理人检查质量不合格的，承包人应</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在监理人指示的时间内完成修复，并由监理人重新检查，</w:t>
      </w:r>
      <w:r>
        <w:rPr>
          <w:rFonts w:ascii="宋体" w:hAnsi="宋体" w:eastAsia="宋体" w:cs="宋体"/>
          <w:color w:val="auto"/>
          <w:spacing w:val="-48"/>
          <w:sz w:val="20"/>
          <w:szCs w:val="20"/>
          <w:highlight w:val="none"/>
        </w:rPr>
        <w:t xml:space="preserve"> </w:t>
      </w:r>
      <w:r>
        <w:rPr>
          <w:rFonts w:ascii="宋体" w:hAnsi="宋体" w:eastAsia="宋体" w:cs="宋体"/>
          <w:color w:val="auto"/>
          <w:spacing w:val="9"/>
          <w:sz w:val="20"/>
          <w:szCs w:val="20"/>
          <w:highlight w:val="none"/>
        </w:rPr>
        <w:t>由此增加的费用和（或）延误的工期由承包人</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承担。</w:t>
      </w:r>
    </w:p>
    <w:p w14:paraId="01DBF438">
      <w:pPr>
        <w:spacing w:before="4" w:line="431" w:lineRule="auto"/>
        <w:ind w:left="9" w:right="1" w:firstLine="431"/>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除专用合同条款另有约定外，监理人不能按时进行检查的，应在检查前</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24</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小时向承包人提交书面延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期要求，但延期不能超过48</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小时，由此导致工期</w:t>
      </w:r>
      <w:r>
        <w:rPr>
          <w:rFonts w:ascii="宋体" w:hAnsi="宋体" w:eastAsia="宋体" w:cs="宋体"/>
          <w:color w:val="auto"/>
          <w:spacing w:val="8"/>
          <w:sz w:val="20"/>
          <w:szCs w:val="20"/>
          <w:highlight w:val="none"/>
        </w:rPr>
        <w:t>延误的，工期应予以顺延。监理人未按时进行检查，也</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未提出延期要求的，视为隐蔽工程检查合格，承包人可自行完成覆盖工作，并作相应记录报送监理人，</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监理人应签字确认。监理人事后对检查记录有疑</w:t>
      </w:r>
      <w:r>
        <w:rPr>
          <w:rFonts w:ascii="宋体" w:hAnsi="宋体" w:eastAsia="宋体" w:cs="宋体"/>
          <w:color w:val="auto"/>
          <w:spacing w:val="8"/>
          <w:sz w:val="20"/>
          <w:szCs w:val="20"/>
          <w:highlight w:val="none"/>
        </w:rPr>
        <w:t>问的，可按第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5.3.3</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项〔重新检查〕的约定重新检查。</w:t>
      </w:r>
    </w:p>
    <w:p w14:paraId="47340389">
      <w:pPr>
        <w:spacing w:line="228"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5.3.3 重新检查</w:t>
      </w:r>
    </w:p>
    <w:p w14:paraId="7303FF7E">
      <w:pPr>
        <w:spacing w:before="220" w:line="432" w:lineRule="auto"/>
        <w:ind w:left="8"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承包人覆盖工程隐蔽部位后，发包人或监理人对质量有疑问的，可要求承包人对已覆盖的部位进行</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钻孔探测或揭开重新检查，承包人应遵照执行，并在检查后重新覆盖恢复原状。经检查证明工程质量符</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合合同要求的，</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由发包人承担由此增加的费用和（或）延误的工期，并支付承包人合理的利润；经检查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证明工程质量不符合合同要求的，由此增加的费用和（或）延误的工期由承包人承担。</w:t>
      </w:r>
    </w:p>
    <w:p w14:paraId="4E8C13AC">
      <w:pPr>
        <w:spacing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5.3.4 承包人私自覆盖</w:t>
      </w:r>
    </w:p>
    <w:p w14:paraId="052C7598">
      <w:pPr>
        <w:spacing w:before="220" w:line="432" w:lineRule="auto"/>
        <w:ind w:left="9"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承包人未通知监理人到场检查，私自将工程隐蔽部位覆盖的，监理人有权指示承包人钻孔探测或揭</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开检查，无论工程隐蔽部位质量是否合格，由</w:t>
      </w:r>
      <w:r>
        <w:rPr>
          <w:rFonts w:ascii="宋体" w:hAnsi="宋体" w:eastAsia="宋体" w:cs="宋体"/>
          <w:color w:val="auto"/>
          <w:spacing w:val="9"/>
          <w:sz w:val="20"/>
          <w:szCs w:val="20"/>
          <w:highlight w:val="none"/>
        </w:rPr>
        <w:t>此增加的费用和（或）延误的工期均由承包人承担。</w:t>
      </w:r>
    </w:p>
    <w:p w14:paraId="72D9FFC0">
      <w:pPr>
        <w:spacing w:before="1"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5.4</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不合格工程的处理</w:t>
      </w:r>
    </w:p>
    <w:p w14:paraId="384E4C12">
      <w:pPr>
        <w:spacing w:before="221" w:line="364" w:lineRule="auto"/>
        <w:ind w:left="9" w:right="1"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5.4.1 因承包人原因造成工程不合格的，发包人有权随时要求承包人采取补救措施，直至达到合同</w:t>
      </w:r>
      <w:r>
        <w:rPr>
          <w:rFonts w:ascii="宋体" w:hAnsi="宋体" w:eastAsia="宋体" w:cs="宋体"/>
          <w:color w:val="auto"/>
          <w:spacing w:val="18"/>
          <w:sz w:val="20"/>
          <w:szCs w:val="20"/>
          <w:highlight w:val="none"/>
        </w:rPr>
        <w:t xml:space="preserve"> </w:t>
      </w:r>
      <w:r>
        <w:rPr>
          <w:rFonts w:ascii="宋体" w:hAnsi="宋体" w:eastAsia="宋体" w:cs="宋体"/>
          <w:color w:val="auto"/>
          <w:spacing w:val="2"/>
          <w:sz w:val="20"/>
          <w:szCs w:val="20"/>
          <w:highlight w:val="none"/>
        </w:rPr>
        <w:t>要求的质量标准，由此增加的费用和（或）延误的工期由承包人承担。无法补救的，按照第</w:t>
      </w:r>
      <w:r>
        <w:rPr>
          <w:rFonts w:ascii="宋体" w:hAnsi="宋体" w:eastAsia="宋体" w:cs="宋体"/>
          <w:color w:val="auto"/>
          <w:spacing w:val="-6"/>
          <w:sz w:val="20"/>
          <w:szCs w:val="20"/>
          <w:highlight w:val="none"/>
        </w:rPr>
        <w:t xml:space="preserve"> </w:t>
      </w:r>
      <w:r>
        <w:rPr>
          <w:rFonts w:ascii="宋体" w:hAnsi="宋体" w:eastAsia="宋体" w:cs="宋体"/>
          <w:color w:val="auto"/>
          <w:spacing w:val="2"/>
          <w:sz w:val="20"/>
          <w:szCs w:val="20"/>
          <w:highlight w:val="none"/>
        </w:rPr>
        <w:t>13.2.4</w:t>
      </w:r>
      <w:r>
        <w:rPr>
          <w:rFonts w:ascii="宋体" w:hAnsi="宋体" w:eastAsia="宋体" w:cs="宋体"/>
          <w:color w:val="auto"/>
          <w:spacing w:val="-37"/>
          <w:sz w:val="20"/>
          <w:szCs w:val="20"/>
          <w:highlight w:val="none"/>
        </w:rPr>
        <w:t xml:space="preserve"> </w:t>
      </w:r>
      <w:r>
        <w:rPr>
          <w:rFonts w:ascii="宋体" w:hAnsi="宋体" w:eastAsia="宋体" w:cs="宋体"/>
          <w:color w:val="auto"/>
          <w:spacing w:val="2"/>
          <w:sz w:val="20"/>
          <w:szCs w:val="20"/>
          <w:highlight w:val="none"/>
        </w:rPr>
        <w:t>项〔拒</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绝接收全部或部分工程〕约定执行。</w:t>
      </w:r>
    </w:p>
    <w:p w14:paraId="69936F1B">
      <w:pPr>
        <w:spacing w:before="221" w:line="330" w:lineRule="auto"/>
        <w:ind w:left="8" w:right="2"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5.4.2 因发包人原因造成工程不合格的，由此增加的费用和（或）延误的工期由发包人承担，并支</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付承包人合理的利润。</w:t>
      </w:r>
    </w:p>
    <w:p w14:paraId="438C27B1">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5.5 质量争议检测</w:t>
      </w:r>
    </w:p>
    <w:p w14:paraId="6ECCD68B">
      <w:pPr>
        <w:spacing w:before="220" w:line="432" w:lineRule="auto"/>
        <w:ind w:left="9" w:right="2"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合同当事人对工程质量有争议的，</w:t>
      </w:r>
      <w:r>
        <w:rPr>
          <w:rFonts w:ascii="宋体" w:hAnsi="宋体" w:eastAsia="宋体" w:cs="宋体"/>
          <w:color w:val="auto"/>
          <w:spacing w:val="-50"/>
          <w:sz w:val="20"/>
          <w:szCs w:val="20"/>
          <w:highlight w:val="none"/>
        </w:rPr>
        <w:t xml:space="preserve"> </w:t>
      </w:r>
      <w:r>
        <w:rPr>
          <w:rFonts w:ascii="宋体" w:hAnsi="宋体" w:eastAsia="宋体" w:cs="宋体"/>
          <w:color w:val="auto"/>
          <w:spacing w:val="8"/>
          <w:sz w:val="20"/>
          <w:szCs w:val="20"/>
          <w:highlight w:val="none"/>
        </w:rPr>
        <w:t>由双方协商确定的工程质量检测机构鉴定，</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由此产生的费用及因</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此造成的损失，由责任方承担。</w:t>
      </w:r>
    </w:p>
    <w:p w14:paraId="60D8B786">
      <w:pPr>
        <w:spacing w:line="432" w:lineRule="auto"/>
        <w:ind w:left="36" w:right="1" w:firstLine="39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合同当事人均有责任的，</w:t>
      </w:r>
      <w:r>
        <w:rPr>
          <w:rFonts w:ascii="宋体" w:hAnsi="宋体" w:eastAsia="宋体" w:cs="宋体"/>
          <w:color w:val="auto"/>
          <w:spacing w:val="-59"/>
          <w:sz w:val="20"/>
          <w:szCs w:val="20"/>
          <w:highlight w:val="none"/>
        </w:rPr>
        <w:t xml:space="preserve"> </w:t>
      </w:r>
      <w:r>
        <w:rPr>
          <w:rFonts w:ascii="宋体" w:hAnsi="宋体" w:eastAsia="宋体" w:cs="宋体"/>
          <w:color w:val="auto"/>
          <w:spacing w:val="9"/>
          <w:sz w:val="20"/>
          <w:szCs w:val="20"/>
          <w:highlight w:val="none"/>
        </w:rPr>
        <w:t>由双方根据其责任分别承</w:t>
      </w:r>
      <w:r>
        <w:rPr>
          <w:rFonts w:ascii="宋体" w:hAnsi="宋体" w:eastAsia="宋体" w:cs="宋体"/>
          <w:color w:val="auto"/>
          <w:spacing w:val="8"/>
          <w:sz w:val="20"/>
          <w:szCs w:val="20"/>
          <w:highlight w:val="none"/>
        </w:rPr>
        <w:t>担。合同当事人无法达成一致的，按照第</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4.4</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款</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〔商定或确定〕执行。</w:t>
      </w:r>
    </w:p>
    <w:p w14:paraId="659071A1">
      <w:pPr>
        <w:spacing w:before="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 安全文明施工与环境保护</w:t>
      </w:r>
    </w:p>
    <w:p w14:paraId="49AD2CFA">
      <w:pPr>
        <w:spacing w:line="228" w:lineRule="auto"/>
        <w:rPr>
          <w:rFonts w:ascii="宋体" w:hAnsi="宋体" w:eastAsia="宋体" w:cs="宋体"/>
          <w:color w:val="auto"/>
          <w:sz w:val="20"/>
          <w:szCs w:val="20"/>
          <w:highlight w:val="none"/>
        </w:rPr>
        <w:sectPr>
          <w:footerReference r:id="rId119" w:type="default"/>
          <w:pgSz w:w="11906" w:h="16839"/>
          <w:pgMar w:top="1091" w:right="1219" w:bottom="1158" w:left="1219" w:header="1076" w:footer="922" w:gutter="0"/>
          <w:cols w:space="720" w:num="1"/>
        </w:sectPr>
      </w:pPr>
    </w:p>
    <w:p w14:paraId="7C0DD44B">
      <w:pPr>
        <w:spacing w:before="256"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6.1</w:t>
      </w:r>
      <w:r>
        <w:rPr>
          <w:rFonts w:ascii="宋体" w:hAnsi="宋体" w:eastAsia="宋体" w:cs="宋体"/>
          <w:color w:val="auto"/>
          <w:spacing w:val="-31"/>
          <w:sz w:val="20"/>
          <w:szCs w:val="20"/>
          <w:highlight w:val="none"/>
        </w:rPr>
        <w:t xml:space="preserve"> </w:t>
      </w:r>
      <w:r>
        <w:rPr>
          <w:rFonts w:ascii="宋体" w:hAnsi="宋体" w:eastAsia="宋体" w:cs="宋体"/>
          <w:color w:val="auto"/>
          <w:spacing w:val="5"/>
          <w:sz w:val="20"/>
          <w:szCs w:val="20"/>
          <w:highlight w:val="none"/>
        </w:rPr>
        <w:t>安全文明施工</w:t>
      </w:r>
    </w:p>
    <w:p w14:paraId="1721D358">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6.1.1</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安全生产要求</w:t>
      </w:r>
    </w:p>
    <w:p w14:paraId="2F709E74">
      <w:pPr>
        <w:spacing w:before="220" w:line="432" w:lineRule="auto"/>
        <w:ind w:left="9" w:right="71"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合同履行期间，合同当事人均应当遵守国家和工程所在地有关安全生产的要求，合同当事人有特别</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要求的，应在专用合同条款中明确施工项目安全生产标准化达标目标及相应事项。承包人有权拒绝发包</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人及监理人强令承包人违章作业、冒险施工的任何指示。</w:t>
      </w:r>
    </w:p>
    <w:p w14:paraId="1810E5F5">
      <w:pPr>
        <w:spacing w:line="432" w:lineRule="auto"/>
        <w:ind w:left="8" w:right="71"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在施工过程中，如遇到突发的地质变动、事先未知的地下施工障碍等影响施工安全的紧急情况，承</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包人应及时报告监理人和发包人，发包人应当及时下</w:t>
      </w:r>
      <w:r>
        <w:rPr>
          <w:rFonts w:ascii="宋体" w:hAnsi="宋体" w:eastAsia="宋体" w:cs="宋体"/>
          <w:color w:val="auto"/>
          <w:spacing w:val="9"/>
          <w:sz w:val="20"/>
          <w:szCs w:val="20"/>
          <w:highlight w:val="none"/>
        </w:rPr>
        <w:t>令停工并报政府有关行政管理部门采取应急措施。</w:t>
      </w:r>
    </w:p>
    <w:p w14:paraId="72E90D29">
      <w:pPr>
        <w:spacing w:line="228" w:lineRule="auto"/>
        <w:ind w:left="4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因安全生产需要暂停施工的，按照第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7.8</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款〔暂停施工〕的约定执行。</w:t>
      </w:r>
    </w:p>
    <w:p w14:paraId="70CFF229">
      <w:pPr>
        <w:spacing w:before="220"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6.1.2 安全生产保证措施</w:t>
      </w:r>
    </w:p>
    <w:p w14:paraId="60AB20DE">
      <w:pPr>
        <w:spacing w:before="221" w:line="432" w:lineRule="auto"/>
        <w:ind w:left="8" w:right="71"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承包人应当按照有关规定编制安全技术措施或者专项施工方案，建立安全生产责任制度、治安保卫</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制度及安全生产教育培训制度，并按安全生产法律规定及合同约定履行安全职责，如实编制工程安全生</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产的有关记录，接受发包人、监理人及政府安全监督部门的检查与监督。</w:t>
      </w:r>
    </w:p>
    <w:p w14:paraId="30E9E6B3">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6.1.3</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特别安全生产事项</w:t>
      </w:r>
    </w:p>
    <w:p w14:paraId="764142D9">
      <w:pPr>
        <w:spacing w:before="221" w:line="432" w:lineRule="auto"/>
        <w:ind w:left="7" w:right="71"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承包人应按照法律规定进行施工，开工前做好安全技术交底工作，施工过程中做好各项安全防护措</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施。承包人为实施合同而雇用的特殊工种的人员应受过专门的培训并已取得政府有关管理机构颁发的上</w:t>
      </w:r>
      <w:r>
        <w:rPr>
          <w:rFonts w:ascii="宋体" w:hAnsi="宋体" w:eastAsia="宋体" w:cs="宋体"/>
          <w:color w:val="auto"/>
          <w:spacing w:val="7"/>
          <w:sz w:val="20"/>
          <w:szCs w:val="20"/>
          <w:highlight w:val="none"/>
        </w:rPr>
        <w:t xml:space="preserve"> </w:t>
      </w:r>
      <w:r>
        <w:rPr>
          <w:rFonts w:ascii="宋体" w:hAnsi="宋体" w:eastAsia="宋体" w:cs="宋体"/>
          <w:color w:val="auto"/>
          <w:spacing w:val="5"/>
          <w:sz w:val="20"/>
          <w:szCs w:val="20"/>
          <w:highlight w:val="none"/>
        </w:rPr>
        <w:t>岗证书。</w:t>
      </w:r>
    </w:p>
    <w:p w14:paraId="4ACB6345">
      <w:pPr>
        <w:spacing w:before="2" w:line="431" w:lineRule="auto"/>
        <w:ind w:left="10" w:right="71"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承包人在动力设备、输电线路、地下管道、密封防震车间、易燃易爆地段以及临街交通要道附近施</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工时，施工开始前应向发包人和监理人提出安全防护措施，经发包人认可后实施。</w:t>
      </w:r>
    </w:p>
    <w:p w14:paraId="6D151CA1">
      <w:pPr>
        <w:spacing w:before="3" w:line="431" w:lineRule="auto"/>
        <w:ind w:left="10" w:right="71" w:firstLine="423"/>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实施爆破作业，在放射、毒害性环境中施工（含储存、运输、使用）及使用毒害性、腐蚀性物品施</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rPr>
        <w:t>工时，承包人应在施工前</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天以书面通知发包人和监理人，并报送相应的安全防护措施，经发包人认可</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后实施。</w:t>
      </w:r>
    </w:p>
    <w:p w14:paraId="0B5E3B95">
      <w:pPr>
        <w:spacing w:line="432" w:lineRule="auto"/>
        <w:ind w:left="8" w:right="71"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需单独编制危险性较大分部分项专项工程施工方案的，及要求进行专家论证的超过一定规</w:t>
      </w:r>
      <w:r>
        <w:rPr>
          <w:rFonts w:ascii="宋体" w:hAnsi="宋体" w:eastAsia="宋体" w:cs="宋体"/>
          <w:color w:val="auto"/>
          <w:spacing w:val="9"/>
          <w:sz w:val="20"/>
          <w:szCs w:val="20"/>
          <w:highlight w:val="none"/>
        </w:rPr>
        <w:t>模的危险</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性较大的分部分项工程，承包人应及时编制和组织论证。</w:t>
      </w:r>
    </w:p>
    <w:p w14:paraId="194884F7">
      <w:pPr>
        <w:spacing w:before="1" w:line="229" w:lineRule="auto"/>
        <w:ind w:left="43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6.1.4</w:t>
      </w:r>
      <w:r>
        <w:rPr>
          <w:rFonts w:ascii="宋体" w:hAnsi="宋体" w:eastAsia="宋体" w:cs="宋体"/>
          <w:color w:val="auto"/>
          <w:spacing w:val="19"/>
          <w:sz w:val="20"/>
          <w:szCs w:val="20"/>
          <w:highlight w:val="none"/>
        </w:rPr>
        <w:t xml:space="preserve"> </w:t>
      </w:r>
      <w:r>
        <w:rPr>
          <w:rFonts w:ascii="宋体" w:hAnsi="宋体" w:eastAsia="宋体" w:cs="宋体"/>
          <w:color w:val="auto"/>
          <w:spacing w:val="4"/>
          <w:sz w:val="20"/>
          <w:szCs w:val="20"/>
          <w:highlight w:val="none"/>
        </w:rPr>
        <w:t>治安保卫</w:t>
      </w:r>
    </w:p>
    <w:p w14:paraId="108CCA74">
      <w:pPr>
        <w:spacing w:before="219" w:line="432" w:lineRule="auto"/>
        <w:ind w:left="13" w:right="14" w:firstLine="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除专用合同条款另有约定外，发包人应与当地公安部门协商，在现场建立治安管理机构或联防组织，</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统一管理施工场地的治安保卫事项，履行合同工程的治安保卫职责。</w:t>
      </w:r>
    </w:p>
    <w:p w14:paraId="33EECF32">
      <w:pPr>
        <w:spacing w:before="2" w:line="431" w:lineRule="auto"/>
        <w:ind w:left="10" w:right="71"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发包人和承包人除应协助现场治安管理机构或联防组织维护施工场地的社会治安外，还应做好包括</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生活区在内的各自管辖区的治安保卫工作。</w:t>
      </w:r>
    </w:p>
    <w:p w14:paraId="4E3495F4">
      <w:pPr>
        <w:spacing w:before="2" w:line="432" w:lineRule="auto"/>
        <w:ind w:left="7"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除专用合同条款另有约定外，发包人和承包人应在工程开工后</w:t>
      </w:r>
      <w:r>
        <w:rPr>
          <w:rFonts w:ascii="宋体" w:hAnsi="宋体" w:eastAsia="宋体" w:cs="宋体"/>
          <w:color w:val="auto"/>
          <w:spacing w:val="-30"/>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天内共同编制施工场地治安管理计</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划，并制定应对突发治安事件的紧急预案。在工程施工过程中，发生暴乱、爆炸等恐怖事件，以及群殴、</w:t>
      </w:r>
    </w:p>
    <w:p w14:paraId="6DE76D8C">
      <w:pPr>
        <w:spacing w:line="432" w:lineRule="auto"/>
        <w:rPr>
          <w:rFonts w:ascii="宋体" w:hAnsi="宋体" w:eastAsia="宋体" w:cs="宋体"/>
          <w:color w:val="auto"/>
          <w:sz w:val="20"/>
          <w:szCs w:val="20"/>
          <w:highlight w:val="none"/>
        </w:rPr>
        <w:sectPr>
          <w:headerReference r:id="rId120" w:type="default"/>
          <w:footerReference r:id="rId121" w:type="default"/>
          <w:pgSz w:w="11906" w:h="16839"/>
          <w:pgMar w:top="1091" w:right="1150" w:bottom="1158" w:left="1219" w:header="1076" w:footer="922" w:gutter="0"/>
          <w:cols w:space="720" w:num="1"/>
        </w:sectPr>
      </w:pPr>
    </w:p>
    <w:p w14:paraId="3157B6A6">
      <w:pPr>
        <w:spacing w:before="256" w:line="432" w:lineRule="auto"/>
        <w:ind w:left="7" w:right="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械斗等群体性突发治安事件的，发包人和承包人应立即向当地政府报告。发包人和承包人应积极协助当</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地有关部门采取措施平息事态，防止事态扩大，尽量避免人员伤亡和财产损失。</w:t>
      </w:r>
    </w:p>
    <w:p w14:paraId="4A9A6D74">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6.1.5 文明施工</w:t>
      </w:r>
    </w:p>
    <w:p w14:paraId="32A78128">
      <w:pPr>
        <w:spacing w:before="220" w:line="432" w:lineRule="auto"/>
        <w:ind w:left="7"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承包人在工程施工期间，应当采取措施保持施工现场平整，物料堆放整齐。工程所在地有关政府行</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政管理部门有特殊要求的，按照其要求执行。合同当事人对文明施工有其他要求的，可以在专用合同条</w:t>
      </w:r>
      <w:r>
        <w:rPr>
          <w:rFonts w:ascii="宋体" w:hAnsi="宋体" w:eastAsia="宋体" w:cs="宋体"/>
          <w:color w:val="auto"/>
          <w:spacing w:val="7"/>
          <w:sz w:val="20"/>
          <w:szCs w:val="20"/>
          <w:highlight w:val="none"/>
        </w:rPr>
        <w:t xml:space="preserve"> </w:t>
      </w:r>
      <w:r>
        <w:rPr>
          <w:rFonts w:ascii="宋体" w:hAnsi="宋体" w:eastAsia="宋体" w:cs="宋体"/>
          <w:color w:val="auto"/>
          <w:spacing w:val="6"/>
          <w:sz w:val="20"/>
          <w:szCs w:val="20"/>
          <w:highlight w:val="none"/>
        </w:rPr>
        <w:t>款中明确。</w:t>
      </w:r>
    </w:p>
    <w:p w14:paraId="08429960">
      <w:pPr>
        <w:spacing w:before="3" w:line="431" w:lineRule="auto"/>
        <w:ind w:left="8" w:right="2" w:firstLine="419"/>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在工程移交之前，承包人应当从施工现场清除承包人的全部工程设备、多余材料、垃圾和各种临时</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工程，并保持施工现场清洁整齐。经发包人书面同意，承包人可在发包人指定的地点保留承包人履行保</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修期内的各项义务所需要的材料、施工设备和临时工程。</w:t>
      </w:r>
    </w:p>
    <w:p w14:paraId="4E69AA63">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6.1.6 安全文明施工费</w:t>
      </w:r>
    </w:p>
    <w:p w14:paraId="6276A0A4">
      <w:pPr>
        <w:spacing w:before="220" w:line="432" w:lineRule="auto"/>
        <w:ind w:left="25" w:right="2" w:firstLine="40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安全文明施工费由发包人承担，发包人不得以任何形式扣减该部分费用。因基准日期后合同所适用</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的法律或政府有关规定发生变化，增加的安全文明施工费由</w:t>
      </w:r>
      <w:r>
        <w:rPr>
          <w:rFonts w:ascii="宋体" w:hAnsi="宋体" w:eastAsia="宋体" w:cs="宋体"/>
          <w:color w:val="auto"/>
          <w:spacing w:val="8"/>
          <w:sz w:val="20"/>
          <w:szCs w:val="20"/>
          <w:highlight w:val="none"/>
        </w:rPr>
        <w:t>发包人承担。</w:t>
      </w:r>
    </w:p>
    <w:p w14:paraId="41116935">
      <w:pPr>
        <w:spacing w:line="432" w:lineRule="auto"/>
        <w:ind w:left="8" w:right="2" w:firstLine="420"/>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承包人经发包人同意采取合同约定以外的安全措施所产生的费用，</w:t>
      </w:r>
      <w:r>
        <w:rPr>
          <w:rFonts w:ascii="宋体" w:hAnsi="宋体" w:eastAsia="宋体" w:cs="宋体"/>
          <w:color w:val="auto"/>
          <w:spacing w:val="-51"/>
          <w:sz w:val="20"/>
          <w:szCs w:val="20"/>
          <w:highlight w:val="none"/>
        </w:rPr>
        <w:t xml:space="preserve"> </w:t>
      </w:r>
      <w:r>
        <w:rPr>
          <w:rFonts w:ascii="宋体" w:hAnsi="宋体" w:eastAsia="宋体" w:cs="宋体"/>
          <w:color w:val="auto"/>
          <w:spacing w:val="9"/>
          <w:sz w:val="20"/>
          <w:szCs w:val="20"/>
          <w:highlight w:val="none"/>
        </w:rPr>
        <w:t>由发包人承担。未经发包人同意</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的，如果该措施避免了发包人的损失，则发包人在避免损失的额度内承担该措施费。如果该措施避免了</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承包人的损失，由承包人承担该措施费。</w:t>
      </w:r>
    </w:p>
    <w:p w14:paraId="54E56C1E">
      <w:pPr>
        <w:spacing w:before="5" w:line="431" w:lineRule="auto"/>
        <w:ind w:left="8" w:right="2" w:firstLine="432"/>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除专用合同条款另有约定外，发包人应在开工后</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天内预付安全文明施工费总额的</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50%，其余部分</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与进度款同期支付。发包人逾期支付安全文</w:t>
      </w:r>
      <w:r>
        <w:rPr>
          <w:rFonts w:ascii="宋体" w:hAnsi="宋体" w:eastAsia="宋体" w:cs="宋体"/>
          <w:color w:val="auto"/>
          <w:spacing w:val="9"/>
          <w:sz w:val="20"/>
          <w:szCs w:val="20"/>
          <w:highlight w:val="none"/>
        </w:rPr>
        <w:t>明施工费超过</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天的，承包人有权向发包人发出要求预付的</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催告通知，发包人收到通知后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天内仍未支付的，承包人有权暂停施工，并按第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16.1.</w:t>
      </w:r>
      <w:r>
        <w:rPr>
          <w:rFonts w:ascii="宋体" w:hAnsi="宋体" w:eastAsia="宋体" w:cs="宋体"/>
          <w:color w:val="auto"/>
          <w:spacing w:val="5"/>
          <w:sz w:val="20"/>
          <w:szCs w:val="20"/>
          <w:highlight w:val="none"/>
        </w:rPr>
        <w:t>1</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项〔发包人违约</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的情形〕执行。</w:t>
      </w:r>
    </w:p>
    <w:p w14:paraId="476919E8">
      <w:pPr>
        <w:spacing w:before="3" w:line="431" w:lineRule="auto"/>
        <w:ind w:left="10" w:right="2" w:firstLine="417"/>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承包人对安全文明施工费应专款专用，承包人应在财务账目中单独列项备查，不得挪作他用，否则</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发包人有权责令其限期改正；逾期未改正的，可以责令其暂停施工，</w:t>
      </w:r>
      <w:r>
        <w:rPr>
          <w:rFonts w:ascii="宋体" w:hAnsi="宋体" w:eastAsia="宋体" w:cs="宋体"/>
          <w:color w:val="auto"/>
          <w:spacing w:val="-52"/>
          <w:sz w:val="20"/>
          <w:szCs w:val="20"/>
          <w:highlight w:val="none"/>
        </w:rPr>
        <w:t xml:space="preserve"> </w:t>
      </w:r>
      <w:r>
        <w:rPr>
          <w:rFonts w:ascii="宋体" w:hAnsi="宋体" w:eastAsia="宋体" w:cs="宋体"/>
          <w:color w:val="auto"/>
          <w:spacing w:val="9"/>
          <w:sz w:val="20"/>
          <w:szCs w:val="20"/>
          <w:highlight w:val="none"/>
        </w:rPr>
        <w:t>由此增加的费用和（或）延误的工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期由承包人承担。</w:t>
      </w:r>
    </w:p>
    <w:p w14:paraId="29586ECB">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6.1.7 紧急情况处理</w:t>
      </w:r>
    </w:p>
    <w:p w14:paraId="5CC2F2F7">
      <w:pPr>
        <w:spacing w:before="221" w:line="432" w:lineRule="auto"/>
        <w:ind w:left="25" w:right="2" w:firstLine="40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在工程实施期间或缺陷责任期内发生危及工程安全的事件，监理人通知承包人进行抢救，承包人声</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明无能力或不愿立即执行的，发包人有权雇佣其他人员进行抢救。此类抢救按</w:t>
      </w:r>
      <w:r>
        <w:rPr>
          <w:rFonts w:ascii="宋体" w:hAnsi="宋体" w:eastAsia="宋体" w:cs="宋体"/>
          <w:color w:val="auto"/>
          <w:spacing w:val="9"/>
          <w:sz w:val="20"/>
          <w:szCs w:val="20"/>
          <w:highlight w:val="none"/>
        </w:rPr>
        <w:t>合同约定属于承包人义务</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w:t>
      </w:r>
      <w:r>
        <w:rPr>
          <w:rFonts w:ascii="宋体" w:hAnsi="宋体" w:eastAsia="宋体" w:cs="宋体"/>
          <w:color w:val="auto"/>
          <w:spacing w:val="-59"/>
          <w:sz w:val="20"/>
          <w:szCs w:val="20"/>
          <w:highlight w:val="none"/>
        </w:rPr>
        <w:t xml:space="preserve"> </w:t>
      </w:r>
      <w:r>
        <w:rPr>
          <w:rFonts w:ascii="宋体" w:hAnsi="宋体" w:eastAsia="宋体" w:cs="宋体"/>
          <w:color w:val="auto"/>
          <w:spacing w:val="7"/>
          <w:sz w:val="20"/>
          <w:szCs w:val="20"/>
          <w:highlight w:val="none"/>
        </w:rPr>
        <w:t>由此增加的费用和（或）延误的工期由承</w:t>
      </w:r>
      <w:r>
        <w:rPr>
          <w:rFonts w:ascii="宋体" w:hAnsi="宋体" w:eastAsia="宋体" w:cs="宋体"/>
          <w:color w:val="auto"/>
          <w:spacing w:val="6"/>
          <w:sz w:val="20"/>
          <w:szCs w:val="20"/>
          <w:highlight w:val="none"/>
        </w:rPr>
        <w:t>包人承担。</w:t>
      </w:r>
    </w:p>
    <w:p w14:paraId="0EB004B8">
      <w:pPr>
        <w:spacing w:line="229"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6.1.8 事故处理</w:t>
      </w:r>
    </w:p>
    <w:p w14:paraId="288BABEC">
      <w:pPr>
        <w:spacing w:before="219" w:line="433" w:lineRule="auto"/>
        <w:ind w:left="10"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工程施工过程中发生事故的，承包人应立即通知监理人，监理人应立即通知发包人。发包人和承包</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rPr>
        <w:t>人应立即组织人员和设备进行紧急抢救和抢修，减少人员伤亡和财产损失，防止事故扩大，并保护事故</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现场。需要移动现场物品时，应作出标记和书面记录，妥善保管有关证据。发包人和承包人应按国家有</w:t>
      </w:r>
    </w:p>
    <w:p w14:paraId="3DC89451">
      <w:pPr>
        <w:spacing w:line="433" w:lineRule="auto"/>
        <w:rPr>
          <w:rFonts w:ascii="宋体" w:hAnsi="宋体" w:eastAsia="宋体" w:cs="宋体"/>
          <w:color w:val="auto"/>
          <w:sz w:val="20"/>
          <w:szCs w:val="20"/>
          <w:highlight w:val="none"/>
        </w:rPr>
        <w:sectPr>
          <w:headerReference r:id="rId122" w:type="default"/>
          <w:footerReference r:id="rId123" w:type="default"/>
          <w:pgSz w:w="11906" w:h="16839"/>
          <w:pgMar w:top="1091" w:right="1219" w:bottom="1158" w:left="1219" w:header="1076" w:footer="922" w:gutter="0"/>
          <w:cols w:space="720" w:num="1"/>
        </w:sectPr>
      </w:pPr>
    </w:p>
    <w:p w14:paraId="03F6A86B">
      <w:pPr>
        <w:spacing w:before="256" w:line="227" w:lineRule="auto"/>
        <w:ind w:left="1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关规定，及时如实地向有关部门报告事故发生的情况，以及正在采取的紧急措施等。</w:t>
      </w:r>
    </w:p>
    <w:p w14:paraId="65D768DF">
      <w:pPr>
        <w:spacing w:before="222"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6.1.9 安全生产责任</w:t>
      </w:r>
    </w:p>
    <w:p w14:paraId="12B5A7D1">
      <w:pPr>
        <w:spacing w:before="220"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6.1.9.1 发包人的安全责任</w:t>
      </w:r>
    </w:p>
    <w:p w14:paraId="10964DE6">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发包人应负责赔偿以下各种情况造成的损失：</w:t>
      </w:r>
    </w:p>
    <w:p w14:paraId="539DA4B7">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（1）工程或工程的任何部分对土地的占用所造成的第</w:t>
      </w:r>
      <w:r>
        <w:rPr>
          <w:rFonts w:ascii="宋体" w:hAnsi="宋体" w:eastAsia="宋体" w:cs="宋体"/>
          <w:color w:val="auto"/>
          <w:spacing w:val="8"/>
          <w:sz w:val="20"/>
          <w:szCs w:val="20"/>
          <w:highlight w:val="none"/>
        </w:rPr>
        <w:t>三者财产损失；</w:t>
      </w:r>
    </w:p>
    <w:p w14:paraId="4AC319CC">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57"/>
          <w:sz w:val="20"/>
          <w:szCs w:val="20"/>
          <w:highlight w:val="none"/>
        </w:rPr>
        <w:t xml:space="preserve"> </w:t>
      </w:r>
      <w:r>
        <w:rPr>
          <w:rFonts w:ascii="宋体" w:hAnsi="宋体" w:eastAsia="宋体" w:cs="宋体"/>
          <w:color w:val="auto"/>
          <w:spacing w:val="8"/>
          <w:sz w:val="20"/>
          <w:szCs w:val="20"/>
          <w:highlight w:val="none"/>
        </w:rPr>
        <w:t>由于发包人原因在施工场地及其毗邻地带造成的第三者人身伤</w:t>
      </w:r>
      <w:r>
        <w:rPr>
          <w:rFonts w:ascii="宋体" w:hAnsi="宋体" w:eastAsia="宋体" w:cs="宋体"/>
          <w:color w:val="auto"/>
          <w:spacing w:val="7"/>
          <w:sz w:val="20"/>
          <w:szCs w:val="20"/>
          <w:highlight w:val="none"/>
        </w:rPr>
        <w:t>亡和财产损失；</w:t>
      </w:r>
    </w:p>
    <w:p w14:paraId="4E7C30FB">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由于发包人原因对承包人、监理人造成的人员人身伤亡和财产损失；</w:t>
      </w:r>
    </w:p>
    <w:p w14:paraId="5F273B6C">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w:t>
      </w:r>
      <w:r>
        <w:rPr>
          <w:rFonts w:ascii="宋体" w:hAnsi="宋体" w:eastAsia="宋体" w:cs="宋体"/>
          <w:color w:val="auto"/>
          <w:spacing w:val="-41"/>
          <w:sz w:val="20"/>
          <w:szCs w:val="20"/>
          <w:highlight w:val="none"/>
        </w:rPr>
        <w:t xml:space="preserve"> </w:t>
      </w:r>
      <w:r>
        <w:rPr>
          <w:rFonts w:ascii="宋体" w:hAnsi="宋体" w:eastAsia="宋体" w:cs="宋体"/>
          <w:color w:val="auto"/>
          <w:spacing w:val="7"/>
          <w:sz w:val="20"/>
          <w:szCs w:val="20"/>
          <w:highlight w:val="none"/>
        </w:rPr>
        <w:t>由于发包人原因造成的发包人自身人员的人身伤害以及财产损失。</w:t>
      </w:r>
    </w:p>
    <w:p w14:paraId="6959526A">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6.1.9.2 承包人的安全责任</w:t>
      </w:r>
    </w:p>
    <w:p w14:paraId="13900AD6">
      <w:pPr>
        <w:spacing w:before="221" w:line="432" w:lineRule="auto"/>
        <w:ind w:left="33" w:firstLine="42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由于承包人原因在施工场地内及其毗邻地带造成的发包人、监理人以及第三者人员伤亡和财产损失，</w:t>
      </w:r>
      <w:r>
        <w:rPr>
          <w:rFonts w:ascii="宋体" w:hAnsi="宋体" w:eastAsia="宋体" w:cs="宋体"/>
          <w:color w:val="auto"/>
          <w:spacing w:val="3"/>
          <w:sz w:val="20"/>
          <w:szCs w:val="20"/>
          <w:highlight w:val="none"/>
        </w:rPr>
        <w:t xml:space="preserve"> </w:t>
      </w:r>
      <w:r>
        <w:rPr>
          <w:rFonts w:ascii="宋体" w:hAnsi="宋体" w:eastAsia="宋体" w:cs="宋体"/>
          <w:color w:val="auto"/>
          <w:spacing w:val="4"/>
          <w:sz w:val="20"/>
          <w:szCs w:val="20"/>
          <w:highlight w:val="none"/>
        </w:rPr>
        <w:t>由承包人负责赔偿。</w:t>
      </w:r>
    </w:p>
    <w:p w14:paraId="2021EF05">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6.2 职业健康</w:t>
      </w:r>
    </w:p>
    <w:p w14:paraId="6A0A11AC">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6.2.1</w:t>
      </w:r>
      <w:r>
        <w:rPr>
          <w:rFonts w:ascii="宋体" w:hAnsi="宋体" w:eastAsia="宋体" w:cs="宋体"/>
          <w:color w:val="auto"/>
          <w:spacing w:val="19"/>
          <w:sz w:val="20"/>
          <w:szCs w:val="20"/>
          <w:highlight w:val="none"/>
        </w:rPr>
        <w:t xml:space="preserve"> </w:t>
      </w:r>
      <w:r>
        <w:rPr>
          <w:rFonts w:ascii="宋体" w:hAnsi="宋体" w:eastAsia="宋体" w:cs="宋体"/>
          <w:color w:val="auto"/>
          <w:spacing w:val="4"/>
          <w:sz w:val="20"/>
          <w:szCs w:val="20"/>
          <w:highlight w:val="none"/>
        </w:rPr>
        <w:t>劳动保护</w:t>
      </w:r>
    </w:p>
    <w:p w14:paraId="524A4D4F">
      <w:pPr>
        <w:spacing w:before="221" w:line="432" w:lineRule="auto"/>
        <w:ind w:left="10" w:right="56"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承包人应按照法律规定安排现场施工人员的劳动和休息时间，保障劳动者的休息时间，并支付合理</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的报酬和费用。承包人应依法为其履行合同所雇用的人员办理必要的证件、许可、保险和注册等，承包</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人应督促其分包人为分包人所雇用的人员办理必要的证件、许可、保险和注册等。</w:t>
      </w:r>
    </w:p>
    <w:p w14:paraId="1D870E0C">
      <w:pPr>
        <w:spacing w:before="3" w:line="431" w:lineRule="auto"/>
        <w:ind w:left="7" w:right="56" w:firstLine="42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承包人应按照法律规定保障现场施工人员的劳动安全，并提供劳</w:t>
      </w:r>
      <w:r>
        <w:rPr>
          <w:rFonts w:ascii="宋体" w:hAnsi="宋体" w:eastAsia="宋体" w:cs="宋体"/>
          <w:color w:val="auto"/>
          <w:spacing w:val="7"/>
          <w:sz w:val="20"/>
          <w:szCs w:val="20"/>
          <w:highlight w:val="none"/>
        </w:rPr>
        <w:t>动保护,并应按国家有关劳动保护的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规定，采取有效的防止粉尘、降低噪声、控制有害气体和保障高温、高寒、高空作业安全等劳动保护措</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施。承包人雇佣人员在施工中受到伤害的，承包人应立即采取有效措施进行抢救和治疗。</w:t>
      </w:r>
    </w:p>
    <w:p w14:paraId="189DC5D1">
      <w:pPr>
        <w:spacing w:before="2" w:line="431" w:lineRule="auto"/>
        <w:ind w:left="9" w:right="56"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承包人应按法律规定安排工作时间，保证其雇佣人员享有休息和休假的权利。因工程施工的特殊需</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要占用休假日或延长工作时间的，应不超过法律规定的限度，并按法律规定给予补休或付酬。</w:t>
      </w:r>
    </w:p>
    <w:p w14:paraId="5A0DE55B">
      <w:pPr>
        <w:spacing w:before="1"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6.2.2 生活条件</w:t>
      </w:r>
    </w:p>
    <w:p w14:paraId="1EF3098A">
      <w:pPr>
        <w:spacing w:before="220" w:line="432" w:lineRule="auto"/>
        <w:ind w:left="6" w:right="56"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承包人应为其履行合同所雇用的人员提供必要的膳宿条件和生活环境；承包人应采取有效措施预防</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传染病，保证施工人员的健康，并定期对施工现场、施工人员生活基地和工程进行防疫和卫生的专业检</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查和处理, 在远离城镇的施工场地，还应配备必要的伤病防治和急救的医务人员与医疗设施。</w:t>
      </w:r>
    </w:p>
    <w:p w14:paraId="448A5571">
      <w:pPr>
        <w:spacing w:before="1" w:line="229"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6.3 环境保护</w:t>
      </w:r>
    </w:p>
    <w:p w14:paraId="1C3F99EB">
      <w:pPr>
        <w:spacing w:before="219" w:line="432" w:lineRule="auto"/>
        <w:ind w:left="8" w:right="56"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承包人应在施工组织设计中列明环境保护的具体措施。在合同履行期间，承包人应采取合理措施保</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护施工现场环境。对施工作业过程中可能引起的大气、水、噪音以及固体废物污染采取具体可行的防范</w:t>
      </w:r>
      <w:r>
        <w:rPr>
          <w:rFonts w:ascii="宋体" w:hAnsi="宋体" w:eastAsia="宋体" w:cs="宋体"/>
          <w:color w:val="auto"/>
          <w:spacing w:val="6"/>
          <w:sz w:val="20"/>
          <w:szCs w:val="20"/>
          <w:highlight w:val="none"/>
        </w:rPr>
        <w:t xml:space="preserve"> </w:t>
      </w:r>
      <w:r>
        <w:rPr>
          <w:rFonts w:ascii="宋体" w:hAnsi="宋体" w:eastAsia="宋体" w:cs="宋体"/>
          <w:color w:val="auto"/>
          <w:spacing w:val="3"/>
          <w:sz w:val="20"/>
          <w:szCs w:val="20"/>
          <w:highlight w:val="none"/>
        </w:rPr>
        <w:t>措施。</w:t>
      </w:r>
    </w:p>
    <w:p w14:paraId="671788C7">
      <w:pPr>
        <w:spacing w:before="1" w:line="228" w:lineRule="auto"/>
        <w:ind w:left="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承包人应当承担因其原因引起的环境污染侵权损害赔偿责任，因上述环境污染引起纠纷而导致暂停</w:t>
      </w:r>
    </w:p>
    <w:p w14:paraId="45C29555">
      <w:pPr>
        <w:spacing w:line="228" w:lineRule="auto"/>
        <w:rPr>
          <w:rFonts w:ascii="宋体" w:hAnsi="宋体" w:eastAsia="宋体" w:cs="宋体"/>
          <w:color w:val="auto"/>
          <w:sz w:val="20"/>
          <w:szCs w:val="20"/>
          <w:highlight w:val="none"/>
        </w:rPr>
        <w:sectPr>
          <w:headerReference r:id="rId124" w:type="default"/>
          <w:footerReference r:id="rId125" w:type="default"/>
          <w:pgSz w:w="11906" w:h="16839"/>
          <w:pgMar w:top="1091" w:right="1164" w:bottom="1158" w:left="1219" w:header="1076" w:footer="922" w:gutter="0"/>
          <w:cols w:space="720" w:num="1"/>
        </w:sectPr>
      </w:pPr>
    </w:p>
    <w:p w14:paraId="18F64AEF">
      <w:pPr>
        <w:spacing w:before="256" w:line="228" w:lineRule="auto"/>
        <w:ind w:left="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施工的，</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由此增加的费用和（或）延误的工</w:t>
      </w:r>
      <w:r>
        <w:rPr>
          <w:rFonts w:ascii="宋体" w:hAnsi="宋体" w:eastAsia="宋体" w:cs="宋体"/>
          <w:color w:val="auto"/>
          <w:spacing w:val="7"/>
          <w:sz w:val="20"/>
          <w:szCs w:val="20"/>
          <w:highlight w:val="none"/>
        </w:rPr>
        <w:t>期由承包人承担。</w:t>
      </w:r>
    </w:p>
    <w:p w14:paraId="0D689830">
      <w:pPr>
        <w:spacing w:before="220" w:line="229"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w:t>
      </w:r>
      <w:r>
        <w:rPr>
          <w:rFonts w:ascii="宋体" w:hAnsi="宋体" w:eastAsia="宋体" w:cs="宋体"/>
          <w:color w:val="auto"/>
          <w:spacing w:val="14"/>
          <w:sz w:val="20"/>
          <w:szCs w:val="20"/>
          <w:highlight w:val="none"/>
        </w:rPr>
        <w:t xml:space="preserve"> </w:t>
      </w:r>
      <w:r>
        <w:rPr>
          <w:rFonts w:ascii="宋体" w:hAnsi="宋体" w:eastAsia="宋体" w:cs="宋体"/>
          <w:color w:val="auto"/>
          <w:spacing w:val="5"/>
          <w:sz w:val="20"/>
          <w:szCs w:val="20"/>
          <w:highlight w:val="none"/>
        </w:rPr>
        <w:t>工期和进度</w:t>
      </w:r>
    </w:p>
    <w:p w14:paraId="6F9E2BE6">
      <w:pPr>
        <w:spacing w:before="219" w:line="230"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7.1</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施工组织设计</w:t>
      </w:r>
    </w:p>
    <w:p w14:paraId="5B8323F1">
      <w:pPr>
        <w:spacing w:before="219" w:line="228"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7.1.1 施工组织设计的内容</w:t>
      </w:r>
    </w:p>
    <w:p w14:paraId="1DCDDCCE">
      <w:pPr>
        <w:spacing w:before="221"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施工组织设计应包含以下内容：</w:t>
      </w:r>
    </w:p>
    <w:p w14:paraId="7235BB09">
      <w:pPr>
        <w:spacing w:before="221" w:line="229"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（1）施工方案；</w:t>
      </w:r>
    </w:p>
    <w:p w14:paraId="222E62E2">
      <w:pPr>
        <w:spacing w:before="219"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（2）施工现场平面布置图；</w:t>
      </w:r>
    </w:p>
    <w:p w14:paraId="4A896A49">
      <w:pPr>
        <w:spacing w:before="222" w:line="229"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（3）施工进度计划和保证措施；</w:t>
      </w:r>
    </w:p>
    <w:p w14:paraId="19468407">
      <w:pPr>
        <w:spacing w:before="219"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（4）劳动力及材料供应计划；</w:t>
      </w:r>
    </w:p>
    <w:p w14:paraId="7DA704F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（5）施工机械设备的选用；</w:t>
      </w:r>
    </w:p>
    <w:p w14:paraId="74C53F11">
      <w:pPr>
        <w:spacing w:before="222" w:line="229"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（6）质量保证体系及措施；</w:t>
      </w:r>
    </w:p>
    <w:p w14:paraId="09B4A804">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（7）安全生产、文明施工措施；</w:t>
      </w:r>
    </w:p>
    <w:p w14:paraId="7D7C5E3D">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（8）环境保护、成本控制措施；</w:t>
      </w:r>
    </w:p>
    <w:p w14:paraId="7474CA12">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（9）合同当事人约定的其他内容。</w:t>
      </w:r>
    </w:p>
    <w:p w14:paraId="53DB4DDC">
      <w:pPr>
        <w:spacing w:before="221"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7.1.2 施工组织设计的提交和修改</w:t>
      </w:r>
    </w:p>
    <w:p w14:paraId="304741F7">
      <w:pPr>
        <w:spacing w:before="220" w:line="432" w:lineRule="auto"/>
        <w:ind w:left="10" w:right="2" w:firstLine="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除专用合同条款另有约定外，承包人应在合同签订后</w:t>
      </w:r>
      <w:r>
        <w:rPr>
          <w:rFonts w:ascii="宋体" w:hAnsi="宋体" w:eastAsia="宋体" w:cs="宋体"/>
          <w:color w:val="auto"/>
          <w:spacing w:val="-4"/>
          <w:sz w:val="20"/>
          <w:szCs w:val="20"/>
          <w:highlight w:val="none"/>
        </w:rPr>
        <w:t xml:space="preserve"> </w:t>
      </w:r>
      <w:r>
        <w:rPr>
          <w:rFonts w:ascii="宋体" w:hAnsi="宋体" w:eastAsia="宋体" w:cs="宋体"/>
          <w:color w:val="auto"/>
          <w:spacing w:val="5"/>
          <w:sz w:val="20"/>
          <w:szCs w:val="20"/>
          <w:highlight w:val="none"/>
        </w:rPr>
        <w:t>14</w:t>
      </w:r>
      <w:r>
        <w:rPr>
          <w:rFonts w:ascii="宋体" w:hAnsi="宋体" w:eastAsia="宋体" w:cs="宋体"/>
          <w:color w:val="auto"/>
          <w:spacing w:val="-33"/>
          <w:sz w:val="20"/>
          <w:szCs w:val="20"/>
          <w:highlight w:val="none"/>
        </w:rPr>
        <w:t xml:space="preserve"> </w:t>
      </w:r>
      <w:r>
        <w:rPr>
          <w:rFonts w:ascii="宋体" w:hAnsi="宋体" w:eastAsia="宋体" w:cs="宋体"/>
          <w:color w:val="auto"/>
          <w:spacing w:val="5"/>
          <w:sz w:val="20"/>
          <w:szCs w:val="20"/>
          <w:highlight w:val="none"/>
        </w:rPr>
        <w:t>天内，但至迟不得晚于第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5"/>
          <w:sz w:val="20"/>
          <w:szCs w:val="20"/>
          <w:highlight w:val="none"/>
        </w:rPr>
        <w:t>7.3.2</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项〔开工通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知〕载明的开工日期前</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天，向监理人提交详细的施工组织设计，并由监理人报送发包人。除专用合同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条款另有约定外，发包人和监理人应在监理人收到施工组织设计后</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天内确认或提出修改意见。对发包</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人和监理人提出的合理意见和要求，承包人应自费修改完善。根据工程实际情况需要修改施工组织设计</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的，承包人应向发包人和监理人提交修改后的施工组织设计。</w:t>
      </w:r>
    </w:p>
    <w:p w14:paraId="015B9575">
      <w:pPr>
        <w:spacing w:before="1"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施工进度计划的编制和修改按照第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7.2</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款〔施工进度计划〕执行。</w:t>
      </w:r>
    </w:p>
    <w:p w14:paraId="476E41E5">
      <w:pPr>
        <w:spacing w:before="221" w:line="229"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7.2 施工进度计划</w:t>
      </w:r>
    </w:p>
    <w:p w14:paraId="7A5317F1">
      <w:pPr>
        <w:spacing w:before="220" w:line="228"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7.2.1 施工进度计划的编制</w:t>
      </w:r>
    </w:p>
    <w:p w14:paraId="57EFBBA2">
      <w:pPr>
        <w:spacing w:before="220" w:line="432" w:lineRule="auto"/>
        <w:ind w:left="6"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承包人应按照第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7.1</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款〔施工组织设计〕约定提交详细的施工进度计划，施工进度计划的编制应当</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符合国家法律规定和一般工程实践惯例，施工进度计划经发包人批准后实施。施工进度计划是控制工程</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进度的依据，发包人和监理人有权按照施工进度计划检查工程进度情况。</w:t>
      </w:r>
    </w:p>
    <w:p w14:paraId="4B89F343">
      <w:pPr>
        <w:spacing w:before="1" w:line="228"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7.2.2 施工进度计划的修订</w:t>
      </w:r>
    </w:p>
    <w:p w14:paraId="54F1EE31">
      <w:pPr>
        <w:spacing w:before="220" w:line="433" w:lineRule="auto"/>
        <w:ind w:left="7"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施工进度计划不符合合同要求或与工程的实际进度不一致的，承包人应向监理人提交修订的施工进</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度计划，并附具有关措施和相关资料，由监理人报送发包人。除专用合同条款另有约定外，发包人和监</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理人应在收到修订的施工进度计划后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10"/>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10"/>
          <w:sz w:val="20"/>
          <w:szCs w:val="20"/>
          <w:highlight w:val="none"/>
        </w:rPr>
        <w:t>天内完</w:t>
      </w:r>
      <w:r>
        <w:rPr>
          <w:rFonts w:ascii="宋体" w:hAnsi="宋体" w:eastAsia="宋体" w:cs="宋体"/>
          <w:color w:val="auto"/>
          <w:spacing w:val="9"/>
          <w:sz w:val="20"/>
          <w:szCs w:val="20"/>
          <w:highlight w:val="none"/>
        </w:rPr>
        <w:t>成审核和批准或提出修改意见。发包人和监理人对承包人</w:t>
      </w:r>
    </w:p>
    <w:p w14:paraId="0BA1413B">
      <w:pPr>
        <w:spacing w:line="433" w:lineRule="auto"/>
        <w:rPr>
          <w:rFonts w:ascii="宋体" w:hAnsi="宋体" w:eastAsia="宋体" w:cs="宋体"/>
          <w:color w:val="auto"/>
          <w:sz w:val="20"/>
          <w:szCs w:val="20"/>
          <w:highlight w:val="none"/>
        </w:rPr>
        <w:sectPr>
          <w:headerReference r:id="rId126" w:type="default"/>
          <w:footerReference r:id="rId127" w:type="default"/>
          <w:pgSz w:w="11906" w:h="16839"/>
          <w:pgMar w:top="1091" w:right="1218" w:bottom="1158" w:left="1219" w:header="1076" w:footer="922" w:gutter="0"/>
          <w:cols w:space="720" w:num="1"/>
        </w:sectPr>
      </w:pPr>
    </w:p>
    <w:p w14:paraId="4D650008">
      <w:pPr>
        <w:spacing w:before="256" w:line="228"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提交的施工进度计划的确认，不能减轻或免除承包人根据法律规定和合同约定应承担的任何责任或义务。</w:t>
      </w:r>
    </w:p>
    <w:p w14:paraId="3530ACAF">
      <w:pPr>
        <w:spacing w:before="220" w:line="230" w:lineRule="auto"/>
        <w:ind w:left="43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7.3</w:t>
      </w:r>
      <w:r>
        <w:rPr>
          <w:rFonts w:ascii="宋体" w:hAnsi="宋体" w:eastAsia="宋体" w:cs="宋体"/>
          <w:color w:val="auto"/>
          <w:spacing w:val="13"/>
          <w:sz w:val="20"/>
          <w:szCs w:val="20"/>
          <w:highlight w:val="none"/>
        </w:rPr>
        <w:t xml:space="preserve"> </w:t>
      </w:r>
      <w:r>
        <w:rPr>
          <w:rFonts w:ascii="宋体" w:hAnsi="宋体" w:eastAsia="宋体" w:cs="宋体"/>
          <w:color w:val="auto"/>
          <w:spacing w:val="2"/>
          <w:sz w:val="20"/>
          <w:szCs w:val="20"/>
          <w:highlight w:val="none"/>
        </w:rPr>
        <w:t>开工</w:t>
      </w:r>
    </w:p>
    <w:p w14:paraId="24974B97">
      <w:pPr>
        <w:spacing w:before="218" w:line="230"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7.3.1 开工准备</w:t>
      </w:r>
    </w:p>
    <w:p w14:paraId="523C2A3F">
      <w:pPr>
        <w:spacing w:before="219" w:line="432" w:lineRule="auto"/>
        <w:ind w:left="10" w:right="69" w:firstLine="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除专用合同条款另有约定外，承包人应按照第</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7.1</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款〔施工组织设计〕约定的期限，向监理人提交</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工程开工报审表，经监理人报发包人批准后执行。开工报审表应详细说明按施工进度计划正常施工所需</w:t>
      </w:r>
      <w:r>
        <w:rPr>
          <w:rFonts w:ascii="宋体" w:hAnsi="宋体" w:eastAsia="宋体" w:cs="宋体"/>
          <w:color w:val="auto"/>
          <w:spacing w:val="3"/>
          <w:sz w:val="20"/>
          <w:szCs w:val="20"/>
          <w:highlight w:val="none"/>
        </w:rPr>
        <w:t xml:space="preserve"> </w:t>
      </w:r>
      <w:r>
        <w:rPr>
          <w:rFonts w:ascii="宋体" w:hAnsi="宋体" w:eastAsia="宋体" w:cs="宋体"/>
          <w:color w:val="auto"/>
          <w:spacing w:val="9"/>
          <w:sz w:val="20"/>
          <w:szCs w:val="20"/>
          <w:highlight w:val="none"/>
        </w:rPr>
        <w:t>的施工道路、临时设施、材料、工程设备、施工设备、施工人员等落实情况以及工程的进度安排。</w:t>
      </w:r>
    </w:p>
    <w:p w14:paraId="7B24728F">
      <w:pPr>
        <w:spacing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除专用合同条款另有约定外，合同当事人应按约定完成开工准备</w:t>
      </w:r>
      <w:r>
        <w:rPr>
          <w:rFonts w:ascii="宋体" w:hAnsi="宋体" w:eastAsia="宋体" w:cs="宋体"/>
          <w:color w:val="auto"/>
          <w:spacing w:val="8"/>
          <w:sz w:val="20"/>
          <w:szCs w:val="20"/>
          <w:highlight w:val="none"/>
        </w:rPr>
        <w:t>工作。</w:t>
      </w:r>
    </w:p>
    <w:p w14:paraId="44A677A4">
      <w:pPr>
        <w:spacing w:before="220" w:line="230"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7.3.2 开工通知</w:t>
      </w:r>
    </w:p>
    <w:p w14:paraId="6BFB586B">
      <w:pPr>
        <w:spacing w:before="219" w:line="432" w:lineRule="auto"/>
        <w:ind w:left="9" w:right="71"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发包人应按照法律规定获得工程施工所需的许可。经发包人同意后，监理人发出的开工通知应符合</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法律规定。监理人应在计划开工日期</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天前向承包人发出开工通知，工期自开工通知中载明的开工日期</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起算。</w:t>
      </w:r>
    </w:p>
    <w:p w14:paraId="1C390244">
      <w:pPr>
        <w:spacing w:before="4" w:line="431" w:lineRule="auto"/>
        <w:ind w:left="8" w:right="71" w:firstLine="432"/>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除专用合同条款另有约定外，因发包人原因造成监理人未能在计划开工日期之日起90</w:t>
      </w:r>
      <w:r>
        <w:rPr>
          <w:rFonts w:ascii="宋体" w:hAnsi="宋体" w:eastAsia="宋体" w:cs="宋体"/>
          <w:color w:val="auto"/>
          <w:spacing w:val="-28"/>
          <w:sz w:val="20"/>
          <w:szCs w:val="20"/>
          <w:highlight w:val="none"/>
        </w:rPr>
        <w:t xml:space="preserve"> </w:t>
      </w:r>
      <w:r>
        <w:rPr>
          <w:rFonts w:ascii="宋体" w:hAnsi="宋体" w:eastAsia="宋体" w:cs="宋体"/>
          <w:color w:val="auto"/>
          <w:spacing w:val="8"/>
          <w:sz w:val="20"/>
          <w:szCs w:val="20"/>
          <w:highlight w:val="none"/>
        </w:rPr>
        <w:t>天内发出开工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通知的，承包人有权提出价格调整要求，或者解除合同。发包人应当承担由此增加的费用和（或）延误</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的工期，并向承包人支付合理利润。</w:t>
      </w:r>
    </w:p>
    <w:p w14:paraId="3E5FD3F8">
      <w:pPr>
        <w:spacing w:line="229" w:lineRule="auto"/>
        <w:ind w:left="43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7.4</w:t>
      </w:r>
      <w:r>
        <w:rPr>
          <w:rFonts w:ascii="宋体" w:hAnsi="宋体" w:eastAsia="宋体" w:cs="宋体"/>
          <w:color w:val="auto"/>
          <w:spacing w:val="-38"/>
          <w:sz w:val="20"/>
          <w:szCs w:val="20"/>
          <w:highlight w:val="none"/>
        </w:rPr>
        <w:t xml:space="preserve"> </w:t>
      </w:r>
      <w:r>
        <w:rPr>
          <w:rFonts w:ascii="宋体" w:hAnsi="宋体" w:eastAsia="宋体" w:cs="宋体"/>
          <w:color w:val="auto"/>
          <w:spacing w:val="4"/>
          <w:sz w:val="20"/>
          <w:szCs w:val="20"/>
          <w:highlight w:val="none"/>
        </w:rPr>
        <w:t>测量放线</w:t>
      </w:r>
    </w:p>
    <w:p w14:paraId="512BB4F1">
      <w:pPr>
        <w:spacing w:before="220" w:line="432" w:lineRule="auto"/>
        <w:ind w:left="9" w:right="71" w:firstLine="424"/>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7.4.1 除专用合同条款另有约定外，发包人应在至迟不得晚于第</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7.3.2</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项〔开工通知〕载明的开工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日期前</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天通过监理人向承包人提供测量基准点、基准线和水准点及其书面资料。发包人应对其提供的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测量基准点、基准线和水准点及其书面资料的真实性、准确性和完整性负责。</w:t>
      </w:r>
    </w:p>
    <w:p w14:paraId="3606DDAF">
      <w:pPr>
        <w:spacing w:before="3" w:line="431" w:lineRule="auto"/>
        <w:ind w:left="10" w:right="72" w:firstLine="417"/>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承包人发现发包人提供的测量基准点、基准线和水准点及其书面资料存在错误或疏漏的，应及时通</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知监理人。监理人应及时报告发包人，并会同发包人和承包人予以核实。发包人应就如何处理和是否继</w:t>
      </w:r>
      <w:r>
        <w:rPr>
          <w:rFonts w:ascii="宋体" w:hAnsi="宋体" w:eastAsia="宋体" w:cs="宋体"/>
          <w:color w:val="auto"/>
          <w:spacing w:val="3"/>
          <w:sz w:val="20"/>
          <w:szCs w:val="20"/>
          <w:highlight w:val="none"/>
        </w:rPr>
        <w:t xml:space="preserve"> </w:t>
      </w:r>
      <w:r>
        <w:rPr>
          <w:rFonts w:ascii="宋体" w:hAnsi="宋体" w:eastAsia="宋体" w:cs="宋体"/>
          <w:color w:val="auto"/>
          <w:spacing w:val="8"/>
          <w:sz w:val="20"/>
          <w:szCs w:val="20"/>
          <w:highlight w:val="none"/>
        </w:rPr>
        <w:t>续施工作出决定，并通知监理人和承包人。</w:t>
      </w:r>
    </w:p>
    <w:p w14:paraId="2D76EECF">
      <w:pPr>
        <w:spacing w:line="432" w:lineRule="auto"/>
        <w:ind w:left="11" w:firstLine="421"/>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7.4.2 承包人负责施工过程中的全部施</w:t>
      </w:r>
      <w:r>
        <w:rPr>
          <w:rFonts w:ascii="宋体" w:hAnsi="宋体" w:eastAsia="宋体" w:cs="宋体"/>
          <w:color w:val="auto"/>
          <w:spacing w:val="6"/>
          <w:sz w:val="20"/>
          <w:szCs w:val="20"/>
          <w:highlight w:val="none"/>
        </w:rPr>
        <w:t>工测量放线工作，并配置具有相应资质的人员、合格的仪器、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设备和其他物品。承包人应矫正工程的位置、标高、尺寸或准线中出现的任何差错，并对工程各部分的</w:t>
      </w:r>
      <w:r>
        <w:rPr>
          <w:rFonts w:ascii="宋体" w:hAnsi="宋体" w:eastAsia="宋体" w:cs="宋体"/>
          <w:color w:val="auto"/>
          <w:spacing w:val="2"/>
          <w:sz w:val="20"/>
          <w:szCs w:val="20"/>
          <w:highlight w:val="none"/>
        </w:rPr>
        <w:t xml:space="preserve"> </w:t>
      </w:r>
      <w:r>
        <w:rPr>
          <w:rFonts w:ascii="宋体" w:hAnsi="宋体" w:eastAsia="宋体" w:cs="宋体"/>
          <w:color w:val="auto"/>
          <w:spacing w:val="5"/>
          <w:sz w:val="20"/>
          <w:szCs w:val="20"/>
          <w:highlight w:val="none"/>
        </w:rPr>
        <w:t>定位负责。</w:t>
      </w:r>
    </w:p>
    <w:p w14:paraId="0D557EA6">
      <w:pPr>
        <w:spacing w:line="228"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施工过程中对施工现场内水准点等测量标志物的保护工作由承包人负责。</w:t>
      </w:r>
    </w:p>
    <w:p w14:paraId="4D7DEA6F">
      <w:pPr>
        <w:spacing w:before="221" w:line="229" w:lineRule="auto"/>
        <w:ind w:left="43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7.5</w:t>
      </w:r>
      <w:r>
        <w:rPr>
          <w:rFonts w:ascii="宋体" w:hAnsi="宋体" w:eastAsia="宋体" w:cs="宋体"/>
          <w:color w:val="auto"/>
          <w:spacing w:val="15"/>
          <w:sz w:val="20"/>
          <w:szCs w:val="20"/>
          <w:highlight w:val="none"/>
        </w:rPr>
        <w:t xml:space="preserve"> </w:t>
      </w:r>
      <w:r>
        <w:rPr>
          <w:rFonts w:ascii="宋体" w:hAnsi="宋体" w:eastAsia="宋体" w:cs="宋体"/>
          <w:color w:val="auto"/>
          <w:spacing w:val="4"/>
          <w:sz w:val="20"/>
          <w:szCs w:val="20"/>
          <w:highlight w:val="none"/>
        </w:rPr>
        <w:t>工期延误</w:t>
      </w:r>
    </w:p>
    <w:p w14:paraId="583D500F">
      <w:pPr>
        <w:spacing w:before="220" w:line="229"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7.5.1 因发包人原因导致工期延误</w:t>
      </w:r>
    </w:p>
    <w:p w14:paraId="21285DE4">
      <w:pPr>
        <w:spacing w:before="220" w:line="432" w:lineRule="auto"/>
        <w:ind w:left="9" w:right="72"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在合同履行过程中，因下列情况导致工期延误和（或）费用增加的，由发包人承担由此延误的工期</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和（或）增加的费用，且发包人应支付承包人合理的利润：</w:t>
      </w:r>
    </w:p>
    <w:p w14:paraId="03BEE0C4">
      <w:pPr>
        <w:spacing w:line="227"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（1）发包人未能按合同约定提供图纸或所提供图纸不符合合</w:t>
      </w:r>
      <w:r>
        <w:rPr>
          <w:rFonts w:ascii="宋体" w:hAnsi="宋体" w:eastAsia="宋体" w:cs="宋体"/>
          <w:color w:val="auto"/>
          <w:spacing w:val="8"/>
          <w:sz w:val="20"/>
          <w:szCs w:val="20"/>
          <w:highlight w:val="none"/>
        </w:rPr>
        <w:t>同约定的；</w:t>
      </w:r>
    </w:p>
    <w:p w14:paraId="33C46EAC">
      <w:pPr>
        <w:spacing w:line="227" w:lineRule="auto"/>
        <w:rPr>
          <w:rFonts w:ascii="宋体" w:hAnsi="宋体" w:eastAsia="宋体" w:cs="宋体"/>
          <w:color w:val="auto"/>
          <w:sz w:val="20"/>
          <w:szCs w:val="20"/>
          <w:highlight w:val="none"/>
        </w:rPr>
        <w:sectPr>
          <w:headerReference r:id="rId128" w:type="default"/>
          <w:footerReference r:id="rId129" w:type="default"/>
          <w:pgSz w:w="11906" w:h="16839"/>
          <w:pgMar w:top="1091" w:right="1149" w:bottom="1158" w:left="1219" w:header="1076" w:footer="922" w:gutter="0"/>
          <w:cols w:space="720" w:num="1"/>
        </w:sectPr>
      </w:pPr>
    </w:p>
    <w:p w14:paraId="09994A2D">
      <w:pPr>
        <w:spacing w:before="256"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（2）发包人未能按合同约定提供施工现场、施工条件、基础资料、许可、批准等开工条件的；</w:t>
      </w:r>
    </w:p>
    <w:p w14:paraId="020968E5">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（3）发包人提供的测量基准点、基准线和水准点及其书面资料存在错误或疏漏的；</w:t>
      </w:r>
    </w:p>
    <w:p w14:paraId="23E91DD0">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（4）发包人未能在计划开工日期之日起</w:t>
      </w:r>
      <w:r>
        <w:rPr>
          <w:rFonts w:ascii="宋体" w:hAnsi="宋体" w:eastAsia="宋体" w:cs="宋体"/>
          <w:color w:val="auto"/>
          <w:spacing w:val="-31"/>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天内同意</w:t>
      </w:r>
      <w:r>
        <w:rPr>
          <w:rFonts w:ascii="宋体" w:hAnsi="宋体" w:eastAsia="宋体" w:cs="宋体"/>
          <w:color w:val="auto"/>
          <w:spacing w:val="7"/>
          <w:sz w:val="20"/>
          <w:szCs w:val="20"/>
          <w:highlight w:val="none"/>
        </w:rPr>
        <w:t>下达开工通知的；</w:t>
      </w:r>
    </w:p>
    <w:p w14:paraId="7B2AA25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（5）发包人未能按合同约定日期支付工程预付款、进度款或竣工结算</w:t>
      </w:r>
      <w:r>
        <w:rPr>
          <w:rFonts w:ascii="宋体" w:hAnsi="宋体" w:eastAsia="宋体" w:cs="宋体"/>
          <w:color w:val="auto"/>
          <w:spacing w:val="8"/>
          <w:sz w:val="20"/>
          <w:szCs w:val="20"/>
          <w:highlight w:val="none"/>
        </w:rPr>
        <w:t>款的；</w:t>
      </w:r>
    </w:p>
    <w:p w14:paraId="06407916">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（6）监理人未按合同约定发出指示、批准等文件的；</w:t>
      </w:r>
    </w:p>
    <w:p w14:paraId="372FC8BA">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（7）专用合同条款中约定的其他情形。</w:t>
      </w:r>
    </w:p>
    <w:p w14:paraId="1017C738">
      <w:pPr>
        <w:spacing w:before="220" w:line="432" w:lineRule="auto"/>
        <w:ind w:left="7" w:firstLine="437"/>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因发包人原因未按计划开工日期开工的，发包人应按实际开工日期顺延竣</w:t>
      </w:r>
      <w:r>
        <w:rPr>
          <w:rFonts w:ascii="宋体" w:hAnsi="宋体" w:eastAsia="宋体" w:cs="宋体"/>
          <w:color w:val="auto"/>
          <w:spacing w:val="9"/>
          <w:sz w:val="20"/>
          <w:szCs w:val="20"/>
          <w:highlight w:val="none"/>
        </w:rPr>
        <w:t>工日期，确保实际工期不</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低于合同约定的工期总日历天数。因发包人</w:t>
      </w:r>
      <w:r>
        <w:rPr>
          <w:rFonts w:ascii="宋体" w:hAnsi="宋体" w:eastAsia="宋体" w:cs="宋体"/>
          <w:color w:val="auto"/>
          <w:spacing w:val="10"/>
          <w:sz w:val="20"/>
          <w:szCs w:val="20"/>
          <w:highlight w:val="none"/>
        </w:rPr>
        <w:t>原因导致工期延误需要修订施工进度计划的，按照第</w:t>
      </w:r>
      <w:r>
        <w:rPr>
          <w:rFonts w:ascii="宋体" w:hAnsi="宋体" w:eastAsia="宋体" w:cs="宋体"/>
          <w:color w:val="auto"/>
          <w:spacing w:val="-31"/>
          <w:sz w:val="20"/>
          <w:szCs w:val="20"/>
          <w:highlight w:val="none"/>
        </w:rPr>
        <w:t xml:space="preserve"> </w:t>
      </w:r>
      <w:r>
        <w:rPr>
          <w:rFonts w:ascii="宋体" w:hAnsi="宋体" w:eastAsia="宋体" w:cs="宋体"/>
          <w:color w:val="auto"/>
          <w:spacing w:val="10"/>
          <w:sz w:val="20"/>
          <w:szCs w:val="20"/>
          <w:highlight w:val="none"/>
        </w:rPr>
        <w:t>7.2.2</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项〔施工进度计划的修订〕执行。</w:t>
      </w:r>
    </w:p>
    <w:p w14:paraId="39329D1F">
      <w:pPr>
        <w:spacing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7.5.2 因承包人原因导致工期延误</w:t>
      </w:r>
    </w:p>
    <w:p w14:paraId="242CBAA6">
      <w:pPr>
        <w:spacing w:before="221" w:line="432" w:lineRule="auto"/>
        <w:ind w:left="8" w:right="2" w:firstLine="43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因承包人原因造成工期延误的，可以在专用合同条款中约定逾期竣工违约</w:t>
      </w:r>
      <w:r>
        <w:rPr>
          <w:rFonts w:ascii="宋体" w:hAnsi="宋体" w:eastAsia="宋体" w:cs="宋体"/>
          <w:color w:val="auto"/>
          <w:spacing w:val="9"/>
          <w:sz w:val="20"/>
          <w:szCs w:val="20"/>
          <w:highlight w:val="none"/>
        </w:rPr>
        <w:t>金的计算方法和逾期竣工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违约金的上限。承包人支付逾期竣工违约金后，</w:t>
      </w:r>
      <w:r>
        <w:rPr>
          <w:rFonts w:ascii="宋体" w:hAnsi="宋体" w:eastAsia="宋体" w:cs="宋体"/>
          <w:color w:val="auto"/>
          <w:spacing w:val="9"/>
          <w:sz w:val="20"/>
          <w:szCs w:val="20"/>
          <w:highlight w:val="none"/>
        </w:rPr>
        <w:t>不免除承包人继续完成工程及修补缺陷的义务。</w:t>
      </w:r>
    </w:p>
    <w:p w14:paraId="7E6E8003">
      <w:pPr>
        <w:spacing w:line="228"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7.6 不利物质条件</w:t>
      </w:r>
    </w:p>
    <w:p w14:paraId="0640CC02">
      <w:pPr>
        <w:spacing w:before="221" w:line="432" w:lineRule="auto"/>
        <w:ind w:left="9" w:right="2"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不利物质条件是指有经验的承包人在施工现场遇到的不可预见的自然物质条件、非自然的物质障碍</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和污染物，包括地表以下物质条件和水文条件以及</w:t>
      </w:r>
      <w:r>
        <w:rPr>
          <w:rFonts w:ascii="宋体" w:hAnsi="宋体" w:eastAsia="宋体" w:cs="宋体"/>
          <w:color w:val="auto"/>
          <w:spacing w:val="9"/>
          <w:sz w:val="20"/>
          <w:szCs w:val="20"/>
          <w:highlight w:val="none"/>
        </w:rPr>
        <w:t>专用合同条款约定的其他情形，但不包括气候条件。</w:t>
      </w:r>
    </w:p>
    <w:p w14:paraId="66938511">
      <w:pPr>
        <w:spacing w:before="4" w:line="431" w:lineRule="auto"/>
        <w:ind w:left="7"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承包人遇到不利物质条件时，应采取克服不利物质条件的合理措施继续施工，并及时通知发包人和</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监理人。通知应载明不利物质条件的内容以及承包人认为不可预见的理由。监理人经发包人同意后应当</w:t>
      </w:r>
      <w:r>
        <w:rPr>
          <w:rFonts w:ascii="宋体" w:hAnsi="宋体" w:eastAsia="宋体" w:cs="宋体"/>
          <w:color w:val="auto"/>
          <w:spacing w:val="7"/>
          <w:sz w:val="20"/>
          <w:szCs w:val="20"/>
          <w:highlight w:val="none"/>
        </w:rPr>
        <w:t xml:space="preserve"> 及时发出指示，指示构成变更的，按第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10</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条〔变更〕约定执行。承包人因采取合理措施而增</w:t>
      </w:r>
      <w:r>
        <w:rPr>
          <w:rFonts w:ascii="宋体" w:hAnsi="宋体" w:eastAsia="宋体" w:cs="宋体"/>
          <w:color w:val="auto"/>
          <w:spacing w:val="6"/>
          <w:sz w:val="20"/>
          <w:szCs w:val="20"/>
          <w:highlight w:val="none"/>
        </w:rPr>
        <w:t>加的费用和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（或）延误的工期由发包人承担。</w:t>
      </w:r>
    </w:p>
    <w:p w14:paraId="6972CCBB">
      <w:pPr>
        <w:spacing w:before="1"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7.7 异常恶劣的气候条件</w:t>
      </w:r>
    </w:p>
    <w:p w14:paraId="6870BC9C">
      <w:pPr>
        <w:spacing w:before="220" w:line="432" w:lineRule="auto"/>
        <w:ind w:left="11"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异常恶劣的气候条件是指在施工过程中遇到的，有经验的承包人在签订合同时不可预见的，对合同</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rPr>
        <w:t>履行造成实质性影响的，但尚未构成不可抗力事件的恶劣气候条件。合同当事人可以在专用合同条款中</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约定异常恶劣的气候条件的具体情形。</w:t>
      </w:r>
    </w:p>
    <w:p w14:paraId="1B89AC72">
      <w:pPr>
        <w:spacing w:line="432" w:lineRule="auto"/>
        <w:ind w:left="8" w:right="2" w:firstLine="42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承包人应采取克服异常恶劣的气候条件的合理措施继续施工，并及时通知发包人和监理人。监理人</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经发包人同意后应当及时发出指示，指示构成变更的，按第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10</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条〔变更〕约定办理。</w:t>
      </w:r>
      <w:r>
        <w:rPr>
          <w:rFonts w:ascii="宋体" w:hAnsi="宋体" w:eastAsia="宋体" w:cs="宋体"/>
          <w:color w:val="auto"/>
          <w:spacing w:val="6"/>
          <w:sz w:val="20"/>
          <w:szCs w:val="20"/>
          <w:highlight w:val="none"/>
        </w:rPr>
        <w:t>承包人因采取合理</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措施而增加的费用和（或）延误的工期由发包人承担。</w:t>
      </w:r>
    </w:p>
    <w:p w14:paraId="2F79DC5A">
      <w:pPr>
        <w:spacing w:line="229" w:lineRule="auto"/>
        <w:ind w:left="43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7.8</w:t>
      </w:r>
      <w:r>
        <w:rPr>
          <w:rFonts w:ascii="宋体" w:hAnsi="宋体" w:eastAsia="宋体" w:cs="宋体"/>
          <w:color w:val="auto"/>
          <w:spacing w:val="22"/>
          <w:sz w:val="20"/>
          <w:szCs w:val="20"/>
          <w:highlight w:val="none"/>
        </w:rPr>
        <w:t xml:space="preserve"> </w:t>
      </w:r>
      <w:r>
        <w:rPr>
          <w:rFonts w:ascii="宋体" w:hAnsi="宋体" w:eastAsia="宋体" w:cs="宋体"/>
          <w:color w:val="auto"/>
          <w:spacing w:val="3"/>
          <w:sz w:val="20"/>
          <w:szCs w:val="20"/>
          <w:highlight w:val="none"/>
        </w:rPr>
        <w:t>暂停施工</w:t>
      </w:r>
    </w:p>
    <w:p w14:paraId="2A7453F0">
      <w:pPr>
        <w:spacing w:before="220" w:line="229"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7.8.1</w:t>
      </w:r>
      <w:r>
        <w:rPr>
          <w:rFonts w:ascii="宋体" w:hAnsi="宋体" w:eastAsia="宋体" w:cs="宋体"/>
          <w:color w:val="auto"/>
          <w:spacing w:val="-23"/>
          <w:sz w:val="20"/>
          <w:szCs w:val="20"/>
          <w:highlight w:val="none"/>
        </w:rPr>
        <w:t xml:space="preserve"> </w:t>
      </w:r>
      <w:r>
        <w:rPr>
          <w:rFonts w:ascii="宋体" w:hAnsi="宋体" w:eastAsia="宋体" w:cs="宋体"/>
          <w:color w:val="auto"/>
          <w:spacing w:val="6"/>
          <w:sz w:val="20"/>
          <w:szCs w:val="20"/>
          <w:highlight w:val="none"/>
        </w:rPr>
        <w:t>发包人原因引起的暂停施工</w:t>
      </w:r>
    </w:p>
    <w:p w14:paraId="0D363F0E">
      <w:pPr>
        <w:spacing w:before="221" w:line="433" w:lineRule="auto"/>
        <w:ind w:left="10" w:right="2" w:firstLine="43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因发包人原因引起暂停施工的，监理人经发包人同意后，应及时下达暂停</w:t>
      </w:r>
      <w:r>
        <w:rPr>
          <w:rFonts w:ascii="宋体" w:hAnsi="宋体" w:eastAsia="宋体" w:cs="宋体"/>
          <w:color w:val="auto"/>
          <w:spacing w:val="9"/>
          <w:sz w:val="20"/>
          <w:szCs w:val="20"/>
          <w:highlight w:val="none"/>
        </w:rPr>
        <w:t>施工指示。情况紧急且监</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理人未及时下达暂停施工指示的，按照第</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7.8.4</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项〔紧急情况下的暂停施工〕执行。</w:t>
      </w:r>
    </w:p>
    <w:p w14:paraId="3E96A210">
      <w:pPr>
        <w:spacing w:line="433" w:lineRule="auto"/>
        <w:rPr>
          <w:rFonts w:ascii="宋体" w:hAnsi="宋体" w:eastAsia="宋体" w:cs="宋体"/>
          <w:color w:val="auto"/>
          <w:sz w:val="20"/>
          <w:szCs w:val="20"/>
          <w:highlight w:val="none"/>
        </w:rPr>
        <w:sectPr>
          <w:headerReference r:id="rId130" w:type="default"/>
          <w:footerReference r:id="rId131" w:type="default"/>
          <w:pgSz w:w="11906" w:h="16839"/>
          <w:pgMar w:top="1091" w:right="1219" w:bottom="1158" w:left="1219" w:header="1076" w:footer="922" w:gutter="0"/>
          <w:cols w:space="720" w:num="1"/>
        </w:sectPr>
      </w:pPr>
    </w:p>
    <w:p w14:paraId="1D158C92">
      <w:pPr>
        <w:spacing w:before="256" w:line="432" w:lineRule="auto"/>
        <w:ind w:left="9" w:right="72" w:firstLine="43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因发包人原因引起的暂停施工，发包人应承担由此增加的费用和（或）延</w:t>
      </w:r>
      <w:r>
        <w:rPr>
          <w:rFonts w:ascii="宋体" w:hAnsi="宋体" w:eastAsia="宋体" w:cs="宋体"/>
          <w:color w:val="auto"/>
          <w:spacing w:val="9"/>
          <w:sz w:val="20"/>
          <w:szCs w:val="20"/>
          <w:highlight w:val="none"/>
        </w:rPr>
        <w:t>误的工期，并支付承包人</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合理的利润。</w:t>
      </w:r>
    </w:p>
    <w:p w14:paraId="0D78F586">
      <w:pPr>
        <w:spacing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7.8.2 承包人原因引起的暂停施工</w:t>
      </w:r>
    </w:p>
    <w:p w14:paraId="77808A67">
      <w:pPr>
        <w:spacing w:before="220" w:line="432" w:lineRule="auto"/>
        <w:ind w:left="10" w:right="72" w:firstLine="43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因承包人原因引起的暂停施工，承包人应承担由此增加的费用和（或）延</w:t>
      </w:r>
      <w:r>
        <w:rPr>
          <w:rFonts w:ascii="宋体" w:hAnsi="宋体" w:eastAsia="宋体" w:cs="宋体"/>
          <w:color w:val="auto"/>
          <w:spacing w:val="9"/>
          <w:sz w:val="20"/>
          <w:szCs w:val="20"/>
          <w:highlight w:val="none"/>
        </w:rPr>
        <w:t>误的工期，且承包人在收</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到监理人复工指示后84</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天内仍未复工的，视为第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16.2.1</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项〔承包人违约的情形〕第（7）目约定的承包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人无法继续履行合同的情形。</w:t>
      </w:r>
    </w:p>
    <w:p w14:paraId="04791EAE">
      <w:pPr>
        <w:spacing w:line="229"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7.8.3 指示暂停施工</w:t>
      </w:r>
    </w:p>
    <w:p w14:paraId="00111DA9">
      <w:pPr>
        <w:spacing w:before="219" w:line="432" w:lineRule="auto"/>
        <w:ind w:left="9" w:right="7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监理人认为有必要时，并经发包人批准后，可向承包人作出暂停施工的指示，承包人应按监理人指</w:t>
      </w:r>
      <w:r>
        <w:rPr>
          <w:rFonts w:ascii="宋体" w:hAnsi="宋体" w:eastAsia="宋体" w:cs="宋体"/>
          <w:color w:val="auto"/>
          <w:spacing w:val="5"/>
          <w:sz w:val="20"/>
          <w:szCs w:val="20"/>
          <w:highlight w:val="none"/>
        </w:rPr>
        <w:t xml:space="preserve"> </w:t>
      </w:r>
      <w:r>
        <w:rPr>
          <w:rFonts w:ascii="宋体" w:hAnsi="宋体" w:eastAsia="宋体" w:cs="宋体"/>
          <w:color w:val="auto"/>
          <w:spacing w:val="6"/>
          <w:sz w:val="20"/>
          <w:szCs w:val="20"/>
          <w:highlight w:val="none"/>
        </w:rPr>
        <w:t>示暂停施工。</w:t>
      </w:r>
    </w:p>
    <w:p w14:paraId="54853FB2">
      <w:pPr>
        <w:spacing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7.8.4 紧急情况下的暂停施工</w:t>
      </w:r>
    </w:p>
    <w:p w14:paraId="2809F122">
      <w:pPr>
        <w:spacing w:before="221" w:line="432" w:lineRule="auto"/>
        <w:ind w:left="9" w:right="71" w:firstLine="43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因紧急情况需暂停施工，且监理人未及时下达暂停施工指示的，承包人可</w:t>
      </w:r>
      <w:r>
        <w:rPr>
          <w:rFonts w:ascii="宋体" w:hAnsi="宋体" w:eastAsia="宋体" w:cs="宋体"/>
          <w:color w:val="auto"/>
          <w:spacing w:val="9"/>
          <w:sz w:val="20"/>
          <w:szCs w:val="20"/>
          <w:highlight w:val="none"/>
        </w:rPr>
        <w:t>先暂停施工，并及时通知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监理人。监理人应在接到通知后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小时内发出指示，逾期未发出指示，视为同意承包人暂停施工。监理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人不同意承包人暂停施工的，应说明理由，承包人对监理人的答复有异议，按照第</w:t>
      </w:r>
      <w:r>
        <w:rPr>
          <w:rFonts w:ascii="宋体" w:hAnsi="宋体" w:eastAsia="宋体" w:cs="宋体"/>
          <w:color w:val="auto"/>
          <w:spacing w:val="-28"/>
          <w:sz w:val="20"/>
          <w:szCs w:val="20"/>
          <w:highlight w:val="none"/>
        </w:rPr>
        <w:t xml:space="preserve"> </w:t>
      </w:r>
      <w:r>
        <w:rPr>
          <w:rFonts w:ascii="宋体" w:hAnsi="宋体" w:eastAsia="宋体" w:cs="宋体"/>
          <w:color w:val="auto"/>
          <w:spacing w:val="7"/>
          <w:sz w:val="20"/>
          <w:szCs w:val="20"/>
          <w:highlight w:val="none"/>
        </w:rPr>
        <w:t>20</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条〔争议解决〕约</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定处理。</w:t>
      </w:r>
    </w:p>
    <w:p w14:paraId="473A7570">
      <w:pPr>
        <w:spacing w:line="229"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7.8.5 暂停施工后的复工</w:t>
      </w:r>
    </w:p>
    <w:p w14:paraId="0FCA631B">
      <w:pPr>
        <w:spacing w:before="220" w:line="432" w:lineRule="auto"/>
        <w:ind w:left="8" w:right="72" w:firstLine="42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暂停施工后，发包人和承包人应采取有效措施积极消除暂停施工的影响。在工程复工前，监理人会</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同发包人和承包人确定因暂停施工造成的损失，并确定工程复工条件。当工程具备复工条件时，监理人</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应经发包人批准后向承包人发出复工通知，承包人应按照复工通知要求复工。</w:t>
      </w:r>
    </w:p>
    <w:p w14:paraId="2007BB75">
      <w:pPr>
        <w:spacing w:line="432" w:lineRule="auto"/>
        <w:ind w:left="9" w:right="7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承包人无故拖延和拒绝复工的，承包人承担由此增加的费用和（或）延误的工期；因发包人原因无</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法按时复工的，按照第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7.5.1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项〔因发包人原因导致工期延误〕约</w:t>
      </w:r>
      <w:r>
        <w:rPr>
          <w:rFonts w:ascii="宋体" w:hAnsi="宋体" w:eastAsia="宋体" w:cs="宋体"/>
          <w:color w:val="auto"/>
          <w:spacing w:val="7"/>
          <w:sz w:val="20"/>
          <w:szCs w:val="20"/>
          <w:highlight w:val="none"/>
        </w:rPr>
        <w:t>定办理。</w:t>
      </w:r>
    </w:p>
    <w:p w14:paraId="70E83DC4">
      <w:pPr>
        <w:spacing w:line="228"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7.8.6 暂停施工持续</w:t>
      </w:r>
      <w:r>
        <w:rPr>
          <w:rFonts w:ascii="宋体" w:hAnsi="宋体" w:eastAsia="宋体" w:cs="宋体"/>
          <w:color w:val="auto"/>
          <w:spacing w:val="-31"/>
          <w:sz w:val="20"/>
          <w:szCs w:val="20"/>
          <w:highlight w:val="none"/>
        </w:rPr>
        <w:t xml:space="preserve"> </w:t>
      </w:r>
      <w:r>
        <w:rPr>
          <w:rFonts w:ascii="宋体" w:hAnsi="宋体" w:eastAsia="宋体" w:cs="宋体"/>
          <w:color w:val="auto"/>
          <w:spacing w:val="5"/>
          <w:sz w:val="20"/>
          <w:szCs w:val="20"/>
          <w:highlight w:val="none"/>
        </w:rPr>
        <w:t>56</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天以上</w:t>
      </w:r>
    </w:p>
    <w:p w14:paraId="38AC6ADB">
      <w:pPr>
        <w:spacing w:before="221" w:line="432" w:lineRule="auto"/>
        <w:ind w:left="8" w:firstLine="42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监理人发出暂停施工指示后</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56</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天内未向承包人发出复工通知，除该项停工属于第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7.8.2</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项〔</w:t>
      </w:r>
      <w:r>
        <w:rPr>
          <w:rFonts w:ascii="宋体" w:hAnsi="宋体" w:eastAsia="宋体" w:cs="宋体"/>
          <w:color w:val="auto"/>
          <w:spacing w:val="5"/>
          <w:sz w:val="20"/>
          <w:szCs w:val="20"/>
          <w:highlight w:val="none"/>
        </w:rPr>
        <w:t>承包人</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原因引起的暂停施工〕及第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17</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条〔不可抗力〕约定的情形外，承包人可向发包人提交</w:t>
      </w:r>
      <w:r>
        <w:rPr>
          <w:rFonts w:ascii="宋体" w:hAnsi="宋体" w:eastAsia="宋体" w:cs="宋体"/>
          <w:color w:val="auto"/>
          <w:spacing w:val="6"/>
          <w:sz w:val="20"/>
          <w:szCs w:val="20"/>
          <w:highlight w:val="none"/>
        </w:rPr>
        <w:t>书面通知，要求发</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包人在收到书面通知后</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天内准许已暂停施工的部分或全部工程继续施工。发包人逾期不予批准的，则</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承包人可以通知发包人，将工程受影响的部分视为按第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10.1</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款〔变更的范围〕第（2）项的可取消工作。</w:t>
      </w:r>
    </w:p>
    <w:p w14:paraId="120C0CEF">
      <w:pPr>
        <w:spacing w:before="3" w:line="431" w:lineRule="auto"/>
        <w:ind w:left="10" w:right="71" w:firstLine="42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暂停施工持续</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84</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天以上不复工的，且不属于第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7.8.2</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项〔承包人原因引起的暂停施工〕及第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17</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条</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〔不可抗力〕约定的情形，并影响到整个工程以及合同目的实现的，承包人有权提出价格调整要求，或</w:t>
      </w:r>
      <w:r>
        <w:rPr>
          <w:rFonts w:ascii="宋体" w:hAnsi="宋体" w:eastAsia="宋体" w:cs="宋体"/>
          <w:color w:val="auto"/>
          <w:spacing w:val="4"/>
          <w:sz w:val="20"/>
          <w:szCs w:val="20"/>
          <w:highlight w:val="none"/>
        </w:rPr>
        <w:t xml:space="preserve"> </w:t>
      </w:r>
      <w:r>
        <w:rPr>
          <w:rFonts w:ascii="宋体" w:hAnsi="宋体" w:eastAsia="宋体" w:cs="宋体"/>
          <w:color w:val="auto"/>
          <w:spacing w:val="8"/>
          <w:sz w:val="20"/>
          <w:szCs w:val="20"/>
          <w:highlight w:val="none"/>
        </w:rPr>
        <w:t>者解除合同。解除合同的，按照第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16.1.3</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项</w:t>
      </w:r>
      <w:r>
        <w:rPr>
          <w:rFonts w:ascii="宋体" w:hAnsi="宋体" w:eastAsia="宋体" w:cs="宋体"/>
          <w:color w:val="auto"/>
          <w:spacing w:val="7"/>
          <w:sz w:val="20"/>
          <w:szCs w:val="20"/>
          <w:highlight w:val="none"/>
        </w:rPr>
        <w:t>〔因发包人违约解除合同〕执行。</w:t>
      </w:r>
    </w:p>
    <w:p w14:paraId="3FF82D12">
      <w:pPr>
        <w:spacing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7.8.7 暂停施工期间的工程照管</w:t>
      </w:r>
    </w:p>
    <w:p w14:paraId="3FFE75E7">
      <w:pPr>
        <w:spacing w:before="221" w:line="228" w:lineRule="auto"/>
        <w:ind w:left="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暂停施工期间，承包人应负责妥善照管工程并提供安全保障，由此增加的费用由责任方承担。</w:t>
      </w:r>
    </w:p>
    <w:p w14:paraId="49C7C60A">
      <w:pPr>
        <w:spacing w:line="228" w:lineRule="auto"/>
        <w:rPr>
          <w:rFonts w:ascii="宋体" w:hAnsi="宋体" w:eastAsia="宋体" w:cs="宋体"/>
          <w:color w:val="auto"/>
          <w:sz w:val="20"/>
          <w:szCs w:val="20"/>
          <w:highlight w:val="none"/>
        </w:rPr>
        <w:sectPr>
          <w:headerReference r:id="rId132" w:type="default"/>
          <w:footerReference r:id="rId133" w:type="default"/>
          <w:pgSz w:w="11906" w:h="16839"/>
          <w:pgMar w:top="1091" w:right="1149" w:bottom="1158" w:left="1219" w:header="1076" w:footer="922" w:gutter="0"/>
          <w:cols w:space="720" w:num="1"/>
        </w:sectPr>
      </w:pPr>
    </w:p>
    <w:p w14:paraId="7F6EB133">
      <w:pPr>
        <w:spacing w:before="256" w:line="229"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7.8.8 暂停施工的措施</w:t>
      </w:r>
    </w:p>
    <w:p w14:paraId="33E38EB2">
      <w:pPr>
        <w:spacing w:before="219" w:line="432" w:lineRule="auto"/>
        <w:ind w:left="13" w:right="2"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暂停施工期间，发包人和承包人均应采取必要的措施确保工程质量及安全，防止因暂停施工扩大损</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失。</w:t>
      </w:r>
    </w:p>
    <w:p w14:paraId="6CA67270">
      <w:pPr>
        <w:spacing w:line="228" w:lineRule="auto"/>
        <w:ind w:left="43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7.9</w:t>
      </w:r>
      <w:r>
        <w:rPr>
          <w:rFonts w:ascii="宋体" w:hAnsi="宋体" w:eastAsia="宋体" w:cs="宋体"/>
          <w:color w:val="auto"/>
          <w:spacing w:val="-38"/>
          <w:sz w:val="20"/>
          <w:szCs w:val="20"/>
          <w:highlight w:val="none"/>
        </w:rPr>
        <w:t xml:space="preserve"> </w:t>
      </w:r>
      <w:r>
        <w:rPr>
          <w:rFonts w:ascii="宋体" w:hAnsi="宋体" w:eastAsia="宋体" w:cs="宋体"/>
          <w:color w:val="auto"/>
          <w:spacing w:val="4"/>
          <w:sz w:val="20"/>
          <w:szCs w:val="20"/>
          <w:highlight w:val="none"/>
        </w:rPr>
        <w:t>提前竣工</w:t>
      </w:r>
    </w:p>
    <w:p w14:paraId="0B6A4285">
      <w:pPr>
        <w:spacing w:before="220" w:line="398" w:lineRule="auto"/>
        <w:ind w:left="7" w:right="2"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7.9.1 发包人要求承包人提前竣工的，发包人应通过监理人向承包人下达提前竣工指示，承包人应</w:t>
      </w:r>
      <w:r>
        <w:rPr>
          <w:rFonts w:ascii="宋体" w:hAnsi="宋体" w:eastAsia="宋体" w:cs="宋体"/>
          <w:color w:val="auto"/>
          <w:spacing w:val="17"/>
          <w:sz w:val="20"/>
          <w:szCs w:val="20"/>
          <w:highlight w:val="none"/>
        </w:rPr>
        <w:t xml:space="preserve"> </w:t>
      </w:r>
      <w:r>
        <w:rPr>
          <w:rFonts w:ascii="宋体" w:hAnsi="宋体" w:eastAsia="宋体" w:cs="宋体"/>
          <w:color w:val="auto"/>
          <w:spacing w:val="10"/>
          <w:sz w:val="20"/>
          <w:szCs w:val="20"/>
          <w:highlight w:val="none"/>
        </w:rPr>
        <w:t>向发包人和监理人提交提前竣工建议书，提前竣工建议书应包括实施的方案、缩短的时间、增加的合同</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价格等内容。发包人接受该提前竣工建议书的，监理人应与发包人和承包人协商采取加快工程进度的措</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施，并修订施工进度计划，</w:t>
      </w:r>
      <w:r>
        <w:rPr>
          <w:rFonts w:ascii="宋体" w:hAnsi="宋体" w:eastAsia="宋体" w:cs="宋体"/>
          <w:color w:val="auto"/>
          <w:spacing w:val="-48"/>
          <w:sz w:val="20"/>
          <w:szCs w:val="20"/>
          <w:highlight w:val="none"/>
        </w:rPr>
        <w:t xml:space="preserve"> </w:t>
      </w:r>
      <w:r>
        <w:rPr>
          <w:rFonts w:ascii="宋体" w:hAnsi="宋体" w:eastAsia="宋体" w:cs="宋体"/>
          <w:color w:val="auto"/>
          <w:spacing w:val="9"/>
          <w:sz w:val="20"/>
          <w:szCs w:val="20"/>
          <w:highlight w:val="none"/>
        </w:rPr>
        <w:t>由此增加的费用由发包人承担。承包人认为提前竣工指示无法执行的，应向</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监理人和发包人提出书面异议，发包人和监理</w:t>
      </w:r>
      <w:r>
        <w:rPr>
          <w:rFonts w:ascii="宋体" w:hAnsi="宋体" w:eastAsia="宋体" w:cs="宋体"/>
          <w:color w:val="auto"/>
          <w:spacing w:val="9"/>
          <w:sz w:val="20"/>
          <w:szCs w:val="20"/>
          <w:highlight w:val="none"/>
        </w:rPr>
        <w:t>人应在收到异议后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天内予以答复。任何情况下，发包人</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不得压缩合理工期。</w:t>
      </w:r>
    </w:p>
    <w:p w14:paraId="18BAAFD3">
      <w:pPr>
        <w:spacing w:before="221" w:line="330" w:lineRule="auto"/>
        <w:ind w:left="21" w:right="2" w:firstLine="41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7.9.2 发包人要求承包人提前竣工，或承包人提出提前竣工的建议能够给发包人带来效益的，合同</w:t>
      </w:r>
      <w:r>
        <w:rPr>
          <w:rFonts w:ascii="宋体" w:hAnsi="宋体" w:eastAsia="宋体" w:cs="宋体"/>
          <w:color w:val="auto"/>
          <w:spacing w:val="17"/>
          <w:sz w:val="20"/>
          <w:szCs w:val="20"/>
          <w:highlight w:val="none"/>
        </w:rPr>
        <w:t xml:space="preserve"> </w:t>
      </w:r>
      <w:r>
        <w:rPr>
          <w:rFonts w:ascii="宋体" w:hAnsi="宋体" w:eastAsia="宋体" w:cs="宋体"/>
          <w:color w:val="auto"/>
          <w:spacing w:val="8"/>
          <w:sz w:val="20"/>
          <w:szCs w:val="20"/>
          <w:highlight w:val="none"/>
        </w:rPr>
        <w:t>当事人可以在专用合同条款中约定提前竣工的奖励。</w:t>
      </w:r>
    </w:p>
    <w:p w14:paraId="0B805C04">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 材料与设备</w:t>
      </w:r>
    </w:p>
    <w:p w14:paraId="5B6B19D3">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8.1</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发包人供应材料与工程设备</w:t>
      </w:r>
    </w:p>
    <w:p w14:paraId="39A32495">
      <w:pPr>
        <w:spacing w:before="221" w:line="432" w:lineRule="auto"/>
        <w:ind w:left="11"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发包人自行供应材料、工程设备的，应在签订合同时在专用合同条款的附件《发包人供应材料设备</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一览表》中明确材料、工程设备的品种、规格、型号、数量、单价、质量等级和送达地点。</w:t>
      </w:r>
    </w:p>
    <w:p w14:paraId="30AFCE82">
      <w:pPr>
        <w:spacing w:before="3" w:line="431" w:lineRule="auto"/>
        <w:ind w:left="10" w:right="1" w:firstLine="417"/>
        <w:jc w:val="both"/>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承包人应提前</w:t>
      </w:r>
      <w:r>
        <w:rPr>
          <w:rFonts w:ascii="宋体" w:hAnsi="宋体" w:eastAsia="宋体" w:cs="宋体"/>
          <w:color w:val="auto"/>
          <w:spacing w:val="-28"/>
          <w:sz w:val="20"/>
          <w:szCs w:val="20"/>
          <w:highlight w:val="none"/>
        </w:rPr>
        <w:t xml:space="preserve"> </w:t>
      </w:r>
      <w:r>
        <w:rPr>
          <w:rFonts w:ascii="宋体" w:hAnsi="宋体" w:eastAsia="宋体" w:cs="宋体"/>
          <w:color w:val="auto"/>
          <w:spacing w:val="17"/>
          <w:sz w:val="20"/>
          <w:szCs w:val="20"/>
          <w:highlight w:val="none"/>
        </w:rPr>
        <w:t>30</w:t>
      </w:r>
      <w:r>
        <w:rPr>
          <w:rFonts w:ascii="宋体" w:hAnsi="宋体" w:eastAsia="宋体" w:cs="宋体"/>
          <w:color w:val="auto"/>
          <w:spacing w:val="-27"/>
          <w:sz w:val="20"/>
          <w:szCs w:val="20"/>
          <w:highlight w:val="none"/>
        </w:rPr>
        <w:t xml:space="preserve"> </w:t>
      </w:r>
      <w:r>
        <w:rPr>
          <w:rFonts w:ascii="宋体" w:hAnsi="宋体" w:eastAsia="宋体" w:cs="宋体"/>
          <w:color w:val="auto"/>
          <w:spacing w:val="17"/>
          <w:sz w:val="20"/>
          <w:szCs w:val="20"/>
          <w:highlight w:val="none"/>
        </w:rPr>
        <w:t>天通过监理人以书面形式</w:t>
      </w:r>
      <w:r>
        <w:rPr>
          <w:rFonts w:ascii="宋体" w:hAnsi="宋体" w:eastAsia="宋体" w:cs="宋体"/>
          <w:color w:val="auto"/>
          <w:spacing w:val="16"/>
          <w:sz w:val="20"/>
          <w:szCs w:val="20"/>
          <w:highlight w:val="none"/>
        </w:rPr>
        <w:t>通知发包人供应材料与工程设备进场。承包人按照第</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7.2.2</w:t>
      </w:r>
      <w:r>
        <w:rPr>
          <w:rFonts w:ascii="宋体" w:hAnsi="宋体" w:eastAsia="宋体" w:cs="宋体"/>
          <w:color w:val="auto"/>
          <w:spacing w:val="-17"/>
          <w:sz w:val="20"/>
          <w:szCs w:val="20"/>
          <w:highlight w:val="none"/>
        </w:rPr>
        <w:t xml:space="preserve"> </w:t>
      </w:r>
      <w:r>
        <w:rPr>
          <w:rFonts w:ascii="宋体" w:hAnsi="宋体" w:eastAsia="宋体" w:cs="宋体"/>
          <w:color w:val="auto"/>
          <w:spacing w:val="10"/>
          <w:sz w:val="20"/>
          <w:szCs w:val="20"/>
          <w:highlight w:val="none"/>
        </w:rPr>
        <w:t>项〔施工进度计划的修订〕约定修订施工进度计划时，需同时提交经修订后的发包人供应材料与</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工程设备的进场计划。</w:t>
      </w:r>
    </w:p>
    <w:p w14:paraId="32037F7A">
      <w:pPr>
        <w:spacing w:before="1"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8.2</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承包人采购材料与工程设备</w:t>
      </w:r>
    </w:p>
    <w:p w14:paraId="44C24555">
      <w:pPr>
        <w:spacing w:before="221" w:line="432" w:lineRule="auto"/>
        <w:ind w:left="7"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承包人负责采购材料、工程设备的，应按照设计和有关标准要求采购，并提供产品合格证明及出厂</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证明，对材料、工程设备质量负责。合同约定由承包人采购的材料、工程设备，发包人不得指定生产厂</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家或供应商，发包人违反本款约定指定生产厂家或供应商的，承包人有权拒绝，并由发包人承担相应责</w:t>
      </w:r>
      <w:r>
        <w:rPr>
          <w:rFonts w:ascii="宋体" w:hAnsi="宋体" w:eastAsia="宋体" w:cs="宋体"/>
          <w:color w:val="auto"/>
          <w:spacing w:val="7"/>
          <w:sz w:val="20"/>
          <w:szCs w:val="20"/>
          <w:highlight w:val="none"/>
        </w:rPr>
        <w:t xml:space="preserve"> </w:t>
      </w:r>
      <w:r>
        <w:rPr>
          <w:rFonts w:ascii="宋体" w:hAnsi="宋体" w:eastAsia="宋体" w:cs="宋体"/>
          <w:color w:val="auto"/>
          <w:sz w:val="20"/>
          <w:szCs w:val="20"/>
          <w:highlight w:val="none"/>
        </w:rPr>
        <w:t>任。</w:t>
      </w:r>
    </w:p>
    <w:p w14:paraId="7806E66D">
      <w:pPr>
        <w:spacing w:before="1"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8.3</w:t>
      </w:r>
      <w:r>
        <w:rPr>
          <w:rFonts w:ascii="宋体" w:hAnsi="宋体" w:eastAsia="宋体" w:cs="宋体"/>
          <w:color w:val="auto"/>
          <w:spacing w:val="-26"/>
          <w:sz w:val="20"/>
          <w:szCs w:val="20"/>
          <w:highlight w:val="none"/>
        </w:rPr>
        <w:t xml:space="preserve"> </w:t>
      </w:r>
      <w:r>
        <w:rPr>
          <w:rFonts w:ascii="宋体" w:hAnsi="宋体" w:eastAsia="宋体" w:cs="宋体"/>
          <w:color w:val="auto"/>
          <w:spacing w:val="7"/>
          <w:sz w:val="20"/>
          <w:szCs w:val="20"/>
          <w:highlight w:val="none"/>
        </w:rPr>
        <w:t>材料与工程设备的接收与拒收</w:t>
      </w:r>
    </w:p>
    <w:p w14:paraId="58A12788">
      <w:pPr>
        <w:spacing w:before="221" w:line="432" w:lineRule="auto"/>
        <w:ind w:left="8" w:right="2" w:firstLine="42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8.3.1 发包人应按《发包人供应材料设备</w:t>
      </w:r>
      <w:r>
        <w:rPr>
          <w:rFonts w:ascii="宋体" w:hAnsi="宋体" w:eastAsia="宋体" w:cs="宋体"/>
          <w:color w:val="auto"/>
          <w:spacing w:val="9"/>
          <w:sz w:val="20"/>
          <w:szCs w:val="20"/>
          <w:highlight w:val="none"/>
        </w:rPr>
        <w:t>一览表》约定的内容提供材料和工程设备，并向承包人提</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供产品合格证明及出厂证明，对其质量负责。发包人应提前</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小时以书面形式通知承包人、监理人材料</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和工程设备到货时间，承包人负责材料和工程设备的清点、检验和接收。</w:t>
      </w:r>
    </w:p>
    <w:p w14:paraId="1E9B1A4B">
      <w:pPr>
        <w:spacing w:before="2" w:line="432" w:lineRule="auto"/>
        <w:ind w:left="10"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发包人提供的材料和工程设备的规格、数量或质量不符合合同约定的，或因发包人原因导致交货日</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期延误或交货地点变更等情况的，按照第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16.1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款〔发</w:t>
      </w:r>
      <w:r>
        <w:rPr>
          <w:rFonts w:ascii="宋体" w:hAnsi="宋体" w:eastAsia="宋体" w:cs="宋体"/>
          <w:color w:val="auto"/>
          <w:spacing w:val="7"/>
          <w:sz w:val="20"/>
          <w:szCs w:val="20"/>
          <w:highlight w:val="none"/>
        </w:rPr>
        <w:t>包人违约〕约定办理。</w:t>
      </w:r>
    </w:p>
    <w:p w14:paraId="664C9696">
      <w:pPr>
        <w:spacing w:line="432" w:lineRule="auto"/>
        <w:rPr>
          <w:rFonts w:ascii="宋体" w:hAnsi="宋体" w:eastAsia="宋体" w:cs="宋体"/>
          <w:color w:val="auto"/>
          <w:sz w:val="20"/>
          <w:szCs w:val="20"/>
          <w:highlight w:val="none"/>
        </w:rPr>
        <w:sectPr>
          <w:headerReference r:id="rId134" w:type="default"/>
          <w:footerReference r:id="rId135" w:type="default"/>
          <w:pgSz w:w="11906" w:h="16839"/>
          <w:pgMar w:top="1091" w:right="1219" w:bottom="1158" w:left="1219" w:header="1076" w:footer="922" w:gutter="0"/>
          <w:cols w:space="720" w:num="1"/>
        </w:sectPr>
      </w:pPr>
    </w:p>
    <w:p w14:paraId="2B3B7B6D">
      <w:pPr>
        <w:spacing w:before="256" w:line="432" w:lineRule="auto"/>
        <w:ind w:left="9" w:right="55" w:firstLine="42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8.3.2 承包人采购的材料和工程设备，应保证产品质量合格，承包人应在材料和工程设备到货</w:t>
      </w:r>
      <w:r>
        <w:rPr>
          <w:rFonts w:ascii="宋体" w:hAnsi="宋体" w:eastAsia="宋体" w:cs="宋体"/>
          <w:color w:val="auto"/>
          <w:spacing w:val="7"/>
          <w:sz w:val="20"/>
          <w:szCs w:val="20"/>
          <w:highlight w:val="none"/>
        </w:rPr>
        <w:t>前</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小时通知监理人检验。承包人进行永久设备、材料的制造和生产的，应符合相关质量标准，并向监理人</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提交材料的样本以及有关资料，并应在使用该材料或工程设备之前获得监理人同意。</w:t>
      </w:r>
    </w:p>
    <w:p w14:paraId="2455AF22">
      <w:pPr>
        <w:spacing w:line="432" w:lineRule="auto"/>
        <w:ind w:left="6" w:firstLine="527"/>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承包人采购的材料和工程设备不符合设计或有关标准要求时，承包</w:t>
      </w:r>
      <w:r>
        <w:rPr>
          <w:rFonts w:ascii="宋体" w:hAnsi="宋体" w:eastAsia="宋体" w:cs="宋体"/>
          <w:color w:val="auto"/>
          <w:spacing w:val="7"/>
          <w:sz w:val="20"/>
          <w:szCs w:val="20"/>
          <w:highlight w:val="none"/>
        </w:rPr>
        <w:t>人应在监理人要求的合理期限内</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将不符合设计或有关标准要求的材料、工程设备运出施工现场，并重新采购符合要求的</w:t>
      </w:r>
      <w:r>
        <w:rPr>
          <w:rFonts w:ascii="宋体" w:hAnsi="宋体" w:eastAsia="宋体" w:cs="宋体"/>
          <w:color w:val="auto"/>
          <w:spacing w:val="6"/>
          <w:sz w:val="20"/>
          <w:szCs w:val="20"/>
          <w:highlight w:val="none"/>
        </w:rPr>
        <w:t>材料、工程设备，</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由此增加的费用和（或）延误的工期，由承包人承担。</w:t>
      </w:r>
    </w:p>
    <w:p w14:paraId="4A254239">
      <w:pPr>
        <w:spacing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8.4</w:t>
      </w:r>
      <w:r>
        <w:rPr>
          <w:rFonts w:ascii="宋体" w:hAnsi="宋体" w:eastAsia="宋体" w:cs="宋体"/>
          <w:color w:val="auto"/>
          <w:spacing w:val="-26"/>
          <w:sz w:val="20"/>
          <w:szCs w:val="20"/>
          <w:highlight w:val="none"/>
        </w:rPr>
        <w:t xml:space="preserve"> </w:t>
      </w:r>
      <w:r>
        <w:rPr>
          <w:rFonts w:ascii="宋体" w:hAnsi="宋体" w:eastAsia="宋体" w:cs="宋体"/>
          <w:color w:val="auto"/>
          <w:spacing w:val="7"/>
          <w:sz w:val="20"/>
          <w:szCs w:val="20"/>
          <w:highlight w:val="none"/>
        </w:rPr>
        <w:t>材料与工程设备的保管与使用</w:t>
      </w:r>
    </w:p>
    <w:p w14:paraId="1231C6F3">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8.4.1 发包人供应材料与工程设备的保管与使用</w:t>
      </w:r>
    </w:p>
    <w:p w14:paraId="12E0DFBC">
      <w:pPr>
        <w:spacing w:before="221" w:line="432" w:lineRule="auto"/>
        <w:ind w:left="9" w:right="56"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发包人供应的材料和工程设备，承包人清点后由承包人妥善保管，保管费用由发包人承担，但已标</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价工程量清单或预算书已经列支或专用合同条款另有约定除外。因承包人原因发生丢失毁损的，</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由承包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人负责赔偿；监理人未通知承包人清点的，承包人不负责材料和工程设备的保管，</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由此导致丢失毁损的</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由发包人负责。</w:t>
      </w:r>
    </w:p>
    <w:p w14:paraId="6BFCC910">
      <w:pPr>
        <w:spacing w:before="2" w:line="431" w:lineRule="auto"/>
        <w:ind w:left="9" w:right="56" w:firstLine="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发包人供应的材料和工程设备使用前，</w:t>
      </w:r>
      <w:r>
        <w:rPr>
          <w:rFonts w:ascii="宋体" w:hAnsi="宋体" w:eastAsia="宋体" w:cs="宋体"/>
          <w:color w:val="auto"/>
          <w:spacing w:val="-55"/>
          <w:sz w:val="20"/>
          <w:szCs w:val="20"/>
          <w:highlight w:val="none"/>
        </w:rPr>
        <w:t xml:space="preserve"> </w:t>
      </w:r>
      <w:r>
        <w:rPr>
          <w:rFonts w:ascii="宋体" w:hAnsi="宋体" w:eastAsia="宋体" w:cs="宋体"/>
          <w:color w:val="auto"/>
          <w:spacing w:val="9"/>
          <w:sz w:val="20"/>
          <w:szCs w:val="20"/>
          <w:highlight w:val="none"/>
        </w:rPr>
        <w:t>由承包人负责检验，检验费用由发包人承担，不合格的不得</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使用。</w:t>
      </w:r>
    </w:p>
    <w:p w14:paraId="44584651">
      <w:pPr>
        <w:spacing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8.4.2 承包人采购材料与工程设备的保管与使用</w:t>
      </w:r>
    </w:p>
    <w:p w14:paraId="49F1941E">
      <w:pPr>
        <w:spacing w:before="221" w:line="432" w:lineRule="auto"/>
        <w:ind w:left="8" w:right="56"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承包人采购的材料和工程设备由承包人妥善保管，保管费用由承包人承担。法律规定材料和工程设</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备使用前必须进行检验或试验的，承包人应按监理人的要求进行检验或试验，检验或试验费用由承包人</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承担，不合格的不得使用。</w:t>
      </w:r>
    </w:p>
    <w:p w14:paraId="4AD5EC64">
      <w:pPr>
        <w:spacing w:line="432" w:lineRule="auto"/>
        <w:ind w:left="6" w:right="56" w:firstLine="4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发包人或监理人发现承包人使用不符合设计或有关标准要求的材料和工程设备时，有权要求承包人</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进行修复、拆除或重新采购，由此增加的费用和（或）延误的工期，</w:t>
      </w:r>
      <w:r>
        <w:rPr>
          <w:rFonts w:ascii="宋体" w:hAnsi="宋体" w:eastAsia="宋体" w:cs="宋体"/>
          <w:color w:val="auto"/>
          <w:spacing w:val="-46"/>
          <w:sz w:val="20"/>
          <w:szCs w:val="20"/>
          <w:highlight w:val="none"/>
        </w:rPr>
        <w:t xml:space="preserve"> </w:t>
      </w:r>
      <w:r>
        <w:rPr>
          <w:rFonts w:ascii="宋体" w:hAnsi="宋体" w:eastAsia="宋体" w:cs="宋体"/>
          <w:color w:val="auto"/>
          <w:spacing w:val="8"/>
          <w:sz w:val="20"/>
          <w:szCs w:val="20"/>
          <w:highlight w:val="none"/>
        </w:rPr>
        <w:t>由承包人承担。</w:t>
      </w:r>
    </w:p>
    <w:p w14:paraId="7440E501">
      <w:pPr>
        <w:spacing w:before="1"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8.5</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禁止使用不合格的材料和工程设备</w:t>
      </w:r>
    </w:p>
    <w:p w14:paraId="4DB73F2A">
      <w:pPr>
        <w:spacing w:before="222" w:line="330" w:lineRule="auto"/>
        <w:ind w:left="8" w:right="56"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8.5.1 监理人有权拒绝承包人提供的不合</w:t>
      </w:r>
      <w:r>
        <w:rPr>
          <w:rFonts w:ascii="宋体" w:hAnsi="宋体" w:eastAsia="宋体" w:cs="宋体"/>
          <w:color w:val="auto"/>
          <w:spacing w:val="9"/>
          <w:sz w:val="20"/>
          <w:szCs w:val="20"/>
          <w:highlight w:val="none"/>
        </w:rPr>
        <w:t>格材料或工程设备，并要求承包人立即进行更换。监理人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应在更换后再次进行检查和检验，由此增加的费用和（或）延误的工期由承包人承担。</w:t>
      </w:r>
    </w:p>
    <w:p w14:paraId="44F48B33">
      <w:pPr>
        <w:spacing w:before="220" w:line="330" w:lineRule="auto"/>
        <w:ind w:left="13" w:right="105" w:firstLine="41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8.5.2 监理人发现承包人使用了不合格的材料和工程设备，承包人应按照监理人的指示立即改正，</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并禁止在工程中继续使用不合格的材料和工</w:t>
      </w:r>
      <w:r>
        <w:rPr>
          <w:rFonts w:ascii="宋体" w:hAnsi="宋体" w:eastAsia="宋体" w:cs="宋体"/>
          <w:color w:val="auto"/>
          <w:spacing w:val="8"/>
          <w:sz w:val="20"/>
          <w:szCs w:val="20"/>
          <w:highlight w:val="none"/>
        </w:rPr>
        <w:t>程设备。</w:t>
      </w:r>
    </w:p>
    <w:p w14:paraId="5A24D920">
      <w:pPr>
        <w:spacing w:before="222" w:line="330" w:lineRule="auto"/>
        <w:ind w:left="33" w:right="105" w:firstLine="39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8.5.3 发包人提供的材料或工程设备不符合合同要求的，承包人有权拒绝，并可要求发包人更换，</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由此增加的费用和（或）延误的工期由发包人承担，</w:t>
      </w:r>
      <w:r>
        <w:rPr>
          <w:rFonts w:ascii="宋体" w:hAnsi="宋体" w:eastAsia="宋体" w:cs="宋体"/>
          <w:color w:val="auto"/>
          <w:spacing w:val="8"/>
          <w:sz w:val="20"/>
          <w:szCs w:val="20"/>
          <w:highlight w:val="none"/>
        </w:rPr>
        <w:t>并支付承包人合理的利润。</w:t>
      </w:r>
    </w:p>
    <w:p w14:paraId="57905FF9">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8.6</w:t>
      </w:r>
      <w:r>
        <w:rPr>
          <w:rFonts w:ascii="宋体" w:hAnsi="宋体" w:eastAsia="宋体" w:cs="宋体"/>
          <w:color w:val="auto"/>
          <w:spacing w:val="12"/>
          <w:sz w:val="20"/>
          <w:szCs w:val="20"/>
          <w:highlight w:val="none"/>
        </w:rPr>
        <w:t xml:space="preserve"> </w:t>
      </w:r>
      <w:r>
        <w:rPr>
          <w:rFonts w:ascii="宋体" w:hAnsi="宋体" w:eastAsia="宋体" w:cs="宋体"/>
          <w:color w:val="auto"/>
          <w:spacing w:val="3"/>
          <w:sz w:val="20"/>
          <w:szCs w:val="20"/>
          <w:highlight w:val="none"/>
        </w:rPr>
        <w:t>样品</w:t>
      </w:r>
    </w:p>
    <w:p w14:paraId="4B9F1FAD">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8.6.1   样品的报送与封存</w:t>
      </w:r>
    </w:p>
    <w:p w14:paraId="177D3396">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需要承包人报送样品的材料或工程设备，样品的种类、名称、规格、数量等要求均应在专</w:t>
      </w:r>
      <w:r>
        <w:rPr>
          <w:rFonts w:ascii="宋体" w:hAnsi="宋体" w:eastAsia="宋体" w:cs="宋体"/>
          <w:color w:val="auto"/>
          <w:spacing w:val="9"/>
          <w:sz w:val="20"/>
          <w:szCs w:val="20"/>
          <w:highlight w:val="none"/>
        </w:rPr>
        <w:t>用合同条</w:t>
      </w:r>
    </w:p>
    <w:p w14:paraId="122D7080">
      <w:pPr>
        <w:spacing w:line="228" w:lineRule="auto"/>
        <w:rPr>
          <w:rFonts w:ascii="宋体" w:hAnsi="宋体" w:eastAsia="宋体" w:cs="宋体"/>
          <w:color w:val="auto"/>
          <w:sz w:val="20"/>
          <w:szCs w:val="20"/>
          <w:highlight w:val="none"/>
        </w:rPr>
        <w:sectPr>
          <w:headerReference r:id="rId136" w:type="default"/>
          <w:footerReference r:id="rId137" w:type="default"/>
          <w:pgSz w:w="11906" w:h="16839"/>
          <w:pgMar w:top="1091" w:right="1164" w:bottom="1158" w:left="1219" w:header="1076" w:footer="922" w:gutter="0"/>
          <w:cols w:space="720" w:num="1"/>
        </w:sectPr>
      </w:pPr>
    </w:p>
    <w:p w14:paraId="461CBB26">
      <w:pPr>
        <w:spacing w:before="256" w:line="228" w:lineRule="auto"/>
        <w:ind w:left="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款中约定。样品的报送程序如下：</w:t>
      </w:r>
    </w:p>
    <w:p w14:paraId="1DB08A21">
      <w:pPr>
        <w:spacing w:before="221" w:line="364" w:lineRule="auto"/>
        <w:ind w:left="10" w:right="2" w:firstLine="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（1）承包人应在计划采购前</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天向监理人报送样品。承包人报送的样品均应来自供应材料的实际</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生产地，且提供的样品的规格、数量足以表明材料或工程设备的质量、型号、颜色、表面处理、质地、</w:t>
      </w:r>
      <w:r>
        <w:rPr>
          <w:rFonts w:ascii="宋体" w:hAnsi="宋体" w:eastAsia="宋体" w:cs="宋体"/>
          <w:color w:val="auto"/>
          <w:spacing w:val="4"/>
          <w:sz w:val="20"/>
          <w:szCs w:val="20"/>
          <w:highlight w:val="none"/>
        </w:rPr>
        <w:t xml:space="preserve"> </w:t>
      </w:r>
      <w:r>
        <w:rPr>
          <w:rFonts w:ascii="宋体" w:hAnsi="宋体" w:eastAsia="宋体" w:cs="宋体"/>
          <w:color w:val="auto"/>
          <w:spacing w:val="7"/>
          <w:sz w:val="20"/>
          <w:szCs w:val="20"/>
          <w:highlight w:val="none"/>
        </w:rPr>
        <w:t>误差和其他要求的特征。</w:t>
      </w:r>
    </w:p>
    <w:p w14:paraId="540E8222">
      <w:pPr>
        <w:spacing w:before="221" w:line="364" w:lineRule="auto"/>
        <w:ind w:left="7"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（2）承包人每次报送样品时应随附申报单，申报单应载明报送样品的相关数据和资料，并标明每件</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样品对应的图纸号，预留监理人批复意见栏。</w:t>
      </w:r>
      <w:r>
        <w:rPr>
          <w:rFonts w:ascii="宋体" w:hAnsi="宋体" w:eastAsia="宋体" w:cs="宋体"/>
          <w:color w:val="auto"/>
          <w:spacing w:val="9"/>
          <w:sz w:val="20"/>
          <w:szCs w:val="20"/>
          <w:highlight w:val="none"/>
        </w:rPr>
        <w:t>监理人应在收到承包人报送的样品后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天向承包人回复经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发包人签认的样品审批意见。</w:t>
      </w:r>
    </w:p>
    <w:p w14:paraId="218ED665">
      <w:pPr>
        <w:spacing w:before="220" w:line="330" w:lineRule="auto"/>
        <w:ind w:left="9" w:right="2"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（3）经发包人和监理人审批确认的样品应按约定的方法封样，封存的样品作为检验工程相关部分的</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标准之一。承包人在施工过程中不得使用与样品不符的材料或工程设备。</w:t>
      </w:r>
    </w:p>
    <w:p w14:paraId="426128A3">
      <w:pPr>
        <w:spacing w:before="221" w:line="364" w:lineRule="auto"/>
        <w:ind w:left="7" w:right="2"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（4）发包人和监理人对样品的审批确认仅为确认相关材料或工程设备的特征或用途，不得被理解为</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对合同的修改或改变，也并不减轻或免除承包人任何的责任和义务。如果封存的样品修改或改变了合同</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约定，合同当事人应当以书面协议予以确认。</w:t>
      </w:r>
    </w:p>
    <w:p w14:paraId="4E0BD402">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8.6.2 样品的保管</w:t>
      </w:r>
    </w:p>
    <w:p w14:paraId="7D63D4A5">
      <w:pPr>
        <w:spacing w:before="220" w:line="432" w:lineRule="auto"/>
        <w:ind w:left="10"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经批准的样品应由监理人负责封存于现场，承包人应在现场为保存样品提供适当和固定的场所并保</w:t>
      </w:r>
      <w:r>
        <w:rPr>
          <w:rFonts w:ascii="宋体" w:hAnsi="宋体" w:eastAsia="宋体" w:cs="宋体"/>
          <w:color w:val="auto"/>
          <w:spacing w:val="4"/>
          <w:sz w:val="20"/>
          <w:szCs w:val="20"/>
          <w:highlight w:val="none"/>
        </w:rPr>
        <w:t xml:space="preserve"> </w:t>
      </w:r>
      <w:r>
        <w:rPr>
          <w:rFonts w:ascii="宋体" w:hAnsi="宋体" w:eastAsia="宋体" w:cs="宋体"/>
          <w:color w:val="auto"/>
          <w:spacing w:val="8"/>
          <w:sz w:val="20"/>
          <w:szCs w:val="20"/>
          <w:highlight w:val="none"/>
        </w:rPr>
        <w:t>持适当和良好的存储环境条件。</w:t>
      </w:r>
    </w:p>
    <w:p w14:paraId="0D16D84C">
      <w:pPr>
        <w:spacing w:before="1"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8.7</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材料与工程设备的替代</w:t>
      </w:r>
    </w:p>
    <w:p w14:paraId="00B2B7BA">
      <w:pPr>
        <w:spacing w:before="221" w:line="228" w:lineRule="auto"/>
        <w:ind w:right="30"/>
        <w:jc w:val="righ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8.7.1 出现下列情况需要使用替代材料和工程设备的，承包人应按照第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8.7.2</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项约定</w:t>
      </w:r>
      <w:r>
        <w:rPr>
          <w:rFonts w:ascii="宋体" w:hAnsi="宋体" w:eastAsia="宋体" w:cs="宋体"/>
          <w:color w:val="auto"/>
          <w:spacing w:val="7"/>
          <w:sz w:val="20"/>
          <w:szCs w:val="20"/>
          <w:highlight w:val="none"/>
        </w:rPr>
        <w:t>的程序执行：</w:t>
      </w:r>
    </w:p>
    <w:p w14:paraId="21627DE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（1）基准日期后生效的法律规定禁止使用的；</w:t>
      </w:r>
    </w:p>
    <w:p w14:paraId="31401BB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（2）发包人要求使用替代品的；</w:t>
      </w:r>
    </w:p>
    <w:p w14:paraId="4B39253B">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（3）因其他原因必须使用替代品的。</w:t>
      </w:r>
    </w:p>
    <w:p w14:paraId="49D9B3F1">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8.7.2 承包人应在使用替代材料和工程设备</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天前书面通知监理人，</w:t>
      </w:r>
      <w:r>
        <w:rPr>
          <w:rFonts w:ascii="宋体" w:hAnsi="宋体" w:eastAsia="宋体" w:cs="宋体"/>
          <w:color w:val="auto"/>
          <w:spacing w:val="7"/>
          <w:sz w:val="20"/>
          <w:szCs w:val="20"/>
          <w:highlight w:val="none"/>
        </w:rPr>
        <w:t>并附下列文件：</w:t>
      </w:r>
    </w:p>
    <w:p w14:paraId="43BF6727">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（1）被替代的材料和工程设备的名称、数量、规格、型号、品牌、性能、价格及其他相关资料；</w:t>
      </w:r>
    </w:p>
    <w:p w14:paraId="59E63D95">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（2）替代品的名称、数量、规格、型号、品牌、性能、价格及其他相关</w:t>
      </w:r>
      <w:r>
        <w:rPr>
          <w:rFonts w:ascii="宋体" w:hAnsi="宋体" w:eastAsia="宋体" w:cs="宋体"/>
          <w:color w:val="auto"/>
          <w:spacing w:val="8"/>
          <w:sz w:val="20"/>
          <w:szCs w:val="20"/>
          <w:highlight w:val="none"/>
        </w:rPr>
        <w:t>资料；</w:t>
      </w:r>
    </w:p>
    <w:p w14:paraId="17DCAF92">
      <w:pPr>
        <w:spacing w:before="223"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（3）替代品与被替代产品之间的差异以及使用替代品可能对工程产生的</w:t>
      </w:r>
      <w:r>
        <w:rPr>
          <w:rFonts w:ascii="宋体" w:hAnsi="宋体" w:eastAsia="宋体" w:cs="宋体"/>
          <w:color w:val="auto"/>
          <w:spacing w:val="8"/>
          <w:sz w:val="20"/>
          <w:szCs w:val="20"/>
          <w:highlight w:val="none"/>
        </w:rPr>
        <w:t>影响；</w:t>
      </w:r>
    </w:p>
    <w:p w14:paraId="464338A9">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（4）替代品与被替代产品的价格差异；</w:t>
      </w:r>
    </w:p>
    <w:p w14:paraId="46D049A5">
      <w:pPr>
        <w:spacing w:before="223"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（5）使用替代品的理由和原因说明；</w:t>
      </w:r>
    </w:p>
    <w:p w14:paraId="2448B54F">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（6）监理人要求的其他文件。</w:t>
      </w:r>
    </w:p>
    <w:p w14:paraId="5C3882DF">
      <w:pPr>
        <w:spacing w:before="220" w:line="432" w:lineRule="auto"/>
        <w:ind w:left="25" w:right="2" w:firstLine="403"/>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监理人应在收到通知后</w:t>
      </w:r>
      <w:r>
        <w:rPr>
          <w:rFonts w:ascii="宋体" w:hAnsi="宋体" w:eastAsia="宋体" w:cs="宋体"/>
          <w:color w:val="auto"/>
          <w:spacing w:val="-7"/>
          <w:sz w:val="20"/>
          <w:szCs w:val="20"/>
          <w:highlight w:val="none"/>
        </w:rPr>
        <w:t xml:space="preserve"> </w:t>
      </w:r>
      <w:r>
        <w:rPr>
          <w:rFonts w:ascii="宋体" w:hAnsi="宋体" w:eastAsia="宋体" w:cs="宋体"/>
          <w:color w:val="auto"/>
          <w:spacing w:val="11"/>
          <w:sz w:val="20"/>
          <w:szCs w:val="20"/>
          <w:highlight w:val="none"/>
        </w:rPr>
        <w:t>14</w:t>
      </w:r>
      <w:r>
        <w:rPr>
          <w:rFonts w:ascii="宋体" w:hAnsi="宋体" w:eastAsia="宋体" w:cs="宋体"/>
          <w:color w:val="auto"/>
          <w:spacing w:val="-31"/>
          <w:sz w:val="20"/>
          <w:szCs w:val="20"/>
          <w:highlight w:val="none"/>
        </w:rPr>
        <w:t xml:space="preserve"> </w:t>
      </w:r>
      <w:r>
        <w:rPr>
          <w:rFonts w:ascii="宋体" w:hAnsi="宋体" w:eastAsia="宋体" w:cs="宋体"/>
          <w:color w:val="auto"/>
          <w:spacing w:val="11"/>
          <w:sz w:val="20"/>
          <w:szCs w:val="20"/>
          <w:highlight w:val="none"/>
        </w:rPr>
        <w:t>天内向承包人发出经发包人签认的书面指示；监理人逾期发出书面指示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的，视为发包人和监理人同意使用替代品。</w:t>
      </w:r>
    </w:p>
    <w:p w14:paraId="5780FA0B">
      <w:pPr>
        <w:spacing w:before="1" w:line="226" w:lineRule="auto"/>
        <w:ind w:right="2"/>
        <w:jc w:val="right"/>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8.7.3 发包人认可使用替代材料和工程设</w:t>
      </w:r>
      <w:r>
        <w:rPr>
          <w:rFonts w:ascii="宋体" w:hAnsi="宋体" w:eastAsia="宋体" w:cs="宋体"/>
          <w:color w:val="auto"/>
          <w:spacing w:val="9"/>
          <w:sz w:val="20"/>
          <w:szCs w:val="20"/>
          <w:highlight w:val="none"/>
        </w:rPr>
        <w:t>备的，替代材料和工程设备的价格，按照已标价工程量清</w:t>
      </w:r>
    </w:p>
    <w:p w14:paraId="333C997E">
      <w:pPr>
        <w:spacing w:line="226" w:lineRule="auto"/>
        <w:rPr>
          <w:rFonts w:ascii="宋体" w:hAnsi="宋体" w:eastAsia="宋体" w:cs="宋体"/>
          <w:color w:val="auto"/>
          <w:sz w:val="20"/>
          <w:szCs w:val="20"/>
          <w:highlight w:val="none"/>
        </w:rPr>
        <w:sectPr>
          <w:headerReference r:id="rId138" w:type="default"/>
          <w:footerReference r:id="rId139" w:type="default"/>
          <w:pgSz w:w="11906" w:h="16839"/>
          <w:pgMar w:top="1091" w:right="1218" w:bottom="1158" w:left="1219" w:header="1076" w:footer="922" w:gutter="0"/>
          <w:cols w:space="720" w:num="1"/>
        </w:sectPr>
      </w:pPr>
    </w:p>
    <w:p w14:paraId="1CAB0FEF">
      <w:pPr>
        <w:spacing w:before="256" w:line="432" w:lineRule="auto"/>
        <w:ind w:left="25" w:right="71" w:hanging="1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单或预算书相同项目的价格认定；无相同项目的，参考相似项目价格认定；既无相同项目也无相似项目</w:t>
      </w:r>
      <w:r>
        <w:rPr>
          <w:rFonts w:ascii="宋体" w:hAnsi="宋体" w:eastAsia="宋体" w:cs="宋体"/>
          <w:color w:val="auto"/>
          <w:spacing w:val="4"/>
          <w:sz w:val="20"/>
          <w:szCs w:val="20"/>
          <w:highlight w:val="none"/>
        </w:rPr>
        <w:t xml:space="preserve"> </w:t>
      </w:r>
      <w:r>
        <w:rPr>
          <w:rFonts w:ascii="宋体" w:hAnsi="宋体" w:eastAsia="宋体" w:cs="宋体"/>
          <w:color w:val="auto"/>
          <w:spacing w:val="7"/>
          <w:sz w:val="20"/>
          <w:szCs w:val="20"/>
          <w:highlight w:val="none"/>
        </w:rPr>
        <w:t>的，按照合理的成本与利润构成的原则，</w:t>
      </w:r>
      <w:r>
        <w:rPr>
          <w:rFonts w:ascii="宋体" w:hAnsi="宋体" w:eastAsia="宋体" w:cs="宋体"/>
          <w:color w:val="auto"/>
          <w:spacing w:val="-42"/>
          <w:sz w:val="20"/>
          <w:szCs w:val="20"/>
          <w:highlight w:val="none"/>
        </w:rPr>
        <w:t xml:space="preserve"> </w:t>
      </w:r>
      <w:r>
        <w:rPr>
          <w:rFonts w:ascii="宋体" w:hAnsi="宋体" w:eastAsia="宋体" w:cs="宋体"/>
          <w:color w:val="auto"/>
          <w:spacing w:val="7"/>
          <w:sz w:val="20"/>
          <w:szCs w:val="20"/>
          <w:highlight w:val="none"/>
        </w:rPr>
        <w:t>由合同当事人按照第</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4.4</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款〔商定或确定〕确定价格。</w:t>
      </w:r>
    </w:p>
    <w:p w14:paraId="21C02237">
      <w:pPr>
        <w:spacing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8.8</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施工设备和临时设施</w:t>
      </w:r>
    </w:p>
    <w:p w14:paraId="6A235D44">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8.8.1 承包人提供的施工设备和临时设施</w:t>
      </w:r>
    </w:p>
    <w:p w14:paraId="345C64EA">
      <w:pPr>
        <w:spacing w:before="221" w:line="432" w:lineRule="auto"/>
        <w:ind w:left="18" w:right="71" w:firstLine="41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承包人应按合同进度计划的要求，及时配置施工设备和修建临时设施。进入施工场地的承包人设备</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需经监理人核查后才能投入使用。承包人更换合同约定的承包人设备的，应报监理人批准。</w:t>
      </w:r>
    </w:p>
    <w:p w14:paraId="2BDB4996">
      <w:pPr>
        <w:spacing w:before="2" w:line="431" w:lineRule="auto"/>
        <w:ind w:left="10" w:right="71" w:firstLine="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除专用合同条款另有约定外，承包人应自行承担修建临时设施的费用，需要临时占</w:t>
      </w:r>
      <w:r>
        <w:rPr>
          <w:rFonts w:ascii="宋体" w:hAnsi="宋体" w:eastAsia="宋体" w:cs="宋体"/>
          <w:color w:val="auto"/>
          <w:spacing w:val="9"/>
          <w:sz w:val="20"/>
          <w:szCs w:val="20"/>
          <w:highlight w:val="none"/>
        </w:rPr>
        <w:t>地的，应由发包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人办理申请手续并承担相应费用。</w:t>
      </w:r>
    </w:p>
    <w:p w14:paraId="3B84B65E">
      <w:pPr>
        <w:spacing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8.8.2</w:t>
      </w:r>
      <w:r>
        <w:rPr>
          <w:rFonts w:ascii="宋体" w:hAnsi="宋体" w:eastAsia="宋体" w:cs="宋体"/>
          <w:color w:val="auto"/>
          <w:spacing w:val="-26"/>
          <w:sz w:val="20"/>
          <w:szCs w:val="20"/>
          <w:highlight w:val="none"/>
        </w:rPr>
        <w:t xml:space="preserve"> </w:t>
      </w:r>
      <w:r>
        <w:rPr>
          <w:rFonts w:ascii="宋体" w:hAnsi="宋体" w:eastAsia="宋体" w:cs="宋体"/>
          <w:color w:val="auto"/>
          <w:spacing w:val="7"/>
          <w:sz w:val="20"/>
          <w:szCs w:val="20"/>
          <w:highlight w:val="none"/>
        </w:rPr>
        <w:t>发包人提供的施工设备和临时设施</w:t>
      </w:r>
    </w:p>
    <w:p w14:paraId="3E49DD8D">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发包人提供的施工设备或临时设施在专用合同条款中约定。</w:t>
      </w:r>
    </w:p>
    <w:p w14:paraId="4A33FCCD">
      <w:pPr>
        <w:spacing w:before="222"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8.8.3</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要求承包人增加或更换施工设备</w:t>
      </w:r>
    </w:p>
    <w:p w14:paraId="5DA9248A">
      <w:pPr>
        <w:spacing w:before="220" w:line="432" w:lineRule="auto"/>
        <w:ind w:left="10" w:right="71"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承包人使用的施工设备不能满足合同进度计划和（或）质量要求时，监理人有权要求承包人增加或</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更换施工设备，承包人应及时增加或更换，</w:t>
      </w:r>
      <w:r>
        <w:rPr>
          <w:rFonts w:ascii="宋体" w:hAnsi="宋体" w:eastAsia="宋体" w:cs="宋体"/>
          <w:color w:val="auto"/>
          <w:spacing w:val="9"/>
          <w:sz w:val="20"/>
          <w:szCs w:val="20"/>
          <w:highlight w:val="none"/>
        </w:rPr>
        <w:t>由此增加的费用和（或）延误的工期由承包人承担。</w:t>
      </w:r>
    </w:p>
    <w:p w14:paraId="2F45DD15">
      <w:pPr>
        <w:spacing w:before="1"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8.9</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材料与设备专用要求</w:t>
      </w:r>
    </w:p>
    <w:p w14:paraId="52B4D7CE">
      <w:pPr>
        <w:spacing w:before="221" w:line="432" w:lineRule="auto"/>
        <w:ind w:left="7"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承包人运入施工现场的材料、工程设备、施工设备以及在施工场地建设的临时设施，包括备品备件、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安装工具与资料，必须专用于工程。未经发包人批准，承包人不得运出施工现场或挪作他用；经发包人</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批准，承包人可以根据施工进度计划撤走闲置的施工设备和其他物品。</w:t>
      </w:r>
    </w:p>
    <w:p w14:paraId="531A342B">
      <w:pPr>
        <w:spacing w:before="1"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9. 试验与检验</w:t>
      </w:r>
    </w:p>
    <w:p w14:paraId="3ADB323F">
      <w:pPr>
        <w:spacing w:before="220" w:line="230"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9.1</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试验设备与试验人员</w:t>
      </w:r>
    </w:p>
    <w:p w14:paraId="280B66C0">
      <w:pPr>
        <w:spacing w:before="219" w:line="364" w:lineRule="auto"/>
        <w:ind w:left="7" w:right="71"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9.1.1 承包人根据合同约定或监理人指示</w:t>
      </w:r>
      <w:r>
        <w:rPr>
          <w:rFonts w:ascii="宋体" w:hAnsi="宋体" w:eastAsia="宋体" w:cs="宋体"/>
          <w:color w:val="auto"/>
          <w:spacing w:val="9"/>
          <w:sz w:val="20"/>
          <w:szCs w:val="20"/>
          <w:highlight w:val="none"/>
        </w:rPr>
        <w:t>进行的现场材料试验，应由承包人提供试验场所、试验人</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员、试验设备以及其他必要的试验条件。监理人在必要时可以使用承包人提供的试验场所、试验设备以</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及其他试验条件，进行以工程质量检查为目的的材料复核试验，承包人应予以协助。</w:t>
      </w:r>
    </w:p>
    <w:p w14:paraId="58DE6244">
      <w:pPr>
        <w:spacing w:before="220" w:line="331" w:lineRule="auto"/>
        <w:ind w:left="10" w:right="71"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9.1.2 承包人应按专用合同条款的约定提</w:t>
      </w:r>
      <w:r>
        <w:rPr>
          <w:rFonts w:ascii="宋体" w:hAnsi="宋体" w:eastAsia="宋体" w:cs="宋体"/>
          <w:color w:val="auto"/>
          <w:spacing w:val="9"/>
          <w:sz w:val="20"/>
          <w:szCs w:val="20"/>
          <w:highlight w:val="none"/>
        </w:rPr>
        <w:t>供试验设备、取样装置、试验场所和试验条件，并向监理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人提交相应进场计划表。</w:t>
      </w:r>
    </w:p>
    <w:p w14:paraId="1BC89576">
      <w:pPr>
        <w:spacing w:before="220" w:line="432" w:lineRule="auto"/>
        <w:ind w:left="11" w:right="71" w:firstLine="41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承包人配置的试验设备要符合相应试验规程的要求并经过具有资质的检测单位检测，且在正式使用</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该试验设备前，需要经过监理人与承包人共同校</w:t>
      </w:r>
      <w:r>
        <w:rPr>
          <w:rFonts w:ascii="宋体" w:hAnsi="宋体" w:eastAsia="宋体" w:cs="宋体"/>
          <w:color w:val="auto"/>
          <w:spacing w:val="8"/>
          <w:sz w:val="20"/>
          <w:szCs w:val="20"/>
          <w:highlight w:val="none"/>
        </w:rPr>
        <w:t>定。</w:t>
      </w:r>
    </w:p>
    <w:p w14:paraId="5A41D7A2">
      <w:pPr>
        <w:spacing w:before="2" w:line="431" w:lineRule="auto"/>
        <w:ind w:left="6" w:right="71"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9.1.3 承包人应向监理人提交试验人员的</w:t>
      </w:r>
      <w:r>
        <w:rPr>
          <w:rFonts w:ascii="宋体" w:hAnsi="宋体" w:eastAsia="宋体" w:cs="宋体"/>
          <w:color w:val="auto"/>
          <w:spacing w:val="9"/>
          <w:sz w:val="20"/>
          <w:szCs w:val="20"/>
          <w:highlight w:val="none"/>
        </w:rPr>
        <w:t>名单及其岗位、资格等证明资料，试验人员必须能够熟练</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进行相应的检测试验，承包人对试验人员的试验程序和试验结果的正确性负责。</w:t>
      </w:r>
    </w:p>
    <w:p w14:paraId="490130D4">
      <w:pPr>
        <w:spacing w:before="1" w:line="228" w:lineRule="auto"/>
        <w:ind w:left="429"/>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9.2</w:t>
      </w:r>
      <w:r>
        <w:rPr>
          <w:rFonts w:ascii="宋体" w:hAnsi="宋体" w:eastAsia="宋体" w:cs="宋体"/>
          <w:color w:val="auto"/>
          <w:spacing w:val="-35"/>
          <w:sz w:val="20"/>
          <w:szCs w:val="20"/>
          <w:highlight w:val="none"/>
        </w:rPr>
        <w:t xml:space="preserve"> </w:t>
      </w:r>
      <w:r>
        <w:rPr>
          <w:rFonts w:ascii="宋体" w:hAnsi="宋体" w:eastAsia="宋体" w:cs="宋体"/>
          <w:color w:val="auto"/>
          <w:spacing w:val="2"/>
          <w:sz w:val="20"/>
          <w:szCs w:val="20"/>
          <w:highlight w:val="none"/>
        </w:rPr>
        <w:t>取样</w:t>
      </w:r>
    </w:p>
    <w:p w14:paraId="2DE54377">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试验属于自检性质的，承包人可以单独取样。试验属于监理人抽检性质的，可由监理人取样，也可</w:t>
      </w:r>
    </w:p>
    <w:p w14:paraId="664D38DA">
      <w:pPr>
        <w:spacing w:line="228" w:lineRule="auto"/>
        <w:rPr>
          <w:rFonts w:ascii="宋体" w:hAnsi="宋体" w:eastAsia="宋体" w:cs="宋体"/>
          <w:color w:val="auto"/>
          <w:sz w:val="20"/>
          <w:szCs w:val="20"/>
          <w:highlight w:val="none"/>
        </w:rPr>
        <w:sectPr>
          <w:headerReference r:id="rId140" w:type="default"/>
          <w:footerReference r:id="rId141" w:type="default"/>
          <w:pgSz w:w="11906" w:h="16839"/>
          <w:pgMar w:top="1091" w:right="1150" w:bottom="1158" w:left="1219" w:header="1076" w:footer="922" w:gutter="0"/>
          <w:cols w:space="720" w:num="1"/>
        </w:sectPr>
      </w:pPr>
    </w:p>
    <w:p w14:paraId="01F7DD48">
      <w:pPr>
        <w:spacing w:before="256" w:line="228" w:lineRule="auto"/>
        <w:ind w:left="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由承包人的试验人员在监理人的监督下取样。</w:t>
      </w:r>
    </w:p>
    <w:p w14:paraId="481ECFBF">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9.3</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材料、工程设备和工程的试验和检验</w:t>
      </w:r>
    </w:p>
    <w:p w14:paraId="20F9CD5C">
      <w:pPr>
        <w:spacing w:before="220" w:line="364" w:lineRule="auto"/>
        <w:ind w:left="7" w:right="56" w:firstLine="421"/>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9.3.1</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承包人应按合同约定进行材料、工程设备</w:t>
      </w:r>
      <w:r>
        <w:rPr>
          <w:rFonts w:ascii="宋体" w:hAnsi="宋体" w:eastAsia="宋体" w:cs="宋体"/>
          <w:color w:val="auto"/>
          <w:spacing w:val="10"/>
          <w:sz w:val="20"/>
          <w:szCs w:val="20"/>
          <w:highlight w:val="none"/>
        </w:rPr>
        <w:t>和工程的试验和检验，并为监理人对上述材料、工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程设备和工程的质量检查提供必要的试验资料和原始记录。按合同约定应由监理人与承包人共同进行试</w:t>
      </w:r>
      <w:r>
        <w:rPr>
          <w:rFonts w:ascii="宋体" w:hAnsi="宋体" w:eastAsia="宋体" w:cs="宋体"/>
          <w:color w:val="auto"/>
          <w:spacing w:val="7"/>
          <w:sz w:val="20"/>
          <w:szCs w:val="20"/>
          <w:highlight w:val="none"/>
        </w:rPr>
        <w:t xml:space="preserve"> </w:t>
      </w:r>
      <w:r>
        <w:rPr>
          <w:rFonts w:ascii="宋体" w:hAnsi="宋体" w:eastAsia="宋体" w:cs="宋体"/>
          <w:color w:val="auto"/>
          <w:spacing w:val="8"/>
          <w:sz w:val="20"/>
          <w:szCs w:val="20"/>
          <w:highlight w:val="none"/>
        </w:rPr>
        <w:t>验和检验的，</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由承包人负责提供必要的试验</w:t>
      </w:r>
      <w:r>
        <w:rPr>
          <w:rFonts w:ascii="宋体" w:hAnsi="宋体" w:eastAsia="宋体" w:cs="宋体"/>
          <w:color w:val="auto"/>
          <w:spacing w:val="7"/>
          <w:sz w:val="20"/>
          <w:szCs w:val="20"/>
          <w:highlight w:val="none"/>
        </w:rPr>
        <w:t>资料和原始记录。</w:t>
      </w:r>
    </w:p>
    <w:p w14:paraId="38D1643F">
      <w:pPr>
        <w:spacing w:before="221" w:line="381" w:lineRule="auto"/>
        <w:ind w:left="10" w:right="56" w:firstLine="419"/>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9.3.2</w:t>
      </w:r>
      <w:r>
        <w:rPr>
          <w:rFonts w:ascii="宋体" w:hAnsi="宋体" w:eastAsia="宋体" w:cs="宋体"/>
          <w:color w:val="auto"/>
          <w:spacing w:val="-38"/>
          <w:sz w:val="20"/>
          <w:szCs w:val="20"/>
          <w:highlight w:val="none"/>
        </w:rPr>
        <w:t xml:space="preserve"> </w:t>
      </w:r>
      <w:r>
        <w:rPr>
          <w:rFonts w:ascii="宋体" w:hAnsi="宋体" w:eastAsia="宋体" w:cs="宋体"/>
          <w:color w:val="auto"/>
          <w:spacing w:val="11"/>
          <w:sz w:val="20"/>
          <w:szCs w:val="20"/>
          <w:highlight w:val="none"/>
        </w:rPr>
        <w:t>试验属于自检性质的，承包人可以单独进</w:t>
      </w:r>
      <w:r>
        <w:rPr>
          <w:rFonts w:ascii="宋体" w:hAnsi="宋体" w:eastAsia="宋体" w:cs="宋体"/>
          <w:color w:val="auto"/>
          <w:spacing w:val="10"/>
          <w:sz w:val="20"/>
          <w:szCs w:val="20"/>
          <w:highlight w:val="none"/>
        </w:rPr>
        <w:t>行试验。试验属于监理人抽检性质的，监理人可以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单独进行试验，也可由承包人与监理人共同进行。承包人对由监理人单独进行的试验结果有异议的，可</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以申请重新共同进行试验。约定共同进行试验的，监理人未按照约定参加试验的，承包人可自行试验，</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并将试验结果报送监理人，监理人应承认该试验结果。</w:t>
      </w:r>
    </w:p>
    <w:p w14:paraId="2EE82980">
      <w:pPr>
        <w:spacing w:before="222" w:line="391" w:lineRule="auto"/>
        <w:ind w:left="8" w:right="56" w:firstLine="42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9.3.3</w:t>
      </w:r>
      <w:r>
        <w:rPr>
          <w:rFonts w:ascii="宋体" w:hAnsi="宋体" w:eastAsia="宋体" w:cs="宋体"/>
          <w:color w:val="auto"/>
          <w:spacing w:val="-37"/>
          <w:sz w:val="20"/>
          <w:szCs w:val="20"/>
          <w:highlight w:val="none"/>
        </w:rPr>
        <w:t xml:space="preserve"> </w:t>
      </w:r>
      <w:r>
        <w:rPr>
          <w:rFonts w:ascii="宋体" w:hAnsi="宋体" w:eastAsia="宋体" w:cs="宋体"/>
          <w:color w:val="auto"/>
          <w:spacing w:val="11"/>
          <w:sz w:val="20"/>
          <w:szCs w:val="20"/>
          <w:highlight w:val="none"/>
        </w:rPr>
        <w:t>监理人对承包人的试验和检验结果有异</w:t>
      </w:r>
      <w:r>
        <w:rPr>
          <w:rFonts w:ascii="宋体" w:hAnsi="宋体" w:eastAsia="宋体" w:cs="宋体"/>
          <w:color w:val="auto"/>
          <w:spacing w:val="10"/>
          <w:sz w:val="20"/>
          <w:szCs w:val="20"/>
          <w:highlight w:val="none"/>
        </w:rPr>
        <w:t>议的，或为查清承包人试验和检验成果的可靠性要求</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承包人重新试验和检验的，可由监理人与承包人共同进行。重新试验和检验的结果证明该项材料、工程</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设备或工程的质量不符合合同要求的，由此增加的费用和（或）延误的工期由承包人承担；重新试验和</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检验结果证明该项材料、工程设备和工程符合合同要求的，由此增加的费用和（或）延误的工期由发包</w:t>
      </w:r>
      <w:r>
        <w:rPr>
          <w:rFonts w:ascii="宋体" w:hAnsi="宋体" w:eastAsia="宋体" w:cs="宋体"/>
          <w:color w:val="auto"/>
          <w:spacing w:val="6"/>
          <w:sz w:val="20"/>
          <w:szCs w:val="20"/>
          <w:highlight w:val="none"/>
        </w:rPr>
        <w:t xml:space="preserve"> </w:t>
      </w:r>
      <w:r>
        <w:rPr>
          <w:rFonts w:ascii="宋体" w:hAnsi="宋体" w:eastAsia="宋体" w:cs="宋体"/>
          <w:color w:val="auto"/>
          <w:spacing w:val="5"/>
          <w:sz w:val="20"/>
          <w:szCs w:val="20"/>
          <w:highlight w:val="none"/>
        </w:rPr>
        <w:t>人承担。</w:t>
      </w:r>
    </w:p>
    <w:p w14:paraId="59C9C6E8">
      <w:pPr>
        <w:spacing w:before="221" w:line="229"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9.4</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现场工艺试验</w:t>
      </w:r>
    </w:p>
    <w:p w14:paraId="3E233AB1">
      <w:pPr>
        <w:spacing w:before="220" w:line="432" w:lineRule="auto"/>
        <w:ind w:left="8"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承包人应按合同约定或监理人指示进行现场工艺试验。对大型的</w:t>
      </w:r>
      <w:r>
        <w:rPr>
          <w:rFonts w:ascii="宋体" w:hAnsi="宋体" w:eastAsia="宋体" w:cs="宋体"/>
          <w:color w:val="auto"/>
          <w:spacing w:val="6"/>
          <w:sz w:val="20"/>
          <w:szCs w:val="20"/>
          <w:highlight w:val="none"/>
        </w:rPr>
        <w:t>现场工艺试验，监理人认为必要时，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承包人应根据监理人提出的工艺试验要求，编制工艺试验措施计划，报送监理人审查。</w:t>
      </w:r>
    </w:p>
    <w:p w14:paraId="36A94858">
      <w:pPr>
        <w:spacing w:before="1" w:line="229" w:lineRule="auto"/>
        <w:ind w:left="443"/>
        <w:rPr>
          <w:rFonts w:ascii="宋体" w:hAnsi="宋体" w:eastAsia="宋体" w:cs="宋体"/>
          <w:color w:val="auto"/>
          <w:sz w:val="20"/>
          <w:szCs w:val="20"/>
          <w:highlight w:val="none"/>
        </w:rPr>
      </w:pPr>
      <w:r>
        <w:rPr>
          <w:rFonts w:ascii="宋体" w:hAnsi="宋体" w:eastAsia="宋体" w:cs="宋体"/>
          <w:color w:val="auto"/>
          <w:sz w:val="20"/>
          <w:szCs w:val="20"/>
          <w:highlight w:val="none"/>
        </w:rPr>
        <w:t>10.</w:t>
      </w:r>
      <w:r>
        <w:rPr>
          <w:rFonts w:ascii="宋体" w:hAnsi="宋体" w:eastAsia="宋体" w:cs="宋体"/>
          <w:color w:val="auto"/>
          <w:spacing w:val="13"/>
          <w:sz w:val="20"/>
          <w:szCs w:val="20"/>
          <w:highlight w:val="none"/>
        </w:rPr>
        <w:t xml:space="preserve"> </w:t>
      </w:r>
      <w:r>
        <w:rPr>
          <w:rFonts w:ascii="宋体" w:hAnsi="宋体" w:eastAsia="宋体" w:cs="宋体"/>
          <w:color w:val="auto"/>
          <w:sz w:val="20"/>
          <w:szCs w:val="20"/>
          <w:highlight w:val="none"/>
        </w:rPr>
        <w:t>变更</w:t>
      </w:r>
    </w:p>
    <w:p w14:paraId="1CCB4D4C">
      <w:pPr>
        <w:spacing w:before="219"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10.1</w:t>
      </w:r>
      <w:r>
        <w:rPr>
          <w:rFonts w:ascii="宋体" w:hAnsi="宋体" w:eastAsia="宋体" w:cs="宋体"/>
          <w:color w:val="auto"/>
          <w:spacing w:val="-39"/>
          <w:sz w:val="20"/>
          <w:szCs w:val="20"/>
          <w:highlight w:val="none"/>
        </w:rPr>
        <w:t xml:space="preserve"> </w:t>
      </w:r>
      <w:r>
        <w:rPr>
          <w:rFonts w:ascii="宋体" w:hAnsi="宋体" w:eastAsia="宋体" w:cs="宋体"/>
          <w:color w:val="auto"/>
          <w:spacing w:val="4"/>
          <w:sz w:val="20"/>
          <w:szCs w:val="20"/>
          <w:highlight w:val="none"/>
        </w:rPr>
        <w:t>变更的范围</w:t>
      </w:r>
    </w:p>
    <w:p w14:paraId="34A1559E">
      <w:pPr>
        <w:spacing w:before="219"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除专用合同条款另有约定外，合同履行过程中发生以下情形的，应按照本条约定进行变更：</w:t>
      </w:r>
    </w:p>
    <w:p w14:paraId="18DC99B3">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（1）增加或减少合同中任何工作，或追加额外的工作；</w:t>
      </w:r>
    </w:p>
    <w:p w14:paraId="6365432B">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（2）取消合同中任何工作，但转由他人实施的工作除外；</w:t>
      </w:r>
    </w:p>
    <w:p w14:paraId="685FD35B">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（3）改变合同中任何工作的质量标准或其他特性；</w:t>
      </w:r>
    </w:p>
    <w:p w14:paraId="303BD147">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（4）改变工程的基线、标高、位置和尺寸；</w:t>
      </w:r>
    </w:p>
    <w:p w14:paraId="67DA370C">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（5）改变工程的时间安排或实施顺序。</w:t>
      </w:r>
    </w:p>
    <w:p w14:paraId="518655C7">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10.2</w:t>
      </w:r>
      <w:r>
        <w:rPr>
          <w:rFonts w:ascii="宋体" w:hAnsi="宋体" w:eastAsia="宋体" w:cs="宋体"/>
          <w:color w:val="auto"/>
          <w:spacing w:val="-37"/>
          <w:sz w:val="20"/>
          <w:szCs w:val="20"/>
          <w:highlight w:val="none"/>
        </w:rPr>
        <w:t xml:space="preserve"> </w:t>
      </w:r>
      <w:r>
        <w:rPr>
          <w:rFonts w:ascii="宋体" w:hAnsi="宋体" w:eastAsia="宋体" w:cs="宋体"/>
          <w:color w:val="auto"/>
          <w:spacing w:val="2"/>
          <w:sz w:val="20"/>
          <w:szCs w:val="20"/>
          <w:highlight w:val="none"/>
        </w:rPr>
        <w:t>变更权</w:t>
      </w:r>
    </w:p>
    <w:p w14:paraId="0945031C">
      <w:pPr>
        <w:spacing w:before="221" w:line="432" w:lineRule="auto"/>
        <w:ind w:left="7" w:right="56"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发包人和监理人均可以提出变更。变更指示均通过监理人发出，监理人发出变更指示前应征得发包</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人同意。承包人收到经发包人签认的变更指示后，方可实施变更。未经许可，承包人不得擅自对工程的</w:t>
      </w:r>
      <w:r>
        <w:rPr>
          <w:rFonts w:ascii="宋体" w:hAnsi="宋体" w:eastAsia="宋体" w:cs="宋体"/>
          <w:color w:val="auto"/>
          <w:spacing w:val="7"/>
          <w:sz w:val="20"/>
          <w:szCs w:val="20"/>
          <w:highlight w:val="none"/>
        </w:rPr>
        <w:t xml:space="preserve"> 任何部分进行变更。</w:t>
      </w:r>
    </w:p>
    <w:p w14:paraId="6A1B584E">
      <w:pPr>
        <w:spacing w:before="1" w:line="227" w:lineRule="auto"/>
        <w:ind w:left="43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涉及设计变更的，应由设计人提供变更后的图纸和说明。如变更超过原设计标准或批准的建设规模</w:t>
      </w:r>
    </w:p>
    <w:p w14:paraId="3D5E43F5">
      <w:pPr>
        <w:spacing w:line="227" w:lineRule="auto"/>
        <w:rPr>
          <w:rFonts w:ascii="宋体" w:hAnsi="宋体" w:eastAsia="宋体" w:cs="宋体"/>
          <w:color w:val="auto"/>
          <w:sz w:val="20"/>
          <w:szCs w:val="20"/>
          <w:highlight w:val="none"/>
        </w:rPr>
        <w:sectPr>
          <w:headerReference r:id="rId142" w:type="default"/>
          <w:footerReference r:id="rId143" w:type="default"/>
          <w:pgSz w:w="11906" w:h="16839"/>
          <w:pgMar w:top="1091" w:right="1164" w:bottom="1158" w:left="1219" w:header="1076" w:footer="922" w:gutter="0"/>
          <w:cols w:space="720" w:num="1"/>
        </w:sectPr>
      </w:pPr>
    </w:p>
    <w:p w14:paraId="58D5305F">
      <w:pPr>
        <w:spacing w:before="256" w:line="228" w:lineRule="auto"/>
        <w:ind w:left="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时，发包人应及时办理规划、设计变更等审批手续。</w:t>
      </w:r>
    </w:p>
    <w:p w14:paraId="2C0A90CF">
      <w:pPr>
        <w:spacing w:before="220" w:line="229"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10.3</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变更程序</w:t>
      </w:r>
    </w:p>
    <w:p w14:paraId="49D4C720">
      <w:pPr>
        <w:spacing w:before="219"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10.3.1 发包人提出变更</w:t>
      </w:r>
    </w:p>
    <w:p w14:paraId="2538A32B">
      <w:pPr>
        <w:spacing w:before="220" w:line="432" w:lineRule="auto"/>
        <w:ind w:left="8" w:right="39"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发包人提出变更的，应通过监理人向承包人发出变更指示，变更指示应说明计划变更的工程范围和</w:t>
      </w:r>
      <w:r>
        <w:rPr>
          <w:rFonts w:ascii="宋体" w:hAnsi="宋体" w:eastAsia="宋体" w:cs="宋体"/>
          <w:color w:val="auto"/>
          <w:spacing w:val="2"/>
          <w:sz w:val="20"/>
          <w:szCs w:val="20"/>
          <w:highlight w:val="none"/>
        </w:rPr>
        <w:t xml:space="preserve"> </w:t>
      </w:r>
      <w:r>
        <w:rPr>
          <w:rFonts w:ascii="宋体" w:hAnsi="宋体" w:eastAsia="宋体" w:cs="宋体"/>
          <w:color w:val="auto"/>
          <w:spacing w:val="6"/>
          <w:sz w:val="20"/>
          <w:szCs w:val="20"/>
          <w:highlight w:val="none"/>
        </w:rPr>
        <w:t>变更的内容。</w:t>
      </w:r>
    </w:p>
    <w:p w14:paraId="10F1E32F">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10.3.2 监理人提出变更建议</w:t>
      </w:r>
    </w:p>
    <w:p w14:paraId="263E4944">
      <w:pPr>
        <w:spacing w:before="220" w:line="432" w:lineRule="auto"/>
        <w:ind w:left="10" w:right="39"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监理人提出变更建议的，需要向发包人以书面形式提出变更计划，说明计划变更工程范围和变更的</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内容、理由，以及实施该变更对合同价格和工期的影响。发包人同意变更的，</w:t>
      </w:r>
      <w:r>
        <w:rPr>
          <w:rFonts w:ascii="宋体" w:hAnsi="宋体" w:eastAsia="宋体" w:cs="宋体"/>
          <w:color w:val="auto"/>
          <w:spacing w:val="-52"/>
          <w:sz w:val="20"/>
          <w:szCs w:val="20"/>
          <w:highlight w:val="none"/>
        </w:rPr>
        <w:t xml:space="preserve"> </w:t>
      </w:r>
      <w:r>
        <w:rPr>
          <w:rFonts w:ascii="宋体" w:hAnsi="宋体" w:eastAsia="宋体" w:cs="宋体"/>
          <w:color w:val="auto"/>
          <w:spacing w:val="9"/>
          <w:sz w:val="20"/>
          <w:szCs w:val="20"/>
          <w:highlight w:val="none"/>
        </w:rPr>
        <w:t>由监理人向承包人发出变</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更指示。发包人不同意变更的，监理人无权擅自发出变更指示。</w:t>
      </w:r>
    </w:p>
    <w:p w14:paraId="421119E3">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10.3.3 变更执行</w:t>
      </w:r>
    </w:p>
    <w:p w14:paraId="517AE523">
      <w:pPr>
        <w:spacing w:before="221" w:line="432" w:lineRule="auto"/>
        <w:ind w:left="8" w:right="39"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承包人收到监理人下达的变更指示后，认为不能执行，应立即提出不能执行该变更指示的理由。承</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包人认为可以执行变更的，应当书面说明实施该变更指示对合同价格和工期的影响，且合同当事人应当</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10.4</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款〔变更估价〕约定确定变</w:t>
      </w:r>
      <w:r>
        <w:rPr>
          <w:rFonts w:ascii="宋体" w:hAnsi="宋体" w:eastAsia="宋体" w:cs="宋体"/>
          <w:color w:val="auto"/>
          <w:spacing w:val="6"/>
          <w:sz w:val="20"/>
          <w:szCs w:val="20"/>
          <w:highlight w:val="none"/>
        </w:rPr>
        <w:t>更估价。</w:t>
      </w:r>
    </w:p>
    <w:p w14:paraId="2AE7D323">
      <w:pPr>
        <w:spacing w:before="1" w:line="226"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10.4</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变更估价</w:t>
      </w:r>
    </w:p>
    <w:p w14:paraId="7CE742C4">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10.4.1 变更估价原则</w:t>
      </w:r>
    </w:p>
    <w:p w14:paraId="42CD79A7">
      <w:pPr>
        <w:spacing w:before="222" w:line="227"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除专用合同条款另有约定外，变更估价按照</w:t>
      </w:r>
      <w:r>
        <w:rPr>
          <w:rFonts w:ascii="宋体" w:hAnsi="宋体" w:eastAsia="宋体" w:cs="宋体"/>
          <w:color w:val="auto"/>
          <w:spacing w:val="8"/>
          <w:sz w:val="20"/>
          <w:szCs w:val="20"/>
          <w:highlight w:val="none"/>
        </w:rPr>
        <w:t>本款约定处理：</w:t>
      </w:r>
    </w:p>
    <w:p w14:paraId="7411AD47">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已标价工程量清单或预算书有相同项目</w:t>
      </w:r>
      <w:r>
        <w:rPr>
          <w:rFonts w:ascii="宋体" w:hAnsi="宋体" w:eastAsia="宋体" w:cs="宋体"/>
          <w:color w:val="auto"/>
          <w:spacing w:val="7"/>
          <w:sz w:val="20"/>
          <w:szCs w:val="20"/>
          <w:highlight w:val="none"/>
        </w:rPr>
        <w:t>的，按照相同项目单价认定；</w:t>
      </w:r>
    </w:p>
    <w:p w14:paraId="5A56F76E">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53"/>
          <w:sz w:val="20"/>
          <w:szCs w:val="20"/>
          <w:highlight w:val="none"/>
        </w:rPr>
        <w:t xml:space="preserve"> </w:t>
      </w:r>
      <w:r>
        <w:rPr>
          <w:rFonts w:ascii="宋体" w:hAnsi="宋体" w:eastAsia="宋体" w:cs="宋体"/>
          <w:color w:val="auto"/>
          <w:spacing w:val="8"/>
          <w:sz w:val="20"/>
          <w:szCs w:val="20"/>
          <w:highlight w:val="none"/>
        </w:rPr>
        <w:t>已标价工程量清单或预算书中无相同项目，但有类似项目的，参照类似项目的单价认定；</w:t>
      </w:r>
    </w:p>
    <w:p w14:paraId="5EEED46A">
      <w:pPr>
        <w:spacing w:before="221" w:line="364" w:lineRule="auto"/>
        <w:ind w:left="7" w:right="39"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（3）变更导致实际完成的变更工程量与已标价工程量清单或预算书中列明的该项目工程量的变化幅</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度超过</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rPr>
        <w:t>15%的，或已标价工程量清单或预算书中无相同项目及类似项目单价的，按照合理的成本与利润</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构成的原则，</w:t>
      </w:r>
      <w:r>
        <w:rPr>
          <w:rFonts w:ascii="宋体" w:hAnsi="宋体" w:eastAsia="宋体" w:cs="宋体"/>
          <w:color w:val="auto"/>
          <w:spacing w:val="-44"/>
          <w:sz w:val="20"/>
          <w:szCs w:val="20"/>
          <w:highlight w:val="none"/>
        </w:rPr>
        <w:t xml:space="preserve"> </w:t>
      </w:r>
      <w:r>
        <w:rPr>
          <w:rFonts w:ascii="宋体" w:hAnsi="宋体" w:eastAsia="宋体" w:cs="宋体"/>
          <w:color w:val="auto"/>
          <w:spacing w:val="7"/>
          <w:sz w:val="20"/>
          <w:szCs w:val="20"/>
          <w:highlight w:val="none"/>
        </w:rPr>
        <w:t>由合同当事人按照第</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4.4</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款〔商定或确定〕确定变更工作的单价。</w:t>
      </w:r>
    </w:p>
    <w:p w14:paraId="08A7C658">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10.4.2 变更估价程序</w:t>
      </w:r>
    </w:p>
    <w:p w14:paraId="059E69DE">
      <w:pPr>
        <w:spacing w:before="222" w:line="432" w:lineRule="auto"/>
        <w:ind w:left="7"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承包人应在收到变更指示后</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天内，向监理人提交变更估价申请。</w:t>
      </w:r>
      <w:r>
        <w:rPr>
          <w:rFonts w:ascii="宋体" w:hAnsi="宋体" w:eastAsia="宋体" w:cs="宋体"/>
          <w:color w:val="auto"/>
          <w:spacing w:val="6"/>
          <w:sz w:val="20"/>
          <w:szCs w:val="20"/>
          <w:highlight w:val="none"/>
        </w:rPr>
        <w:t>监理人应在收到承包人提交的变</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更估价申请后</w:t>
      </w:r>
      <w:r>
        <w:rPr>
          <w:rFonts w:ascii="宋体" w:hAnsi="宋体" w:eastAsia="宋体" w:cs="宋体"/>
          <w:color w:val="auto"/>
          <w:spacing w:val="-35"/>
          <w:sz w:val="20"/>
          <w:szCs w:val="20"/>
          <w:highlight w:val="none"/>
        </w:rPr>
        <w:t xml:space="preserve"> </w:t>
      </w:r>
      <w:r>
        <w:rPr>
          <w:rFonts w:ascii="宋体" w:hAnsi="宋体" w:eastAsia="宋体" w:cs="宋体"/>
          <w:color w:val="auto"/>
          <w:spacing w:val="10"/>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10"/>
          <w:sz w:val="20"/>
          <w:szCs w:val="20"/>
          <w:highlight w:val="none"/>
        </w:rPr>
        <w:t>天内审查完毕并报送发包人，</w:t>
      </w:r>
      <w:r>
        <w:rPr>
          <w:rFonts w:ascii="宋体" w:hAnsi="宋体" w:eastAsia="宋体" w:cs="宋体"/>
          <w:color w:val="auto"/>
          <w:spacing w:val="9"/>
          <w:sz w:val="20"/>
          <w:szCs w:val="20"/>
          <w:highlight w:val="none"/>
        </w:rPr>
        <w:t>监理人对变更估价申请有异议，通知承包人修改后重新提</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交。发包人应在承包人提交变更估价申请后</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天内审批完毕。发包人逾</w:t>
      </w:r>
      <w:r>
        <w:rPr>
          <w:rFonts w:ascii="宋体" w:hAnsi="宋体" w:eastAsia="宋体" w:cs="宋体"/>
          <w:color w:val="auto"/>
          <w:spacing w:val="7"/>
          <w:sz w:val="20"/>
          <w:szCs w:val="20"/>
          <w:highlight w:val="none"/>
        </w:rPr>
        <w:t>期未完成审批或未提出异议的，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视为认可承包人提交的变更估价申请。</w:t>
      </w:r>
    </w:p>
    <w:p w14:paraId="35DEC0BC">
      <w:pPr>
        <w:spacing w:before="1" w:line="226" w:lineRule="auto"/>
        <w:ind w:left="4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因变更引起的价格调整应计入最近一期的进度款中支付。</w:t>
      </w:r>
    </w:p>
    <w:p w14:paraId="753E9877">
      <w:pPr>
        <w:spacing w:before="223"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10.5</w:t>
      </w:r>
      <w:r>
        <w:rPr>
          <w:rFonts w:ascii="宋体" w:hAnsi="宋体" w:eastAsia="宋体" w:cs="宋体"/>
          <w:color w:val="auto"/>
          <w:spacing w:val="-41"/>
          <w:sz w:val="20"/>
          <w:szCs w:val="20"/>
          <w:highlight w:val="none"/>
        </w:rPr>
        <w:t xml:space="preserve"> </w:t>
      </w:r>
      <w:r>
        <w:rPr>
          <w:rFonts w:ascii="宋体" w:hAnsi="宋体" w:eastAsia="宋体" w:cs="宋体"/>
          <w:color w:val="auto"/>
          <w:spacing w:val="6"/>
          <w:sz w:val="20"/>
          <w:szCs w:val="20"/>
          <w:highlight w:val="none"/>
        </w:rPr>
        <w:t>承包人的合理化建议</w:t>
      </w:r>
    </w:p>
    <w:p w14:paraId="0AB7A723">
      <w:pPr>
        <w:spacing w:before="220" w:line="433" w:lineRule="auto"/>
        <w:ind w:left="10" w:right="39"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承包人提出合理化建议的，应向监理人提交合理化建议说明，说明建议的内容和理由，以及实施该</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建议对合同价格和工期的影响。</w:t>
      </w:r>
    </w:p>
    <w:p w14:paraId="5C666B49">
      <w:pPr>
        <w:spacing w:line="433" w:lineRule="auto"/>
        <w:rPr>
          <w:rFonts w:ascii="宋体" w:hAnsi="宋体" w:eastAsia="宋体" w:cs="宋体"/>
          <w:color w:val="auto"/>
          <w:sz w:val="20"/>
          <w:szCs w:val="20"/>
          <w:highlight w:val="none"/>
        </w:rPr>
        <w:sectPr>
          <w:headerReference r:id="rId144" w:type="default"/>
          <w:footerReference r:id="rId145" w:type="default"/>
          <w:pgSz w:w="11906" w:h="16839"/>
          <w:pgMar w:top="1091" w:right="1181" w:bottom="1158" w:left="1219" w:header="1076" w:footer="922" w:gutter="0"/>
          <w:cols w:space="720" w:num="1"/>
        </w:sectPr>
      </w:pPr>
    </w:p>
    <w:p w14:paraId="3E005F99">
      <w:pPr>
        <w:spacing w:before="256" w:line="432" w:lineRule="auto"/>
        <w:ind w:left="8" w:right="1" w:firstLine="432"/>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除专用合同条款另有约定外，监理人应在收到承包人提交的合理化建议后</w:t>
      </w:r>
      <w:r>
        <w:rPr>
          <w:rFonts w:ascii="宋体" w:hAnsi="宋体" w:eastAsia="宋体" w:cs="宋体"/>
          <w:color w:val="auto"/>
          <w:spacing w:val="-29"/>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天内审查完毕并报送发</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包人，发现其中存在技术上的缺陷，应通知承包人修改。发包人应在收到监理人报送的合</w:t>
      </w:r>
      <w:r>
        <w:rPr>
          <w:rFonts w:ascii="宋体" w:hAnsi="宋体" w:eastAsia="宋体" w:cs="宋体"/>
          <w:color w:val="auto"/>
          <w:spacing w:val="10"/>
          <w:sz w:val="20"/>
          <w:szCs w:val="20"/>
          <w:highlight w:val="none"/>
        </w:rPr>
        <w:t>理化建议后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10"/>
          <w:sz w:val="20"/>
          <w:szCs w:val="20"/>
          <w:highlight w:val="none"/>
        </w:rPr>
        <w:t>7</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天内审批完毕。合理化建议经发包人批准的，监理人应及时发出变更指示，</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由此引起的合同价格调整按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照第</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10.4</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款〔变更估价〕约定执行。发包人不同意变更的，监理人应书面通知承包人。</w:t>
      </w:r>
    </w:p>
    <w:p w14:paraId="41F0FF36">
      <w:pPr>
        <w:spacing w:line="432" w:lineRule="auto"/>
        <w:ind w:left="9"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合理化建议降低了合同价格或者提高了工程经济效益的，发包人可对承包人给予奖励，奖励的方法</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和金额在专用合同条款中约定。</w:t>
      </w:r>
    </w:p>
    <w:p w14:paraId="4E65AB12">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10.6</w:t>
      </w:r>
      <w:r>
        <w:rPr>
          <w:rFonts w:ascii="宋体" w:hAnsi="宋体" w:eastAsia="宋体" w:cs="宋体"/>
          <w:color w:val="auto"/>
          <w:spacing w:val="-41"/>
          <w:sz w:val="20"/>
          <w:szCs w:val="20"/>
          <w:highlight w:val="none"/>
        </w:rPr>
        <w:t xml:space="preserve"> </w:t>
      </w:r>
      <w:r>
        <w:rPr>
          <w:rFonts w:ascii="宋体" w:hAnsi="宋体" w:eastAsia="宋体" w:cs="宋体"/>
          <w:color w:val="auto"/>
          <w:spacing w:val="6"/>
          <w:sz w:val="20"/>
          <w:szCs w:val="20"/>
          <w:highlight w:val="none"/>
        </w:rPr>
        <w:t>变更引起的工期调整</w:t>
      </w:r>
    </w:p>
    <w:p w14:paraId="2A505684">
      <w:pPr>
        <w:spacing w:before="219" w:line="432" w:lineRule="auto"/>
        <w:ind w:left="8" w:firstLine="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因变更引起工期变化的，合同当事人均可要求调整合同工期，由合同当事人按照第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4.4</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款〔商定或</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确定〕并参考工程所在地的工期定额标准确定增减工期天数。</w:t>
      </w:r>
    </w:p>
    <w:p w14:paraId="227A8B6D">
      <w:pPr>
        <w:spacing w:before="1" w:line="226"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10.7</w:t>
      </w:r>
      <w:r>
        <w:rPr>
          <w:rFonts w:ascii="宋体" w:hAnsi="宋体" w:eastAsia="宋体" w:cs="宋体"/>
          <w:color w:val="auto"/>
          <w:spacing w:val="-30"/>
          <w:sz w:val="20"/>
          <w:szCs w:val="20"/>
          <w:highlight w:val="none"/>
        </w:rPr>
        <w:t xml:space="preserve"> </w:t>
      </w:r>
      <w:r>
        <w:rPr>
          <w:rFonts w:ascii="宋体" w:hAnsi="宋体" w:eastAsia="宋体" w:cs="宋体"/>
          <w:color w:val="auto"/>
          <w:spacing w:val="1"/>
          <w:sz w:val="20"/>
          <w:szCs w:val="20"/>
          <w:highlight w:val="none"/>
        </w:rPr>
        <w:t>暂估价</w:t>
      </w:r>
    </w:p>
    <w:p w14:paraId="09053EA2">
      <w:pPr>
        <w:spacing w:before="222" w:line="227" w:lineRule="auto"/>
        <w:ind w:left="43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暂估价专业分包工程、服务、材料和工程设备的明细由合同当事人在专用合同条款中约定。</w:t>
      </w:r>
    </w:p>
    <w:p w14:paraId="6BA3BF9A">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10.7.1 依法必须招标的暂估价项目</w:t>
      </w:r>
    </w:p>
    <w:p w14:paraId="250CB8A8">
      <w:pPr>
        <w:spacing w:before="222" w:line="432" w:lineRule="auto"/>
        <w:ind w:left="7" w:right="2"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对于依法必须招标的暂估价项目，采取以下第</w:t>
      </w:r>
      <w:r>
        <w:rPr>
          <w:rFonts w:ascii="宋体" w:hAnsi="宋体" w:eastAsia="宋体" w:cs="宋体"/>
          <w:color w:val="auto"/>
          <w:spacing w:val="-12"/>
          <w:sz w:val="20"/>
          <w:szCs w:val="20"/>
          <w:highlight w:val="none"/>
        </w:rPr>
        <w:t xml:space="preserve"> </w:t>
      </w:r>
      <w:r>
        <w:rPr>
          <w:rFonts w:ascii="宋体" w:hAnsi="宋体" w:eastAsia="宋体" w:cs="宋体"/>
          <w:color w:val="auto"/>
          <w:spacing w:val="9"/>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种方式确定。合同当事人也可以在专用合同条款中</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选择其他招标方式。</w:t>
      </w:r>
    </w:p>
    <w:p w14:paraId="63AC0143">
      <w:pPr>
        <w:spacing w:line="432" w:lineRule="auto"/>
        <w:ind w:left="31" w:right="2" w:firstLine="39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第</w:t>
      </w:r>
      <w:r>
        <w:rPr>
          <w:rFonts w:ascii="宋体" w:hAnsi="宋体" w:eastAsia="宋体" w:cs="宋体"/>
          <w:color w:val="auto"/>
          <w:spacing w:val="-11"/>
          <w:sz w:val="20"/>
          <w:szCs w:val="20"/>
          <w:highlight w:val="none"/>
        </w:rPr>
        <w:t xml:space="preserve"> </w:t>
      </w:r>
      <w:r>
        <w:rPr>
          <w:rFonts w:ascii="宋体" w:hAnsi="宋体" w:eastAsia="宋体" w:cs="宋体"/>
          <w:color w:val="auto"/>
          <w:spacing w:val="8"/>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种方式：对于依法必须招标的暂估价项目，</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由承包人招标，对该暂估价项目的确认和批准按照</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以下约定执行：</w:t>
      </w:r>
    </w:p>
    <w:p w14:paraId="2EB67F73">
      <w:pPr>
        <w:spacing w:before="1" w:line="364" w:lineRule="auto"/>
        <w:ind w:left="10" w:firstLine="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（1）承包人应当根据施工进度计划，在招标工作启动前</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天将招标</w:t>
      </w:r>
      <w:r>
        <w:rPr>
          <w:rFonts w:ascii="宋体" w:hAnsi="宋体" w:eastAsia="宋体" w:cs="宋体"/>
          <w:color w:val="auto"/>
          <w:spacing w:val="8"/>
          <w:sz w:val="20"/>
          <w:szCs w:val="20"/>
          <w:highlight w:val="none"/>
        </w:rPr>
        <w:t>方案通过监理人报送发包人审</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查，发包人应当在收到承包人报送的招标方案后</w:t>
      </w:r>
      <w:r>
        <w:rPr>
          <w:rFonts w:ascii="宋体" w:hAnsi="宋体" w:eastAsia="宋体" w:cs="宋体"/>
          <w:color w:val="auto"/>
          <w:spacing w:val="-15"/>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天内批准或提出修改意见。承包人应当按照经过发包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人批准的招标方案开展招标工作；</w:t>
      </w:r>
    </w:p>
    <w:p w14:paraId="0A82C633">
      <w:pPr>
        <w:spacing w:before="220" w:line="364" w:lineRule="auto"/>
        <w:ind w:left="9" w:right="2" w:firstLine="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（2）承包人应当根据施工进度计划，提前</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天将招标文件通过监理</w:t>
      </w:r>
      <w:r>
        <w:rPr>
          <w:rFonts w:ascii="宋体" w:hAnsi="宋体" w:eastAsia="宋体" w:cs="宋体"/>
          <w:color w:val="auto"/>
          <w:spacing w:val="8"/>
          <w:sz w:val="20"/>
          <w:szCs w:val="20"/>
          <w:highlight w:val="none"/>
        </w:rPr>
        <w:t>人报送发包人审批，发包人应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当在收到承包人报送的相关文件后</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天内完成审批或提出修改意见；发包人有权确定招标控制价并按照</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法律规定参加评标；</w:t>
      </w:r>
    </w:p>
    <w:p w14:paraId="387EB8D6">
      <w:pPr>
        <w:spacing w:before="219" w:line="364" w:lineRule="auto"/>
        <w:ind w:left="21" w:right="2" w:firstLine="8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（3）承包人与供应商、分包人在签订暂估价合同</w:t>
      </w:r>
      <w:r>
        <w:rPr>
          <w:rFonts w:ascii="宋体" w:hAnsi="宋体" w:eastAsia="宋体" w:cs="宋体"/>
          <w:color w:val="auto"/>
          <w:spacing w:val="6"/>
          <w:sz w:val="20"/>
          <w:szCs w:val="20"/>
          <w:highlight w:val="none"/>
        </w:rPr>
        <w:t>前，应当提前</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天将确定的中标候选供应商或</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中标候选分包人的资料报送发包人，发包人应在收到资料后</w:t>
      </w:r>
      <w:r>
        <w:rPr>
          <w:rFonts w:ascii="宋体" w:hAnsi="宋体" w:eastAsia="宋体" w:cs="宋体"/>
          <w:color w:val="auto"/>
          <w:spacing w:val="-28"/>
          <w:sz w:val="20"/>
          <w:szCs w:val="20"/>
          <w:highlight w:val="none"/>
        </w:rPr>
        <w:t xml:space="preserve"> </w:t>
      </w:r>
      <w:r>
        <w:rPr>
          <w:rFonts w:ascii="宋体" w:hAnsi="宋体" w:eastAsia="宋体" w:cs="宋体"/>
          <w:color w:val="auto"/>
          <w:spacing w:val="9"/>
          <w:sz w:val="20"/>
          <w:szCs w:val="20"/>
          <w:highlight w:val="none"/>
        </w:rPr>
        <w:t>3</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天内与承包人共同确定中标人；承包人应</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当在签订合同后</w:t>
      </w:r>
      <w:r>
        <w:rPr>
          <w:rFonts w:ascii="宋体" w:hAnsi="宋体" w:eastAsia="宋体" w:cs="宋体"/>
          <w:color w:val="auto"/>
          <w:spacing w:val="-20"/>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天内，将暂估价合同副本报送发包人留存。</w:t>
      </w:r>
    </w:p>
    <w:p w14:paraId="1F5984ED">
      <w:pPr>
        <w:spacing w:before="222" w:line="432" w:lineRule="auto"/>
        <w:ind w:left="8" w:right="2" w:firstLine="420"/>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种方式：对于依法必须招标的暂估价项目，</w:t>
      </w:r>
      <w:r>
        <w:rPr>
          <w:rFonts w:ascii="宋体" w:hAnsi="宋体" w:eastAsia="宋体" w:cs="宋体"/>
          <w:color w:val="auto"/>
          <w:spacing w:val="-59"/>
          <w:sz w:val="20"/>
          <w:szCs w:val="20"/>
          <w:highlight w:val="none"/>
        </w:rPr>
        <w:t xml:space="preserve"> </w:t>
      </w:r>
      <w:r>
        <w:rPr>
          <w:rFonts w:ascii="宋体" w:hAnsi="宋体" w:eastAsia="宋体" w:cs="宋体"/>
          <w:color w:val="auto"/>
          <w:spacing w:val="9"/>
          <w:sz w:val="20"/>
          <w:szCs w:val="20"/>
          <w:highlight w:val="none"/>
        </w:rPr>
        <w:t>由发包人和</w:t>
      </w:r>
      <w:r>
        <w:rPr>
          <w:rFonts w:ascii="宋体" w:hAnsi="宋体" w:eastAsia="宋体" w:cs="宋体"/>
          <w:color w:val="auto"/>
          <w:spacing w:val="8"/>
          <w:sz w:val="20"/>
          <w:szCs w:val="20"/>
          <w:highlight w:val="none"/>
        </w:rPr>
        <w:t>承包人共同招标确定暂估价供应商或分</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包人的，承包人应按照施工进度计划，在招标工作启动前</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天通知发包人，并提交暂</w:t>
      </w:r>
      <w:r>
        <w:rPr>
          <w:rFonts w:ascii="宋体" w:hAnsi="宋体" w:eastAsia="宋体" w:cs="宋体"/>
          <w:color w:val="auto"/>
          <w:spacing w:val="6"/>
          <w:sz w:val="20"/>
          <w:szCs w:val="20"/>
          <w:highlight w:val="none"/>
        </w:rPr>
        <w:t>估价招标方案和工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作分工。发包人应在收到后</w:t>
      </w:r>
      <w:r>
        <w:rPr>
          <w:rFonts w:ascii="宋体" w:hAnsi="宋体" w:eastAsia="宋体" w:cs="宋体"/>
          <w:color w:val="auto"/>
          <w:spacing w:val="-31"/>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天内确认。确定中标人</w:t>
      </w:r>
      <w:r>
        <w:rPr>
          <w:rFonts w:ascii="宋体" w:hAnsi="宋体" w:eastAsia="宋体" w:cs="宋体"/>
          <w:color w:val="auto"/>
          <w:spacing w:val="8"/>
          <w:sz w:val="20"/>
          <w:szCs w:val="20"/>
          <w:highlight w:val="none"/>
        </w:rPr>
        <w:t>后，</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由发包人、承包人与中标人共同签订暂估价合</w:t>
      </w:r>
      <w:r>
        <w:rPr>
          <w:rFonts w:ascii="宋体" w:hAnsi="宋体" w:eastAsia="宋体" w:cs="宋体"/>
          <w:color w:val="auto"/>
          <w:sz w:val="20"/>
          <w:szCs w:val="20"/>
          <w:highlight w:val="none"/>
        </w:rPr>
        <w:t xml:space="preserve"> 同。</w:t>
      </w:r>
    </w:p>
    <w:p w14:paraId="66EC1523">
      <w:pPr>
        <w:spacing w:before="1" w:line="226"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10.7.2</w:t>
      </w:r>
      <w:r>
        <w:rPr>
          <w:rFonts w:ascii="宋体" w:hAnsi="宋体" w:eastAsia="宋体" w:cs="宋体"/>
          <w:color w:val="auto"/>
          <w:spacing w:val="-21"/>
          <w:sz w:val="20"/>
          <w:szCs w:val="20"/>
          <w:highlight w:val="none"/>
        </w:rPr>
        <w:t xml:space="preserve"> </w:t>
      </w:r>
      <w:r>
        <w:rPr>
          <w:rFonts w:ascii="宋体" w:hAnsi="宋体" w:eastAsia="宋体" w:cs="宋体"/>
          <w:color w:val="auto"/>
          <w:spacing w:val="6"/>
          <w:sz w:val="20"/>
          <w:szCs w:val="20"/>
          <w:highlight w:val="none"/>
        </w:rPr>
        <w:t>不属于依法必须招标的暂估价项目</w:t>
      </w:r>
    </w:p>
    <w:p w14:paraId="5D31C34C">
      <w:pPr>
        <w:spacing w:line="226" w:lineRule="auto"/>
        <w:rPr>
          <w:rFonts w:ascii="宋体" w:hAnsi="宋体" w:eastAsia="宋体" w:cs="宋体"/>
          <w:color w:val="auto"/>
          <w:sz w:val="20"/>
          <w:szCs w:val="20"/>
          <w:highlight w:val="none"/>
        </w:rPr>
        <w:sectPr>
          <w:headerReference r:id="rId146" w:type="default"/>
          <w:footerReference r:id="rId147" w:type="default"/>
          <w:pgSz w:w="11906" w:h="16839"/>
          <w:pgMar w:top="1091" w:right="1218" w:bottom="1158" w:left="1219" w:header="1076" w:footer="922" w:gutter="0"/>
          <w:cols w:space="720" w:num="1"/>
        </w:sectPr>
      </w:pPr>
    </w:p>
    <w:p w14:paraId="413A175F">
      <w:pPr>
        <w:spacing w:before="256" w:line="227" w:lineRule="auto"/>
        <w:ind w:left="4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除专用合同条款另有约定外，对于不属于依法必须招标的暂估价项目，采取以下第</w:t>
      </w:r>
      <w:r>
        <w:rPr>
          <w:rFonts w:ascii="宋体" w:hAnsi="宋体" w:eastAsia="宋体" w:cs="宋体"/>
          <w:color w:val="auto"/>
          <w:spacing w:val="-8"/>
          <w:sz w:val="20"/>
          <w:szCs w:val="20"/>
          <w:highlight w:val="none"/>
        </w:rPr>
        <w:t xml:space="preserve"> </w:t>
      </w:r>
      <w:r>
        <w:rPr>
          <w:rFonts w:ascii="宋体" w:hAnsi="宋体" w:eastAsia="宋体" w:cs="宋体"/>
          <w:color w:val="auto"/>
          <w:spacing w:val="8"/>
          <w:sz w:val="20"/>
          <w:szCs w:val="20"/>
          <w:highlight w:val="none"/>
        </w:rPr>
        <w:t>1</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种方式确定：</w:t>
      </w:r>
    </w:p>
    <w:p w14:paraId="0EE46AAC">
      <w:pPr>
        <w:spacing w:before="222" w:line="227"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第</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种方式：对于不属于依法必须招标的暂估价项目，按本项约定确认和批准：</w:t>
      </w:r>
    </w:p>
    <w:p w14:paraId="060FB393">
      <w:pPr>
        <w:spacing w:before="221" w:line="364" w:lineRule="auto"/>
        <w:ind w:left="12" w:right="56"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（1）承包人应根据施工进度计划，在签订暂估价项目的采购合同、分包合同前</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天向监理人提出</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书面申请。监理人应当在收到申请后</w:t>
      </w:r>
      <w:r>
        <w:rPr>
          <w:rFonts w:ascii="宋体" w:hAnsi="宋体" w:eastAsia="宋体" w:cs="宋体"/>
          <w:color w:val="auto"/>
          <w:spacing w:val="-30"/>
          <w:sz w:val="20"/>
          <w:szCs w:val="20"/>
          <w:highlight w:val="none"/>
        </w:rPr>
        <w:t xml:space="preserve"> </w:t>
      </w:r>
      <w:r>
        <w:rPr>
          <w:rFonts w:ascii="宋体" w:hAnsi="宋体" w:eastAsia="宋体" w:cs="宋体"/>
          <w:color w:val="auto"/>
          <w:spacing w:val="6"/>
          <w:sz w:val="20"/>
          <w:szCs w:val="20"/>
          <w:highlight w:val="none"/>
        </w:rPr>
        <w:t>3</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天内报送发包人，发包人应当在收到申请后</w:t>
      </w:r>
      <w:r>
        <w:rPr>
          <w:rFonts w:ascii="宋体" w:hAnsi="宋体" w:eastAsia="宋体" w:cs="宋体"/>
          <w:color w:val="auto"/>
          <w:spacing w:val="-23"/>
          <w:sz w:val="20"/>
          <w:szCs w:val="20"/>
          <w:highlight w:val="none"/>
        </w:rPr>
        <w:t xml:space="preserve"> </w:t>
      </w:r>
      <w:r>
        <w:rPr>
          <w:rFonts w:ascii="宋体" w:hAnsi="宋体" w:eastAsia="宋体" w:cs="宋体"/>
          <w:color w:val="auto"/>
          <w:spacing w:val="6"/>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天内给予批准或提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出修改意见，发包人逾期未予批准或提出修改意见的，视为该书面申请已获得同意；</w:t>
      </w:r>
    </w:p>
    <w:p w14:paraId="3D57A986">
      <w:pPr>
        <w:spacing w:before="222" w:line="329" w:lineRule="auto"/>
        <w:ind w:left="8" w:right="56"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（2）发包人认为承包人确定的供应商、分包人无法满足工程质量或合同要求的，发包人可以要求承</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包人重新确定暂估价项目的供应商、分包人</w:t>
      </w:r>
      <w:r>
        <w:rPr>
          <w:rFonts w:ascii="宋体" w:hAnsi="宋体" w:eastAsia="宋体" w:cs="宋体"/>
          <w:color w:val="auto"/>
          <w:spacing w:val="-59"/>
          <w:sz w:val="20"/>
          <w:szCs w:val="20"/>
          <w:highlight w:val="none"/>
        </w:rPr>
        <w:t xml:space="preserve"> </w:t>
      </w:r>
      <w:r>
        <w:rPr>
          <w:rFonts w:ascii="宋体" w:hAnsi="宋体" w:eastAsia="宋体" w:cs="宋体"/>
          <w:color w:val="auto"/>
          <w:spacing w:val="9"/>
          <w:sz w:val="20"/>
          <w:szCs w:val="20"/>
          <w:highlight w:val="none"/>
        </w:rPr>
        <w:t>;</w:t>
      </w:r>
    </w:p>
    <w:p w14:paraId="3CA10948">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（3）承包人应当在签订暂估价合同后</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天内，将暂估价合同副本报送发包人留存。</w:t>
      </w:r>
    </w:p>
    <w:p w14:paraId="507BBB65">
      <w:pPr>
        <w:spacing w:before="222" w:line="432" w:lineRule="auto"/>
        <w:ind w:left="11" w:right="56" w:firstLine="416"/>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5"/>
          <w:sz w:val="20"/>
          <w:szCs w:val="20"/>
          <w:highlight w:val="none"/>
        </w:rPr>
        <w:t>种方式：承包人按照第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5"/>
          <w:sz w:val="20"/>
          <w:szCs w:val="20"/>
          <w:highlight w:val="none"/>
        </w:rPr>
        <w:t>10.7.1</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项〔依法必须招标的暂估价项目〕约定的第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5"/>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5"/>
          <w:sz w:val="20"/>
          <w:szCs w:val="20"/>
          <w:highlight w:val="none"/>
        </w:rPr>
        <w:t>种方式确定暂</w:t>
      </w:r>
      <w:r>
        <w:rPr>
          <w:rFonts w:ascii="宋体" w:hAnsi="宋体" w:eastAsia="宋体" w:cs="宋体"/>
          <w:color w:val="auto"/>
          <w:spacing w:val="4"/>
          <w:sz w:val="20"/>
          <w:szCs w:val="20"/>
          <w:highlight w:val="none"/>
        </w:rPr>
        <w:t>估价</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项目。</w:t>
      </w:r>
    </w:p>
    <w:p w14:paraId="726562E1">
      <w:pPr>
        <w:spacing w:before="1" w:line="226"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种方式：承包人直接实施的暂估价项目</w:t>
      </w:r>
    </w:p>
    <w:p w14:paraId="7889AA1B">
      <w:pPr>
        <w:spacing w:before="222" w:line="432" w:lineRule="auto"/>
        <w:ind w:left="14" w:right="56" w:firstLine="41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承包人具备实施暂估价项目的资格和条件的，经发包人和承包人协商一致后，可由承包人自行实施</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暂估价项目，合同当事人可以在专用合同条款约定具体事</w:t>
      </w:r>
      <w:r>
        <w:rPr>
          <w:rFonts w:ascii="宋体" w:hAnsi="宋体" w:eastAsia="宋体" w:cs="宋体"/>
          <w:color w:val="auto"/>
          <w:spacing w:val="8"/>
          <w:sz w:val="20"/>
          <w:szCs w:val="20"/>
          <w:highlight w:val="none"/>
        </w:rPr>
        <w:t>项。</w:t>
      </w:r>
    </w:p>
    <w:p w14:paraId="77411732">
      <w:pPr>
        <w:spacing w:line="432" w:lineRule="auto"/>
        <w:ind w:left="8" w:right="56" w:firstLine="435"/>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10.7.3 因发包人原因导致暂估价合同订立和履行迟延的，由此增加的费用和（或</w:t>
      </w:r>
      <w:r>
        <w:rPr>
          <w:rFonts w:ascii="宋体" w:hAnsi="宋体" w:eastAsia="宋体" w:cs="宋体"/>
          <w:color w:val="auto"/>
          <w:spacing w:val="6"/>
          <w:sz w:val="20"/>
          <w:szCs w:val="20"/>
          <w:highlight w:val="none"/>
        </w:rPr>
        <w:t>）延误的工期由发</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包人承担，并支付承包人合理的利润。因承包人原因导致暂估价合同订立和履行迟延的，</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由此增加的费</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用和（或）延误的工期由承包人承担。</w:t>
      </w:r>
    </w:p>
    <w:p w14:paraId="71744A87">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10.8</w:t>
      </w:r>
      <w:r>
        <w:rPr>
          <w:rFonts w:ascii="宋体" w:hAnsi="宋体" w:eastAsia="宋体" w:cs="宋体"/>
          <w:color w:val="auto"/>
          <w:spacing w:val="-31"/>
          <w:sz w:val="20"/>
          <w:szCs w:val="20"/>
          <w:highlight w:val="none"/>
        </w:rPr>
        <w:t xml:space="preserve"> </w:t>
      </w:r>
      <w:r>
        <w:rPr>
          <w:rFonts w:ascii="宋体" w:hAnsi="宋体" w:eastAsia="宋体" w:cs="宋体"/>
          <w:color w:val="auto"/>
          <w:spacing w:val="2"/>
          <w:sz w:val="20"/>
          <w:szCs w:val="20"/>
          <w:highlight w:val="none"/>
        </w:rPr>
        <w:t>暂列金额</w:t>
      </w:r>
    </w:p>
    <w:p w14:paraId="73A0BD6C">
      <w:pPr>
        <w:spacing w:before="221" w:line="432" w:lineRule="auto"/>
        <w:ind w:left="10" w:right="56"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暂列金额应按照发包人的要求使用，发包人的要求应通过监理人发出。合同当事人可以在专用合同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条款中协商确定有关事项。</w:t>
      </w:r>
    </w:p>
    <w:p w14:paraId="48DFFA0D">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10.9</w:t>
      </w:r>
      <w:r>
        <w:rPr>
          <w:rFonts w:ascii="宋体" w:hAnsi="宋体" w:eastAsia="宋体" w:cs="宋体"/>
          <w:color w:val="auto"/>
          <w:spacing w:val="-37"/>
          <w:sz w:val="20"/>
          <w:szCs w:val="20"/>
          <w:highlight w:val="none"/>
        </w:rPr>
        <w:t xml:space="preserve"> </w:t>
      </w:r>
      <w:r>
        <w:rPr>
          <w:rFonts w:ascii="宋体" w:hAnsi="宋体" w:eastAsia="宋体" w:cs="宋体"/>
          <w:color w:val="auto"/>
          <w:spacing w:val="2"/>
          <w:sz w:val="20"/>
          <w:szCs w:val="20"/>
          <w:highlight w:val="none"/>
        </w:rPr>
        <w:t>计日工</w:t>
      </w:r>
    </w:p>
    <w:p w14:paraId="5F434229">
      <w:pPr>
        <w:spacing w:before="219" w:line="432" w:lineRule="auto"/>
        <w:ind w:left="9"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需要采用计日工方式的，经发包人同意后，</w:t>
      </w:r>
      <w:r>
        <w:rPr>
          <w:rFonts w:ascii="宋体" w:hAnsi="宋体" w:eastAsia="宋体" w:cs="宋体"/>
          <w:color w:val="auto"/>
          <w:spacing w:val="6"/>
          <w:sz w:val="20"/>
          <w:szCs w:val="20"/>
          <w:highlight w:val="none"/>
        </w:rPr>
        <w:t>由监理人通知承包人以计日工计价方式实施相应的工作，</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其价款按列入已标价工程量清单或预算书中的计日工计价项目及其单价进行计算；</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已标价工程量清单或</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预算书中无相应的计日工单价的，按照合理的成本与利润构成的原则，</w:t>
      </w:r>
      <w:r>
        <w:rPr>
          <w:rFonts w:ascii="宋体" w:hAnsi="宋体" w:eastAsia="宋体" w:cs="宋体"/>
          <w:color w:val="auto"/>
          <w:spacing w:val="-59"/>
          <w:sz w:val="20"/>
          <w:szCs w:val="20"/>
          <w:highlight w:val="none"/>
        </w:rPr>
        <w:t xml:space="preserve"> </w:t>
      </w:r>
      <w:r>
        <w:rPr>
          <w:rFonts w:ascii="宋体" w:hAnsi="宋体" w:eastAsia="宋体" w:cs="宋体"/>
          <w:color w:val="auto"/>
          <w:spacing w:val="10"/>
          <w:sz w:val="20"/>
          <w:szCs w:val="20"/>
          <w:highlight w:val="none"/>
        </w:rPr>
        <w:t>由合同当事人按照第</w:t>
      </w:r>
      <w:r>
        <w:rPr>
          <w:rFonts w:ascii="宋体" w:hAnsi="宋体" w:eastAsia="宋体" w:cs="宋体"/>
          <w:color w:val="auto"/>
          <w:spacing w:val="9"/>
          <w:sz w:val="20"/>
          <w:szCs w:val="20"/>
          <w:highlight w:val="none"/>
        </w:rPr>
        <w:t>4.4</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款〔商</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定或确定〕确定计日工的单价。</w:t>
      </w:r>
    </w:p>
    <w:p w14:paraId="34ED3508">
      <w:pPr>
        <w:spacing w:before="3" w:line="431" w:lineRule="auto"/>
        <w:ind w:left="6" w:right="56"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采用计日工计价的任何一项工作，承包人应在该项工作实施过程中，每天提交以下报表和有关凭证</w:t>
      </w:r>
      <w:r>
        <w:rPr>
          <w:rFonts w:ascii="宋体" w:hAnsi="宋体" w:eastAsia="宋体" w:cs="宋体"/>
          <w:color w:val="auto"/>
          <w:spacing w:val="7"/>
          <w:sz w:val="20"/>
          <w:szCs w:val="20"/>
          <w:highlight w:val="none"/>
        </w:rPr>
        <w:t xml:space="preserve"> 报送监理人审查：</w:t>
      </w:r>
    </w:p>
    <w:p w14:paraId="0154A00D">
      <w:pPr>
        <w:spacing w:line="228" w:lineRule="auto"/>
        <w:ind w:left="43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（1）工作名称、</w:t>
      </w:r>
      <w:r>
        <w:rPr>
          <w:rFonts w:ascii="宋体" w:hAnsi="宋体" w:eastAsia="宋体" w:cs="宋体"/>
          <w:color w:val="auto"/>
          <w:spacing w:val="-52"/>
          <w:sz w:val="20"/>
          <w:szCs w:val="20"/>
          <w:highlight w:val="none"/>
        </w:rPr>
        <w:t xml:space="preserve"> </w:t>
      </w:r>
      <w:r>
        <w:rPr>
          <w:rFonts w:ascii="宋体" w:hAnsi="宋体" w:eastAsia="宋体" w:cs="宋体"/>
          <w:color w:val="auto"/>
          <w:spacing w:val="4"/>
          <w:sz w:val="20"/>
          <w:szCs w:val="20"/>
          <w:highlight w:val="none"/>
        </w:rPr>
        <w:t>内容和数量；</w:t>
      </w:r>
    </w:p>
    <w:p w14:paraId="27A1FA0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（2）投入该工作的所有人员的姓名、专业、工种、级</w:t>
      </w:r>
      <w:r>
        <w:rPr>
          <w:rFonts w:ascii="宋体" w:hAnsi="宋体" w:eastAsia="宋体" w:cs="宋体"/>
          <w:color w:val="auto"/>
          <w:spacing w:val="8"/>
          <w:sz w:val="20"/>
          <w:szCs w:val="20"/>
          <w:highlight w:val="none"/>
        </w:rPr>
        <w:t>别和耗用工时；</w:t>
      </w:r>
    </w:p>
    <w:p w14:paraId="2A493F56">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（3）投入该工作的材料类别和数量；</w:t>
      </w:r>
    </w:p>
    <w:p w14:paraId="28B03E9B">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（4）投入该工作的施工设备型号、台数和耗用台时；</w:t>
      </w:r>
    </w:p>
    <w:p w14:paraId="72AA0B5B">
      <w:pPr>
        <w:spacing w:line="228" w:lineRule="auto"/>
        <w:rPr>
          <w:rFonts w:ascii="宋体" w:hAnsi="宋体" w:eastAsia="宋体" w:cs="宋体"/>
          <w:color w:val="auto"/>
          <w:sz w:val="20"/>
          <w:szCs w:val="20"/>
          <w:highlight w:val="none"/>
        </w:rPr>
        <w:sectPr>
          <w:headerReference r:id="rId148" w:type="default"/>
          <w:footerReference r:id="rId149" w:type="default"/>
          <w:pgSz w:w="11906" w:h="16839"/>
          <w:pgMar w:top="1091" w:right="1164" w:bottom="1158" w:left="1219" w:header="1076" w:footer="922" w:gutter="0"/>
          <w:cols w:space="720" w:num="1"/>
        </w:sectPr>
      </w:pPr>
    </w:p>
    <w:p w14:paraId="292B9351">
      <w:pPr>
        <w:spacing w:before="256"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（5）其他有关资料和凭证。</w:t>
      </w:r>
    </w:p>
    <w:p w14:paraId="08F40DB5">
      <w:pPr>
        <w:spacing w:before="220" w:line="432" w:lineRule="auto"/>
        <w:ind w:left="8" w:right="2" w:firstLine="5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计日工由承包人汇总后，列入最近一期进度付款申请单，由监理人</w:t>
      </w:r>
      <w:r>
        <w:rPr>
          <w:rFonts w:ascii="宋体" w:hAnsi="宋体" w:eastAsia="宋体" w:cs="宋体"/>
          <w:color w:val="auto"/>
          <w:spacing w:val="7"/>
          <w:sz w:val="20"/>
          <w:szCs w:val="20"/>
          <w:highlight w:val="none"/>
        </w:rPr>
        <w:t>审查并经发包人批准后列入进度</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付款。</w:t>
      </w:r>
    </w:p>
    <w:p w14:paraId="5D9BDA9C">
      <w:pPr>
        <w:spacing w:before="1" w:line="226"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11.</w:t>
      </w:r>
      <w:r>
        <w:rPr>
          <w:rFonts w:ascii="宋体" w:hAnsi="宋体" w:eastAsia="宋体" w:cs="宋体"/>
          <w:color w:val="auto"/>
          <w:spacing w:val="19"/>
          <w:sz w:val="20"/>
          <w:szCs w:val="20"/>
          <w:highlight w:val="none"/>
        </w:rPr>
        <w:t xml:space="preserve"> </w:t>
      </w:r>
      <w:r>
        <w:rPr>
          <w:rFonts w:ascii="宋体" w:hAnsi="宋体" w:eastAsia="宋体" w:cs="宋体"/>
          <w:color w:val="auto"/>
          <w:spacing w:val="2"/>
          <w:sz w:val="20"/>
          <w:szCs w:val="20"/>
          <w:highlight w:val="none"/>
        </w:rPr>
        <w:t>价格调整</w:t>
      </w:r>
    </w:p>
    <w:p w14:paraId="3AB8904E">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11.1</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市场价格波动引起的调整</w:t>
      </w:r>
    </w:p>
    <w:p w14:paraId="4CCC0EB3">
      <w:pPr>
        <w:spacing w:before="222" w:line="432" w:lineRule="auto"/>
        <w:ind w:left="21"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除专用合同条款另有约定外，市场价格波动超过合同当事人约定的范围，合同价格</w:t>
      </w:r>
      <w:r>
        <w:rPr>
          <w:rFonts w:ascii="宋体" w:hAnsi="宋体" w:eastAsia="宋体" w:cs="宋体"/>
          <w:color w:val="auto"/>
          <w:spacing w:val="9"/>
          <w:sz w:val="20"/>
          <w:szCs w:val="20"/>
          <w:highlight w:val="none"/>
        </w:rPr>
        <w:t>应当调整。合同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当事人可以在专用合同条款中约定选择以下一种方式对合同价格进行调</w:t>
      </w:r>
      <w:r>
        <w:rPr>
          <w:rFonts w:ascii="宋体" w:hAnsi="宋体" w:eastAsia="宋体" w:cs="宋体"/>
          <w:color w:val="auto"/>
          <w:spacing w:val="8"/>
          <w:sz w:val="20"/>
          <w:szCs w:val="20"/>
          <w:highlight w:val="none"/>
        </w:rPr>
        <w:t>整：</w:t>
      </w:r>
    </w:p>
    <w:p w14:paraId="3873CBC5">
      <w:pPr>
        <w:spacing w:before="1" w:line="226"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第</w:t>
      </w:r>
      <w:r>
        <w:rPr>
          <w:rFonts w:ascii="宋体" w:hAnsi="宋体" w:eastAsia="宋体" w:cs="宋体"/>
          <w:color w:val="auto"/>
          <w:spacing w:val="-8"/>
          <w:sz w:val="20"/>
          <w:szCs w:val="20"/>
          <w:highlight w:val="none"/>
        </w:rPr>
        <w:t xml:space="preserve"> </w:t>
      </w:r>
      <w:r>
        <w:rPr>
          <w:rFonts w:ascii="宋体" w:hAnsi="宋体" w:eastAsia="宋体" w:cs="宋体"/>
          <w:color w:val="auto"/>
          <w:spacing w:val="6"/>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种方式：采用价格指数进行价格调整。</w:t>
      </w:r>
    </w:p>
    <w:p w14:paraId="1437771C">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（1）价格调整公式</w:t>
      </w:r>
    </w:p>
    <w:p w14:paraId="07A9C3BC">
      <w:pPr>
        <w:spacing w:before="221" w:line="401" w:lineRule="auto"/>
        <w:ind w:left="10" w:right="2" w:firstLine="43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因人工、材料和设备等价格波动影响合同价格时，根据专用合同条款中约</w:t>
      </w:r>
      <w:r>
        <w:rPr>
          <w:rFonts w:ascii="宋体" w:hAnsi="宋体" w:eastAsia="宋体" w:cs="宋体"/>
          <w:color w:val="auto"/>
          <w:spacing w:val="9"/>
          <w:sz w:val="20"/>
          <w:szCs w:val="20"/>
          <w:highlight w:val="none"/>
        </w:rPr>
        <w:t>定的数据，按以下公式计</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算差额并调整合同价格：</w:t>
      </w:r>
    </w:p>
    <w:p w14:paraId="232051C1">
      <w:pPr>
        <w:spacing w:line="833" w:lineRule="exact"/>
        <w:ind w:left="468"/>
        <w:rPr>
          <w:color w:val="auto"/>
          <w:highlight w:val="none"/>
        </w:rPr>
      </w:pPr>
      <w:r>
        <w:rPr>
          <w:color w:val="auto"/>
          <w:position w:val="-17"/>
          <w:highlight w:val="none"/>
        </w:rPr>
        <w:drawing>
          <wp:inline distT="0" distB="0" distL="0" distR="0">
            <wp:extent cx="4505960" cy="5283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61"/>
                    <a:stretch>
                      <a:fillRect/>
                    </a:stretch>
                  </pic:blipFill>
                  <pic:spPr>
                    <a:xfrm>
                      <a:off x="0" y="0"/>
                      <a:ext cx="4506151" cy="528822"/>
                    </a:xfrm>
                    <a:prstGeom prst="rect">
                      <a:avLst/>
                    </a:prstGeom>
                  </pic:spPr>
                </pic:pic>
              </a:graphicData>
            </a:graphic>
          </wp:inline>
        </w:drawing>
      </w:r>
    </w:p>
    <w:p w14:paraId="6436317B">
      <w:pPr>
        <w:spacing w:before="171" w:line="227" w:lineRule="auto"/>
        <w:ind w:left="43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公式中：</w:t>
      </w:r>
      <w:r>
        <w:rPr>
          <w:rFonts w:ascii="宋体" w:hAnsi="宋体" w:eastAsia="宋体" w:cs="宋体"/>
          <w:color w:val="auto"/>
          <w:spacing w:val="-32"/>
          <w:sz w:val="20"/>
          <w:szCs w:val="20"/>
          <w:highlight w:val="none"/>
        </w:rPr>
        <w:t xml:space="preserve"> </w:t>
      </w:r>
      <w:r>
        <w:rPr>
          <w:rFonts w:ascii="宋体" w:hAnsi="宋体" w:eastAsia="宋体" w:cs="宋体"/>
          <w:color w:val="auto"/>
          <w:spacing w:val="4"/>
          <w:sz w:val="20"/>
          <w:szCs w:val="20"/>
          <w:highlight w:val="none"/>
        </w:rPr>
        <w:t>ΔP——需调整的价格差额；</w:t>
      </w:r>
    </w:p>
    <w:p w14:paraId="4ABF70D1">
      <w:pPr>
        <w:spacing w:before="272" w:line="397" w:lineRule="auto"/>
        <w:ind w:left="8" w:firstLine="463"/>
        <w:rPr>
          <w:rFonts w:ascii="宋体" w:hAnsi="宋体" w:eastAsia="宋体" w:cs="宋体"/>
          <w:color w:val="auto"/>
          <w:sz w:val="20"/>
          <w:szCs w:val="20"/>
          <w:highlight w:val="none"/>
        </w:rPr>
      </w:pPr>
      <w:r>
        <w:rPr>
          <w:rFonts w:ascii="Times New Roman" w:hAnsi="Times New Roman" w:eastAsia="Times New Roman" w:cs="Times New Roman"/>
          <w:color w:val="auto"/>
          <w:spacing w:val="11"/>
          <w:position w:val="7"/>
          <w:sz w:val="30"/>
          <w:szCs w:val="30"/>
          <w:highlight w:val="none"/>
        </w:rPr>
        <w:t>P</w:t>
      </w:r>
      <w:r>
        <w:rPr>
          <w:rFonts w:ascii="Times New Roman" w:hAnsi="Times New Roman" w:eastAsia="Times New Roman" w:cs="Times New Roman"/>
          <w:color w:val="auto"/>
          <w:spacing w:val="11"/>
          <w:position w:val="7"/>
          <w:sz w:val="17"/>
          <w:szCs w:val="17"/>
          <w:highlight w:val="none"/>
        </w:rPr>
        <w:t>0</w:t>
      </w:r>
      <w:r>
        <w:rPr>
          <w:rFonts w:ascii="Times New Roman" w:hAnsi="Times New Roman" w:eastAsia="Times New Roman" w:cs="Times New Roman"/>
          <w:color w:val="auto"/>
          <w:spacing w:val="27"/>
          <w:w w:val="101"/>
          <w:position w:val="7"/>
          <w:sz w:val="17"/>
          <w:szCs w:val="17"/>
          <w:highlight w:val="none"/>
        </w:rPr>
        <w:t xml:space="preserve"> </w:t>
      </w:r>
      <w:r>
        <w:rPr>
          <w:rFonts w:ascii="宋体" w:hAnsi="宋体" w:eastAsia="宋体" w:cs="宋体"/>
          <w:color w:val="auto"/>
          <w:spacing w:val="11"/>
          <w:sz w:val="20"/>
          <w:szCs w:val="20"/>
          <w:highlight w:val="none"/>
        </w:rPr>
        <w:t>——约定的付款证书中承包人应得到的已完成工程量的金额。此项金额应不包括价格调整、不</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计质量保证金的扣留和支付、预付款的支付和扣回。约定的变更及其他金额已按现行价格计价的，也不</w:t>
      </w:r>
      <w:r>
        <w:rPr>
          <w:rFonts w:ascii="宋体" w:hAnsi="宋体" w:eastAsia="宋体" w:cs="宋体"/>
          <w:color w:val="auto"/>
          <w:spacing w:val="6"/>
          <w:sz w:val="20"/>
          <w:szCs w:val="20"/>
          <w:highlight w:val="none"/>
        </w:rPr>
        <w:t xml:space="preserve"> </w:t>
      </w:r>
      <w:r>
        <w:rPr>
          <w:rFonts w:ascii="宋体" w:hAnsi="宋体" w:eastAsia="宋体" w:cs="宋体"/>
          <w:color w:val="auto"/>
          <w:spacing w:val="5"/>
          <w:sz w:val="20"/>
          <w:szCs w:val="20"/>
          <w:highlight w:val="none"/>
        </w:rPr>
        <w:t>计在内；</w:t>
      </w:r>
    </w:p>
    <w:p w14:paraId="741D790A">
      <w:pPr>
        <w:spacing w:before="16" w:line="228" w:lineRule="auto"/>
        <w:ind w:left="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A——定值权重（即不调部分的权重</w:t>
      </w:r>
      <w:r>
        <w:rPr>
          <w:rFonts w:ascii="宋体" w:hAnsi="宋体" w:eastAsia="宋体" w:cs="宋体"/>
          <w:color w:val="auto"/>
          <w:spacing w:val="3"/>
          <w:sz w:val="20"/>
          <w:szCs w:val="20"/>
          <w:highlight w:val="none"/>
        </w:rPr>
        <w:t>）；</w:t>
      </w:r>
    </w:p>
    <w:p w14:paraId="7AE0791B">
      <w:pPr>
        <w:rPr>
          <w:color w:val="auto"/>
          <w:highlight w:val="none"/>
        </w:rPr>
      </w:pPr>
    </w:p>
    <w:tbl>
      <w:tblPr>
        <w:tblStyle w:val="8"/>
        <w:tblW w:w="9437" w:type="dxa"/>
        <w:tblInd w:w="2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97"/>
        <w:gridCol w:w="7040"/>
      </w:tblGrid>
      <w:tr w14:paraId="6C9D81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7" w:hRule="atLeast"/>
        </w:trPr>
        <w:tc>
          <w:tcPr>
            <w:tcW w:w="2397" w:type="dxa"/>
            <w:vAlign w:val="top"/>
          </w:tcPr>
          <w:p w14:paraId="2FD0D4AC">
            <w:pPr>
              <w:spacing w:before="1" w:line="190" w:lineRule="auto"/>
              <w:ind w:left="444"/>
              <w:rPr>
                <w:rFonts w:ascii="Times New Roman" w:hAnsi="Times New Roman" w:eastAsia="Times New Roman" w:cs="Times New Roman"/>
                <w:color w:val="auto"/>
                <w:sz w:val="18"/>
                <w:szCs w:val="18"/>
                <w:highlight w:val="none"/>
              </w:rPr>
            </w:pPr>
            <w:r>
              <w:rPr>
                <w:rFonts w:ascii="Times New Roman" w:hAnsi="Times New Roman" w:eastAsia="Times New Roman" w:cs="Times New Roman"/>
                <w:color w:val="auto"/>
                <w:spacing w:val="-2"/>
                <w:sz w:val="31"/>
                <w:szCs w:val="31"/>
                <w:highlight w:val="none"/>
              </w:rPr>
              <w:t>B</w:t>
            </w:r>
            <w:r>
              <w:rPr>
                <w:rFonts w:ascii="Times New Roman" w:hAnsi="Times New Roman" w:eastAsia="Times New Roman" w:cs="Times New Roman"/>
                <w:color w:val="auto"/>
                <w:spacing w:val="-2"/>
                <w:sz w:val="18"/>
                <w:szCs w:val="18"/>
                <w:highlight w:val="none"/>
              </w:rPr>
              <w:t>1</w:t>
            </w:r>
            <w:r>
              <w:rPr>
                <w:rFonts w:ascii="Times New Roman" w:hAnsi="Times New Roman" w:eastAsia="Times New Roman" w:cs="Times New Roman"/>
                <w:color w:val="auto"/>
                <w:spacing w:val="-23"/>
                <w:sz w:val="18"/>
                <w:szCs w:val="18"/>
                <w:highlight w:val="none"/>
              </w:rPr>
              <w:t xml:space="preserve"> </w:t>
            </w:r>
            <w:r>
              <w:rPr>
                <w:rFonts w:ascii="Times New Roman" w:hAnsi="Times New Roman" w:eastAsia="Times New Roman" w:cs="Times New Roman"/>
                <w:color w:val="auto"/>
                <w:spacing w:val="-12"/>
                <w:sz w:val="31"/>
                <w:szCs w:val="31"/>
                <w:highlight w:val="none"/>
              </w:rPr>
              <w:t>;</w:t>
            </w:r>
            <w:r>
              <w:rPr>
                <w:rFonts w:ascii="Times New Roman" w:hAnsi="Times New Roman" w:eastAsia="Times New Roman" w:cs="Times New Roman"/>
                <w:color w:val="auto"/>
                <w:spacing w:val="-37"/>
                <w:sz w:val="31"/>
                <w:szCs w:val="31"/>
                <w:highlight w:val="none"/>
              </w:rPr>
              <w:t xml:space="preserve"> </w:t>
            </w:r>
            <w:r>
              <w:rPr>
                <w:rFonts w:ascii="Times New Roman" w:hAnsi="Times New Roman" w:eastAsia="Times New Roman" w:cs="Times New Roman"/>
                <w:color w:val="auto"/>
                <w:spacing w:val="-12"/>
                <w:sz w:val="31"/>
                <w:szCs w:val="31"/>
                <w:highlight w:val="none"/>
              </w:rPr>
              <w:t>B</w:t>
            </w:r>
            <w:r>
              <w:rPr>
                <w:rFonts w:ascii="Times New Roman" w:hAnsi="Times New Roman" w:eastAsia="Times New Roman" w:cs="Times New Roman"/>
                <w:color w:val="auto"/>
                <w:spacing w:val="-1"/>
                <w:sz w:val="18"/>
                <w:szCs w:val="18"/>
                <w:highlight w:val="none"/>
              </w:rPr>
              <w:t>2</w:t>
            </w:r>
            <w:r>
              <w:rPr>
                <w:rFonts w:ascii="Times New Roman" w:hAnsi="Times New Roman" w:eastAsia="Times New Roman" w:cs="Times New Roman"/>
                <w:color w:val="auto"/>
                <w:spacing w:val="-23"/>
                <w:sz w:val="18"/>
                <w:szCs w:val="18"/>
                <w:highlight w:val="none"/>
              </w:rPr>
              <w:t xml:space="preserve"> </w:t>
            </w:r>
            <w:r>
              <w:rPr>
                <w:rFonts w:ascii="Times New Roman" w:hAnsi="Times New Roman" w:eastAsia="Times New Roman" w:cs="Times New Roman"/>
                <w:color w:val="auto"/>
                <w:spacing w:val="-12"/>
                <w:sz w:val="31"/>
                <w:szCs w:val="31"/>
                <w:highlight w:val="none"/>
              </w:rPr>
              <w:t>;</w:t>
            </w:r>
            <w:r>
              <w:rPr>
                <w:rFonts w:ascii="Times New Roman" w:hAnsi="Times New Roman" w:eastAsia="Times New Roman" w:cs="Times New Roman"/>
                <w:color w:val="auto"/>
                <w:spacing w:val="-36"/>
                <w:sz w:val="31"/>
                <w:szCs w:val="31"/>
                <w:highlight w:val="none"/>
              </w:rPr>
              <w:t xml:space="preserve"> </w:t>
            </w:r>
            <w:r>
              <w:rPr>
                <w:rFonts w:ascii="Times New Roman" w:hAnsi="Times New Roman" w:eastAsia="Times New Roman" w:cs="Times New Roman"/>
                <w:color w:val="auto"/>
                <w:spacing w:val="-12"/>
                <w:sz w:val="31"/>
                <w:szCs w:val="31"/>
                <w:highlight w:val="none"/>
              </w:rPr>
              <w:t>B</w:t>
            </w:r>
            <w:r>
              <w:rPr>
                <w:rFonts w:ascii="Times New Roman" w:hAnsi="Times New Roman" w:eastAsia="Times New Roman" w:cs="Times New Roman"/>
                <w:color w:val="auto"/>
                <w:sz w:val="18"/>
                <w:szCs w:val="18"/>
                <w:highlight w:val="none"/>
              </w:rPr>
              <w:t>3</w:t>
            </w:r>
            <w:r>
              <w:rPr>
                <w:rFonts w:ascii="Times New Roman" w:hAnsi="Times New Roman" w:eastAsia="Times New Roman" w:cs="Times New Roman"/>
                <w:color w:val="auto"/>
                <w:sz w:val="31"/>
                <w:szCs w:val="31"/>
                <w:highlight w:val="none"/>
              </w:rPr>
              <w:t>......B</w:t>
            </w:r>
            <w:r>
              <w:rPr>
                <w:rFonts w:ascii="Times New Roman" w:hAnsi="Times New Roman" w:eastAsia="Times New Roman" w:cs="Times New Roman"/>
                <w:color w:val="auto"/>
                <w:sz w:val="18"/>
                <w:szCs w:val="18"/>
                <w:highlight w:val="none"/>
              </w:rPr>
              <w:t>n</w:t>
            </w:r>
          </w:p>
        </w:tc>
        <w:tc>
          <w:tcPr>
            <w:tcW w:w="7040" w:type="dxa"/>
            <w:vAlign w:val="top"/>
          </w:tcPr>
          <w:p w14:paraId="456FFDCB">
            <w:pPr>
              <w:pStyle w:val="9"/>
              <w:spacing w:before="161" w:line="228" w:lineRule="auto"/>
              <w:jc w:val="right"/>
              <w:rPr>
                <w:color w:val="auto"/>
                <w:highlight w:val="none"/>
              </w:rPr>
            </w:pPr>
            <w:r>
              <w:rPr>
                <w:color w:val="auto"/>
                <w:spacing w:val="12"/>
                <w:highlight w:val="none"/>
              </w:rPr>
              <w:t>——各可调因子的变值权重（即可调部分的权重</w:t>
            </w:r>
            <w:r>
              <w:rPr>
                <w:color w:val="auto"/>
                <w:spacing w:val="2"/>
                <w:highlight w:val="none"/>
              </w:rPr>
              <w:t>）</w:t>
            </w:r>
            <w:r>
              <w:rPr>
                <w:color w:val="auto"/>
                <w:spacing w:val="-59"/>
                <w:highlight w:val="none"/>
              </w:rPr>
              <w:t xml:space="preserve"> </w:t>
            </w:r>
            <w:r>
              <w:rPr>
                <w:color w:val="auto"/>
                <w:spacing w:val="2"/>
                <w:highlight w:val="none"/>
              </w:rPr>
              <w:t>，</w:t>
            </w:r>
            <w:r>
              <w:rPr>
                <w:color w:val="auto"/>
                <w:spacing w:val="12"/>
                <w:highlight w:val="none"/>
              </w:rPr>
              <w:t>为各可调因子在签约合</w:t>
            </w:r>
          </w:p>
        </w:tc>
      </w:tr>
      <w:tr w14:paraId="1F1443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71" w:hRule="atLeast"/>
        </w:trPr>
        <w:tc>
          <w:tcPr>
            <w:tcW w:w="2397" w:type="dxa"/>
            <w:vAlign w:val="top"/>
          </w:tcPr>
          <w:p w14:paraId="428B3E08">
            <w:pPr>
              <w:pStyle w:val="9"/>
              <w:spacing w:before="115" w:line="227" w:lineRule="auto"/>
              <w:rPr>
                <w:color w:val="auto"/>
                <w:highlight w:val="none"/>
              </w:rPr>
            </w:pPr>
            <w:r>
              <w:rPr>
                <w:color w:val="auto"/>
                <w:spacing w:val="5"/>
                <w:highlight w:val="none"/>
              </w:rPr>
              <w:t>同价中所占的比例；</w:t>
            </w:r>
          </w:p>
          <w:p w14:paraId="24E58C42">
            <w:pPr>
              <w:spacing w:before="246" w:line="192" w:lineRule="auto"/>
              <w:ind w:right="21"/>
              <w:jc w:val="right"/>
              <w:rPr>
                <w:rFonts w:ascii="Times New Roman" w:hAnsi="Times New Roman" w:eastAsia="Times New Roman" w:cs="Times New Roman"/>
                <w:color w:val="auto"/>
                <w:sz w:val="17"/>
                <w:szCs w:val="17"/>
                <w:highlight w:val="none"/>
              </w:rPr>
            </w:pPr>
            <w:r>
              <w:rPr>
                <w:rFonts w:ascii="Times New Roman" w:hAnsi="Times New Roman" w:eastAsia="Times New Roman" w:cs="Times New Roman"/>
                <w:color w:val="auto"/>
                <w:spacing w:val="-6"/>
                <w:sz w:val="30"/>
                <w:szCs w:val="30"/>
                <w:highlight w:val="none"/>
              </w:rPr>
              <w:t>F</w:t>
            </w:r>
            <w:r>
              <w:rPr>
                <w:rFonts w:ascii="Times New Roman" w:hAnsi="Times New Roman" w:eastAsia="Times New Roman" w:cs="Times New Roman"/>
                <w:color w:val="auto"/>
                <w:spacing w:val="-6"/>
                <w:sz w:val="17"/>
                <w:szCs w:val="17"/>
                <w:highlight w:val="none"/>
              </w:rPr>
              <w:t>t</w:t>
            </w:r>
            <w:r>
              <w:rPr>
                <w:rFonts w:ascii="Times New Roman" w:hAnsi="Times New Roman" w:eastAsia="Times New Roman" w:cs="Times New Roman"/>
                <w:color w:val="auto"/>
                <w:spacing w:val="-18"/>
                <w:sz w:val="17"/>
                <w:szCs w:val="17"/>
                <w:highlight w:val="none"/>
              </w:rPr>
              <w:t xml:space="preserve"> </w:t>
            </w:r>
            <w:r>
              <w:rPr>
                <w:rFonts w:ascii="Times New Roman" w:hAnsi="Times New Roman" w:eastAsia="Times New Roman" w:cs="Times New Roman"/>
                <w:color w:val="auto"/>
                <w:spacing w:val="-6"/>
                <w:sz w:val="17"/>
                <w:szCs w:val="17"/>
                <w:highlight w:val="none"/>
              </w:rPr>
              <w:t>1</w:t>
            </w:r>
            <w:r>
              <w:rPr>
                <w:rFonts w:ascii="Times New Roman" w:hAnsi="Times New Roman" w:eastAsia="Times New Roman" w:cs="Times New Roman"/>
                <w:color w:val="auto"/>
                <w:spacing w:val="-19"/>
                <w:sz w:val="17"/>
                <w:szCs w:val="17"/>
                <w:highlight w:val="none"/>
              </w:rPr>
              <w:t xml:space="preserve"> </w:t>
            </w:r>
            <w:r>
              <w:rPr>
                <w:rFonts w:ascii="Times New Roman" w:hAnsi="Times New Roman" w:eastAsia="Times New Roman" w:cs="Times New Roman"/>
                <w:color w:val="auto"/>
                <w:spacing w:val="-4"/>
                <w:sz w:val="30"/>
                <w:szCs w:val="30"/>
                <w:highlight w:val="none"/>
              </w:rPr>
              <w:t>;</w:t>
            </w:r>
            <w:r>
              <w:rPr>
                <w:rFonts w:ascii="Times New Roman" w:hAnsi="Times New Roman" w:eastAsia="Times New Roman" w:cs="Times New Roman"/>
                <w:color w:val="auto"/>
                <w:spacing w:val="-35"/>
                <w:sz w:val="30"/>
                <w:szCs w:val="30"/>
                <w:highlight w:val="none"/>
              </w:rPr>
              <w:t xml:space="preserve"> </w:t>
            </w:r>
            <w:r>
              <w:rPr>
                <w:rFonts w:ascii="Times New Roman" w:hAnsi="Times New Roman" w:eastAsia="Times New Roman" w:cs="Times New Roman"/>
                <w:color w:val="auto"/>
                <w:spacing w:val="-4"/>
                <w:sz w:val="30"/>
                <w:szCs w:val="30"/>
                <w:highlight w:val="none"/>
              </w:rPr>
              <w:t>F</w:t>
            </w:r>
            <w:r>
              <w:rPr>
                <w:rFonts w:ascii="Times New Roman" w:hAnsi="Times New Roman" w:eastAsia="Times New Roman" w:cs="Times New Roman"/>
                <w:color w:val="auto"/>
                <w:spacing w:val="-4"/>
                <w:sz w:val="17"/>
                <w:szCs w:val="17"/>
                <w:highlight w:val="none"/>
              </w:rPr>
              <w:t>t2</w:t>
            </w:r>
            <w:r>
              <w:rPr>
                <w:rFonts w:ascii="Times New Roman" w:hAnsi="Times New Roman" w:eastAsia="Times New Roman" w:cs="Times New Roman"/>
                <w:color w:val="auto"/>
                <w:spacing w:val="-19"/>
                <w:sz w:val="17"/>
                <w:szCs w:val="17"/>
                <w:highlight w:val="none"/>
              </w:rPr>
              <w:t xml:space="preserve"> </w:t>
            </w:r>
            <w:r>
              <w:rPr>
                <w:rFonts w:ascii="Times New Roman" w:hAnsi="Times New Roman" w:eastAsia="Times New Roman" w:cs="Times New Roman"/>
                <w:color w:val="auto"/>
                <w:sz w:val="30"/>
                <w:szCs w:val="30"/>
                <w:highlight w:val="none"/>
              </w:rPr>
              <w:t>;</w:t>
            </w:r>
            <w:r>
              <w:rPr>
                <w:rFonts w:ascii="Times New Roman" w:hAnsi="Times New Roman" w:eastAsia="Times New Roman" w:cs="Times New Roman"/>
                <w:color w:val="auto"/>
                <w:spacing w:val="-34"/>
                <w:sz w:val="30"/>
                <w:szCs w:val="30"/>
                <w:highlight w:val="none"/>
              </w:rPr>
              <w:t xml:space="preserve"> </w:t>
            </w:r>
            <w:r>
              <w:rPr>
                <w:rFonts w:ascii="Times New Roman" w:hAnsi="Times New Roman" w:eastAsia="Times New Roman" w:cs="Times New Roman"/>
                <w:color w:val="auto"/>
                <w:sz w:val="30"/>
                <w:szCs w:val="30"/>
                <w:highlight w:val="none"/>
              </w:rPr>
              <w:t>F</w:t>
            </w:r>
            <w:r>
              <w:rPr>
                <w:rFonts w:ascii="Times New Roman" w:hAnsi="Times New Roman" w:eastAsia="Times New Roman" w:cs="Times New Roman"/>
                <w:color w:val="auto"/>
                <w:sz w:val="17"/>
                <w:szCs w:val="17"/>
                <w:highlight w:val="none"/>
              </w:rPr>
              <w:t>t3</w:t>
            </w:r>
            <w:r>
              <w:rPr>
                <w:rFonts w:ascii="Times New Roman" w:hAnsi="Times New Roman" w:eastAsia="Times New Roman" w:cs="Times New Roman"/>
                <w:color w:val="auto"/>
                <w:sz w:val="30"/>
                <w:szCs w:val="30"/>
                <w:highlight w:val="none"/>
              </w:rPr>
              <w:t>......F</w:t>
            </w:r>
            <w:r>
              <w:rPr>
                <w:rFonts w:ascii="Times New Roman" w:hAnsi="Times New Roman" w:eastAsia="Times New Roman" w:cs="Times New Roman"/>
                <w:color w:val="auto"/>
                <w:sz w:val="17"/>
                <w:szCs w:val="17"/>
                <w:highlight w:val="none"/>
              </w:rPr>
              <w:t>tn</w:t>
            </w:r>
          </w:p>
        </w:tc>
        <w:tc>
          <w:tcPr>
            <w:tcW w:w="7040" w:type="dxa"/>
            <w:vAlign w:val="top"/>
          </w:tcPr>
          <w:p w14:paraId="3BF2D524">
            <w:pPr>
              <w:spacing w:line="346" w:lineRule="auto"/>
              <w:rPr>
                <w:rFonts w:ascii="Arial"/>
                <w:color w:val="auto"/>
                <w:sz w:val="21"/>
                <w:highlight w:val="none"/>
              </w:rPr>
            </w:pPr>
          </w:p>
          <w:p w14:paraId="7A8E1D7F">
            <w:pPr>
              <w:spacing w:line="346" w:lineRule="auto"/>
              <w:rPr>
                <w:rFonts w:ascii="Arial"/>
                <w:color w:val="auto"/>
                <w:sz w:val="21"/>
                <w:highlight w:val="none"/>
              </w:rPr>
            </w:pPr>
          </w:p>
          <w:p w14:paraId="1BA32734">
            <w:pPr>
              <w:pStyle w:val="9"/>
              <w:spacing w:before="65" w:line="184" w:lineRule="auto"/>
              <w:jc w:val="right"/>
              <w:rPr>
                <w:color w:val="auto"/>
                <w:highlight w:val="none"/>
              </w:rPr>
            </w:pPr>
            <w:r>
              <w:rPr>
                <w:color w:val="auto"/>
                <w:spacing w:val="12"/>
                <w:highlight w:val="none"/>
              </w:rPr>
              <w:t>——各可调因子的现行价格指数，指约定的付款证书相关周期最后一天的前</w:t>
            </w:r>
          </w:p>
        </w:tc>
      </w:tr>
    </w:tbl>
    <w:p w14:paraId="043EE539">
      <w:pPr>
        <w:spacing w:before="237" w:line="227" w:lineRule="auto"/>
        <w:ind w:left="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42</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天的各可调因子的价格指数；</w:t>
      </w:r>
    </w:p>
    <w:p w14:paraId="06260C6A">
      <w:pPr>
        <w:spacing w:before="250" w:line="200" w:lineRule="auto"/>
        <w:ind w:left="470"/>
        <w:rPr>
          <w:rFonts w:ascii="宋体" w:hAnsi="宋体" w:eastAsia="宋体" w:cs="宋体"/>
          <w:color w:val="auto"/>
          <w:sz w:val="20"/>
          <w:szCs w:val="20"/>
          <w:highlight w:val="none"/>
        </w:rPr>
      </w:pPr>
      <w:r>
        <w:rPr>
          <w:rFonts w:ascii="Times New Roman" w:hAnsi="Times New Roman" w:eastAsia="Times New Roman" w:cs="Times New Roman"/>
          <w:color w:val="auto"/>
          <w:spacing w:val="7"/>
          <w:position w:val="8"/>
          <w:sz w:val="29"/>
          <w:szCs w:val="29"/>
          <w:highlight w:val="none"/>
        </w:rPr>
        <w:t>F</w:t>
      </w:r>
      <w:r>
        <w:rPr>
          <w:rFonts w:ascii="Times New Roman" w:hAnsi="Times New Roman" w:eastAsia="Times New Roman" w:cs="Times New Roman"/>
          <w:color w:val="auto"/>
          <w:spacing w:val="7"/>
          <w:position w:val="8"/>
          <w:sz w:val="17"/>
          <w:szCs w:val="17"/>
          <w:highlight w:val="none"/>
        </w:rPr>
        <w:t>01</w:t>
      </w:r>
      <w:r>
        <w:rPr>
          <w:rFonts w:ascii="Times New Roman" w:hAnsi="Times New Roman" w:eastAsia="Times New Roman" w:cs="Times New Roman"/>
          <w:color w:val="auto"/>
          <w:spacing w:val="7"/>
          <w:position w:val="8"/>
          <w:sz w:val="29"/>
          <w:szCs w:val="29"/>
          <w:highlight w:val="none"/>
        </w:rPr>
        <w:t>;</w:t>
      </w:r>
      <w:r>
        <w:rPr>
          <w:rFonts w:ascii="Times New Roman" w:hAnsi="Times New Roman" w:eastAsia="Times New Roman" w:cs="Times New Roman"/>
          <w:color w:val="auto"/>
          <w:spacing w:val="-35"/>
          <w:position w:val="8"/>
          <w:sz w:val="29"/>
          <w:szCs w:val="29"/>
          <w:highlight w:val="none"/>
        </w:rPr>
        <w:t xml:space="preserve"> </w:t>
      </w:r>
      <w:r>
        <w:rPr>
          <w:rFonts w:ascii="Times New Roman" w:hAnsi="Times New Roman" w:eastAsia="Times New Roman" w:cs="Times New Roman"/>
          <w:color w:val="auto"/>
          <w:spacing w:val="7"/>
          <w:position w:val="8"/>
          <w:sz w:val="29"/>
          <w:szCs w:val="29"/>
          <w:highlight w:val="none"/>
        </w:rPr>
        <w:t>F</w:t>
      </w:r>
      <w:r>
        <w:rPr>
          <w:rFonts w:ascii="Times New Roman" w:hAnsi="Times New Roman" w:eastAsia="Times New Roman" w:cs="Times New Roman"/>
          <w:color w:val="auto"/>
          <w:spacing w:val="7"/>
          <w:position w:val="8"/>
          <w:sz w:val="17"/>
          <w:szCs w:val="17"/>
          <w:highlight w:val="none"/>
        </w:rPr>
        <w:t>02</w:t>
      </w:r>
      <w:r>
        <w:rPr>
          <w:rFonts w:ascii="Times New Roman" w:hAnsi="Times New Roman" w:eastAsia="Times New Roman" w:cs="Times New Roman"/>
          <w:color w:val="auto"/>
          <w:spacing w:val="7"/>
          <w:position w:val="8"/>
          <w:sz w:val="29"/>
          <w:szCs w:val="29"/>
          <w:highlight w:val="none"/>
        </w:rPr>
        <w:t>;</w:t>
      </w:r>
      <w:r>
        <w:rPr>
          <w:rFonts w:ascii="Times New Roman" w:hAnsi="Times New Roman" w:eastAsia="Times New Roman" w:cs="Times New Roman"/>
          <w:color w:val="auto"/>
          <w:spacing w:val="-35"/>
          <w:position w:val="8"/>
          <w:sz w:val="29"/>
          <w:szCs w:val="29"/>
          <w:highlight w:val="none"/>
        </w:rPr>
        <w:t xml:space="preserve"> </w:t>
      </w:r>
      <w:r>
        <w:rPr>
          <w:rFonts w:ascii="Times New Roman" w:hAnsi="Times New Roman" w:eastAsia="Times New Roman" w:cs="Times New Roman"/>
          <w:color w:val="auto"/>
          <w:spacing w:val="7"/>
          <w:position w:val="8"/>
          <w:sz w:val="29"/>
          <w:szCs w:val="29"/>
          <w:highlight w:val="none"/>
        </w:rPr>
        <w:t>F</w:t>
      </w:r>
      <w:r>
        <w:rPr>
          <w:rFonts w:ascii="Times New Roman" w:hAnsi="Times New Roman" w:eastAsia="Times New Roman" w:cs="Times New Roman"/>
          <w:color w:val="auto"/>
          <w:spacing w:val="7"/>
          <w:position w:val="8"/>
          <w:sz w:val="17"/>
          <w:szCs w:val="17"/>
          <w:highlight w:val="none"/>
        </w:rPr>
        <w:t>03</w:t>
      </w:r>
      <w:r>
        <w:rPr>
          <w:rFonts w:ascii="Times New Roman" w:hAnsi="Times New Roman" w:eastAsia="Times New Roman" w:cs="Times New Roman"/>
          <w:color w:val="auto"/>
          <w:spacing w:val="7"/>
          <w:position w:val="8"/>
          <w:sz w:val="29"/>
          <w:szCs w:val="29"/>
          <w:highlight w:val="none"/>
        </w:rPr>
        <w:t>......F</w:t>
      </w:r>
      <w:r>
        <w:rPr>
          <w:rFonts w:ascii="Times New Roman" w:hAnsi="Times New Roman" w:eastAsia="Times New Roman" w:cs="Times New Roman"/>
          <w:color w:val="auto"/>
          <w:spacing w:val="7"/>
          <w:position w:val="8"/>
          <w:sz w:val="17"/>
          <w:szCs w:val="17"/>
          <w:highlight w:val="none"/>
        </w:rPr>
        <w:t>0n</w:t>
      </w:r>
      <w:r>
        <w:rPr>
          <w:rFonts w:ascii="Times New Roman" w:hAnsi="Times New Roman" w:eastAsia="Times New Roman" w:cs="Times New Roman"/>
          <w:color w:val="auto"/>
          <w:spacing w:val="36"/>
          <w:w w:val="101"/>
          <w:position w:val="8"/>
          <w:sz w:val="17"/>
          <w:szCs w:val="17"/>
          <w:highlight w:val="none"/>
        </w:rPr>
        <w:t xml:space="preserve"> </w:t>
      </w:r>
      <w:r>
        <w:rPr>
          <w:rFonts w:ascii="宋体" w:hAnsi="宋体" w:eastAsia="宋体" w:cs="宋体"/>
          <w:color w:val="auto"/>
          <w:spacing w:val="7"/>
          <w:position w:val="-4"/>
          <w:sz w:val="20"/>
          <w:szCs w:val="20"/>
          <w:highlight w:val="none"/>
        </w:rPr>
        <w:t>——各可调因子的基本</w:t>
      </w:r>
      <w:r>
        <w:rPr>
          <w:rFonts w:ascii="宋体" w:hAnsi="宋体" w:eastAsia="宋体" w:cs="宋体"/>
          <w:color w:val="auto"/>
          <w:spacing w:val="6"/>
          <w:position w:val="-4"/>
          <w:sz w:val="20"/>
          <w:szCs w:val="20"/>
          <w:highlight w:val="none"/>
        </w:rPr>
        <w:t>价格指数，指基准日期的各可调因子的价格指数。</w:t>
      </w:r>
    </w:p>
    <w:p w14:paraId="42283C8A">
      <w:pPr>
        <w:spacing w:before="203" w:line="432" w:lineRule="auto"/>
        <w:ind w:left="8" w:right="2" w:firstLine="44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以上价格调整公式中的各可调因子、定值和变值权重，以</w:t>
      </w:r>
      <w:r>
        <w:rPr>
          <w:rFonts w:ascii="宋体" w:hAnsi="宋体" w:eastAsia="宋体" w:cs="宋体"/>
          <w:color w:val="auto"/>
          <w:spacing w:val="9"/>
          <w:sz w:val="20"/>
          <w:szCs w:val="20"/>
          <w:highlight w:val="none"/>
        </w:rPr>
        <w:t>及基本价格指数及其来源在投标函附录价</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格指数和权重表中约定，非招标订立的合同，由合同当事人在专用合同条款中约定。价格指数应首先采</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用工程造价管理机构发布的价格指数，无前述价格指</w:t>
      </w:r>
      <w:r>
        <w:rPr>
          <w:rFonts w:ascii="宋体" w:hAnsi="宋体" w:eastAsia="宋体" w:cs="宋体"/>
          <w:color w:val="auto"/>
          <w:spacing w:val="9"/>
          <w:sz w:val="20"/>
          <w:szCs w:val="20"/>
          <w:highlight w:val="none"/>
        </w:rPr>
        <w:t>数时，可采用工程造价管理机构发布的价格代替。</w:t>
      </w:r>
    </w:p>
    <w:p w14:paraId="05E97411">
      <w:pPr>
        <w:spacing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（2）暂时确定调整差额</w:t>
      </w:r>
    </w:p>
    <w:p w14:paraId="5941C580">
      <w:pPr>
        <w:spacing w:before="220" w:line="434" w:lineRule="auto"/>
        <w:ind w:left="9" w:right="2"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在计算调整差额时无现行价格指数的，合同当事人同意暂用前次价格指数计算。实际价格指数有调</w:t>
      </w:r>
      <w:r>
        <w:rPr>
          <w:rFonts w:ascii="宋体" w:hAnsi="宋体" w:eastAsia="宋体" w:cs="宋体"/>
          <w:color w:val="auto"/>
          <w:spacing w:val="7"/>
          <w:sz w:val="20"/>
          <w:szCs w:val="20"/>
          <w:highlight w:val="none"/>
        </w:rPr>
        <w:t xml:space="preserve"> </w:t>
      </w:r>
      <w:r>
        <w:rPr>
          <w:rFonts w:ascii="宋体" w:hAnsi="宋体" w:eastAsia="宋体" w:cs="宋体"/>
          <w:color w:val="auto"/>
          <w:spacing w:val="8"/>
          <w:sz w:val="20"/>
          <w:szCs w:val="20"/>
          <w:highlight w:val="none"/>
        </w:rPr>
        <w:t>整的，合同当事人进行相应调整。</w:t>
      </w:r>
    </w:p>
    <w:p w14:paraId="3D538D41">
      <w:pPr>
        <w:spacing w:line="434" w:lineRule="auto"/>
        <w:rPr>
          <w:rFonts w:ascii="宋体" w:hAnsi="宋体" w:eastAsia="宋体" w:cs="宋体"/>
          <w:color w:val="auto"/>
          <w:sz w:val="20"/>
          <w:szCs w:val="20"/>
          <w:highlight w:val="none"/>
        </w:rPr>
        <w:sectPr>
          <w:headerReference r:id="rId150" w:type="default"/>
          <w:footerReference r:id="rId151" w:type="default"/>
          <w:pgSz w:w="11906" w:h="16839"/>
          <w:pgMar w:top="1091" w:right="1218" w:bottom="1158" w:left="1219" w:header="1076" w:footer="922" w:gutter="0"/>
          <w:cols w:space="720" w:num="1"/>
        </w:sectPr>
      </w:pPr>
    </w:p>
    <w:p w14:paraId="30935C40">
      <w:pPr>
        <w:spacing w:before="256"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（3）权重的调整</w:t>
      </w:r>
    </w:p>
    <w:p w14:paraId="002B1C23">
      <w:pPr>
        <w:spacing w:before="221" w:line="228" w:lineRule="auto"/>
        <w:ind w:left="44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因变更导致合同约定的权重不合理时，按照第4.4</w:t>
      </w:r>
      <w:r>
        <w:rPr>
          <w:rFonts w:ascii="宋体" w:hAnsi="宋体" w:eastAsia="宋体" w:cs="宋体"/>
          <w:color w:val="auto"/>
          <w:spacing w:val="-39"/>
          <w:sz w:val="20"/>
          <w:szCs w:val="20"/>
          <w:highlight w:val="none"/>
        </w:rPr>
        <w:t xml:space="preserve"> </w:t>
      </w:r>
      <w:r>
        <w:rPr>
          <w:rFonts w:ascii="宋体" w:hAnsi="宋体" w:eastAsia="宋体" w:cs="宋体"/>
          <w:color w:val="auto"/>
          <w:spacing w:val="10"/>
          <w:sz w:val="20"/>
          <w:szCs w:val="20"/>
          <w:highlight w:val="none"/>
        </w:rPr>
        <w:t>款〔</w:t>
      </w:r>
      <w:r>
        <w:rPr>
          <w:rFonts w:ascii="宋体" w:hAnsi="宋体" w:eastAsia="宋体" w:cs="宋体"/>
          <w:color w:val="auto"/>
          <w:spacing w:val="9"/>
          <w:sz w:val="20"/>
          <w:szCs w:val="20"/>
          <w:highlight w:val="none"/>
        </w:rPr>
        <w:t>商定或确定〕执行。</w:t>
      </w:r>
    </w:p>
    <w:p w14:paraId="660A80DE">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（4）因承包人原因工期延误后的价格调整</w:t>
      </w:r>
    </w:p>
    <w:p w14:paraId="736047BD">
      <w:pPr>
        <w:spacing w:before="222" w:line="432" w:lineRule="auto"/>
        <w:ind w:left="8" w:right="51" w:firstLine="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因承包人原因未按期竣工的，对合同约定的竣工日期后继续</w:t>
      </w:r>
      <w:r>
        <w:rPr>
          <w:rFonts w:ascii="宋体" w:hAnsi="宋体" w:eastAsia="宋体" w:cs="宋体"/>
          <w:color w:val="auto"/>
          <w:spacing w:val="8"/>
          <w:sz w:val="20"/>
          <w:szCs w:val="20"/>
          <w:highlight w:val="none"/>
        </w:rPr>
        <w:t>施工的工程，在使用价格调整公式时，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应采用计划竣工日期与实际竣工日期的两个价格指数中较低的一个作为现行价格指数。</w:t>
      </w:r>
    </w:p>
    <w:p w14:paraId="707569BA">
      <w:pPr>
        <w:spacing w:before="1" w:line="226"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w:t>
      </w:r>
      <w:r>
        <w:rPr>
          <w:rFonts w:ascii="宋体" w:hAnsi="宋体" w:eastAsia="宋体" w:cs="宋体"/>
          <w:color w:val="auto"/>
          <w:spacing w:val="-27"/>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种方式：采用造价信息进行价格调整。</w:t>
      </w:r>
    </w:p>
    <w:p w14:paraId="7520A102">
      <w:pPr>
        <w:spacing w:before="222" w:line="432" w:lineRule="auto"/>
        <w:ind w:left="8"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合同履行期间，因人工、材料、工程设备和机械台班价格波动影响合同价格时，人工、机械使用费</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按照国家或省、</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自治区、直辖市建设行政管理部门、行业建设管理部门或其授权的工程造价管理机构发</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布的人工、机械使用费系数进行调整；需要进行价格调整的材料，其单价和采购数量应由发包人审批，</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发包人确认需调整的材料单价及数量，作为调整合同价格的依据。</w:t>
      </w:r>
    </w:p>
    <w:p w14:paraId="055E67DE">
      <w:pPr>
        <w:spacing w:before="2" w:line="363" w:lineRule="auto"/>
        <w:ind w:left="10" w:right="2" w:firstLine="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（1）人工单价发生变化且符合省级或行业建设主管部门发布的人工费调整规定，合同当事人应按省</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级或行业建设主管部门或其授权的工程造价管理机构发布的人工费等文件调整合同价格，但承包人对人</w:t>
      </w:r>
      <w:r>
        <w:rPr>
          <w:rFonts w:ascii="宋体" w:hAnsi="宋体" w:eastAsia="宋体" w:cs="宋体"/>
          <w:color w:val="auto"/>
          <w:spacing w:val="3"/>
          <w:sz w:val="20"/>
          <w:szCs w:val="20"/>
          <w:highlight w:val="none"/>
        </w:rPr>
        <w:t xml:space="preserve"> </w:t>
      </w:r>
      <w:r>
        <w:rPr>
          <w:rFonts w:ascii="宋体" w:hAnsi="宋体" w:eastAsia="宋体" w:cs="宋体"/>
          <w:color w:val="auto"/>
          <w:spacing w:val="8"/>
          <w:sz w:val="20"/>
          <w:szCs w:val="20"/>
          <w:highlight w:val="none"/>
        </w:rPr>
        <w:t>工费或人工单价的报价高于发布价格的除外。</w:t>
      </w:r>
    </w:p>
    <w:p w14:paraId="79F3EBE7">
      <w:pPr>
        <w:spacing w:before="222" w:line="227" w:lineRule="auto"/>
        <w:jc w:val="righ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（2）材料、工程设备价格变化的价款调整按照发包人提供的基准价格，按以下风险范围规定执行</w:t>
      </w:r>
      <w:r>
        <w:rPr>
          <w:rFonts w:ascii="宋体" w:hAnsi="宋体" w:eastAsia="宋体" w:cs="宋体"/>
          <w:color w:val="auto"/>
          <w:spacing w:val="-42"/>
          <w:sz w:val="20"/>
          <w:szCs w:val="20"/>
          <w:highlight w:val="none"/>
        </w:rPr>
        <w:t xml:space="preserve"> </w:t>
      </w:r>
      <w:r>
        <w:rPr>
          <w:rFonts w:ascii="宋体" w:hAnsi="宋体" w:eastAsia="宋体" w:cs="宋体"/>
          <w:color w:val="auto"/>
          <w:spacing w:val="8"/>
          <w:sz w:val="20"/>
          <w:szCs w:val="20"/>
          <w:highlight w:val="none"/>
        </w:rPr>
        <w:t>:</w:t>
      </w:r>
    </w:p>
    <w:p w14:paraId="15E46041">
      <w:pPr>
        <w:spacing w:before="221" w:line="364" w:lineRule="auto"/>
        <w:ind w:left="10" w:right="2"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①承包人在已标价工程量清单或预算书中载明材料单价低于基准价格的：除专用合同条款另有约定</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外，合同履行期间材料单价涨幅以基准价格</w:t>
      </w:r>
      <w:r>
        <w:rPr>
          <w:rFonts w:ascii="宋体" w:hAnsi="宋体" w:eastAsia="宋体" w:cs="宋体"/>
          <w:color w:val="auto"/>
          <w:spacing w:val="8"/>
          <w:sz w:val="20"/>
          <w:szCs w:val="20"/>
          <w:highlight w:val="none"/>
        </w:rPr>
        <w:t>为基础超过</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5%时，或材料单价跌幅以在已标价工程量清单或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预算书中载明材料单价为基础超过</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5%时，其超过部分据实调整。</w:t>
      </w:r>
    </w:p>
    <w:p w14:paraId="0871D428">
      <w:pPr>
        <w:spacing w:before="220" w:line="364" w:lineRule="auto"/>
        <w:ind w:left="10" w:right="2" w:firstLine="41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②承包人在已标价工程量清单或预算书中载明材料单价高于基准价格的：除专用合同条款另有约定</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外，合同履行期间材料单价跌幅以基准价格</w:t>
      </w:r>
      <w:r>
        <w:rPr>
          <w:rFonts w:ascii="宋体" w:hAnsi="宋体" w:eastAsia="宋体" w:cs="宋体"/>
          <w:color w:val="auto"/>
          <w:spacing w:val="8"/>
          <w:sz w:val="20"/>
          <w:szCs w:val="20"/>
          <w:highlight w:val="none"/>
        </w:rPr>
        <w:t>为基础超过</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5%时，材料单价涨幅以在已标价工程量清单或预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算书中载明材料单价为基础超过</w:t>
      </w:r>
      <w:r>
        <w:rPr>
          <w:rFonts w:ascii="宋体" w:hAnsi="宋体" w:eastAsia="宋体" w:cs="宋体"/>
          <w:color w:val="auto"/>
          <w:spacing w:val="-25"/>
          <w:sz w:val="20"/>
          <w:szCs w:val="20"/>
          <w:highlight w:val="none"/>
        </w:rPr>
        <w:t xml:space="preserve"> </w:t>
      </w:r>
      <w:r>
        <w:rPr>
          <w:rFonts w:ascii="宋体" w:hAnsi="宋体" w:eastAsia="宋体" w:cs="宋体"/>
          <w:color w:val="auto"/>
          <w:spacing w:val="8"/>
          <w:sz w:val="20"/>
          <w:szCs w:val="20"/>
          <w:highlight w:val="none"/>
        </w:rPr>
        <w:t>5%时，其超过部分据实调整。</w:t>
      </w:r>
    </w:p>
    <w:p w14:paraId="008ABE9B">
      <w:pPr>
        <w:spacing w:before="224" w:line="329" w:lineRule="auto"/>
        <w:ind w:left="12" w:right="2" w:firstLine="41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③承包人在已标价工程量清单或预算书中载明材料单价等于基准价格的：除专用合同条款另有约定</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外，合同履行期间材料单价涨跌幅以基准价格为基础超过±5%时，其超过部分据实调整。</w:t>
      </w:r>
    </w:p>
    <w:p w14:paraId="0F586044">
      <w:pPr>
        <w:spacing w:before="221" w:line="381" w:lineRule="auto"/>
        <w:ind w:left="8" w:right="2"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④承包人应在采购材料前将采购数量和新的材料单价报发包人核对，发包人确认用于工程时，发包</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人应确认采购材料的数量和单价。发包人在</w:t>
      </w:r>
      <w:r>
        <w:rPr>
          <w:rFonts w:ascii="宋体" w:hAnsi="宋体" w:eastAsia="宋体" w:cs="宋体"/>
          <w:color w:val="auto"/>
          <w:spacing w:val="9"/>
          <w:sz w:val="20"/>
          <w:szCs w:val="20"/>
          <w:highlight w:val="none"/>
        </w:rPr>
        <w:t>收到承包人报送的确认资料后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5</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天内不予答复的视为认可，</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作为调整合同价格的依据。未经发包人事先核对，承包人自行采购材料的，发包人有权不予调整合同价</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格。发包人同意的，可以调整合同价格。</w:t>
      </w:r>
    </w:p>
    <w:p w14:paraId="17AD559D">
      <w:pPr>
        <w:spacing w:before="222" w:line="432" w:lineRule="auto"/>
        <w:ind w:left="12"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前述基准价格是指由发包人在招标文件或专用合同条款中给定的材料、工程设备的价格，该价格原</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则上应当按照省级或行业建设主管部门或其授权的工程造价管理机构发布的信息价编制。</w:t>
      </w:r>
    </w:p>
    <w:p w14:paraId="0B7967C0">
      <w:pPr>
        <w:spacing w:before="1" w:line="432" w:lineRule="auto"/>
        <w:ind w:left="9" w:right="2"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（3）施工机械台班单价或施工机械使用费发生变化超过省级或行业建设主管部门或其授权的工程造</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价管理机构规定的范围时，按规定调整合同价格。</w:t>
      </w:r>
    </w:p>
    <w:p w14:paraId="0A5CB3AA">
      <w:pPr>
        <w:spacing w:line="432" w:lineRule="auto"/>
        <w:rPr>
          <w:rFonts w:ascii="宋体" w:hAnsi="宋体" w:eastAsia="宋体" w:cs="宋体"/>
          <w:color w:val="auto"/>
          <w:sz w:val="20"/>
          <w:szCs w:val="20"/>
          <w:highlight w:val="none"/>
        </w:rPr>
        <w:sectPr>
          <w:headerReference r:id="rId152" w:type="default"/>
          <w:footerReference r:id="rId153" w:type="default"/>
          <w:pgSz w:w="11906" w:h="16839"/>
          <w:pgMar w:top="1091" w:right="1219" w:bottom="1158" w:left="1219" w:header="1076" w:footer="922" w:gutter="0"/>
          <w:cols w:space="720" w:num="1"/>
        </w:sectPr>
      </w:pPr>
    </w:p>
    <w:p w14:paraId="6AE1B1EE">
      <w:pPr>
        <w:spacing w:before="256" w:line="228"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种方式：专用合同条款约定的其他方式。</w:t>
      </w:r>
    </w:p>
    <w:p w14:paraId="35241CCC">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11.2</w:t>
      </w:r>
      <w:r>
        <w:rPr>
          <w:rFonts w:ascii="宋体" w:hAnsi="宋体" w:eastAsia="宋体" w:cs="宋体"/>
          <w:color w:val="auto"/>
          <w:spacing w:val="-28"/>
          <w:sz w:val="20"/>
          <w:szCs w:val="20"/>
          <w:highlight w:val="none"/>
        </w:rPr>
        <w:t xml:space="preserve"> </w:t>
      </w:r>
      <w:r>
        <w:rPr>
          <w:rFonts w:ascii="宋体" w:hAnsi="宋体" w:eastAsia="宋体" w:cs="宋体"/>
          <w:color w:val="auto"/>
          <w:spacing w:val="5"/>
          <w:sz w:val="20"/>
          <w:szCs w:val="20"/>
          <w:highlight w:val="none"/>
        </w:rPr>
        <w:t>法律变化引起的调整</w:t>
      </w:r>
    </w:p>
    <w:p w14:paraId="40EAF0BD">
      <w:pPr>
        <w:spacing w:before="220" w:line="432" w:lineRule="auto"/>
        <w:ind w:left="8" w:right="70"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基准日期后，法律变化导致承包人在合同履行过程中所需要的费用</w:t>
      </w:r>
      <w:r>
        <w:rPr>
          <w:rFonts w:ascii="宋体" w:hAnsi="宋体" w:eastAsia="宋体" w:cs="宋体"/>
          <w:color w:val="auto"/>
          <w:spacing w:val="6"/>
          <w:sz w:val="20"/>
          <w:szCs w:val="20"/>
          <w:highlight w:val="none"/>
        </w:rPr>
        <w:t>发生除第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6"/>
          <w:sz w:val="20"/>
          <w:szCs w:val="20"/>
          <w:highlight w:val="none"/>
        </w:rPr>
        <w:t>11.1</w:t>
      </w:r>
      <w:r>
        <w:rPr>
          <w:rFonts w:ascii="宋体" w:hAnsi="宋体" w:eastAsia="宋体" w:cs="宋体"/>
          <w:color w:val="auto"/>
          <w:spacing w:val="-40"/>
          <w:sz w:val="20"/>
          <w:szCs w:val="20"/>
          <w:highlight w:val="none"/>
        </w:rPr>
        <w:t xml:space="preserve"> </w:t>
      </w:r>
      <w:r>
        <w:rPr>
          <w:rFonts w:ascii="宋体" w:hAnsi="宋体" w:eastAsia="宋体" w:cs="宋体"/>
          <w:color w:val="auto"/>
          <w:spacing w:val="6"/>
          <w:sz w:val="20"/>
          <w:szCs w:val="20"/>
          <w:highlight w:val="none"/>
        </w:rPr>
        <w:t>款〔市场价格波动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引起的调整〕约定以外的增加时，</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由发包人承担由此增加的费用；减少时，应从合同价格中予以扣减。</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基准日期后，因法律变化造成工期延误时，工期应予以顺延。</w:t>
      </w:r>
    </w:p>
    <w:p w14:paraId="19348185">
      <w:pPr>
        <w:spacing w:line="432" w:lineRule="auto"/>
        <w:ind w:left="36" w:right="70" w:firstLine="40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因法律变化引起的合同价格和工期调整，合同当事人无法达成一致的，</w:t>
      </w:r>
      <w:r>
        <w:rPr>
          <w:rFonts w:ascii="宋体" w:hAnsi="宋体" w:eastAsia="宋体" w:cs="宋体"/>
          <w:color w:val="auto"/>
          <w:spacing w:val="-53"/>
          <w:sz w:val="20"/>
          <w:szCs w:val="20"/>
          <w:highlight w:val="none"/>
        </w:rPr>
        <w:t xml:space="preserve"> </w:t>
      </w:r>
      <w:r>
        <w:rPr>
          <w:rFonts w:ascii="宋体" w:hAnsi="宋体" w:eastAsia="宋体" w:cs="宋体"/>
          <w:color w:val="auto"/>
          <w:spacing w:val="8"/>
          <w:sz w:val="20"/>
          <w:szCs w:val="20"/>
          <w:highlight w:val="none"/>
        </w:rPr>
        <w:t>由总监理工程师按第</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4.4</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款</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〔商定或确定〕的约定处理。</w:t>
      </w:r>
    </w:p>
    <w:p w14:paraId="75B4549A">
      <w:pPr>
        <w:spacing w:before="2" w:line="431" w:lineRule="auto"/>
        <w:ind w:left="10" w:right="71"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因承包人原因造成工期延误，在工期延误期间出现法律变化的，</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由此增加的费用</w:t>
      </w:r>
      <w:r>
        <w:rPr>
          <w:rFonts w:ascii="宋体" w:hAnsi="宋体" w:eastAsia="宋体" w:cs="宋体"/>
          <w:color w:val="auto"/>
          <w:spacing w:val="8"/>
          <w:sz w:val="20"/>
          <w:szCs w:val="20"/>
          <w:highlight w:val="none"/>
        </w:rPr>
        <w:t>和（或）延误的工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期由承包人承担。</w:t>
      </w:r>
    </w:p>
    <w:p w14:paraId="2B6EB7CC">
      <w:pPr>
        <w:spacing w:before="1" w:line="226"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 合同价格、计量与支付</w:t>
      </w:r>
    </w:p>
    <w:p w14:paraId="786B2372">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12.1 合同价格形式</w:t>
      </w:r>
    </w:p>
    <w:p w14:paraId="66E8E90E">
      <w:pPr>
        <w:spacing w:before="222"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发包人和承包人应在合同协议书中选择下列一种合同价格形式：</w:t>
      </w:r>
    </w:p>
    <w:p w14:paraId="5320AC7F">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1.单价合同</w:t>
      </w:r>
    </w:p>
    <w:p w14:paraId="0EFEA096">
      <w:pPr>
        <w:spacing w:before="222" w:line="432" w:lineRule="auto"/>
        <w:ind w:left="7" w:right="71"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单价合同是指合同当事人约定以工程量清单及其综合单价进行合同价格计算、调整和确认的建设工</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程施工合同，在约定的范围内合同单价不作调整。合同当事人应在专用合同条款中约定综合单价包含的</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风险范围和风险费用的计算方法，并约定风险范围以外的合同价格的调整方法，其中因市场价格波动引</w:t>
      </w:r>
      <w:r>
        <w:rPr>
          <w:rFonts w:ascii="宋体" w:hAnsi="宋体" w:eastAsia="宋体" w:cs="宋体"/>
          <w:color w:val="auto"/>
          <w:spacing w:val="7"/>
          <w:sz w:val="20"/>
          <w:szCs w:val="20"/>
          <w:highlight w:val="none"/>
        </w:rPr>
        <w:t xml:space="preserve"> 起的调整按第</w:t>
      </w:r>
      <w:r>
        <w:rPr>
          <w:rFonts w:ascii="宋体" w:hAnsi="宋体" w:eastAsia="宋体" w:cs="宋体"/>
          <w:color w:val="auto"/>
          <w:spacing w:val="-11"/>
          <w:sz w:val="20"/>
          <w:szCs w:val="20"/>
          <w:highlight w:val="none"/>
        </w:rPr>
        <w:t xml:space="preserve"> </w:t>
      </w:r>
      <w:r>
        <w:rPr>
          <w:rFonts w:ascii="宋体" w:hAnsi="宋体" w:eastAsia="宋体" w:cs="宋体"/>
          <w:color w:val="auto"/>
          <w:spacing w:val="7"/>
          <w:sz w:val="20"/>
          <w:szCs w:val="20"/>
          <w:highlight w:val="none"/>
        </w:rPr>
        <w:t>11.1</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款〔市场价格波动引起的调整〕约定执行。</w:t>
      </w:r>
    </w:p>
    <w:p w14:paraId="070A8C62">
      <w:pPr>
        <w:spacing w:before="1" w:line="226"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2.总价合同</w:t>
      </w:r>
    </w:p>
    <w:p w14:paraId="0ACB0032">
      <w:pPr>
        <w:spacing w:before="222" w:line="432" w:lineRule="auto"/>
        <w:ind w:left="9"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总价合同是指合同当事人约定以施工图、已标价工程量清单或预算书及有关条件进行合同价</w:t>
      </w:r>
      <w:r>
        <w:rPr>
          <w:rFonts w:ascii="宋体" w:hAnsi="宋体" w:eastAsia="宋体" w:cs="宋体"/>
          <w:color w:val="auto"/>
          <w:spacing w:val="6"/>
          <w:sz w:val="20"/>
          <w:szCs w:val="20"/>
          <w:highlight w:val="none"/>
        </w:rPr>
        <w:t>格计算、</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调整和确认的建设工程施工合同，在约定的范围内合同总价不作调整。合同当事人应在专用合同条款中</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约定总价包含的风险范围和风险费用的计算方法，并约定风险范围以外的合同价格的调整方法，其中因</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市场价格波动引起的调整按第</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11.1</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款〔市场价格波动引起的调整〕、因法律变化引起的调整按第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9"/>
          <w:sz w:val="20"/>
          <w:szCs w:val="20"/>
          <w:highlight w:val="none"/>
        </w:rPr>
        <w:t>11.2</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款〔法律变化引起的调整〕约定执行。</w:t>
      </w:r>
    </w:p>
    <w:p w14:paraId="0E78156F">
      <w:pPr>
        <w:spacing w:before="1" w:line="226"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3.其它价格形式</w:t>
      </w:r>
    </w:p>
    <w:p w14:paraId="1C6E1FE2">
      <w:pPr>
        <w:spacing w:before="222" w:line="227"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合同当事人可在专用合同条款中约定其他合同价格形式。</w:t>
      </w:r>
    </w:p>
    <w:p w14:paraId="01EEC56F">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12.2</w:t>
      </w:r>
      <w:r>
        <w:rPr>
          <w:rFonts w:ascii="宋体" w:hAnsi="宋体" w:eastAsia="宋体" w:cs="宋体"/>
          <w:color w:val="auto"/>
          <w:spacing w:val="-37"/>
          <w:sz w:val="20"/>
          <w:szCs w:val="20"/>
          <w:highlight w:val="none"/>
        </w:rPr>
        <w:t xml:space="preserve"> </w:t>
      </w:r>
      <w:r>
        <w:rPr>
          <w:rFonts w:ascii="宋体" w:hAnsi="宋体" w:eastAsia="宋体" w:cs="宋体"/>
          <w:color w:val="auto"/>
          <w:spacing w:val="2"/>
          <w:sz w:val="20"/>
          <w:szCs w:val="20"/>
          <w:highlight w:val="none"/>
        </w:rPr>
        <w:t>预付款</w:t>
      </w:r>
    </w:p>
    <w:p w14:paraId="0FA226DC">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12.2.1</w:t>
      </w:r>
      <w:r>
        <w:rPr>
          <w:rFonts w:ascii="宋体" w:hAnsi="宋体" w:eastAsia="宋体" w:cs="宋体"/>
          <w:color w:val="auto"/>
          <w:spacing w:val="-34"/>
          <w:sz w:val="20"/>
          <w:szCs w:val="20"/>
          <w:highlight w:val="none"/>
        </w:rPr>
        <w:t xml:space="preserve"> </w:t>
      </w:r>
      <w:r>
        <w:rPr>
          <w:rFonts w:ascii="宋体" w:hAnsi="宋体" w:eastAsia="宋体" w:cs="宋体"/>
          <w:color w:val="auto"/>
          <w:spacing w:val="4"/>
          <w:sz w:val="20"/>
          <w:szCs w:val="20"/>
          <w:highlight w:val="none"/>
        </w:rPr>
        <w:t>预付款的支付</w:t>
      </w:r>
    </w:p>
    <w:p w14:paraId="5C1C0576">
      <w:pPr>
        <w:spacing w:before="221" w:line="432" w:lineRule="auto"/>
        <w:ind w:left="9" w:right="70"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预付款的支付按照专用合同条款约定执行，但至迟应在开工通知载明的开工日期</w:t>
      </w:r>
      <w:r>
        <w:rPr>
          <w:rFonts w:ascii="宋体" w:hAnsi="宋体" w:eastAsia="宋体" w:cs="宋体"/>
          <w:color w:val="auto"/>
          <w:spacing w:val="-19"/>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天前支付。预付</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款应当用于材料、工程设备、施工设备的采购及修建临时工程、组织施工队伍进场等。</w:t>
      </w:r>
    </w:p>
    <w:p w14:paraId="677024B7">
      <w:pPr>
        <w:spacing w:before="1" w:line="227" w:lineRule="auto"/>
        <w:ind w:left="44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除专用合同条款另有约定外，预付款在进度付款中同比例扣回。在颁发工程接收证</w:t>
      </w:r>
      <w:r>
        <w:rPr>
          <w:rFonts w:ascii="宋体" w:hAnsi="宋体" w:eastAsia="宋体" w:cs="宋体"/>
          <w:color w:val="auto"/>
          <w:spacing w:val="9"/>
          <w:sz w:val="20"/>
          <w:szCs w:val="20"/>
          <w:highlight w:val="none"/>
        </w:rPr>
        <w:t>书前，提前解除</w:t>
      </w:r>
    </w:p>
    <w:p w14:paraId="21009C47">
      <w:pPr>
        <w:spacing w:line="227" w:lineRule="auto"/>
        <w:rPr>
          <w:rFonts w:ascii="宋体" w:hAnsi="宋体" w:eastAsia="宋体" w:cs="宋体"/>
          <w:color w:val="auto"/>
          <w:sz w:val="20"/>
          <w:szCs w:val="20"/>
          <w:highlight w:val="none"/>
        </w:rPr>
        <w:sectPr>
          <w:headerReference r:id="rId154" w:type="default"/>
          <w:footerReference r:id="rId155" w:type="default"/>
          <w:pgSz w:w="11906" w:h="16839"/>
          <w:pgMar w:top="1091" w:right="1150" w:bottom="1158" w:left="1219" w:header="1076" w:footer="922" w:gutter="0"/>
          <w:cols w:space="720" w:num="1"/>
        </w:sectPr>
      </w:pPr>
    </w:p>
    <w:p w14:paraId="51B722AA">
      <w:pPr>
        <w:spacing w:before="256" w:line="227" w:lineRule="auto"/>
        <w:ind w:left="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合同的，尚未扣完的预付款应与合同价款一并结算。</w:t>
      </w:r>
    </w:p>
    <w:p w14:paraId="7D26DF62">
      <w:pPr>
        <w:spacing w:before="222" w:line="432" w:lineRule="auto"/>
        <w:ind w:left="12" w:right="2"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发包人逾期支付预付款超过</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天的，承包人有权向发包人发出要求预付的催告通知，发包人收到通</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知后</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天内仍未支付的，承包人有权暂停施工，并按第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16.1.1</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项〔发包人违约的情形〕执行。</w:t>
      </w:r>
    </w:p>
    <w:p w14:paraId="6D8EF1C6">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12.2.2 预付款担保</w:t>
      </w:r>
    </w:p>
    <w:p w14:paraId="62FC0E19">
      <w:pPr>
        <w:spacing w:before="220" w:line="432" w:lineRule="auto"/>
        <w:ind w:left="9" w:right="2" w:firstLine="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发包人要求承包人提供预付款担保的，承包人应在发包人支付预付款</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天前提供预付款担保，专用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合同条款另有约定除外。预付款担保可采用银行保函、担保公司担保等形式，具体由合同当事人在专用</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合同条款中约定。在预付款完全扣回之前，承包人应保证预付款担保持续有效。</w:t>
      </w:r>
    </w:p>
    <w:p w14:paraId="58EBDE26">
      <w:pPr>
        <w:spacing w:before="2" w:line="431" w:lineRule="auto"/>
        <w:ind w:left="7" w:right="2"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发包人在工程款中逐期扣回预付款后，预付款担保额度应相应减少，但剩余的预付款担保金额不得</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低于未被扣回的预付款金额。</w:t>
      </w:r>
    </w:p>
    <w:p w14:paraId="439A604E">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12.3</w:t>
      </w:r>
      <w:r>
        <w:rPr>
          <w:rFonts w:ascii="宋体" w:hAnsi="宋体" w:eastAsia="宋体" w:cs="宋体"/>
          <w:color w:val="auto"/>
          <w:spacing w:val="-41"/>
          <w:sz w:val="20"/>
          <w:szCs w:val="20"/>
          <w:highlight w:val="none"/>
        </w:rPr>
        <w:t xml:space="preserve"> </w:t>
      </w:r>
      <w:r>
        <w:rPr>
          <w:rFonts w:ascii="宋体" w:hAnsi="宋体" w:eastAsia="宋体" w:cs="宋体"/>
          <w:color w:val="auto"/>
          <w:spacing w:val="1"/>
          <w:sz w:val="20"/>
          <w:szCs w:val="20"/>
          <w:highlight w:val="none"/>
        </w:rPr>
        <w:t>计量</w:t>
      </w:r>
    </w:p>
    <w:p w14:paraId="24F8250D">
      <w:pPr>
        <w:spacing w:before="219"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12.3.1 计量原则</w:t>
      </w:r>
    </w:p>
    <w:p w14:paraId="4F325D03">
      <w:pPr>
        <w:spacing w:before="220" w:line="432" w:lineRule="auto"/>
        <w:ind w:left="11"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工程量计量按照合同约定的工程量计算规则、图纸及变更指示等进行计量。工程量计算规则应以相</w:t>
      </w:r>
      <w:r>
        <w:rPr>
          <w:rFonts w:ascii="宋体" w:hAnsi="宋体" w:eastAsia="宋体" w:cs="宋体"/>
          <w:color w:val="auto"/>
          <w:spacing w:val="3"/>
          <w:sz w:val="20"/>
          <w:szCs w:val="20"/>
          <w:highlight w:val="none"/>
        </w:rPr>
        <w:t xml:space="preserve"> </w:t>
      </w:r>
      <w:r>
        <w:rPr>
          <w:rFonts w:ascii="宋体" w:hAnsi="宋体" w:eastAsia="宋体" w:cs="宋体"/>
          <w:color w:val="auto"/>
          <w:spacing w:val="8"/>
          <w:sz w:val="20"/>
          <w:szCs w:val="20"/>
          <w:highlight w:val="none"/>
        </w:rPr>
        <w:t>关的国家标准、行业标准等为依据，</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由合同当事人在专用合同条款中约定。</w:t>
      </w:r>
    </w:p>
    <w:p w14:paraId="2B948BBD">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12.3.2 计量周期</w:t>
      </w:r>
    </w:p>
    <w:p w14:paraId="3EF93A75">
      <w:pPr>
        <w:spacing w:before="220" w:line="228" w:lineRule="auto"/>
        <w:ind w:left="4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除专用合同条款另有约定外，工程量的计量按月进行。</w:t>
      </w:r>
    </w:p>
    <w:p w14:paraId="3B8A3B39">
      <w:pPr>
        <w:spacing w:before="221"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12.3.3 单价合同的计量</w:t>
      </w:r>
    </w:p>
    <w:p w14:paraId="7D9CCE29">
      <w:pPr>
        <w:spacing w:before="222" w:line="227"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除专用合同条款另有约定外，单价合同的计量按照本项</w:t>
      </w:r>
      <w:r>
        <w:rPr>
          <w:rFonts w:ascii="宋体" w:hAnsi="宋体" w:eastAsia="宋体" w:cs="宋体"/>
          <w:color w:val="auto"/>
          <w:spacing w:val="8"/>
          <w:sz w:val="20"/>
          <w:szCs w:val="20"/>
          <w:highlight w:val="none"/>
        </w:rPr>
        <w:t>约定执行：</w:t>
      </w:r>
    </w:p>
    <w:p w14:paraId="5BE8D1B7">
      <w:pPr>
        <w:spacing w:before="223" w:line="330" w:lineRule="auto"/>
        <w:ind w:left="8" w:right="2" w:firstLine="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（1）承包人应于每月</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25 日向监理人报送上月</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20 日至当月</w:t>
      </w:r>
      <w:r>
        <w:rPr>
          <w:rFonts w:ascii="宋体" w:hAnsi="宋体" w:eastAsia="宋体" w:cs="宋体"/>
          <w:color w:val="auto"/>
          <w:spacing w:val="-24"/>
          <w:sz w:val="20"/>
          <w:szCs w:val="20"/>
          <w:highlight w:val="none"/>
        </w:rPr>
        <w:t xml:space="preserve"> </w:t>
      </w:r>
      <w:r>
        <w:rPr>
          <w:rFonts w:ascii="宋体" w:hAnsi="宋体" w:eastAsia="宋体" w:cs="宋体"/>
          <w:color w:val="auto"/>
          <w:spacing w:val="4"/>
          <w:sz w:val="20"/>
          <w:szCs w:val="20"/>
          <w:highlight w:val="none"/>
        </w:rPr>
        <w:t>19 日已完成的工程量报告，并附具进度</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付款申请单、已完成工程量报表和有关资料。</w:t>
      </w:r>
    </w:p>
    <w:p w14:paraId="15B42E75">
      <w:pPr>
        <w:spacing w:before="221" w:line="381" w:lineRule="auto"/>
        <w:ind w:left="6" w:right="2" w:firstLine="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（2）监理人应在收到承包人提交的工程量报告后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天内完成对承包</w:t>
      </w:r>
      <w:r>
        <w:rPr>
          <w:rFonts w:ascii="宋体" w:hAnsi="宋体" w:eastAsia="宋体" w:cs="宋体"/>
          <w:color w:val="auto"/>
          <w:spacing w:val="6"/>
          <w:sz w:val="20"/>
          <w:szCs w:val="20"/>
          <w:highlight w:val="none"/>
        </w:rPr>
        <w:t>人提交的工程量报表的审核并报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送发包人，以确定当月实际完成的工程量。监理人对工程量有异议的，有权要求承包人进行共同复核或</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抽样复测。承包人应协助监理人进行复核或抽样复测，并按监理人要求提供补充计量资料。承包人未按</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监理人要求参加复核或抽样复测的，监理人复核或修</w:t>
      </w:r>
      <w:r>
        <w:rPr>
          <w:rFonts w:ascii="宋体" w:hAnsi="宋体" w:eastAsia="宋体" w:cs="宋体"/>
          <w:color w:val="auto"/>
          <w:spacing w:val="9"/>
          <w:sz w:val="20"/>
          <w:szCs w:val="20"/>
          <w:highlight w:val="none"/>
        </w:rPr>
        <w:t>正的工程量视为承包人实际完成的工程量。</w:t>
      </w:r>
    </w:p>
    <w:p w14:paraId="55FA3ED3">
      <w:pPr>
        <w:spacing w:before="221" w:line="329" w:lineRule="auto"/>
        <w:ind w:left="25" w:right="2"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（3）监理人未在收到承包人提交的工程量报表后的</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天内完</w:t>
      </w:r>
      <w:r>
        <w:rPr>
          <w:rFonts w:ascii="宋体" w:hAnsi="宋体" w:eastAsia="宋体" w:cs="宋体"/>
          <w:color w:val="auto"/>
          <w:spacing w:val="6"/>
          <w:sz w:val="20"/>
          <w:szCs w:val="20"/>
          <w:highlight w:val="none"/>
        </w:rPr>
        <w:t>成审核的，承包人报送的工程量报告中</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的工程量视为承包人实际完成的工程量，据此计算工程价款。</w:t>
      </w:r>
    </w:p>
    <w:p w14:paraId="6247F255">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12.3.4 总价合同的计量</w:t>
      </w:r>
    </w:p>
    <w:p w14:paraId="6583434C">
      <w:pPr>
        <w:spacing w:before="222" w:line="227"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除专用合同条款另有约定外，按月计量支付的总价合同，按照本项约定执行：</w:t>
      </w:r>
    </w:p>
    <w:p w14:paraId="2D6CC120">
      <w:pPr>
        <w:spacing w:before="223" w:line="330" w:lineRule="auto"/>
        <w:ind w:left="8" w:right="2" w:firstLine="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（1）承包人应于每月</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25 日向监理人报送上月</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20 日至当月</w:t>
      </w:r>
      <w:r>
        <w:rPr>
          <w:rFonts w:ascii="宋体" w:hAnsi="宋体" w:eastAsia="宋体" w:cs="宋体"/>
          <w:color w:val="auto"/>
          <w:spacing w:val="-24"/>
          <w:sz w:val="20"/>
          <w:szCs w:val="20"/>
          <w:highlight w:val="none"/>
        </w:rPr>
        <w:t xml:space="preserve"> </w:t>
      </w:r>
      <w:r>
        <w:rPr>
          <w:rFonts w:ascii="宋体" w:hAnsi="宋体" w:eastAsia="宋体" w:cs="宋体"/>
          <w:color w:val="auto"/>
          <w:spacing w:val="4"/>
          <w:sz w:val="20"/>
          <w:szCs w:val="20"/>
          <w:highlight w:val="none"/>
        </w:rPr>
        <w:t>19 日已完成的工程量报告，并附具进度</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付款申请单、已完成工程量报表和有关资料。</w:t>
      </w:r>
    </w:p>
    <w:p w14:paraId="625EE223">
      <w:pPr>
        <w:spacing w:before="220" w:line="227" w:lineRule="auto"/>
        <w:ind w:right="2"/>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（2）监理人应在收到承包人提交的工程量报告后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天内完成对承包</w:t>
      </w:r>
      <w:r>
        <w:rPr>
          <w:rFonts w:ascii="宋体" w:hAnsi="宋体" w:eastAsia="宋体" w:cs="宋体"/>
          <w:color w:val="auto"/>
          <w:spacing w:val="6"/>
          <w:sz w:val="20"/>
          <w:szCs w:val="20"/>
          <w:highlight w:val="none"/>
        </w:rPr>
        <w:t>人提交的工程量报表的审核并报</w:t>
      </w:r>
    </w:p>
    <w:p w14:paraId="6C410554">
      <w:pPr>
        <w:spacing w:line="227" w:lineRule="auto"/>
        <w:rPr>
          <w:rFonts w:ascii="宋体" w:hAnsi="宋体" w:eastAsia="宋体" w:cs="宋体"/>
          <w:color w:val="auto"/>
          <w:sz w:val="20"/>
          <w:szCs w:val="20"/>
          <w:highlight w:val="none"/>
        </w:rPr>
        <w:sectPr>
          <w:headerReference r:id="rId156" w:type="default"/>
          <w:footerReference r:id="rId157" w:type="default"/>
          <w:pgSz w:w="11906" w:h="16839"/>
          <w:pgMar w:top="1091" w:right="1219" w:bottom="1158" w:left="1219" w:header="1076" w:footer="922" w:gutter="0"/>
          <w:cols w:space="720" w:num="1"/>
        </w:sectPr>
      </w:pPr>
    </w:p>
    <w:p w14:paraId="64B62E6A">
      <w:pPr>
        <w:spacing w:before="256" w:line="432" w:lineRule="auto"/>
        <w:ind w:left="6" w:right="72"/>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送发包人，以确定当月实际完成的工程量。监理人对工程量有异议的，有权要求承包人进行共同复核或</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抽样复测。承包人应协助监理人进行复核或抽样复测并按监理人要求提供补充计量资料。承包人未按监</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理人要求参加复核或抽样复测的，监理人审核</w:t>
      </w:r>
      <w:r>
        <w:rPr>
          <w:rFonts w:ascii="宋体" w:hAnsi="宋体" w:eastAsia="宋体" w:cs="宋体"/>
          <w:color w:val="auto"/>
          <w:spacing w:val="9"/>
          <w:sz w:val="20"/>
          <w:szCs w:val="20"/>
          <w:highlight w:val="none"/>
        </w:rPr>
        <w:t>或修正的工程量视为承包人实际完成的工程量。</w:t>
      </w:r>
    </w:p>
    <w:p w14:paraId="434010EF">
      <w:pPr>
        <w:spacing w:before="2" w:line="431" w:lineRule="auto"/>
        <w:ind w:left="25" w:right="71"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（3）监理人未在收到承包人提交的工程量报表后的</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天内完</w:t>
      </w:r>
      <w:r>
        <w:rPr>
          <w:rFonts w:ascii="宋体" w:hAnsi="宋体" w:eastAsia="宋体" w:cs="宋体"/>
          <w:color w:val="auto"/>
          <w:spacing w:val="6"/>
          <w:sz w:val="20"/>
          <w:szCs w:val="20"/>
          <w:highlight w:val="none"/>
        </w:rPr>
        <w:t>成复核的，承包人提交的工程量报告中</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的工程量视为承包人实际完成的工程量。</w:t>
      </w:r>
    </w:p>
    <w:p w14:paraId="7ED86903">
      <w:pPr>
        <w:spacing w:before="1" w:line="329" w:lineRule="auto"/>
        <w:ind w:left="8" w:right="71" w:firstLine="43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12.3.5 总价合同采用支付分解表计量支付的，可以按照第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12.3.4</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项</w:t>
      </w:r>
      <w:r>
        <w:rPr>
          <w:rFonts w:ascii="宋体" w:hAnsi="宋体" w:eastAsia="宋体" w:cs="宋体"/>
          <w:color w:val="auto"/>
          <w:spacing w:val="7"/>
          <w:sz w:val="20"/>
          <w:szCs w:val="20"/>
          <w:highlight w:val="none"/>
        </w:rPr>
        <w:t>〔总价合同的计量〕约定进行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计量，但合同价款按照支付分解表进行支付。</w:t>
      </w:r>
    </w:p>
    <w:p w14:paraId="097A734D">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12.3.6 其他价格形式合同的计量</w:t>
      </w:r>
    </w:p>
    <w:p w14:paraId="6938CB71">
      <w:pPr>
        <w:spacing w:before="222" w:line="227"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合同当事人可在专用合同条款中约定其他价格形式合同的计量方式和程序。</w:t>
      </w:r>
    </w:p>
    <w:p w14:paraId="004CC34D">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12.4</w:t>
      </w:r>
      <w:r>
        <w:rPr>
          <w:rFonts w:ascii="宋体" w:hAnsi="宋体" w:eastAsia="宋体" w:cs="宋体"/>
          <w:color w:val="auto"/>
          <w:spacing w:val="-38"/>
          <w:sz w:val="20"/>
          <w:szCs w:val="20"/>
          <w:highlight w:val="none"/>
        </w:rPr>
        <w:t xml:space="preserve"> </w:t>
      </w:r>
      <w:r>
        <w:rPr>
          <w:rFonts w:ascii="宋体" w:hAnsi="宋体" w:eastAsia="宋体" w:cs="宋体"/>
          <w:color w:val="auto"/>
          <w:spacing w:val="5"/>
          <w:sz w:val="20"/>
          <w:szCs w:val="20"/>
          <w:highlight w:val="none"/>
        </w:rPr>
        <w:t>工程进度款支付</w:t>
      </w:r>
    </w:p>
    <w:p w14:paraId="33DD8F0A">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12.4.1 付款周期</w:t>
      </w:r>
    </w:p>
    <w:p w14:paraId="52809622">
      <w:pPr>
        <w:spacing w:before="220" w:line="228" w:lineRule="auto"/>
        <w:jc w:val="right"/>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除专用合同条款另有约定外，付款周期应按照第</w:t>
      </w:r>
      <w:r>
        <w:rPr>
          <w:rFonts w:ascii="宋体" w:hAnsi="宋体" w:eastAsia="宋体" w:cs="宋体"/>
          <w:color w:val="auto"/>
          <w:spacing w:val="-11"/>
          <w:sz w:val="20"/>
          <w:szCs w:val="20"/>
          <w:highlight w:val="none"/>
        </w:rPr>
        <w:t xml:space="preserve"> </w:t>
      </w:r>
      <w:r>
        <w:rPr>
          <w:rFonts w:ascii="宋体" w:hAnsi="宋体" w:eastAsia="宋体" w:cs="宋体"/>
          <w:color w:val="auto"/>
          <w:spacing w:val="3"/>
          <w:sz w:val="20"/>
          <w:szCs w:val="20"/>
          <w:highlight w:val="none"/>
        </w:rPr>
        <w:t>12.3.2</w:t>
      </w:r>
      <w:r>
        <w:rPr>
          <w:rFonts w:ascii="宋体" w:hAnsi="宋体" w:eastAsia="宋体" w:cs="宋体"/>
          <w:color w:val="auto"/>
          <w:spacing w:val="-35"/>
          <w:sz w:val="20"/>
          <w:szCs w:val="20"/>
          <w:highlight w:val="none"/>
        </w:rPr>
        <w:t xml:space="preserve"> </w:t>
      </w:r>
      <w:r>
        <w:rPr>
          <w:rFonts w:ascii="宋体" w:hAnsi="宋体" w:eastAsia="宋体" w:cs="宋体"/>
          <w:color w:val="auto"/>
          <w:spacing w:val="3"/>
          <w:sz w:val="20"/>
          <w:szCs w:val="20"/>
          <w:highlight w:val="none"/>
        </w:rPr>
        <w:t>项〔计量周期〕的约定与计量周期保持一致。</w:t>
      </w:r>
    </w:p>
    <w:p w14:paraId="53428498">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12.4.2 进度付款申请单的编制</w:t>
      </w:r>
    </w:p>
    <w:p w14:paraId="79963C76">
      <w:pPr>
        <w:spacing w:before="221"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除专用合同条款另有约定外，进度付款申请单应包括</w:t>
      </w:r>
      <w:r>
        <w:rPr>
          <w:rFonts w:ascii="宋体" w:hAnsi="宋体" w:eastAsia="宋体" w:cs="宋体"/>
          <w:color w:val="auto"/>
          <w:spacing w:val="8"/>
          <w:sz w:val="20"/>
          <w:szCs w:val="20"/>
          <w:highlight w:val="none"/>
        </w:rPr>
        <w:t>下列内容：</w:t>
      </w:r>
    </w:p>
    <w:p w14:paraId="533CB822">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（1）截至本次付款周期已完成工作对应的金额；</w:t>
      </w:r>
    </w:p>
    <w:p w14:paraId="709E18E7">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（2）根据第</w:t>
      </w:r>
      <w:r>
        <w:rPr>
          <w:rFonts w:ascii="宋体" w:hAnsi="宋体" w:eastAsia="宋体" w:cs="宋体"/>
          <w:color w:val="auto"/>
          <w:spacing w:val="-5"/>
          <w:sz w:val="20"/>
          <w:szCs w:val="20"/>
          <w:highlight w:val="none"/>
        </w:rPr>
        <w:t xml:space="preserve"> </w:t>
      </w:r>
      <w:r>
        <w:rPr>
          <w:rFonts w:ascii="宋体" w:hAnsi="宋体" w:eastAsia="宋体" w:cs="宋体"/>
          <w:color w:val="auto"/>
          <w:spacing w:val="6"/>
          <w:sz w:val="20"/>
          <w:szCs w:val="20"/>
          <w:highlight w:val="none"/>
        </w:rPr>
        <w:t>10</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条〔变更〕应增加和扣减的变更金额；</w:t>
      </w:r>
    </w:p>
    <w:p w14:paraId="57EF140F">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（3）根据第</w:t>
      </w:r>
      <w:r>
        <w:rPr>
          <w:rFonts w:ascii="宋体" w:hAnsi="宋体" w:eastAsia="宋体" w:cs="宋体"/>
          <w:color w:val="auto"/>
          <w:spacing w:val="-8"/>
          <w:sz w:val="20"/>
          <w:szCs w:val="20"/>
          <w:highlight w:val="none"/>
        </w:rPr>
        <w:t xml:space="preserve"> </w:t>
      </w:r>
      <w:r>
        <w:rPr>
          <w:rFonts w:ascii="宋体" w:hAnsi="宋体" w:eastAsia="宋体" w:cs="宋体"/>
          <w:color w:val="auto"/>
          <w:spacing w:val="7"/>
          <w:sz w:val="20"/>
          <w:szCs w:val="20"/>
          <w:highlight w:val="none"/>
        </w:rPr>
        <w:t>12.2</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款〔预付款〕约定应支付的预付款和扣减的返还预付款；</w:t>
      </w:r>
    </w:p>
    <w:p w14:paraId="7656D085">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（4）根据第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15.3</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款〔质量保证金〕约定应扣减的质量保证金；</w:t>
      </w:r>
    </w:p>
    <w:p w14:paraId="09509E7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（5）根据第</w:t>
      </w:r>
      <w:r>
        <w:rPr>
          <w:rFonts w:ascii="宋体" w:hAnsi="宋体" w:eastAsia="宋体" w:cs="宋体"/>
          <w:color w:val="auto"/>
          <w:spacing w:val="-5"/>
          <w:sz w:val="20"/>
          <w:szCs w:val="20"/>
          <w:highlight w:val="none"/>
        </w:rPr>
        <w:t xml:space="preserve"> </w:t>
      </w:r>
      <w:r>
        <w:rPr>
          <w:rFonts w:ascii="宋体" w:hAnsi="宋体" w:eastAsia="宋体" w:cs="宋体"/>
          <w:color w:val="auto"/>
          <w:spacing w:val="6"/>
          <w:sz w:val="20"/>
          <w:szCs w:val="20"/>
          <w:highlight w:val="none"/>
        </w:rPr>
        <w:t>19</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条〔索赔〕应增加和扣减的索赔金额；</w:t>
      </w:r>
    </w:p>
    <w:p w14:paraId="60FA923B">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（6）对已签发的进度款支付证书中出现错误的修正，应在本次进度付款中支付或扣除的金额；</w:t>
      </w:r>
    </w:p>
    <w:p w14:paraId="07A98CD0">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（7）根据合同约定应增加和扣减的其他金额。</w:t>
      </w:r>
    </w:p>
    <w:p w14:paraId="59AA5E5F">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12.4.3 进度付款申请单的提交</w:t>
      </w:r>
    </w:p>
    <w:p w14:paraId="4CA7DAE9">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（1）单价合同进度付款申请单的提交</w:t>
      </w:r>
    </w:p>
    <w:p w14:paraId="2353220A">
      <w:pPr>
        <w:spacing w:before="223" w:line="432" w:lineRule="auto"/>
        <w:ind w:left="8" w:right="32"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单价合同的进度付款申请单，按照第</w:t>
      </w:r>
      <w:r>
        <w:rPr>
          <w:rFonts w:ascii="宋体" w:hAnsi="宋体" w:eastAsia="宋体" w:cs="宋体"/>
          <w:color w:val="auto"/>
          <w:spacing w:val="-11"/>
          <w:sz w:val="20"/>
          <w:szCs w:val="20"/>
          <w:highlight w:val="none"/>
        </w:rPr>
        <w:t xml:space="preserve"> </w:t>
      </w:r>
      <w:r>
        <w:rPr>
          <w:rFonts w:ascii="宋体" w:hAnsi="宋体" w:eastAsia="宋体" w:cs="宋体"/>
          <w:color w:val="auto"/>
          <w:spacing w:val="7"/>
          <w:sz w:val="20"/>
          <w:szCs w:val="20"/>
          <w:highlight w:val="none"/>
        </w:rPr>
        <w:t>12.3.3</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项〔单价合同的计量〕约定的时间按月向监理人提交，</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并附上已完成工程量报表和有关资料。单价合同中的总价项目按月进行支付分解，并汇总列入当期进度</w:t>
      </w:r>
      <w:r>
        <w:rPr>
          <w:rFonts w:ascii="宋体" w:hAnsi="宋体" w:eastAsia="宋体" w:cs="宋体"/>
          <w:color w:val="auto"/>
          <w:spacing w:val="6"/>
          <w:sz w:val="20"/>
          <w:szCs w:val="20"/>
          <w:highlight w:val="none"/>
        </w:rPr>
        <w:t xml:space="preserve"> 付款申请单。</w:t>
      </w:r>
    </w:p>
    <w:p w14:paraId="12578348">
      <w:pPr>
        <w:spacing w:before="1" w:line="226"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（2）总价合同进度付款申请单的提交</w:t>
      </w:r>
    </w:p>
    <w:p w14:paraId="68D36A3B">
      <w:pPr>
        <w:spacing w:before="222" w:line="432" w:lineRule="auto"/>
        <w:ind w:left="12" w:right="71" w:firstLine="41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总价合同按月计量支付的，承包人按照第</w:t>
      </w:r>
      <w:r>
        <w:rPr>
          <w:rFonts w:ascii="宋体" w:hAnsi="宋体" w:eastAsia="宋体" w:cs="宋体"/>
          <w:color w:val="auto"/>
          <w:spacing w:val="-8"/>
          <w:sz w:val="20"/>
          <w:szCs w:val="20"/>
          <w:highlight w:val="none"/>
        </w:rPr>
        <w:t xml:space="preserve"> </w:t>
      </w:r>
      <w:r>
        <w:rPr>
          <w:rFonts w:ascii="宋体" w:hAnsi="宋体" w:eastAsia="宋体" w:cs="宋体"/>
          <w:color w:val="auto"/>
          <w:spacing w:val="6"/>
          <w:sz w:val="20"/>
          <w:szCs w:val="20"/>
          <w:highlight w:val="none"/>
        </w:rPr>
        <w:t>12.3.4</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项〔总价合同的计量〕约定的时间按月向监理人提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交进度付款申请单，并附上已完成工程量报表和有关资料。</w:t>
      </w:r>
    </w:p>
    <w:p w14:paraId="643EDE90">
      <w:pPr>
        <w:spacing w:before="1" w:line="226"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总价合同按支付分解表支付的，承包人应按照第</w:t>
      </w:r>
      <w:r>
        <w:rPr>
          <w:rFonts w:ascii="宋体" w:hAnsi="宋体" w:eastAsia="宋体" w:cs="宋体"/>
          <w:color w:val="auto"/>
          <w:spacing w:val="-10"/>
          <w:sz w:val="20"/>
          <w:szCs w:val="20"/>
          <w:highlight w:val="none"/>
        </w:rPr>
        <w:t xml:space="preserve"> </w:t>
      </w:r>
      <w:r>
        <w:rPr>
          <w:rFonts w:ascii="宋体" w:hAnsi="宋体" w:eastAsia="宋体" w:cs="宋体"/>
          <w:color w:val="auto"/>
          <w:spacing w:val="7"/>
          <w:sz w:val="20"/>
          <w:szCs w:val="20"/>
          <w:highlight w:val="none"/>
        </w:rPr>
        <w:t>12.4.6</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项〔支付分解表〕及第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12.4.2</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项〔进度付</w:t>
      </w:r>
    </w:p>
    <w:p w14:paraId="49AD7D00">
      <w:pPr>
        <w:spacing w:line="226" w:lineRule="auto"/>
        <w:rPr>
          <w:rFonts w:ascii="宋体" w:hAnsi="宋体" w:eastAsia="宋体" w:cs="宋体"/>
          <w:color w:val="auto"/>
          <w:sz w:val="20"/>
          <w:szCs w:val="20"/>
          <w:highlight w:val="none"/>
        </w:rPr>
        <w:sectPr>
          <w:headerReference r:id="rId158" w:type="default"/>
          <w:footerReference r:id="rId159" w:type="default"/>
          <w:pgSz w:w="11906" w:h="16839"/>
          <w:pgMar w:top="1091" w:right="1149" w:bottom="1158" w:left="1219" w:header="1076" w:footer="922" w:gutter="0"/>
          <w:cols w:space="720" w:num="1"/>
        </w:sectPr>
      </w:pPr>
    </w:p>
    <w:p w14:paraId="0068944D">
      <w:pPr>
        <w:spacing w:before="256" w:line="228" w:lineRule="auto"/>
        <w:ind w:left="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款申请单的编制〕的约定向监理人提交进度付款申请单。</w:t>
      </w:r>
    </w:p>
    <w:p w14:paraId="274168D3">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（3）其他价格形式合同的进度付款申请单的提交</w:t>
      </w:r>
    </w:p>
    <w:p w14:paraId="21F87FCA">
      <w:pPr>
        <w:spacing w:before="222" w:line="227"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合同当事人可在专用合同条款中约定其他价格形式合同的进度付款申请单的编制和提交程序。</w:t>
      </w:r>
    </w:p>
    <w:p w14:paraId="55E114D0">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12.4.4 进度款审核和支付</w:t>
      </w:r>
    </w:p>
    <w:p w14:paraId="6F67ABC5">
      <w:pPr>
        <w:spacing w:before="220" w:line="432" w:lineRule="auto"/>
        <w:ind w:left="7" w:right="71" w:firstLine="430"/>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（1）除专用合同条款另有约定外，监理人应在收到承包人进度付款</w:t>
      </w:r>
      <w:r>
        <w:rPr>
          <w:rFonts w:ascii="宋体" w:hAnsi="宋体" w:eastAsia="宋体" w:cs="宋体"/>
          <w:color w:val="auto"/>
          <w:spacing w:val="6"/>
          <w:sz w:val="20"/>
          <w:szCs w:val="20"/>
          <w:highlight w:val="none"/>
        </w:rPr>
        <w:t>申请单以及相关资料后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天内完</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成审查并报送发包人，发包人应在收到后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10"/>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10"/>
          <w:sz w:val="20"/>
          <w:szCs w:val="20"/>
          <w:highlight w:val="none"/>
        </w:rPr>
        <w:t>天</w:t>
      </w:r>
      <w:r>
        <w:rPr>
          <w:rFonts w:ascii="宋体" w:hAnsi="宋体" w:eastAsia="宋体" w:cs="宋体"/>
          <w:color w:val="auto"/>
          <w:spacing w:val="9"/>
          <w:sz w:val="20"/>
          <w:szCs w:val="20"/>
          <w:highlight w:val="none"/>
        </w:rPr>
        <w:t>内完成审批并签发进度款支付证书。发包人逾期未完成审</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批且未提出异议的，视为已签发进度款支付证书。</w:t>
      </w:r>
    </w:p>
    <w:p w14:paraId="49E3CE7D">
      <w:pPr>
        <w:spacing w:before="4" w:line="431" w:lineRule="auto"/>
        <w:ind w:left="10" w:right="71" w:firstLine="421"/>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发包人和监理人对承包人的进度付款申请单有异议的，有权要求承包人修正和提供补充资料，承包</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人应提交修正后的进度付款申请单。监理人应在收到承包人修正后的进度付款申请单及相关资料后</w:t>
      </w:r>
      <w:r>
        <w:rPr>
          <w:rFonts w:ascii="宋体" w:hAnsi="宋体" w:eastAsia="宋体" w:cs="宋体"/>
          <w:color w:val="auto"/>
          <w:spacing w:val="-14"/>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天</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内完成审查并报送发包人，发包人应在收到监理人报送的进度付款申请单及相关资料后</w:t>
      </w:r>
      <w:r>
        <w:rPr>
          <w:rFonts w:ascii="宋体" w:hAnsi="宋体" w:eastAsia="宋体" w:cs="宋体"/>
          <w:color w:val="auto"/>
          <w:spacing w:val="-17"/>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天内，向承包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人签发无异议部分的临时进度款支付证书。存在争议的部分，按照第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20</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条〔</w:t>
      </w:r>
      <w:r>
        <w:rPr>
          <w:rFonts w:ascii="宋体" w:hAnsi="宋体" w:eastAsia="宋体" w:cs="宋体"/>
          <w:color w:val="auto"/>
          <w:spacing w:val="8"/>
          <w:sz w:val="20"/>
          <w:szCs w:val="20"/>
          <w:highlight w:val="none"/>
        </w:rPr>
        <w:t>争议解决〕的约定处理。</w:t>
      </w:r>
    </w:p>
    <w:p w14:paraId="56C9CA19">
      <w:pPr>
        <w:spacing w:before="2" w:line="329" w:lineRule="auto"/>
        <w:ind w:left="33" w:firstLine="40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（2）除专用合同条款另有约定外，发包人应在进度款支付证书或临时</w:t>
      </w:r>
      <w:r>
        <w:rPr>
          <w:rFonts w:ascii="宋体" w:hAnsi="宋体" w:eastAsia="宋体" w:cs="宋体"/>
          <w:color w:val="auto"/>
          <w:spacing w:val="8"/>
          <w:sz w:val="20"/>
          <w:szCs w:val="20"/>
          <w:highlight w:val="none"/>
        </w:rPr>
        <w:t>进度款支付证书签发后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内完成支付，发包人逾期支付进度款的，应按照中国人民银行</w:t>
      </w:r>
      <w:r>
        <w:rPr>
          <w:rFonts w:ascii="宋体" w:hAnsi="宋体" w:eastAsia="宋体" w:cs="宋体"/>
          <w:color w:val="auto"/>
          <w:spacing w:val="6"/>
          <w:sz w:val="20"/>
          <w:szCs w:val="20"/>
          <w:highlight w:val="none"/>
        </w:rPr>
        <w:t>发布的同期同类贷款基准利率支付违约金。</w:t>
      </w:r>
    </w:p>
    <w:p w14:paraId="460F5649">
      <w:pPr>
        <w:spacing w:before="222" w:line="330" w:lineRule="auto"/>
        <w:ind w:left="10" w:right="71"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（3）发包人签发进度款支付证书或临时进度款支付证书，不表明发包人已同意、批准或接受了承包</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人完成的相应部分的工作。</w:t>
      </w:r>
    </w:p>
    <w:p w14:paraId="134359AC">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12.4.5 进度付款的修正</w:t>
      </w:r>
    </w:p>
    <w:p w14:paraId="0C29A983">
      <w:pPr>
        <w:spacing w:before="221" w:line="432" w:lineRule="auto"/>
        <w:ind w:left="9" w:right="72"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在对已签发的进度款支付证书进行阶段汇总和复核中发现错误、遗漏或重复的，发包人和承包人均</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有权提出修正申请。经发包人和承包人同意的修正，应在下期进度付款中支付或扣除。</w:t>
      </w:r>
    </w:p>
    <w:p w14:paraId="74D887E0">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12.4.6 支付分解表</w:t>
      </w:r>
    </w:p>
    <w:p w14:paraId="1A6D5F2F">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1.支付分解表的编制要求</w:t>
      </w:r>
    </w:p>
    <w:p w14:paraId="080B6731">
      <w:pPr>
        <w:spacing w:before="222" w:line="329" w:lineRule="auto"/>
        <w:ind w:left="8" w:right="71" w:firstLine="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（1）支付分解表中所列的每期付款金额，应为第</w:t>
      </w:r>
      <w:r>
        <w:rPr>
          <w:rFonts w:ascii="宋体" w:hAnsi="宋体" w:eastAsia="宋体" w:cs="宋体"/>
          <w:color w:val="auto"/>
          <w:spacing w:val="-18"/>
          <w:sz w:val="20"/>
          <w:szCs w:val="20"/>
          <w:highlight w:val="none"/>
        </w:rPr>
        <w:t xml:space="preserve"> </w:t>
      </w:r>
      <w:r>
        <w:rPr>
          <w:rFonts w:ascii="宋体" w:hAnsi="宋体" w:eastAsia="宋体" w:cs="宋体"/>
          <w:color w:val="auto"/>
          <w:spacing w:val="5"/>
          <w:sz w:val="20"/>
          <w:szCs w:val="20"/>
          <w:highlight w:val="none"/>
        </w:rPr>
        <w:t>12.4.2</w:t>
      </w:r>
      <w:r>
        <w:rPr>
          <w:rFonts w:ascii="宋体" w:hAnsi="宋体" w:eastAsia="宋体" w:cs="宋体"/>
          <w:color w:val="auto"/>
          <w:spacing w:val="-37"/>
          <w:sz w:val="20"/>
          <w:szCs w:val="20"/>
          <w:highlight w:val="none"/>
        </w:rPr>
        <w:t xml:space="preserve"> </w:t>
      </w:r>
      <w:r>
        <w:rPr>
          <w:rFonts w:ascii="宋体" w:hAnsi="宋体" w:eastAsia="宋体" w:cs="宋体"/>
          <w:color w:val="auto"/>
          <w:spacing w:val="5"/>
          <w:sz w:val="20"/>
          <w:szCs w:val="20"/>
          <w:highlight w:val="none"/>
        </w:rPr>
        <w:t>项〔进度付款申请单的编制〕第（1）</w:t>
      </w:r>
      <w:r>
        <w:rPr>
          <w:rFonts w:ascii="宋体" w:hAnsi="宋体" w:eastAsia="宋体" w:cs="宋体"/>
          <w:color w:val="auto"/>
          <w:spacing w:val="-54"/>
          <w:sz w:val="20"/>
          <w:szCs w:val="20"/>
          <w:highlight w:val="none"/>
        </w:rPr>
        <w:t xml:space="preserve"> </w:t>
      </w:r>
      <w:r>
        <w:rPr>
          <w:rFonts w:ascii="宋体" w:hAnsi="宋体" w:eastAsia="宋体" w:cs="宋体"/>
          <w:color w:val="auto"/>
          <w:spacing w:val="5"/>
          <w:sz w:val="20"/>
          <w:szCs w:val="20"/>
          <w:highlight w:val="none"/>
        </w:rPr>
        <w:t>目的</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估算金额；</w:t>
      </w:r>
    </w:p>
    <w:p w14:paraId="770978EB">
      <w:pPr>
        <w:spacing w:before="222" w:line="331" w:lineRule="auto"/>
        <w:ind w:left="7" w:right="71" w:firstLine="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（2）实际进度与施工进度计划不一致的，合同当事人可按照第4.4</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款〔商定或确定〕修改支付分解</w:t>
      </w:r>
      <w:r>
        <w:rPr>
          <w:rFonts w:ascii="宋体" w:hAnsi="宋体" w:eastAsia="宋体" w:cs="宋体"/>
          <w:color w:val="auto"/>
          <w:sz w:val="20"/>
          <w:szCs w:val="20"/>
          <w:highlight w:val="none"/>
        </w:rPr>
        <w:t xml:space="preserve"> 表；</w:t>
      </w:r>
    </w:p>
    <w:p w14:paraId="79E9E56C">
      <w:pPr>
        <w:spacing w:before="219" w:line="330" w:lineRule="auto"/>
        <w:ind w:left="8" w:right="71"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（3）不采用支付分解表的，承包人应向发包人和监理人提交按季度编制的支付估算分解表，用于支</w:t>
      </w:r>
      <w:r>
        <w:rPr>
          <w:rFonts w:ascii="宋体" w:hAnsi="宋体" w:eastAsia="宋体" w:cs="宋体"/>
          <w:color w:val="auto"/>
          <w:spacing w:val="18"/>
          <w:sz w:val="20"/>
          <w:szCs w:val="20"/>
          <w:highlight w:val="none"/>
        </w:rPr>
        <w:t xml:space="preserve"> </w:t>
      </w:r>
      <w:r>
        <w:rPr>
          <w:rFonts w:ascii="宋体" w:hAnsi="宋体" w:eastAsia="宋体" w:cs="宋体"/>
          <w:color w:val="auto"/>
          <w:spacing w:val="5"/>
          <w:sz w:val="20"/>
          <w:szCs w:val="20"/>
          <w:highlight w:val="none"/>
        </w:rPr>
        <w:t>付参考。</w:t>
      </w:r>
    </w:p>
    <w:p w14:paraId="627D2CDF">
      <w:pPr>
        <w:spacing w:before="221" w:line="227"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2.总价合同支付分解表的编制与审批</w:t>
      </w:r>
    </w:p>
    <w:p w14:paraId="69468D22">
      <w:pPr>
        <w:spacing w:before="221" w:line="433" w:lineRule="auto"/>
        <w:ind w:left="8" w:right="17" w:firstLine="430"/>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（1）除专用合同条款另有约定外，承包人应根据第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7.2</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款〔施工进度计划〕约</w:t>
      </w:r>
      <w:r>
        <w:rPr>
          <w:rFonts w:ascii="宋体" w:hAnsi="宋体" w:eastAsia="宋体" w:cs="宋体"/>
          <w:color w:val="auto"/>
          <w:spacing w:val="7"/>
          <w:sz w:val="20"/>
          <w:szCs w:val="20"/>
          <w:highlight w:val="none"/>
        </w:rPr>
        <w:t>定的施工进度计划、</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签约合同价和工程量等因素对总价合同按月进行分解，编制支付分解表。承包人应当在收到监理人和发</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包人批准的施工进度计划后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天内，将支付分解表及编制支付分解</w:t>
      </w:r>
      <w:r>
        <w:rPr>
          <w:rFonts w:ascii="宋体" w:hAnsi="宋体" w:eastAsia="宋体" w:cs="宋体"/>
          <w:color w:val="auto"/>
          <w:spacing w:val="8"/>
          <w:sz w:val="20"/>
          <w:szCs w:val="20"/>
          <w:highlight w:val="none"/>
        </w:rPr>
        <w:t>表的支持性资料报送监理人。</w:t>
      </w:r>
    </w:p>
    <w:p w14:paraId="23582850">
      <w:pPr>
        <w:spacing w:line="433" w:lineRule="auto"/>
        <w:rPr>
          <w:rFonts w:ascii="宋体" w:hAnsi="宋体" w:eastAsia="宋体" w:cs="宋体"/>
          <w:color w:val="auto"/>
          <w:sz w:val="20"/>
          <w:szCs w:val="20"/>
          <w:highlight w:val="none"/>
        </w:rPr>
        <w:sectPr>
          <w:footerReference r:id="rId160" w:type="default"/>
          <w:pgSz w:w="11906" w:h="16839"/>
          <w:pgMar w:top="1091" w:right="1149" w:bottom="1158" w:left="1219" w:header="1076" w:footer="922" w:gutter="0"/>
          <w:cols w:space="720" w:num="1"/>
        </w:sectPr>
      </w:pPr>
    </w:p>
    <w:p w14:paraId="39F92022">
      <w:pPr>
        <w:spacing w:before="256" w:line="330" w:lineRule="auto"/>
        <w:ind w:left="9" w:right="39"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（2）监理人应在收到支付分解表后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天内完成审核并报送发包人。</w:t>
      </w:r>
      <w:r>
        <w:rPr>
          <w:rFonts w:ascii="宋体" w:hAnsi="宋体" w:eastAsia="宋体" w:cs="宋体"/>
          <w:color w:val="auto"/>
          <w:spacing w:val="6"/>
          <w:sz w:val="20"/>
          <w:szCs w:val="20"/>
          <w:highlight w:val="none"/>
        </w:rPr>
        <w:t>发包人应在收到经监理人审核的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支付分解表后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天内完成审批，经发包人批准</w:t>
      </w:r>
      <w:r>
        <w:rPr>
          <w:rFonts w:ascii="宋体" w:hAnsi="宋体" w:eastAsia="宋体" w:cs="宋体"/>
          <w:color w:val="auto"/>
          <w:spacing w:val="8"/>
          <w:sz w:val="20"/>
          <w:szCs w:val="20"/>
          <w:highlight w:val="none"/>
        </w:rPr>
        <w:t>的支付分解表为有约束力的支付分解表。</w:t>
      </w:r>
    </w:p>
    <w:p w14:paraId="3B49C465">
      <w:pPr>
        <w:spacing w:before="220" w:line="330" w:lineRule="auto"/>
        <w:ind w:left="12" w:firstLine="84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（3）发包人逾期未完成支付分解表审批的，也未及时要求承包人进行修正和提供补充资料的，</w:t>
      </w:r>
      <w:r>
        <w:rPr>
          <w:rFonts w:ascii="宋体" w:hAnsi="宋体" w:eastAsia="宋体" w:cs="宋体"/>
          <w:color w:val="auto"/>
          <w:spacing w:val="9"/>
          <w:sz w:val="20"/>
          <w:szCs w:val="20"/>
          <w:highlight w:val="none"/>
        </w:rPr>
        <w:t xml:space="preserve"> 则承包人提交的支付分解表视为已经获得发包人批准。</w:t>
      </w:r>
    </w:p>
    <w:p w14:paraId="5B204EE0">
      <w:pPr>
        <w:spacing w:before="220" w:line="227" w:lineRule="auto"/>
        <w:ind w:left="4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3.单价合同的总价项目支付分解表的编制与审批</w:t>
      </w:r>
    </w:p>
    <w:p w14:paraId="5CB47CE4">
      <w:pPr>
        <w:spacing w:before="222" w:line="432" w:lineRule="auto"/>
        <w:ind w:left="9" w:right="39" w:firstLine="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除专用合同条款另有约定外，单价合同的总价项目，</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由承包人根据施工进度计划和总价项</w:t>
      </w:r>
      <w:r>
        <w:rPr>
          <w:rFonts w:ascii="宋体" w:hAnsi="宋体" w:eastAsia="宋体" w:cs="宋体"/>
          <w:color w:val="auto"/>
          <w:spacing w:val="8"/>
          <w:sz w:val="20"/>
          <w:szCs w:val="20"/>
          <w:highlight w:val="none"/>
        </w:rPr>
        <w:t>目的总价</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构成、费用性质、计划发生时间和相应工程量等因素按月进行分解，形成支付分解表，其编制与审批参</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照总价合同支付分解表的编制与审批执行。</w:t>
      </w:r>
    </w:p>
    <w:p w14:paraId="64E40E52">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12.5</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支付账户</w:t>
      </w:r>
    </w:p>
    <w:p w14:paraId="516F76ED">
      <w:pPr>
        <w:spacing w:before="221"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发包人应将合同价款支付至合同协议书中约定的承包人账户。</w:t>
      </w:r>
    </w:p>
    <w:p w14:paraId="49A7DAB3">
      <w:pPr>
        <w:spacing w:before="223"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13. 验收和工程试车</w:t>
      </w:r>
    </w:p>
    <w:p w14:paraId="5DC9C56F">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13.1</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分部分项工程验收</w:t>
      </w:r>
    </w:p>
    <w:p w14:paraId="0AFF1C7A">
      <w:pPr>
        <w:spacing w:before="220" w:line="432" w:lineRule="auto"/>
        <w:ind w:left="10" w:right="39" w:firstLine="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13.1.1 分部分项工程质量应符合国家有关工程施工验收规范、标准及合同约定，</w:t>
      </w:r>
      <w:r>
        <w:rPr>
          <w:rFonts w:ascii="宋体" w:hAnsi="宋体" w:eastAsia="宋体" w:cs="宋体"/>
          <w:color w:val="auto"/>
          <w:spacing w:val="6"/>
          <w:sz w:val="20"/>
          <w:szCs w:val="20"/>
          <w:highlight w:val="none"/>
        </w:rPr>
        <w:t>承包人应按照施工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组织设计的要求完成分部分项工程施工。</w:t>
      </w:r>
    </w:p>
    <w:p w14:paraId="14FD1CFB">
      <w:pPr>
        <w:spacing w:line="432" w:lineRule="auto"/>
        <w:ind w:left="9" w:right="39" w:firstLine="434"/>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13.1.2 除专用合同条款另有约定外，分部分项工程经承包人自检合格并具备验收</w:t>
      </w:r>
      <w:r>
        <w:rPr>
          <w:rFonts w:ascii="宋体" w:hAnsi="宋体" w:eastAsia="宋体" w:cs="宋体"/>
          <w:color w:val="auto"/>
          <w:spacing w:val="6"/>
          <w:sz w:val="20"/>
          <w:szCs w:val="20"/>
          <w:highlight w:val="none"/>
        </w:rPr>
        <w:t>条件的，承包人应</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提前48</w:t>
      </w:r>
      <w:r>
        <w:rPr>
          <w:rFonts w:ascii="宋体" w:hAnsi="宋体" w:eastAsia="宋体" w:cs="宋体"/>
          <w:color w:val="auto"/>
          <w:spacing w:val="-33"/>
          <w:sz w:val="20"/>
          <w:szCs w:val="20"/>
          <w:highlight w:val="none"/>
        </w:rPr>
        <w:t xml:space="preserve"> </w:t>
      </w:r>
      <w:r>
        <w:rPr>
          <w:rFonts w:ascii="宋体" w:hAnsi="宋体" w:eastAsia="宋体" w:cs="宋体"/>
          <w:color w:val="auto"/>
          <w:spacing w:val="10"/>
          <w:sz w:val="20"/>
          <w:szCs w:val="20"/>
          <w:highlight w:val="none"/>
        </w:rPr>
        <w:t>小时通知监理人进行验收。监理人不能按时进行验收的，应在验收前</w:t>
      </w:r>
      <w:r>
        <w:rPr>
          <w:rFonts w:ascii="宋体" w:hAnsi="宋体" w:eastAsia="宋体" w:cs="宋体"/>
          <w:color w:val="auto"/>
          <w:spacing w:val="-37"/>
          <w:sz w:val="20"/>
          <w:szCs w:val="20"/>
          <w:highlight w:val="none"/>
        </w:rPr>
        <w:t xml:space="preserve"> </w:t>
      </w:r>
      <w:r>
        <w:rPr>
          <w:rFonts w:ascii="宋体" w:hAnsi="宋体" w:eastAsia="宋体" w:cs="宋体"/>
          <w:color w:val="auto"/>
          <w:spacing w:val="10"/>
          <w:sz w:val="20"/>
          <w:szCs w:val="20"/>
          <w:highlight w:val="none"/>
        </w:rPr>
        <w:t>24</w:t>
      </w:r>
      <w:r>
        <w:rPr>
          <w:rFonts w:ascii="宋体" w:hAnsi="宋体" w:eastAsia="宋体" w:cs="宋体"/>
          <w:color w:val="auto"/>
          <w:spacing w:val="-35"/>
          <w:sz w:val="20"/>
          <w:szCs w:val="20"/>
          <w:highlight w:val="none"/>
        </w:rPr>
        <w:t xml:space="preserve"> </w:t>
      </w:r>
      <w:r>
        <w:rPr>
          <w:rFonts w:ascii="宋体" w:hAnsi="宋体" w:eastAsia="宋体" w:cs="宋体"/>
          <w:color w:val="auto"/>
          <w:spacing w:val="10"/>
          <w:sz w:val="20"/>
          <w:szCs w:val="20"/>
          <w:highlight w:val="none"/>
        </w:rPr>
        <w:t>小时向承包人提交书面</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延期要求，但延期不能超过48</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小时。监理人</w:t>
      </w:r>
      <w:r>
        <w:rPr>
          <w:rFonts w:ascii="宋体" w:hAnsi="宋体" w:eastAsia="宋体" w:cs="宋体"/>
          <w:color w:val="auto"/>
          <w:spacing w:val="8"/>
          <w:sz w:val="20"/>
          <w:szCs w:val="20"/>
          <w:highlight w:val="none"/>
        </w:rPr>
        <w:t>未按时进行验收，也未提出延期要求的，承包人有权自行验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收，监理人应认可验收结果。分部分项工程未经验收的，不得进入下一道工序施工。</w:t>
      </w:r>
    </w:p>
    <w:p w14:paraId="4A572B17">
      <w:pPr>
        <w:spacing w:before="1"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分部分项工程的验收资料应当作为竣工资料的组成部分。</w:t>
      </w:r>
    </w:p>
    <w:p w14:paraId="30863305">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13.2</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竣工验收</w:t>
      </w:r>
    </w:p>
    <w:p w14:paraId="108FA01C">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13.2.1</w:t>
      </w:r>
      <w:r>
        <w:rPr>
          <w:rFonts w:ascii="宋体" w:hAnsi="宋体" w:eastAsia="宋体" w:cs="宋体"/>
          <w:color w:val="auto"/>
          <w:spacing w:val="-34"/>
          <w:sz w:val="20"/>
          <w:szCs w:val="20"/>
          <w:highlight w:val="none"/>
        </w:rPr>
        <w:t xml:space="preserve"> </w:t>
      </w:r>
      <w:r>
        <w:rPr>
          <w:rFonts w:ascii="宋体" w:hAnsi="宋体" w:eastAsia="宋体" w:cs="宋体"/>
          <w:color w:val="auto"/>
          <w:spacing w:val="4"/>
          <w:sz w:val="20"/>
          <w:szCs w:val="20"/>
          <w:highlight w:val="none"/>
        </w:rPr>
        <w:t>竣工验收条件</w:t>
      </w:r>
    </w:p>
    <w:p w14:paraId="575C0C39">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工程具备以下条件的，承包人可以申请竣工验收：</w:t>
      </w:r>
    </w:p>
    <w:p w14:paraId="576ACBC4">
      <w:pPr>
        <w:spacing w:before="221" w:line="330" w:lineRule="auto"/>
        <w:ind w:left="9" w:right="39"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（1）除发包人同意的甩项工作和缺陷修补工作外，合同范围内的全部工程以及有关工作，包括合同</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要求的试验、试运行以及检验均已完成，并符合合同要求；</w:t>
      </w:r>
    </w:p>
    <w:p w14:paraId="46BE0571">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已按合同约定编制了甩项工作和缺陷修补工作清单以</w:t>
      </w:r>
      <w:r>
        <w:rPr>
          <w:rFonts w:ascii="宋体" w:hAnsi="宋体" w:eastAsia="宋体" w:cs="宋体"/>
          <w:color w:val="auto"/>
          <w:spacing w:val="7"/>
          <w:sz w:val="20"/>
          <w:szCs w:val="20"/>
          <w:highlight w:val="none"/>
        </w:rPr>
        <w:t>及相应的施工计划；</w:t>
      </w:r>
    </w:p>
    <w:p w14:paraId="5DEBF46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w:t>
      </w:r>
      <w:r>
        <w:rPr>
          <w:rFonts w:ascii="宋体" w:hAnsi="宋体" w:eastAsia="宋体" w:cs="宋体"/>
          <w:color w:val="auto"/>
          <w:spacing w:val="-49"/>
          <w:sz w:val="20"/>
          <w:szCs w:val="20"/>
          <w:highlight w:val="none"/>
        </w:rPr>
        <w:t xml:space="preserve"> </w:t>
      </w:r>
      <w:r>
        <w:rPr>
          <w:rFonts w:ascii="宋体" w:hAnsi="宋体" w:eastAsia="宋体" w:cs="宋体"/>
          <w:color w:val="auto"/>
          <w:spacing w:val="6"/>
          <w:sz w:val="20"/>
          <w:szCs w:val="20"/>
          <w:highlight w:val="none"/>
        </w:rPr>
        <w:t>已按合同约定的内容和份数备齐竣工资料。</w:t>
      </w:r>
    </w:p>
    <w:p w14:paraId="297655A8">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13.2.2</w:t>
      </w:r>
      <w:r>
        <w:rPr>
          <w:rFonts w:ascii="宋体" w:hAnsi="宋体" w:eastAsia="宋体" w:cs="宋体"/>
          <w:color w:val="auto"/>
          <w:spacing w:val="-34"/>
          <w:sz w:val="20"/>
          <w:szCs w:val="20"/>
          <w:highlight w:val="none"/>
        </w:rPr>
        <w:t xml:space="preserve"> </w:t>
      </w:r>
      <w:r>
        <w:rPr>
          <w:rFonts w:ascii="宋体" w:hAnsi="宋体" w:eastAsia="宋体" w:cs="宋体"/>
          <w:color w:val="auto"/>
          <w:spacing w:val="4"/>
          <w:sz w:val="20"/>
          <w:szCs w:val="20"/>
          <w:highlight w:val="none"/>
        </w:rPr>
        <w:t>竣工验收程序</w:t>
      </w:r>
    </w:p>
    <w:p w14:paraId="6B27EF2C">
      <w:pPr>
        <w:spacing w:before="221"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除专用合同条款另有约定外，承包人申请竣工验收的，应当按照以下程序进行：</w:t>
      </w:r>
    </w:p>
    <w:p w14:paraId="125225AA">
      <w:pPr>
        <w:spacing w:before="221" w:line="433" w:lineRule="auto"/>
        <w:ind w:left="10" w:right="37" w:firstLine="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（1）承包人向监理人报送竣工验收申请报告，监理人应在收到竣工验</w:t>
      </w:r>
      <w:r>
        <w:rPr>
          <w:rFonts w:ascii="宋体" w:hAnsi="宋体" w:eastAsia="宋体" w:cs="宋体"/>
          <w:color w:val="auto"/>
          <w:spacing w:val="8"/>
          <w:sz w:val="20"/>
          <w:szCs w:val="20"/>
          <w:highlight w:val="none"/>
        </w:rPr>
        <w:t>收申请报告后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天内完成审</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查并报送发包人。监理人审查后认为尚不具备验收条件的，应通知承包人在竣工验收前承包人还需完成</w:t>
      </w:r>
    </w:p>
    <w:p w14:paraId="34D52353">
      <w:pPr>
        <w:spacing w:line="433" w:lineRule="auto"/>
        <w:rPr>
          <w:rFonts w:ascii="宋体" w:hAnsi="宋体" w:eastAsia="宋体" w:cs="宋体"/>
          <w:color w:val="auto"/>
          <w:sz w:val="20"/>
          <w:szCs w:val="20"/>
          <w:highlight w:val="none"/>
        </w:rPr>
        <w:sectPr>
          <w:headerReference r:id="rId161" w:type="default"/>
          <w:footerReference r:id="rId162" w:type="default"/>
          <w:pgSz w:w="11906" w:h="16839"/>
          <w:pgMar w:top="1091" w:right="1181" w:bottom="1158" w:left="1219" w:header="1076" w:footer="922" w:gutter="0"/>
          <w:cols w:space="720" w:num="1"/>
        </w:sectPr>
      </w:pPr>
    </w:p>
    <w:p w14:paraId="274AA393">
      <w:pPr>
        <w:spacing w:before="256" w:line="227" w:lineRule="auto"/>
        <w:ind w:left="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的工作内容，承包人应在完成监理人通知的全部工作内容后，再次提交竣工验收申请报告。</w:t>
      </w:r>
    </w:p>
    <w:p w14:paraId="6A7E5298">
      <w:pPr>
        <w:spacing w:before="222" w:line="364" w:lineRule="auto"/>
        <w:ind w:left="9" w:right="71"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（2）监理人审查后认为已具备竣工验收条件的，应将竣工验收申请报告提交发包人，发包人应在收</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到经监理人审核的竣工验收申请报告后</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天内审批完毕并组织监理人、承包人、设计人等相关单位完成</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竣工验收。</w:t>
      </w:r>
    </w:p>
    <w:p w14:paraId="0ACEA42C">
      <w:pPr>
        <w:spacing w:before="220" w:line="330" w:lineRule="auto"/>
        <w:ind w:left="10" w:right="69" w:firstLine="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（3）竣工验收合格的，发包人应在验收合格后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9"/>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天内向承包人签发</w:t>
      </w:r>
      <w:r>
        <w:rPr>
          <w:rFonts w:ascii="宋体" w:hAnsi="宋体" w:eastAsia="宋体" w:cs="宋体"/>
          <w:color w:val="auto"/>
          <w:spacing w:val="8"/>
          <w:sz w:val="20"/>
          <w:szCs w:val="20"/>
          <w:highlight w:val="none"/>
        </w:rPr>
        <w:t>工程接收证书。发包人无正当</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理由逾期不颁发工程接收证书的，</w:t>
      </w:r>
      <w:r>
        <w:rPr>
          <w:rFonts w:ascii="宋体" w:hAnsi="宋体" w:eastAsia="宋体" w:cs="宋体"/>
          <w:color w:val="auto"/>
          <w:spacing w:val="-52"/>
          <w:sz w:val="20"/>
          <w:szCs w:val="20"/>
          <w:highlight w:val="none"/>
        </w:rPr>
        <w:t xml:space="preserve"> </w:t>
      </w:r>
      <w:r>
        <w:rPr>
          <w:rFonts w:ascii="宋体" w:hAnsi="宋体" w:eastAsia="宋体" w:cs="宋体"/>
          <w:color w:val="auto"/>
          <w:spacing w:val="7"/>
          <w:sz w:val="20"/>
          <w:szCs w:val="20"/>
          <w:highlight w:val="none"/>
        </w:rPr>
        <w:t>自验收合格后第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15</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天起视为已颁发工程</w:t>
      </w:r>
      <w:r>
        <w:rPr>
          <w:rFonts w:ascii="宋体" w:hAnsi="宋体" w:eastAsia="宋体" w:cs="宋体"/>
          <w:color w:val="auto"/>
          <w:spacing w:val="6"/>
          <w:sz w:val="20"/>
          <w:szCs w:val="20"/>
          <w:highlight w:val="none"/>
        </w:rPr>
        <w:t>接收证书。</w:t>
      </w:r>
    </w:p>
    <w:p w14:paraId="32E16D23">
      <w:pPr>
        <w:spacing w:before="220" w:line="364" w:lineRule="auto"/>
        <w:ind w:left="7" w:right="71"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（4）竣工验收不合格的，监理人应按照验收意见发出指示，要求承包人对不合格工程返工、修复或</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采取其他补救措施，</w:t>
      </w:r>
      <w:r>
        <w:rPr>
          <w:rFonts w:ascii="宋体" w:hAnsi="宋体" w:eastAsia="宋体" w:cs="宋体"/>
          <w:color w:val="auto"/>
          <w:spacing w:val="-48"/>
          <w:sz w:val="20"/>
          <w:szCs w:val="20"/>
          <w:highlight w:val="none"/>
        </w:rPr>
        <w:t xml:space="preserve"> </w:t>
      </w:r>
      <w:r>
        <w:rPr>
          <w:rFonts w:ascii="宋体" w:hAnsi="宋体" w:eastAsia="宋体" w:cs="宋体"/>
          <w:color w:val="auto"/>
          <w:spacing w:val="9"/>
          <w:sz w:val="20"/>
          <w:szCs w:val="20"/>
          <w:highlight w:val="none"/>
        </w:rPr>
        <w:t>由此增加的费用和（或）延误的工期由承包人承担。承包人在完成不合格工程的返</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工、修复或采取其他补救措施后，应重新提交竣工验收</w:t>
      </w:r>
      <w:r>
        <w:rPr>
          <w:rFonts w:ascii="宋体" w:hAnsi="宋体" w:eastAsia="宋体" w:cs="宋体"/>
          <w:color w:val="auto"/>
          <w:spacing w:val="9"/>
          <w:sz w:val="20"/>
          <w:szCs w:val="20"/>
          <w:highlight w:val="none"/>
        </w:rPr>
        <w:t>申请报告，并按本项约定的程序重新进行验收。</w:t>
      </w:r>
    </w:p>
    <w:p w14:paraId="6D8FC8EE">
      <w:pPr>
        <w:spacing w:before="221" w:line="364" w:lineRule="auto"/>
        <w:ind w:left="7" w:right="71"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（5）工程未经验收或验收不合格，发包人擅自使用的，应在转移占</w:t>
      </w:r>
      <w:r>
        <w:rPr>
          <w:rFonts w:ascii="宋体" w:hAnsi="宋体" w:eastAsia="宋体" w:cs="宋体"/>
          <w:color w:val="auto"/>
          <w:spacing w:val="6"/>
          <w:sz w:val="20"/>
          <w:szCs w:val="20"/>
          <w:highlight w:val="none"/>
        </w:rPr>
        <w:t>有工程后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天内向承包人颁发工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程接收证书；发包人无正当理由逾期不颁发工程接收证书的，自转移占有后第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7"/>
          <w:sz w:val="20"/>
          <w:szCs w:val="20"/>
          <w:highlight w:val="none"/>
        </w:rPr>
        <w:t>15</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天起</w:t>
      </w:r>
      <w:r>
        <w:rPr>
          <w:rFonts w:ascii="宋体" w:hAnsi="宋体" w:eastAsia="宋体" w:cs="宋体"/>
          <w:color w:val="auto"/>
          <w:spacing w:val="6"/>
          <w:sz w:val="20"/>
          <w:szCs w:val="20"/>
          <w:highlight w:val="none"/>
        </w:rPr>
        <w:t>视为已颁发工程接</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收证书。</w:t>
      </w:r>
    </w:p>
    <w:p w14:paraId="5B82A595">
      <w:pPr>
        <w:spacing w:before="221" w:line="432" w:lineRule="auto"/>
        <w:ind w:left="11" w:right="72"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除专用合同条款另有约定外，发包人不按照本项约定组织竣工验收、颁发工程接收</w:t>
      </w:r>
      <w:r>
        <w:rPr>
          <w:rFonts w:ascii="宋体" w:hAnsi="宋体" w:eastAsia="宋体" w:cs="宋体"/>
          <w:color w:val="auto"/>
          <w:spacing w:val="9"/>
          <w:sz w:val="20"/>
          <w:szCs w:val="20"/>
          <w:highlight w:val="none"/>
        </w:rPr>
        <w:t>证书的，每逾期</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一天，应以签约合同价为基数，按照中国人民银行发布的同期同类贷款基准利率支付违约金。</w:t>
      </w:r>
    </w:p>
    <w:p w14:paraId="0EAFB818">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13.2.3</w:t>
      </w:r>
      <w:r>
        <w:rPr>
          <w:rFonts w:ascii="宋体" w:hAnsi="宋体" w:eastAsia="宋体" w:cs="宋体"/>
          <w:color w:val="auto"/>
          <w:spacing w:val="-36"/>
          <w:sz w:val="20"/>
          <w:szCs w:val="20"/>
          <w:highlight w:val="none"/>
        </w:rPr>
        <w:t xml:space="preserve"> </w:t>
      </w:r>
      <w:r>
        <w:rPr>
          <w:rFonts w:ascii="宋体" w:hAnsi="宋体" w:eastAsia="宋体" w:cs="宋体"/>
          <w:color w:val="auto"/>
          <w:spacing w:val="3"/>
          <w:sz w:val="20"/>
          <w:szCs w:val="20"/>
          <w:highlight w:val="none"/>
        </w:rPr>
        <w:t>竣工日期</w:t>
      </w:r>
    </w:p>
    <w:p w14:paraId="53045F77">
      <w:pPr>
        <w:spacing w:before="221" w:line="432" w:lineRule="auto"/>
        <w:ind w:left="9" w:right="71"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工程经竣工验收合格的，以承包人提交竣工验收申请报告之日为实际竣工日期，并在工程接收证书</w:t>
      </w:r>
      <w:r>
        <w:rPr>
          <w:rFonts w:ascii="宋体" w:hAnsi="宋体" w:eastAsia="宋体" w:cs="宋体"/>
          <w:color w:val="auto"/>
          <w:spacing w:val="3"/>
          <w:sz w:val="20"/>
          <w:szCs w:val="20"/>
          <w:highlight w:val="none"/>
        </w:rPr>
        <w:t xml:space="preserve"> </w:t>
      </w:r>
      <w:r>
        <w:rPr>
          <w:rFonts w:ascii="宋体" w:hAnsi="宋体" w:eastAsia="宋体" w:cs="宋体"/>
          <w:color w:val="auto"/>
          <w:spacing w:val="9"/>
          <w:sz w:val="20"/>
          <w:szCs w:val="20"/>
          <w:highlight w:val="none"/>
        </w:rPr>
        <w:t>中载明；因发包人原因，未在监理人收到承包人</w:t>
      </w:r>
      <w:r>
        <w:rPr>
          <w:rFonts w:ascii="宋体" w:hAnsi="宋体" w:eastAsia="宋体" w:cs="宋体"/>
          <w:color w:val="auto"/>
          <w:spacing w:val="8"/>
          <w:sz w:val="20"/>
          <w:szCs w:val="20"/>
          <w:highlight w:val="none"/>
        </w:rPr>
        <w:t>提交的竣工验收申请报告42</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天内完成竣工验收，或完成</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竣工验收不予签发工程接收证书的，以提交竣工验收申请报告的日期为实际竣工日期；工程未经竣工验</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收，发包人擅自使用的，以转移占有工程之日为实际竣工日期。</w:t>
      </w:r>
    </w:p>
    <w:p w14:paraId="754FC2CE">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13.2.4 拒绝接收全部或部分工程</w:t>
      </w:r>
    </w:p>
    <w:p w14:paraId="62C7C2AC">
      <w:pPr>
        <w:spacing w:before="221" w:line="432" w:lineRule="auto"/>
        <w:ind w:left="8" w:right="7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对于竣工验收不合格的工程，承包人完成整改后，应当重新进行竣工验收，经重新组织验收仍不合</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格的且无法采取措施补救的，则发包人可以拒绝接收不合格工程，因不合格工程导致其他工程不能正常</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使用的，承包人应采取措施确保相关工程的正常使用，</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由此增加的费用和（或）延误的工期由承包人承</w:t>
      </w:r>
      <w:r>
        <w:rPr>
          <w:rFonts w:ascii="宋体" w:hAnsi="宋体" w:eastAsia="宋体" w:cs="宋体"/>
          <w:color w:val="auto"/>
          <w:sz w:val="20"/>
          <w:szCs w:val="20"/>
          <w:highlight w:val="none"/>
        </w:rPr>
        <w:t xml:space="preserve"> 担。</w:t>
      </w:r>
    </w:p>
    <w:p w14:paraId="7CA52B72">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13.2.5 移交、接收全部与部分工程</w:t>
      </w:r>
    </w:p>
    <w:p w14:paraId="4BE06DFF">
      <w:pPr>
        <w:spacing w:before="221" w:line="228" w:lineRule="auto"/>
        <w:ind w:left="44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除专用合同条款另有约定外，合同当事人应当在颁发工程接收证书后</w:t>
      </w:r>
      <w:r>
        <w:rPr>
          <w:rFonts w:ascii="宋体" w:hAnsi="宋体" w:eastAsia="宋体" w:cs="宋体"/>
          <w:color w:val="auto"/>
          <w:spacing w:val="-16"/>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天内完成工程的移交。</w:t>
      </w:r>
    </w:p>
    <w:p w14:paraId="7E9605E6">
      <w:pPr>
        <w:spacing w:before="221" w:line="432" w:lineRule="auto"/>
        <w:ind w:left="10"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发包人无正当理由不接收工程的，发包人自应当接收工程之日起，承担工程照管、成品保护、保管</w:t>
      </w:r>
      <w:r>
        <w:rPr>
          <w:rFonts w:ascii="宋体" w:hAnsi="宋体" w:eastAsia="宋体" w:cs="宋体"/>
          <w:color w:val="auto"/>
          <w:spacing w:val="2"/>
          <w:sz w:val="20"/>
          <w:szCs w:val="20"/>
          <w:highlight w:val="none"/>
        </w:rPr>
        <w:t xml:space="preserve"> </w:t>
      </w:r>
      <w:r>
        <w:rPr>
          <w:rFonts w:ascii="宋体" w:hAnsi="宋体" w:eastAsia="宋体" w:cs="宋体"/>
          <w:color w:val="auto"/>
          <w:spacing w:val="7"/>
          <w:sz w:val="20"/>
          <w:szCs w:val="20"/>
          <w:highlight w:val="none"/>
        </w:rPr>
        <w:t>等与工程有关的各项费用，合同当事人可以在专用合同条款中另行约定发包人逾期接收工程的违约责任。</w:t>
      </w:r>
    </w:p>
    <w:p w14:paraId="3D76EF58">
      <w:pPr>
        <w:spacing w:before="1" w:line="433" w:lineRule="auto"/>
        <w:ind w:left="10" w:right="72"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承包人无正当理由不移交工程的，承包人应承担工程照管、成品保护、保管等与工程有关的各项费</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用，合同当事人可以在专用合同条款中另行约定承包人无正当理由不移交工程的违约责任。</w:t>
      </w:r>
    </w:p>
    <w:p w14:paraId="05A32027">
      <w:pPr>
        <w:spacing w:line="433" w:lineRule="auto"/>
        <w:rPr>
          <w:rFonts w:ascii="宋体" w:hAnsi="宋体" w:eastAsia="宋体" w:cs="宋体"/>
          <w:color w:val="auto"/>
          <w:sz w:val="20"/>
          <w:szCs w:val="20"/>
          <w:highlight w:val="none"/>
        </w:rPr>
        <w:sectPr>
          <w:headerReference r:id="rId163" w:type="default"/>
          <w:footerReference r:id="rId164" w:type="default"/>
          <w:pgSz w:w="11906" w:h="16839"/>
          <w:pgMar w:top="1091" w:right="1149" w:bottom="1158" w:left="1219" w:header="1076" w:footer="922" w:gutter="0"/>
          <w:cols w:space="720" w:num="1"/>
        </w:sectPr>
      </w:pPr>
    </w:p>
    <w:p w14:paraId="74DE23A7">
      <w:pPr>
        <w:spacing w:before="256"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13.3</w:t>
      </w:r>
      <w:r>
        <w:rPr>
          <w:rFonts w:ascii="宋体" w:hAnsi="宋体" w:eastAsia="宋体" w:cs="宋体"/>
          <w:color w:val="auto"/>
          <w:spacing w:val="-38"/>
          <w:sz w:val="20"/>
          <w:szCs w:val="20"/>
          <w:highlight w:val="none"/>
        </w:rPr>
        <w:t xml:space="preserve"> </w:t>
      </w:r>
      <w:r>
        <w:rPr>
          <w:rFonts w:ascii="宋体" w:hAnsi="宋体" w:eastAsia="宋体" w:cs="宋体"/>
          <w:color w:val="auto"/>
          <w:spacing w:val="3"/>
          <w:sz w:val="20"/>
          <w:szCs w:val="20"/>
          <w:highlight w:val="none"/>
        </w:rPr>
        <w:t>工程试车</w:t>
      </w:r>
    </w:p>
    <w:p w14:paraId="30504F5F">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13.3.1</w:t>
      </w:r>
      <w:r>
        <w:rPr>
          <w:rFonts w:ascii="宋体" w:hAnsi="宋体" w:eastAsia="宋体" w:cs="宋体"/>
          <w:color w:val="auto"/>
          <w:spacing w:val="-36"/>
          <w:sz w:val="20"/>
          <w:szCs w:val="20"/>
          <w:highlight w:val="none"/>
        </w:rPr>
        <w:t xml:space="preserve"> </w:t>
      </w:r>
      <w:r>
        <w:rPr>
          <w:rFonts w:ascii="宋体" w:hAnsi="宋体" w:eastAsia="宋体" w:cs="宋体"/>
          <w:color w:val="auto"/>
          <w:spacing w:val="3"/>
          <w:sz w:val="20"/>
          <w:szCs w:val="20"/>
          <w:highlight w:val="none"/>
        </w:rPr>
        <w:t>试车程序</w:t>
      </w:r>
    </w:p>
    <w:p w14:paraId="030CDC2F">
      <w:pPr>
        <w:spacing w:before="220" w:line="432" w:lineRule="auto"/>
        <w:ind w:left="8" w:right="2"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工程需要试车的，除专用合同条款另有约定外，试车内容应与承包人承包范围相一致，试车费用由</w:t>
      </w:r>
      <w:r>
        <w:rPr>
          <w:rFonts w:ascii="宋体" w:hAnsi="宋体" w:eastAsia="宋体" w:cs="宋体"/>
          <w:color w:val="auto"/>
          <w:spacing w:val="3"/>
          <w:sz w:val="20"/>
          <w:szCs w:val="20"/>
          <w:highlight w:val="none"/>
        </w:rPr>
        <w:t xml:space="preserve"> </w:t>
      </w:r>
      <w:r>
        <w:rPr>
          <w:rFonts w:ascii="宋体" w:hAnsi="宋体" w:eastAsia="宋体" w:cs="宋体"/>
          <w:color w:val="auto"/>
          <w:spacing w:val="8"/>
          <w:sz w:val="20"/>
          <w:szCs w:val="20"/>
          <w:highlight w:val="none"/>
        </w:rPr>
        <w:t>承包人承担。工程试车应按如下程序进行：</w:t>
      </w:r>
    </w:p>
    <w:p w14:paraId="536A49B7">
      <w:pPr>
        <w:spacing w:before="4" w:line="431" w:lineRule="auto"/>
        <w:ind w:left="7" w:right="2" w:firstLine="430"/>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（1）具备单机无负荷试车条件，承包人组织试</w:t>
      </w:r>
      <w:r>
        <w:rPr>
          <w:rFonts w:ascii="宋体" w:hAnsi="宋体" w:eastAsia="宋体" w:cs="宋体"/>
          <w:color w:val="auto"/>
          <w:spacing w:val="10"/>
          <w:sz w:val="20"/>
          <w:szCs w:val="20"/>
          <w:highlight w:val="none"/>
        </w:rPr>
        <w:t>车，并在试车前48</w:t>
      </w:r>
      <w:r>
        <w:rPr>
          <w:rFonts w:ascii="宋体" w:hAnsi="宋体" w:eastAsia="宋体" w:cs="宋体"/>
          <w:color w:val="auto"/>
          <w:spacing w:val="-35"/>
          <w:sz w:val="20"/>
          <w:szCs w:val="20"/>
          <w:highlight w:val="none"/>
        </w:rPr>
        <w:t xml:space="preserve"> </w:t>
      </w:r>
      <w:r>
        <w:rPr>
          <w:rFonts w:ascii="宋体" w:hAnsi="宋体" w:eastAsia="宋体" w:cs="宋体"/>
          <w:color w:val="auto"/>
          <w:spacing w:val="10"/>
          <w:sz w:val="20"/>
          <w:szCs w:val="20"/>
          <w:highlight w:val="none"/>
        </w:rPr>
        <w:t>小时书面通知监理人，通知中应</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载明试车内容、时间、地点。承包人准备试车记录，发包人根据承包人要求为试车提供必要条件。试车</w:t>
      </w:r>
      <w:r>
        <w:rPr>
          <w:rFonts w:ascii="宋体" w:hAnsi="宋体" w:eastAsia="宋体" w:cs="宋体"/>
          <w:color w:val="auto"/>
          <w:spacing w:val="7"/>
          <w:sz w:val="20"/>
          <w:szCs w:val="20"/>
          <w:highlight w:val="none"/>
        </w:rPr>
        <w:t xml:space="preserve"> 合格的，监理人在试车记录上签字。监理人在试车合格后不在试车记录上签字，自试车结束满</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小时后</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视为监理人已经认可试车记录，承包人可继续施工或办理竣工验收手续。</w:t>
      </w:r>
    </w:p>
    <w:p w14:paraId="72FCCFF9">
      <w:pPr>
        <w:spacing w:line="432" w:lineRule="auto"/>
        <w:ind w:left="7" w:right="1" w:firstLine="421"/>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监理人不能按时参加试车，应在试车前</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小时以书面形式向承包人提出延期要求，但延期不能超过</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48</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小时，由此导致工期延误的，工期应予以顺延。监</w:t>
      </w:r>
      <w:r>
        <w:rPr>
          <w:rFonts w:ascii="宋体" w:hAnsi="宋体" w:eastAsia="宋体" w:cs="宋体"/>
          <w:color w:val="auto"/>
          <w:spacing w:val="8"/>
          <w:sz w:val="20"/>
          <w:szCs w:val="20"/>
          <w:highlight w:val="none"/>
        </w:rPr>
        <w:t>理人未能在前述期限内提出延期要求，又不参加试</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车的，视为认可试车记录。</w:t>
      </w:r>
    </w:p>
    <w:p w14:paraId="08CE6311">
      <w:pPr>
        <w:spacing w:before="3" w:line="431" w:lineRule="auto"/>
        <w:ind w:left="8" w:right="2" w:firstLine="430"/>
        <w:jc w:val="both"/>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（2）具备无负荷联动试车条件，发包人组织试</w:t>
      </w:r>
      <w:r>
        <w:rPr>
          <w:rFonts w:ascii="宋体" w:hAnsi="宋体" w:eastAsia="宋体" w:cs="宋体"/>
          <w:color w:val="auto"/>
          <w:spacing w:val="10"/>
          <w:sz w:val="20"/>
          <w:szCs w:val="20"/>
          <w:highlight w:val="none"/>
        </w:rPr>
        <w:t>车，并在试车前48</w:t>
      </w:r>
      <w:r>
        <w:rPr>
          <w:rFonts w:ascii="宋体" w:hAnsi="宋体" w:eastAsia="宋体" w:cs="宋体"/>
          <w:color w:val="auto"/>
          <w:spacing w:val="-35"/>
          <w:sz w:val="20"/>
          <w:szCs w:val="20"/>
          <w:highlight w:val="none"/>
        </w:rPr>
        <w:t xml:space="preserve"> </w:t>
      </w:r>
      <w:r>
        <w:rPr>
          <w:rFonts w:ascii="宋体" w:hAnsi="宋体" w:eastAsia="宋体" w:cs="宋体"/>
          <w:color w:val="auto"/>
          <w:spacing w:val="10"/>
          <w:sz w:val="20"/>
          <w:szCs w:val="20"/>
          <w:highlight w:val="none"/>
        </w:rPr>
        <w:t>小时以书面形式通知承包人。通</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知中应载明试车内容、时间、地点和对承包人的要求，承包人按要求做好准备工作。试车合格，合同当</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事人在试车记录上签字。承包人无正当理由不参加试车的，视为认可试车记录。</w:t>
      </w:r>
    </w:p>
    <w:p w14:paraId="205AA6CE">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13.3.2 试车中的责任</w:t>
      </w:r>
    </w:p>
    <w:p w14:paraId="5685D554">
      <w:pPr>
        <w:spacing w:before="221" w:line="432" w:lineRule="auto"/>
        <w:ind w:left="12" w:right="2" w:firstLine="43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因设计原因导致试车达不到验收要求，发包人应要求设计人修改设计，承</w:t>
      </w:r>
      <w:r>
        <w:rPr>
          <w:rFonts w:ascii="宋体" w:hAnsi="宋体" w:eastAsia="宋体" w:cs="宋体"/>
          <w:color w:val="auto"/>
          <w:spacing w:val="9"/>
          <w:sz w:val="20"/>
          <w:szCs w:val="20"/>
          <w:highlight w:val="none"/>
        </w:rPr>
        <w:t>包人按修改后的设计重新</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安装。发包人承担修改设计、拆除及重新安装的全部费用，工期相应顺延。因承包人原因导致试车达不</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到验收要求，承包人按监理人要求重新安装</w:t>
      </w:r>
      <w:r>
        <w:rPr>
          <w:rFonts w:ascii="宋体" w:hAnsi="宋体" w:eastAsia="宋体" w:cs="宋体"/>
          <w:color w:val="auto"/>
          <w:spacing w:val="9"/>
          <w:sz w:val="20"/>
          <w:szCs w:val="20"/>
          <w:highlight w:val="none"/>
        </w:rPr>
        <w:t>和试车，并承担重新安装和试车的费用，工期不予顺延。</w:t>
      </w:r>
    </w:p>
    <w:p w14:paraId="7CBC72A1">
      <w:pPr>
        <w:spacing w:before="3" w:line="431" w:lineRule="auto"/>
        <w:ind w:left="8" w:right="2" w:firstLine="436"/>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因工程设备制造原因导致试车达不到验收要求的，</w:t>
      </w:r>
      <w:r>
        <w:rPr>
          <w:rFonts w:ascii="宋体" w:hAnsi="宋体" w:eastAsia="宋体" w:cs="宋体"/>
          <w:color w:val="auto"/>
          <w:spacing w:val="-60"/>
          <w:sz w:val="20"/>
          <w:szCs w:val="20"/>
          <w:highlight w:val="none"/>
        </w:rPr>
        <w:t xml:space="preserve"> </w:t>
      </w:r>
      <w:r>
        <w:rPr>
          <w:rFonts w:ascii="宋体" w:hAnsi="宋体" w:eastAsia="宋体" w:cs="宋体"/>
          <w:color w:val="auto"/>
          <w:spacing w:val="9"/>
          <w:sz w:val="20"/>
          <w:szCs w:val="20"/>
          <w:highlight w:val="none"/>
        </w:rPr>
        <w:t>由采购该工程设备的合同当事</w:t>
      </w:r>
      <w:r>
        <w:rPr>
          <w:rFonts w:ascii="宋体" w:hAnsi="宋体" w:eastAsia="宋体" w:cs="宋体"/>
          <w:color w:val="auto"/>
          <w:spacing w:val="8"/>
          <w:sz w:val="20"/>
          <w:szCs w:val="20"/>
          <w:highlight w:val="none"/>
        </w:rPr>
        <w:t>人负责重新购置或</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修理，承包人负责拆除和重新安装，</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由此增加的修理、重新购置、拆除及重新安装的费用及延误的工期</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由采购该工程设备的合同当事人承担。</w:t>
      </w:r>
    </w:p>
    <w:p w14:paraId="30CB0108">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13.3.3 投料试车</w:t>
      </w:r>
    </w:p>
    <w:p w14:paraId="7F80F9E1">
      <w:pPr>
        <w:spacing w:before="221" w:line="432" w:lineRule="auto"/>
        <w:ind w:left="11"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如需进行投料试车的，发包人应在工程竣工验收后组织投料试车。发包人要求在工程竣工验收前进</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行或需要承包人配合时，应征得承包人同意，并在专用合同条款中约定有关事项。</w:t>
      </w:r>
    </w:p>
    <w:p w14:paraId="5D54443F">
      <w:pPr>
        <w:spacing w:before="3" w:line="431" w:lineRule="auto"/>
        <w:ind w:left="9" w:right="2" w:firstLine="421"/>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投料试车合格的，费用由发包人承担；因承包人原因造成投料试车不合格的，承包人应按照发包人</w:t>
      </w:r>
      <w:r>
        <w:rPr>
          <w:rFonts w:ascii="宋体" w:hAnsi="宋体" w:eastAsia="宋体" w:cs="宋体"/>
          <w:color w:val="auto"/>
          <w:spacing w:val="3"/>
          <w:sz w:val="20"/>
          <w:szCs w:val="20"/>
          <w:highlight w:val="none"/>
        </w:rPr>
        <w:t xml:space="preserve"> </w:t>
      </w:r>
      <w:r>
        <w:rPr>
          <w:rFonts w:ascii="宋体" w:hAnsi="宋体" w:eastAsia="宋体" w:cs="宋体"/>
          <w:color w:val="auto"/>
          <w:spacing w:val="9"/>
          <w:sz w:val="20"/>
          <w:szCs w:val="20"/>
          <w:highlight w:val="none"/>
        </w:rPr>
        <w:t>要求进行整改，</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由此产生的整改费用由承包人承担；非因承包人原因导致投料试车不合格的，如发包人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要求承包人进行整改的，由此产生的费用由发包人承担。</w:t>
      </w:r>
    </w:p>
    <w:p w14:paraId="7049F9BE">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13.4</w:t>
      </w:r>
      <w:r>
        <w:rPr>
          <w:rFonts w:ascii="宋体" w:hAnsi="宋体" w:eastAsia="宋体" w:cs="宋体"/>
          <w:color w:val="auto"/>
          <w:spacing w:val="-33"/>
          <w:sz w:val="20"/>
          <w:szCs w:val="20"/>
          <w:highlight w:val="none"/>
        </w:rPr>
        <w:t xml:space="preserve"> </w:t>
      </w:r>
      <w:r>
        <w:rPr>
          <w:rFonts w:ascii="宋体" w:hAnsi="宋体" w:eastAsia="宋体" w:cs="宋体"/>
          <w:color w:val="auto"/>
          <w:spacing w:val="6"/>
          <w:sz w:val="20"/>
          <w:szCs w:val="20"/>
          <w:highlight w:val="none"/>
        </w:rPr>
        <w:t>提前交付单位工程的验收</w:t>
      </w:r>
    </w:p>
    <w:p w14:paraId="2EECD9A5">
      <w:pPr>
        <w:spacing w:before="222" w:line="433" w:lineRule="auto"/>
        <w:ind w:left="11" w:right="2" w:firstLine="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13.4.1 发包人需要在工程竣工前使用单位工程的，或承包人提出提前交付已经竣</w:t>
      </w:r>
      <w:r>
        <w:rPr>
          <w:rFonts w:ascii="宋体" w:hAnsi="宋体" w:eastAsia="宋体" w:cs="宋体"/>
          <w:color w:val="auto"/>
          <w:spacing w:val="6"/>
          <w:sz w:val="20"/>
          <w:szCs w:val="20"/>
          <w:highlight w:val="none"/>
        </w:rPr>
        <w:t>工的单位工程且经</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发包人同意的，可进行单位工程验收，验收的程序按照第</w:t>
      </w:r>
      <w:r>
        <w:rPr>
          <w:rFonts w:ascii="宋体" w:hAnsi="宋体" w:eastAsia="宋体" w:cs="宋体"/>
          <w:color w:val="auto"/>
          <w:spacing w:val="-17"/>
          <w:sz w:val="20"/>
          <w:szCs w:val="20"/>
          <w:highlight w:val="none"/>
        </w:rPr>
        <w:t xml:space="preserve"> </w:t>
      </w:r>
      <w:r>
        <w:rPr>
          <w:rFonts w:ascii="宋体" w:hAnsi="宋体" w:eastAsia="宋体" w:cs="宋体"/>
          <w:color w:val="auto"/>
          <w:spacing w:val="8"/>
          <w:sz w:val="20"/>
          <w:szCs w:val="20"/>
          <w:highlight w:val="none"/>
        </w:rPr>
        <w:t>13.2</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款〔竣工验收〕的约定进行。</w:t>
      </w:r>
    </w:p>
    <w:p w14:paraId="575FCE45">
      <w:pPr>
        <w:spacing w:line="433" w:lineRule="auto"/>
        <w:rPr>
          <w:rFonts w:ascii="宋体" w:hAnsi="宋体" w:eastAsia="宋体" w:cs="宋体"/>
          <w:color w:val="auto"/>
          <w:sz w:val="20"/>
          <w:szCs w:val="20"/>
          <w:highlight w:val="none"/>
        </w:rPr>
        <w:sectPr>
          <w:headerReference r:id="rId165" w:type="default"/>
          <w:footerReference r:id="rId166" w:type="default"/>
          <w:pgSz w:w="11906" w:h="16839"/>
          <w:pgMar w:top="1091" w:right="1219" w:bottom="1158" w:left="1219" w:header="1076" w:footer="922" w:gutter="0"/>
          <w:cols w:space="720" w:num="1"/>
        </w:sectPr>
      </w:pPr>
    </w:p>
    <w:p w14:paraId="1D49E9BF">
      <w:pPr>
        <w:spacing w:before="256" w:line="432" w:lineRule="auto"/>
        <w:ind w:left="25" w:right="67" w:firstLine="40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验收合格后，</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由监理人向承包人出具经发包人签认的单位工程接收证书。已签发单位工程接收证书</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的单位工程由发包人负责照管。单位工程的验收成果和结论作为整体工程竣工验收申请报告的附件。</w:t>
      </w:r>
    </w:p>
    <w:p w14:paraId="263ABA9F">
      <w:pPr>
        <w:spacing w:before="2" w:line="431" w:lineRule="auto"/>
        <w:ind w:left="11" w:right="66" w:firstLine="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13.4.2 发包人要求在工程竣工前交付单位工程，由此导致承包人费用增加和（或</w:t>
      </w:r>
      <w:r>
        <w:rPr>
          <w:rFonts w:ascii="宋体" w:hAnsi="宋体" w:eastAsia="宋体" w:cs="宋体"/>
          <w:color w:val="auto"/>
          <w:spacing w:val="6"/>
          <w:sz w:val="20"/>
          <w:szCs w:val="20"/>
          <w:highlight w:val="none"/>
        </w:rPr>
        <w:t>）工期延误的，由</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发包人承担由此增加的费用和（或）延误的工期，并支付承包人合理的利润。</w:t>
      </w:r>
    </w:p>
    <w:p w14:paraId="26462489">
      <w:pPr>
        <w:spacing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13.5 施工期运行</w:t>
      </w:r>
    </w:p>
    <w:p w14:paraId="5E63E33D">
      <w:pPr>
        <w:spacing w:before="219" w:line="364" w:lineRule="auto"/>
        <w:ind w:left="10" w:firstLine="43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13.5.1 施工期运行是指合同工程尚未全部竣工，其中某项或某几项单位工程或工程设备安装已竣</w:t>
      </w:r>
      <w:r>
        <w:rPr>
          <w:rFonts w:ascii="宋体" w:hAnsi="宋体" w:eastAsia="宋体" w:cs="宋体"/>
          <w:color w:val="auto"/>
          <w:spacing w:val="14"/>
          <w:sz w:val="20"/>
          <w:szCs w:val="20"/>
          <w:highlight w:val="none"/>
        </w:rPr>
        <w:t xml:space="preserve"> </w:t>
      </w:r>
      <w:r>
        <w:rPr>
          <w:rFonts w:ascii="宋体" w:hAnsi="宋体" w:eastAsia="宋体" w:cs="宋体"/>
          <w:color w:val="auto"/>
          <w:spacing w:val="4"/>
          <w:sz w:val="20"/>
          <w:szCs w:val="20"/>
          <w:highlight w:val="none"/>
        </w:rPr>
        <w:t>工，根据专用合同条款约定，需要投入施工期运行的，经发包人按第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4"/>
          <w:sz w:val="20"/>
          <w:szCs w:val="20"/>
          <w:highlight w:val="none"/>
        </w:rPr>
        <w:t>13.4</w:t>
      </w:r>
      <w:r>
        <w:rPr>
          <w:rFonts w:ascii="宋体" w:hAnsi="宋体" w:eastAsia="宋体" w:cs="宋体"/>
          <w:color w:val="auto"/>
          <w:spacing w:val="-38"/>
          <w:sz w:val="20"/>
          <w:szCs w:val="20"/>
          <w:highlight w:val="none"/>
        </w:rPr>
        <w:t xml:space="preserve"> </w:t>
      </w:r>
      <w:r>
        <w:rPr>
          <w:rFonts w:ascii="宋体" w:hAnsi="宋体" w:eastAsia="宋体" w:cs="宋体"/>
          <w:color w:val="auto"/>
          <w:spacing w:val="4"/>
          <w:sz w:val="20"/>
          <w:szCs w:val="20"/>
          <w:highlight w:val="none"/>
        </w:rPr>
        <w:t>款</w:t>
      </w:r>
      <w:r>
        <w:rPr>
          <w:rFonts w:ascii="宋体" w:hAnsi="宋体" w:eastAsia="宋体" w:cs="宋体"/>
          <w:color w:val="auto"/>
          <w:spacing w:val="3"/>
          <w:sz w:val="20"/>
          <w:szCs w:val="20"/>
          <w:highlight w:val="none"/>
        </w:rPr>
        <w:t>〔提前交付单位工程的验收〕</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的约定验收合格，证明能确保安全后，才能在施工期投入运行。</w:t>
      </w:r>
    </w:p>
    <w:p w14:paraId="39A7D235">
      <w:pPr>
        <w:spacing w:before="221" w:line="330" w:lineRule="auto"/>
        <w:ind w:left="10" w:right="66" w:firstLine="4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13.5.2 在施工期运行中发现工程或工程设备损坏或存在缺陷的，由承包人按第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15.2</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w:t>
      </w:r>
      <w:r>
        <w:rPr>
          <w:rFonts w:ascii="宋体" w:hAnsi="宋体" w:eastAsia="宋体" w:cs="宋体"/>
          <w:color w:val="auto"/>
          <w:spacing w:val="7"/>
          <w:sz w:val="20"/>
          <w:szCs w:val="20"/>
          <w:highlight w:val="none"/>
        </w:rPr>
        <w:t>〔缺陷责任</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期〕约定进行修复。</w:t>
      </w:r>
    </w:p>
    <w:p w14:paraId="75414CC6">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13.6 竣工退场</w:t>
      </w:r>
    </w:p>
    <w:p w14:paraId="5E68BD4A">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13.6.1 竣工退场</w:t>
      </w:r>
    </w:p>
    <w:p w14:paraId="7BD35BE7">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颁发工程接收证书后，承包人应按以下要求对施工现场进行清理：</w:t>
      </w:r>
    </w:p>
    <w:p w14:paraId="7698E252">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（1）施工现场内残留的垃圾已全部清除出场；</w:t>
      </w:r>
    </w:p>
    <w:p w14:paraId="4F5F8061">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（2）临时工程已拆除，场地已进行清理、平整或复原；</w:t>
      </w:r>
    </w:p>
    <w:p w14:paraId="33FDEE8C">
      <w:pPr>
        <w:spacing w:before="220" w:line="331" w:lineRule="auto"/>
        <w:ind w:left="8" w:right="66"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（3）按合同约定应撤离的人员、承包人施工设备和剩余的材料，包括废弃的施工设备和材料，已按</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计划撤离施工现场；</w:t>
      </w:r>
    </w:p>
    <w:p w14:paraId="65687D55">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（4）施工现场周边及其附近道路、河道的施工堆积物</w:t>
      </w:r>
      <w:r>
        <w:rPr>
          <w:rFonts w:ascii="宋体" w:hAnsi="宋体" w:eastAsia="宋体" w:cs="宋体"/>
          <w:color w:val="auto"/>
          <w:spacing w:val="8"/>
          <w:sz w:val="20"/>
          <w:szCs w:val="20"/>
          <w:highlight w:val="none"/>
        </w:rPr>
        <w:t>，已全部清理；</w:t>
      </w:r>
    </w:p>
    <w:p w14:paraId="4906F32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（5）施工现场其他场地清理工作已全部完成。</w:t>
      </w:r>
    </w:p>
    <w:p w14:paraId="7FA9360F">
      <w:pPr>
        <w:spacing w:before="221" w:line="432" w:lineRule="auto"/>
        <w:ind w:left="8" w:right="67" w:firstLine="419"/>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施工现场的竣工退场费用由承包人承担。承包人应在专用合同条款约定的期限内完成竣工退场，逾</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期未完成的，发包人有权出售或另行处理承包人遗留的物品，</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由此支出的费用由承包人承担，发包人出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售承包人遗留物品所得款项在扣除必要费用后应返还承包人。</w:t>
      </w:r>
    </w:p>
    <w:p w14:paraId="78201D1B">
      <w:pPr>
        <w:spacing w:before="1"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13.6.2 地表还原</w:t>
      </w:r>
    </w:p>
    <w:p w14:paraId="62733204">
      <w:pPr>
        <w:spacing w:before="219" w:line="432" w:lineRule="auto"/>
        <w:ind w:left="8" w:right="67"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承包人应按发包人要求恢复临时占地及清理场地，承包人未按发包人的要求恢复临时占地，或者场</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地清理未达到合同约定要求的，发包人有权委托</w:t>
      </w:r>
      <w:r>
        <w:rPr>
          <w:rFonts w:ascii="宋体" w:hAnsi="宋体" w:eastAsia="宋体" w:cs="宋体"/>
          <w:color w:val="auto"/>
          <w:spacing w:val="9"/>
          <w:sz w:val="20"/>
          <w:szCs w:val="20"/>
          <w:highlight w:val="none"/>
        </w:rPr>
        <w:t>其他人恢复或清理，所发生的费用由承包人承担。</w:t>
      </w:r>
    </w:p>
    <w:p w14:paraId="461B34D0">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14.</w:t>
      </w:r>
      <w:r>
        <w:rPr>
          <w:rFonts w:ascii="宋体" w:hAnsi="宋体" w:eastAsia="宋体" w:cs="宋体"/>
          <w:color w:val="auto"/>
          <w:spacing w:val="19"/>
          <w:sz w:val="20"/>
          <w:szCs w:val="20"/>
          <w:highlight w:val="none"/>
        </w:rPr>
        <w:t xml:space="preserve"> </w:t>
      </w:r>
      <w:r>
        <w:rPr>
          <w:rFonts w:ascii="宋体" w:hAnsi="宋体" w:eastAsia="宋体" w:cs="宋体"/>
          <w:color w:val="auto"/>
          <w:spacing w:val="2"/>
          <w:sz w:val="20"/>
          <w:szCs w:val="20"/>
          <w:highlight w:val="none"/>
        </w:rPr>
        <w:t>竣工结算</w:t>
      </w:r>
    </w:p>
    <w:p w14:paraId="16DD365E">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14.1 竣工结算申请</w:t>
      </w:r>
    </w:p>
    <w:p w14:paraId="1130C30A">
      <w:pPr>
        <w:spacing w:before="220" w:line="433" w:lineRule="auto"/>
        <w:ind w:left="9" w:right="66" w:firstLine="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除专用合同条款另有约定外，承包人应在工程竣工验收合格后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w:t>
      </w:r>
      <w:r>
        <w:rPr>
          <w:rFonts w:ascii="宋体" w:hAnsi="宋体" w:eastAsia="宋体" w:cs="宋体"/>
          <w:color w:val="auto"/>
          <w:spacing w:val="6"/>
          <w:sz w:val="20"/>
          <w:szCs w:val="20"/>
          <w:highlight w:val="none"/>
        </w:rPr>
        <w:t>内向发包人和监理人提交竣工结</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算申请单，并提交完整的结算资料，有关竣工结算申请单的资料清单和份数等要求由合同当事人在专用</w:t>
      </w:r>
      <w:r>
        <w:rPr>
          <w:rFonts w:ascii="宋体" w:hAnsi="宋体" w:eastAsia="宋体" w:cs="宋体"/>
          <w:color w:val="auto"/>
          <w:spacing w:val="5"/>
          <w:sz w:val="20"/>
          <w:szCs w:val="20"/>
          <w:highlight w:val="none"/>
        </w:rPr>
        <w:t xml:space="preserve"> </w:t>
      </w:r>
      <w:r>
        <w:rPr>
          <w:rFonts w:ascii="宋体" w:hAnsi="宋体" w:eastAsia="宋体" w:cs="宋体"/>
          <w:color w:val="auto"/>
          <w:spacing w:val="7"/>
          <w:sz w:val="20"/>
          <w:szCs w:val="20"/>
          <w:highlight w:val="none"/>
        </w:rPr>
        <w:t>合同条款中约定。</w:t>
      </w:r>
    </w:p>
    <w:p w14:paraId="47E3E5FB">
      <w:pPr>
        <w:spacing w:line="433" w:lineRule="auto"/>
        <w:rPr>
          <w:rFonts w:ascii="宋体" w:hAnsi="宋体" w:eastAsia="宋体" w:cs="宋体"/>
          <w:color w:val="auto"/>
          <w:sz w:val="20"/>
          <w:szCs w:val="20"/>
          <w:highlight w:val="none"/>
        </w:rPr>
        <w:sectPr>
          <w:headerReference r:id="rId167" w:type="default"/>
          <w:footerReference r:id="rId168" w:type="default"/>
          <w:pgSz w:w="11906" w:h="16839"/>
          <w:pgMar w:top="1091" w:right="1154" w:bottom="1158" w:left="1219" w:header="1076" w:footer="922" w:gutter="0"/>
          <w:cols w:space="720" w:num="1"/>
        </w:sectPr>
      </w:pPr>
    </w:p>
    <w:p w14:paraId="529ADC6B">
      <w:pPr>
        <w:spacing w:before="256"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除专用合同条款另有约定外，竣工结算申请单应包括</w:t>
      </w:r>
      <w:r>
        <w:rPr>
          <w:rFonts w:ascii="宋体" w:hAnsi="宋体" w:eastAsia="宋体" w:cs="宋体"/>
          <w:color w:val="auto"/>
          <w:spacing w:val="8"/>
          <w:sz w:val="20"/>
          <w:szCs w:val="20"/>
          <w:highlight w:val="none"/>
        </w:rPr>
        <w:t>以下内容：</w:t>
      </w:r>
    </w:p>
    <w:p w14:paraId="1F56243C">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（1）竣工结算合同价格；</w:t>
      </w:r>
    </w:p>
    <w:p w14:paraId="681D61AB">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（2）发包人已支付承包人的款项；</w:t>
      </w:r>
    </w:p>
    <w:p w14:paraId="41037DCA">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（3）应扣留的质量保证金。已缴纳履约保证金的或提供其他工程质量担保方式的除外；</w:t>
      </w:r>
    </w:p>
    <w:p w14:paraId="6B549017">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（4）发包人应支付承包人的合同价款。</w:t>
      </w:r>
    </w:p>
    <w:p w14:paraId="00860C51">
      <w:pPr>
        <w:spacing w:before="223"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14.2 竣工结算审核</w:t>
      </w:r>
    </w:p>
    <w:p w14:paraId="4BE56C65">
      <w:pPr>
        <w:spacing w:before="220" w:line="432" w:lineRule="auto"/>
        <w:ind w:left="10" w:right="2" w:firstLine="428"/>
        <w:jc w:val="both"/>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（1）除专用合同条款另有约定外，监理人应在收到竣工结算申请单后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天内完成核查并报送发包</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人。发包人应在收到监理人提交的经审核的竣工结算申请单后</w:t>
      </w:r>
      <w:r>
        <w:rPr>
          <w:rFonts w:ascii="宋体" w:hAnsi="宋体" w:eastAsia="宋体" w:cs="宋体"/>
          <w:color w:val="auto"/>
          <w:spacing w:val="-23"/>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天内完成审批，并由</w:t>
      </w:r>
      <w:r>
        <w:rPr>
          <w:rFonts w:ascii="宋体" w:hAnsi="宋体" w:eastAsia="宋体" w:cs="宋体"/>
          <w:color w:val="auto"/>
          <w:spacing w:val="6"/>
          <w:sz w:val="20"/>
          <w:szCs w:val="20"/>
          <w:highlight w:val="none"/>
        </w:rPr>
        <w:t>监理人向承包人签</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发经发包人签认的竣工付款证书。监理人或发包人对竣工结算申请单有异议的，有权要求承包人进行修</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正和提供补充资料，承包人应提交修正后的竣工结算申请单。</w:t>
      </w:r>
    </w:p>
    <w:p w14:paraId="456CE64C">
      <w:pPr>
        <w:spacing w:before="3" w:line="431" w:lineRule="auto"/>
        <w:ind w:left="8" w:right="2" w:firstLine="423"/>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发包人在收到承包人提交竣工结算申请书后</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天内未完成审批且未提出异议的，视为发</w:t>
      </w:r>
      <w:r>
        <w:rPr>
          <w:rFonts w:ascii="宋体" w:hAnsi="宋体" w:eastAsia="宋体" w:cs="宋体"/>
          <w:color w:val="auto"/>
          <w:spacing w:val="6"/>
          <w:sz w:val="20"/>
          <w:szCs w:val="20"/>
          <w:highlight w:val="none"/>
        </w:rPr>
        <w:t>包人认可承</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包人提交的竣工结算申请单，并自发包人收到承包人提交的竣工结算申请单后第</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29</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天起视为已签发竣工</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付款证书。</w:t>
      </w:r>
    </w:p>
    <w:p w14:paraId="7F567D07">
      <w:pPr>
        <w:spacing w:before="3" w:line="363" w:lineRule="auto"/>
        <w:ind w:left="9" w:right="2" w:firstLine="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（2）除专用合同条款另有约定外，发包人应在签发竣工付款证书后的</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14 天</w:t>
      </w:r>
      <w:r>
        <w:rPr>
          <w:rFonts w:ascii="宋体" w:hAnsi="宋体" w:eastAsia="宋体" w:cs="宋体"/>
          <w:color w:val="auto"/>
          <w:spacing w:val="7"/>
          <w:sz w:val="20"/>
          <w:szCs w:val="20"/>
          <w:highlight w:val="none"/>
        </w:rPr>
        <w:t>内，完成对承包人的竣</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工付款。发包人逾期支付的，按照中国人民银行发布的同期同类贷款基准利率支付违约金；逾期支付超</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过</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56</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天的，按照中国人民银行发布的同期同类贷款基准利率的两倍支付违约金。</w:t>
      </w:r>
    </w:p>
    <w:p w14:paraId="24C62E85">
      <w:pPr>
        <w:spacing w:before="222" w:line="381" w:lineRule="auto"/>
        <w:ind w:left="8"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（3）承包人对发包人签认的竣工付款证书有异议的，对于有异议部分应在收到发包人签认的竣工付</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款证书后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天内提出异议，并由合同当事人按照专用合同条款约定的方式和程序进行复</w:t>
      </w:r>
      <w:r>
        <w:rPr>
          <w:rFonts w:ascii="宋体" w:hAnsi="宋体" w:eastAsia="宋体" w:cs="宋体"/>
          <w:color w:val="auto"/>
          <w:spacing w:val="7"/>
          <w:sz w:val="20"/>
          <w:szCs w:val="20"/>
          <w:highlight w:val="none"/>
        </w:rPr>
        <w:t>核，或按照第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20</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条〔争议解决〕约定处理。对于无异议部分，发包人应签发临时竣工付款证书</w:t>
      </w:r>
      <w:r>
        <w:rPr>
          <w:rFonts w:ascii="宋体" w:hAnsi="宋体" w:eastAsia="宋体" w:cs="宋体"/>
          <w:color w:val="auto"/>
          <w:spacing w:val="7"/>
          <w:sz w:val="20"/>
          <w:szCs w:val="20"/>
          <w:highlight w:val="none"/>
        </w:rPr>
        <w:t>，并按本款第（2）项完成</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付款。承包人逾期未提出异议的，视为认可发包人的审批结果。</w:t>
      </w:r>
    </w:p>
    <w:p w14:paraId="7FF78F7F">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14.3 甩项竣工协议</w:t>
      </w:r>
    </w:p>
    <w:p w14:paraId="259DB1BD">
      <w:pPr>
        <w:spacing w:before="221" w:line="432" w:lineRule="auto"/>
        <w:ind w:left="8" w:right="2"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发包人要求甩项竣工的，合同当事人应签订甩项竣工协议。在甩项竣工协议中应明确，合同当事人</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按照第</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14.1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款〔竣工结算申请〕及</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14.2</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款〔竣工结算审核〕的约定，对已完合格工程进行结</w:t>
      </w:r>
      <w:r>
        <w:rPr>
          <w:rFonts w:ascii="宋体" w:hAnsi="宋体" w:eastAsia="宋体" w:cs="宋体"/>
          <w:color w:val="auto"/>
          <w:spacing w:val="7"/>
          <w:sz w:val="20"/>
          <w:szCs w:val="20"/>
          <w:highlight w:val="none"/>
        </w:rPr>
        <w:t>算，并支</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付相应合同价款。</w:t>
      </w:r>
    </w:p>
    <w:p w14:paraId="3F3EE3C8">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14.4</w:t>
      </w:r>
      <w:r>
        <w:rPr>
          <w:rFonts w:ascii="宋体" w:hAnsi="宋体" w:eastAsia="宋体" w:cs="宋体"/>
          <w:color w:val="auto"/>
          <w:spacing w:val="14"/>
          <w:sz w:val="20"/>
          <w:szCs w:val="20"/>
          <w:highlight w:val="none"/>
        </w:rPr>
        <w:t xml:space="preserve"> </w:t>
      </w:r>
      <w:r>
        <w:rPr>
          <w:rFonts w:ascii="宋体" w:hAnsi="宋体" w:eastAsia="宋体" w:cs="宋体"/>
          <w:color w:val="auto"/>
          <w:spacing w:val="3"/>
          <w:sz w:val="20"/>
          <w:szCs w:val="20"/>
          <w:highlight w:val="none"/>
        </w:rPr>
        <w:t>最终结清</w:t>
      </w:r>
    </w:p>
    <w:p w14:paraId="170B2A06">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14.4.1 最终结清申请单</w:t>
      </w:r>
    </w:p>
    <w:p w14:paraId="74F68687">
      <w:pPr>
        <w:spacing w:before="221" w:line="432" w:lineRule="auto"/>
        <w:ind w:left="13" w:right="2" w:firstLine="4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（1）除专用合同条款另有约定外，承包人应在缺陷责任期终止证书</w:t>
      </w:r>
      <w:r>
        <w:rPr>
          <w:rFonts w:ascii="宋体" w:hAnsi="宋体" w:eastAsia="宋体" w:cs="宋体"/>
          <w:color w:val="auto"/>
          <w:spacing w:val="6"/>
          <w:sz w:val="20"/>
          <w:szCs w:val="20"/>
          <w:highlight w:val="none"/>
        </w:rPr>
        <w:t>颁发后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天内，按专用合同条款</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约定的份数向发包人提交最终结清申请单，并提供相关证明材料。</w:t>
      </w:r>
    </w:p>
    <w:p w14:paraId="48E90497">
      <w:pPr>
        <w:spacing w:line="433" w:lineRule="auto"/>
        <w:ind w:left="10" w:right="2"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除专用合同条款另有约定外，最终结清申请单应列明质量保证金、应扣除的质量保</w:t>
      </w:r>
      <w:r>
        <w:rPr>
          <w:rFonts w:ascii="宋体" w:hAnsi="宋体" w:eastAsia="宋体" w:cs="宋体"/>
          <w:color w:val="auto"/>
          <w:spacing w:val="9"/>
          <w:sz w:val="20"/>
          <w:szCs w:val="20"/>
          <w:highlight w:val="none"/>
        </w:rPr>
        <w:t>证金、缺陷责任</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期内发生的增减费用。</w:t>
      </w:r>
    </w:p>
    <w:p w14:paraId="011715C0">
      <w:pPr>
        <w:spacing w:line="433" w:lineRule="auto"/>
        <w:rPr>
          <w:rFonts w:ascii="宋体" w:hAnsi="宋体" w:eastAsia="宋体" w:cs="宋体"/>
          <w:color w:val="auto"/>
          <w:sz w:val="20"/>
          <w:szCs w:val="20"/>
          <w:highlight w:val="none"/>
        </w:rPr>
        <w:sectPr>
          <w:headerReference r:id="rId169" w:type="default"/>
          <w:footerReference r:id="rId170" w:type="default"/>
          <w:pgSz w:w="11906" w:h="16839"/>
          <w:pgMar w:top="1091" w:right="1219" w:bottom="1158" w:left="1219" w:header="1076" w:footer="922" w:gutter="0"/>
          <w:cols w:space="720" w:num="1"/>
        </w:sectPr>
      </w:pPr>
    </w:p>
    <w:p w14:paraId="599B9E12">
      <w:pPr>
        <w:spacing w:before="256" w:line="432" w:lineRule="auto"/>
        <w:ind w:left="29" w:right="71" w:firstLine="40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（2）发包人对最终结清申请单内容有异议的，有权要求承包人进行修正和提供补充资料，承包人应</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向发包人提交修正后的最终结清申请单。</w:t>
      </w:r>
    </w:p>
    <w:p w14:paraId="686E0516">
      <w:pPr>
        <w:spacing w:line="227"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14.4.2 最终结清证书和支付</w:t>
      </w:r>
    </w:p>
    <w:p w14:paraId="3F710049">
      <w:pPr>
        <w:spacing w:before="221" w:line="381" w:lineRule="auto"/>
        <w:ind w:left="7" w:right="69"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（1）除专用合同条款另有约定外，发包人应在收到承包人提交的最终</w:t>
      </w:r>
      <w:r>
        <w:rPr>
          <w:rFonts w:ascii="宋体" w:hAnsi="宋体" w:eastAsia="宋体" w:cs="宋体"/>
          <w:color w:val="auto"/>
          <w:spacing w:val="8"/>
          <w:sz w:val="20"/>
          <w:szCs w:val="20"/>
          <w:highlight w:val="none"/>
        </w:rPr>
        <w:t>结清申请单后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天内完成审</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批并向承包人颁发最终结清证书。发包人逾期未完成审批，又未提出修改意见的，视为发包人同意承包</w:t>
      </w:r>
      <w:r>
        <w:rPr>
          <w:rFonts w:ascii="宋体" w:hAnsi="宋体" w:eastAsia="宋体" w:cs="宋体"/>
          <w:color w:val="auto"/>
          <w:spacing w:val="7"/>
          <w:sz w:val="20"/>
          <w:szCs w:val="20"/>
          <w:highlight w:val="none"/>
        </w:rPr>
        <w:t xml:space="preserve"> 人提交的最终结清申请单，且自发包人收到承包人提交的最终结清申请单后</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15</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天起视为已颁</w:t>
      </w:r>
      <w:r>
        <w:rPr>
          <w:rFonts w:ascii="宋体" w:hAnsi="宋体" w:eastAsia="宋体" w:cs="宋体"/>
          <w:color w:val="auto"/>
          <w:spacing w:val="6"/>
          <w:sz w:val="20"/>
          <w:szCs w:val="20"/>
          <w:highlight w:val="none"/>
        </w:rPr>
        <w:t>发最终结清</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证书。</w:t>
      </w:r>
    </w:p>
    <w:p w14:paraId="1E869761">
      <w:pPr>
        <w:spacing w:before="220" w:line="364" w:lineRule="auto"/>
        <w:ind w:left="8" w:right="71"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（2）除专用合同条款另有约定外，发包人应在颁发最终结清证书后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天内完成支付。发包人逾期支</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付的，按照中国人民银行发布的同期同类贷款基准利率支付违约金；逾期支付超过</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56</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天的，按照中国人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民银行发布的同期同类贷款基准利率的两倍支付违约金。</w:t>
      </w:r>
    </w:p>
    <w:p w14:paraId="4345179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（3）承包人对发包人颁发的最终结清证书有异议的，按第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20</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条〔争议解决〕的约定办理。</w:t>
      </w:r>
    </w:p>
    <w:p w14:paraId="36DD569A">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 缺陷责任与保修</w:t>
      </w:r>
    </w:p>
    <w:p w14:paraId="0BF94D34">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15.1 工程保修的原则</w:t>
      </w:r>
    </w:p>
    <w:p w14:paraId="7213E8D6">
      <w:pPr>
        <w:spacing w:before="221" w:line="432" w:lineRule="auto"/>
        <w:ind w:left="21" w:right="72" w:firstLine="40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在工程移交发包人后，因承包人原因产生的质量缺陷，承包人应承担质量缺陷责任和保修义务。缺</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陷责任期届满，承包人仍应按合同约定的工程各部位保修年限承担保修义务。</w:t>
      </w:r>
    </w:p>
    <w:p w14:paraId="081BF986">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15.2 缺陷责任期</w:t>
      </w:r>
    </w:p>
    <w:p w14:paraId="49E395D1">
      <w:pPr>
        <w:spacing w:before="221" w:line="432" w:lineRule="auto"/>
        <w:ind w:left="25" w:right="71" w:firstLine="4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15.2.1 缺陷责任期从工程通过竣工验收之日起计算，合同当事人应在专用合同条</w:t>
      </w:r>
      <w:r>
        <w:rPr>
          <w:rFonts w:ascii="宋体" w:hAnsi="宋体" w:eastAsia="宋体" w:cs="宋体"/>
          <w:color w:val="auto"/>
          <w:spacing w:val="6"/>
          <w:sz w:val="20"/>
          <w:szCs w:val="20"/>
          <w:highlight w:val="none"/>
        </w:rPr>
        <w:t>款约定缺陷责任期</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的具体期限，但该期限最长不超过</w:t>
      </w:r>
      <w:r>
        <w:rPr>
          <w:rFonts w:ascii="宋体" w:hAnsi="宋体" w:eastAsia="宋体" w:cs="宋体"/>
          <w:color w:val="auto"/>
          <w:spacing w:val="-25"/>
          <w:sz w:val="20"/>
          <w:szCs w:val="20"/>
          <w:highlight w:val="none"/>
        </w:rPr>
        <w:t xml:space="preserve"> </w:t>
      </w:r>
      <w:r>
        <w:rPr>
          <w:rFonts w:ascii="宋体" w:hAnsi="宋体" w:eastAsia="宋体" w:cs="宋体"/>
          <w:color w:val="auto"/>
          <w:spacing w:val="6"/>
          <w:sz w:val="20"/>
          <w:szCs w:val="20"/>
          <w:highlight w:val="none"/>
        </w:rPr>
        <w:t>24</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个月。</w:t>
      </w:r>
    </w:p>
    <w:p w14:paraId="0539B60F">
      <w:pPr>
        <w:spacing w:before="5" w:line="431" w:lineRule="auto"/>
        <w:ind w:left="7" w:right="71" w:firstLine="422"/>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单位工程先于全部工程进行验收，经验收合格并交付使用的，该单位工程缺陷责任期自单位工程验</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收合格之日起算。因承包人原因导致工程无法按合同约定期限进行竣工验收的，缺陷责任期从实际通过</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竣工验收之日起计算。因发包人原因导致工程无法按合同约定期限进行竣工验收的，在承包人提交竣工</w:t>
      </w:r>
      <w:r>
        <w:rPr>
          <w:rFonts w:ascii="宋体" w:hAnsi="宋体" w:eastAsia="宋体" w:cs="宋体"/>
          <w:color w:val="auto"/>
          <w:spacing w:val="7"/>
          <w:sz w:val="20"/>
          <w:szCs w:val="20"/>
          <w:highlight w:val="none"/>
        </w:rPr>
        <w:t xml:space="preserve"> 验收报告</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90</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天后，工程自动进入缺陷责任期；发包人未经竣工验收擅自使用工程的，缺陷责任期自工程</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转移占有之日起开始计算。</w:t>
      </w:r>
    </w:p>
    <w:p w14:paraId="266B224C">
      <w:pPr>
        <w:spacing w:line="432" w:lineRule="auto"/>
        <w:ind w:left="8" w:firstLine="435"/>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15.2.2</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缺陷责任期内，由承包人原因造成的缺陷，承包人应负责维修，并承担鉴定</w:t>
      </w:r>
      <w:r>
        <w:rPr>
          <w:rFonts w:ascii="宋体" w:hAnsi="宋体" w:eastAsia="宋体" w:cs="宋体"/>
          <w:color w:val="auto"/>
          <w:spacing w:val="7"/>
          <w:sz w:val="20"/>
          <w:szCs w:val="20"/>
          <w:highlight w:val="none"/>
        </w:rPr>
        <w:t>及维修费用。如</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承包人不维修也不承担费用，发包人可按合同</w:t>
      </w:r>
      <w:r>
        <w:rPr>
          <w:rFonts w:ascii="宋体" w:hAnsi="宋体" w:eastAsia="宋体" w:cs="宋体"/>
          <w:color w:val="auto"/>
          <w:spacing w:val="10"/>
          <w:sz w:val="20"/>
          <w:szCs w:val="20"/>
          <w:highlight w:val="none"/>
        </w:rPr>
        <w:t>约定从保证金或银行保函中扣除，费用超出保证金额的，</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发包人可按合同约定向承包人进行索赔。承包人维修并承担相应费用后，不免除对工程的损失赔偿责任。</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发包人有权要求承包人延长缺陷责任期，并应在原缺陷责任期届满前发出延长通知。但缺陷责任期（含</w:t>
      </w:r>
      <w:r>
        <w:rPr>
          <w:rFonts w:ascii="宋体" w:hAnsi="宋体" w:eastAsia="宋体" w:cs="宋体"/>
          <w:color w:val="auto"/>
          <w:spacing w:val="6"/>
          <w:sz w:val="20"/>
          <w:szCs w:val="20"/>
          <w:highlight w:val="none"/>
        </w:rPr>
        <w:t xml:space="preserve"> 延长部分）最长不能超过</w:t>
      </w:r>
      <w:r>
        <w:rPr>
          <w:rFonts w:ascii="宋体" w:hAnsi="宋体" w:eastAsia="宋体" w:cs="宋体"/>
          <w:color w:val="auto"/>
          <w:spacing w:val="-24"/>
          <w:sz w:val="20"/>
          <w:szCs w:val="20"/>
          <w:highlight w:val="none"/>
        </w:rPr>
        <w:t xml:space="preserve"> </w:t>
      </w:r>
      <w:r>
        <w:rPr>
          <w:rFonts w:ascii="宋体" w:hAnsi="宋体" w:eastAsia="宋体" w:cs="宋体"/>
          <w:color w:val="auto"/>
          <w:spacing w:val="6"/>
          <w:sz w:val="20"/>
          <w:szCs w:val="20"/>
          <w:highlight w:val="none"/>
        </w:rPr>
        <w:t>24</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个月。</w:t>
      </w:r>
    </w:p>
    <w:p w14:paraId="3811ED3E">
      <w:pPr>
        <w:spacing w:before="2" w:line="433" w:lineRule="auto"/>
        <w:ind w:left="19" w:right="72" w:firstLine="43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由他人原因造成的缺陷，发包人负责组织维修，承包</w:t>
      </w:r>
      <w:r>
        <w:rPr>
          <w:rFonts w:ascii="宋体" w:hAnsi="宋体" w:eastAsia="宋体" w:cs="宋体"/>
          <w:color w:val="auto"/>
          <w:spacing w:val="9"/>
          <w:sz w:val="20"/>
          <w:szCs w:val="20"/>
          <w:highlight w:val="none"/>
        </w:rPr>
        <w:t>人不承担费用，且发包人不得从保证金中扣除</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rPr>
        <w:t>费用。</w:t>
      </w:r>
    </w:p>
    <w:p w14:paraId="302E6E37">
      <w:pPr>
        <w:spacing w:line="433" w:lineRule="auto"/>
        <w:rPr>
          <w:rFonts w:ascii="宋体" w:hAnsi="宋体" w:eastAsia="宋体" w:cs="宋体"/>
          <w:color w:val="auto"/>
          <w:sz w:val="20"/>
          <w:szCs w:val="20"/>
          <w:highlight w:val="none"/>
        </w:rPr>
        <w:sectPr>
          <w:headerReference r:id="rId171" w:type="default"/>
          <w:footerReference r:id="rId172" w:type="default"/>
          <w:pgSz w:w="11906" w:h="16839"/>
          <w:pgMar w:top="1091" w:right="1149" w:bottom="1158" w:left="1219" w:header="1076" w:footer="922" w:gutter="0"/>
          <w:cols w:space="720" w:num="1"/>
        </w:sectPr>
      </w:pPr>
    </w:p>
    <w:p w14:paraId="75406ACF">
      <w:pPr>
        <w:spacing w:before="256" w:line="330" w:lineRule="auto"/>
        <w:ind w:left="9" w:right="2" w:firstLine="4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15.2.3 任何一项缺陷或损坏修复后，经检查证明其影响了工程或工程设备的使用</w:t>
      </w:r>
      <w:r>
        <w:rPr>
          <w:rFonts w:ascii="宋体" w:hAnsi="宋体" w:eastAsia="宋体" w:cs="宋体"/>
          <w:color w:val="auto"/>
          <w:spacing w:val="6"/>
          <w:sz w:val="20"/>
          <w:szCs w:val="20"/>
          <w:highlight w:val="none"/>
        </w:rPr>
        <w:t>性能，承包人应重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新进行合同约定的试验和试运行，试验和试运行的全部费用应由责任方承担。</w:t>
      </w:r>
    </w:p>
    <w:p w14:paraId="30B3D4B2">
      <w:pPr>
        <w:spacing w:before="220" w:line="381" w:lineRule="auto"/>
        <w:ind w:left="11" w:firstLine="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15.2.4 除专用合同条款另有约定外，承包人应于缺陷责任期届满后</w:t>
      </w:r>
      <w:r>
        <w:rPr>
          <w:rFonts w:ascii="宋体" w:hAnsi="宋体" w:eastAsia="宋体" w:cs="宋体"/>
          <w:color w:val="auto"/>
          <w:spacing w:val="-25"/>
          <w:sz w:val="20"/>
          <w:szCs w:val="20"/>
          <w:highlight w:val="none"/>
        </w:rPr>
        <w:t xml:space="preserve"> </w:t>
      </w:r>
      <w:r>
        <w:rPr>
          <w:rFonts w:ascii="宋体" w:hAnsi="宋体" w:eastAsia="宋体" w:cs="宋体"/>
          <w:color w:val="auto"/>
          <w:spacing w:val="6"/>
          <w:sz w:val="20"/>
          <w:szCs w:val="20"/>
          <w:highlight w:val="none"/>
        </w:rPr>
        <w:t>7</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天内向发包人发出缺陷责任期</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届满通知，发包人应在收到缺陷责任期满通知后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天内核实承包人是否履行</w:t>
      </w:r>
      <w:r>
        <w:rPr>
          <w:rFonts w:ascii="宋体" w:hAnsi="宋体" w:eastAsia="宋体" w:cs="宋体"/>
          <w:color w:val="auto"/>
          <w:spacing w:val="6"/>
          <w:sz w:val="20"/>
          <w:szCs w:val="20"/>
          <w:highlight w:val="none"/>
        </w:rPr>
        <w:t>缺陷修复义务，承包人未能</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履行缺陷修复义务的，发包人有权扣除相应金额的维修费用。发包人应在收到缺陷责任期届满通知后</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天内，向承包人颁发缺陷责任期终止证书。</w:t>
      </w:r>
    </w:p>
    <w:p w14:paraId="6C38CA9A">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15.3 质量保证金</w:t>
      </w:r>
    </w:p>
    <w:p w14:paraId="0E65F855">
      <w:pPr>
        <w:spacing w:before="220"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经合同当事人协商一致扣留质量保证金的，应在专用合同条款中予以明确。</w:t>
      </w:r>
    </w:p>
    <w:p w14:paraId="3AC01D06">
      <w:pPr>
        <w:spacing w:before="220" w:line="228"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在工程项目竣工前，承包人已经提供履约担保的，发包人不得同时预留工程质量保证金。</w:t>
      </w:r>
    </w:p>
    <w:p w14:paraId="41F9AF0A">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15.3.1 承包人提供质量保证金的方式</w:t>
      </w:r>
    </w:p>
    <w:p w14:paraId="20A4F933">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承包人提供质量保证金有以下三种方式：</w:t>
      </w:r>
    </w:p>
    <w:p w14:paraId="1EFB97FC">
      <w:pPr>
        <w:spacing w:before="221" w:line="229"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（1）质量保证金保函；</w:t>
      </w:r>
    </w:p>
    <w:p w14:paraId="4C7FA2A9">
      <w:pPr>
        <w:spacing w:before="220" w:line="229"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（2）相应比例的工程款；</w:t>
      </w:r>
    </w:p>
    <w:p w14:paraId="2E1BFB1E">
      <w:pPr>
        <w:spacing w:before="220" w:line="229"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（3）双方约定的其他方式。</w:t>
      </w:r>
    </w:p>
    <w:p w14:paraId="7ADA1320">
      <w:pPr>
        <w:spacing w:before="219"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除专用合同条款另有约定外，质量保证金原则上采用上述第</w:t>
      </w:r>
      <w:r>
        <w:rPr>
          <w:rFonts w:ascii="宋体" w:hAnsi="宋体" w:eastAsia="宋体" w:cs="宋体"/>
          <w:color w:val="auto"/>
          <w:spacing w:val="8"/>
          <w:sz w:val="20"/>
          <w:szCs w:val="20"/>
          <w:highlight w:val="none"/>
        </w:rPr>
        <w:t>（1）种方式。</w:t>
      </w:r>
    </w:p>
    <w:p w14:paraId="15018BA5">
      <w:pPr>
        <w:spacing w:before="222"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15.3.2 质量保证金的扣留</w:t>
      </w:r>
    </w:p>
    <w:p w14:paraId="6473BEAE">
      <w:pPr>
        <w:spacing w:before="220" w:line="229"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质量保证金的扣留有以下三种方式：</w:t>
      </w:r>
    </w:p>
    <w:p w14:paraId="7B508759">
      <w:pPr>
        <w:spacing w:before="220" w:line="329" w:lineRule="auto"/>
        <w:ind w:left="28" w:right="1" w:firstLine="40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（1）在支付工程进度款时逐次扣留，在此情形下，质量保证金的计算基数不包括预付款的支付、扣</w:t>
      </w:r>
      <w:r>
        <w:rPr>
          <w:rFonts w:ascii="宋体" w:hAnsi="宋体" w:eastAsia="宋体" w:cs="宋体"/>
          <w:color w:val="auto"/>
          <w:spacing w:val="18"/>
          <w:sz w:val="20"/>
          <w:szCs w:val="20"/>
          <w:highlight w:val="none"/>
        </w:rPr>
        <w:t xml:space="preserve"> </w:t>
      </w:r>
      <w:r>
        <w:rPr>
          <w:rFonts w:ascii="宋体" w:hAnsi="宋体" w:eastAsia="宋体" w:cs="宋体"/>
          <w:color w:val="auto"/>
          <w:spacing w:val="6"/>
          <w:sz w:val="20"/>
          <w:szCs w:val="20"/>
          <w:highlight w:val="none"/>
        </w:rPr>
        <w:t>回以及价格调整的金额；</w:t>
      </w:r>
    </w:p>
    <w:p w14:paraId="3EFBF3B6">
      <w:pPr>
        <w:spacing w:before="223"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（2）工程竣工结算时一次性扣留质量保证金；</w:t>
      </w:r>
    </w:p>
    <w:p w14:paraId="500E03C8">
      <w:pPr>
        <w:spacing w:before="221" w:line="229"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（3）双方约定的其他扣留方式。</w:t>
      </w:r>
    </w:p>
    <w:p w14:paraId="5247ED0D">
      <w:pPr>
        <w:spacing w:before="219"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除专用合同条款另有约定外，质量保证金的扣留原则上采用上述第（1）种</w:t>
      </w:r>
      <w:r>
        <w:rPr>
          <w:rFonts w:ascii="宋体" w:hAnsi="宋体" w:eastAsia="宋体" w:cs="宋体"/>
          <w:color w:val="auto"/>
          <w:spacing w:val="8"/>
          <w:sz w:val="20"/>
          <w:szCs w:val="20"/>
          <w:highlight w:val="none"/>
        </w:rPr>
        <w:t>方式。</w:t>
      </w:r>
    </w:p>
    <w:p w14:paraId="339EF1B5">
      <w:pPr>
        <w:spacing w:before="222" w:line="432" w:lineRule="auto"/>
        <w:ind w:left="7" w:right="2" w:firstLine="42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发包人累计扣留的质量保证金不得超过工程价款结算总额的</w:t>
      </w:r>
      <w:r>
        <w:rPr>
          <w:rFonts w:ascii="宋体" w:hAnsi="宋体" w:eastAsia="宋体" w:cs="宋体"/>
          <w:color w:val="auto"/>
          <w:spacing w:val="-19"/>
          <w:sz w:val="20"/>
          <w:szCs w:val="20"/>
          <w:highlight w:val="none"/>
        </w:rPr>
        <w:t xml:space="preserve"> </w:t>
      </w:r>
      <w:r>
        <w:rPr>
          <w:rFonts w:ascii="宋体" w:hAnsi="宋体" w:eastAsia="宋体" w:cs="宋体"/>
          <w:color w:val="auto"/>
          <w:spacing w:val="8"/>
          <w:sz w:val="20"/>
          <w:szCs w:val="20"/>
          <w:highlight w:val="none"/>
        </w:rPr>
        <w:t>3%。如承包人在发包人签发竣工付款证</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书后</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天内提交质量保证金保函，发包人应同时退还扣留的作为质量保证金的工程价款；保函金额不得</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超过工程价款结算总额的</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rPr>
        <w:t>3%。</w:t>
      </w:r>
    </w:p>
    <w:p w14:paraId="4B9C90C2">
      <w:pPr>
        <w:spacing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发包人在退还质量保证金的同时按照中国人民银行发布的同期同类贷款基准利率支付利息。</w:t>
      </w:r>
    </w:p>
    <w:p w14:paraId="40654E95">
      <w:pPr>
        <w:spacing w:before="222"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15.3.3 质量保证金的退还</w:t>
      </w:r>
    </w:p>
    <w:p w14:paraId="62A19082">
      <w:pPr>
        <w:spacing w:before="220" w:line="228" w:lineRule="auto"/>
        <w:ind w:left="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缺陷责任期内，承包人认真履行合同约定的责任</w:t>
      </w:r>
      <w:r>
        <w:rPr>
          <w:rFonts w:ascii="宋体" w:hAnsi="宋体" w:eastAsia="宋体" w:cs="宋体"/>
          <w:color w:val="auto"/>
          <w:spacing w:val="9"/>
          <w:sz w:val="20"/>
          <w:szCs w:val="20"/>
          <w:highlight w:val="none"/>
        </w:rPr>
        <w:t>，到期后，承包人可向发包人申请返还保证金。</w:t>
      </w:r>
    </w:p>
    <w:p w14:paraId="31922CD5">
      <w:pPr>
        <w:spacing w:before="221" w:line="433" w:lineRule="auto"/>
        <w:ind w:left="10" w:right="1"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发包人在接到承包人返还保证金申请后，应于</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天内会同</w:t>
      </w:r>
      <w:r>
        <w:rPr>
          <w:rFonts w:ascii="宋体" w:hAnsi="宋体" w:eastAsia="宋体" w:cs="宋体"/>
          <w:color w:val="auto"/>
          <w:spacing w:val="6"/>
          <w:sz w:val="20"/>
          <w:szCs w:val="20"/>
          <w:highlight w:val="none"/>
        </w:rPr>
        <w:t>承包人按照合同约定的内容进行核实。如</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无异议，发包人应当按照约定将保证金返还给承包人。对返还期限没有约定或者约定不明确的，发包人</w:t>
      </w:r>
    </w:p>
    <w:p w14:paraId="31313EE7">
      <w:pPr>
        <w:spacing w:line="433" w:lineRule="auto"/>
        <w:rPr>
          <w:rFonts w:ascii="宋体" w:hAnsi="宋体" w:eastAsia="宋体" w:cs="宋体"/>
          <w:color w:val="auto"/>
          <w:sz w:val="20"/>
          <w:szCs w:val="20"/>
          <w:highlight w:val="none"/>
        </w:rPr>
        <w:sectPr>
          <w:headerReference r:id="rId173" w:type="default"/>
          <w:footerReference r:id="rId174" w:type="default"/>
          <w:pgSz w:w="11906" w:h="16839"/>
          <w:pgMar w:top="1091" w:right="1219" w:bottom="1158" w:left="1219" w:header="1076" w:footer="922" w:gutter="0"/>
          <w:cols w:space="720" w:num="1"/>
        </w:sectPr>
      </w:pPr>
    </w:p>
    <w:p w14:paraId="57C3F4AA">
      <w:pPr>
        <w:spacing w:before="256" w:line="432" w:lineRule="auto"/>
        <w:ind w:left="7" w:right="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应当在核实后</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天内将保证金返还承包人，逾期未返还的，依法承担违约责任。发包</w:t>
      </w:r>
      <w:r>
        <w:rPr>
          <w:rFonts w:ascii="宋体" w:hAnsi="宋体" w:eastAsia="宋体" w:cs="宋体"/>
          <w:color w:val="auto"/>
          <w:spacing w:val="6"/>
          <w:sz w:val="20"/>
          <w:szCs w:val="20"/>
          <w:highlight w:val="none"/>
        </w:rPr>
        <w:t>人在接到承包人返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还保证金申请后</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天内不予答复，经催告后</w:t>
      </w:r>
      <w:r>
        <w:rPr>
          <w:rFonts w:ascii="宋体" w:hAnsi="宋体" w:eastAsia="宋体" w:cs="宋体"/>
          <w:color w:val="auto"/>
          <w:spacing w:val="-24"/>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天内</w:t>
      </w:r>
      <w:r>
        <w:rPr>
          <w:rFonts w:ascii="宋体" w:hAnsi="宋体" w:eastAsia="宋体" w:cs="宋体"/>
          <w:color w:val="auto"/>
          <w:spacing w:val="7"/>
          <w:sz w:val="20"/>
          <w:szCs w:val="20"/>
          <w:highlight w:val="none"/>
        </w:rPr>
        <w:t>仍不予答复，视同认可承包人的返还保证金申请。</w:t>
      </w:r>
    </w:p>
    <w:p w14:paraId="3E6504DB">
      <w:pPr>
        <w:spacing w:before="2" w:line="431" w:lineRule="auto"/>
        <w:ind w:left="10" w:right="2"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发包人和承包人对保证金预留、返还以及工程维修质量、费用有争议的，按本合同第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20</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条约定的争</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议和纠纷解决程序处理。</w:t>
      </w:r>
    </w:p>
    <w:p w14:paraId="44C2928B">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15.4</w:t>
      </w:r>
      <w:r>
        <w:rPr>
          <w:rFonts w:ascii="宋体" w:hAnsi="宋体" w:eastAsia="宋体" w:cs="宋体"/>
          <w:color w:val="auto"/>
          <w:spacing w:val="13"/>
          <w:sz w:val="20"/>
          <w:szCs w:val="20"/>
          <w:highlight w:val="none"/>
        </w:rPr>
        <w:t xml:space="preserve"> </w:t>
      </w:r>
      <w:r>
        <w:rPr>
          <w:rFonts w:ascii="宋体" w:hAnsi="宋体" w:eastAsia="宋体" w:cs="宋体"/>
          <w:color w:val="auto"/>
          <w:spacing w:val="1"/>
          <w:sz w:val="20"/>
          <w:szCs w:val="20"/>
          <w:highlight w:val="none"/>
        </w:rPr>
        <w:t>保修</w:t>
      </w:r>
    </w:p>
    <w:p w14:paraId="26B6A9B3">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15.4.1</w:t>
      </w:r>
      <w:r>
        <w:rPr>
          <w:rFonts w:ascii="宋体" w:hAnsi="宋体" w:eastAsia="宋体" w:cs="宋体"/>
          <w:color w:val="auto"/>
          <w:spacing w:val="-36"/>
          <w:sz w:val="20"/>
          <w:szCs w:val="20"/>
          <w:highlight w:val="none"/>
        </w:rPr>
        <w:t xml:space="preserve"> </w:t>
      </w:r>
      <w:r>
        <w:rPr>
          <w:rFonts w:ascii="宋体" w:hAnsi="宋体" w:eastAsia="宋体" w:cs="宋体"/>
          <w:color w:val="auto"/>
          <w:spacing w:val="3"/>
          <w:sz w:val="20"/>
          <w:szCs w:val="20"/>
          <w:highlight w:val="none"/>
        </w:rPr>
        <w:t>保修责任</w:t>
      </w:r>
    </w:p>
    <w:p w14:paraId="28FD84C8">
      <w:pPr>
        <w:spacing w:before="220" w:line="432" w:lineRule="auto"/>
        <w:ind w:left="9" w:right="2"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工程保修期从工程竣工验收合格之日起算，具体分部分项工程的保修期由合同当事人在专用合同条</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rPr>
        <w:t>款中约定，但不得低于法定最低保修年限。在工程保修期内，承包人应当根据有关法律规定以及合同约</w:t>
      </w:r>
      <w:r>
        <w:rPr>
          <w:rFonts w:ascii="宋体" w:hAnsi="宋体" w:eastAsia="宋体" w:cs="宋体"/>
          <w:color w:val="auto"/>
          <w:spacing w:val="5"/>
          <w:sz w:val="20"/>
          <w:szCs w:val="20"/>
          <w:highlight w:val="none"/>
        </w:rPr>
        <w:t xml:space="preserve"> </w:t>
      </w:r>
      <w:r>
        <w:rPr>
          <w:rFonts w:ascii="宋体" w:hAnsi="宋体" w:eastAsia="宋体" w:cs="宋体"/>
          <w:color w:val="auto"/>
          <w:spacing w:val="7"/>
          <w:sz w:val="20"/>
          <w:szCs w:val="20"/>
          <w:highlight w:val="none"/>
        </w:rPr>
        <w:t>定承担保修责任。</w:t>
      </w:r>
    </w:p>
    <w:p w14:paraId="79FB0A36">
      <w:pPr>
        <w:spacing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发包人未经竣工验收擅自使用工程的，保修期自转移占有之日起算。</w:t>
      </w:r>
    </w:p>
    <w:p w14:paraId="5FFEAE08">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15.4.2 修复费用</w:t>
      </w:r>
    </w:p>
    <w:p w14:paraId="0CB7A81E">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保修期内，修复的费用按照以下约定处理：</w:t>
      </w:r>
    </w:p>
    <w:p w14:paraId="4BD1696C">
      <w:pPr>
        <w:spacing w:before="221" w:line="330" w:lineRule="auto"/>
        <w:ind w:left="24" w:right="2"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（1）保修期内，因承包人原因造成工程的缺陷、损坏，承包人应负责修复，并承担修复的费用以及</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因工程的缺陷、损坏造成的人身伤害和财产损失；</w:t>
      </w:r>
    </w:p>
    <w:p w14:paraId="13309384">
      <w:pPr>
        <w:spacing w:before="221" w:line="330" w:lineRule="auto"/>
        <w:ind w:left="8" w:right="2"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（2）保修期内，因发包人使用不当造成工程的缺陷、损坏，可以委托承包人修复，但发包人应承担</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修复的费用，并支付承包人合理利润；</w:t>
      </w:r>
    </w:p>
    <w:p w14:paraId="34EAD78C">
      <w:pPr>
        <w:spacing w:before="221" w:line="330" w:lineRule="auto"/>
        <w:ind w:left="8" w:right="2"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（3）因其他原因造成工程的缺陷、损坏，可以委托承包人修复，发包人应承担修复的费用，并支付</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承包人合理的利润，因工程的缺陷、损坏造成的人身伤害和财产损失由责任方承担。</w:t>
      </w:r>
    </w:p>
    <w:p w14:paraId="2231F588">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15.4.3 修复通知</w:t>
      </w:r>
    </w:p>
    <w:p w14:paraId="168C616F">
      <w:pPr>
        <w:spacing w:before="220" w:line="432" w:lineRule="auto"/>
        <w:ind w:left="8" w:right="2"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在保修期内，发包人在使用过程中，发现已接收的工程存在缺陷或损坏的，应书面通知承包人予以</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修复，但情况紧急必须立即修复缺陷或损坏的</w:t>
      </w:r>
      <w:r>
        <w:rPr>
          <w:rFonts w:ascii="宋体" w:hAnsi="宋体" w:eastAsia="宋体" w:cs="宋体"/>
          <w:color w:val="auto"/>
          <w:spacing w:val="8"/>
          <w:sz w:val="20"/>
          <w:szCs w:val="20"/>
          <w:highlight w:val="none"/>
        </w:rPr>
        <w:t>，发包人可以口头通知承包人并在口头通知后48</w:t>
      </w:r>
      <w:r>
        <w:rPr>
          <w:rFonts w:ascii="宋体" w:hAnsi="宋体" w:eastAsia="宋体" w:cs="宋体"/>
          <w:color w:val="auto"/>
          <w:spacing w:val="-32"/>
          <w:sz w:val="20"/>
          <w:szCs w:val="20"/>
          <w:highlight w:val="none"/>
        </w:rPr>
        <w:t xml:space="preserve"> </w:t>
      </w:r>
      <w:r>
        <w:rPr>
          <w:rFonts w:ascii="宋体" w:hAnsi="宋体" w:eastAsia="宋体" w:cs="宋体"/>
          <w:color w:val="auto"/>
          <w:spacing w:val="8"/>
          <w:sz w:val="20"/>
          <w:szCs w:val="20"/>
          <w:highlight w:val="none"/>
        </w:rPr>
        <w:t>小时内书</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面确认，承包人应在专用合同条款约定的合理期限内到达工程现场并修复缺陷或损坏。</w:t>
      </w:r>
    </w:p>
    <w:p w14:paraId="58C0B480">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15.4.4</w:t>
      </w:r>
      <w:r>
        <w:rPr>
          <w:rFonts w:ascii="宋体" w:hAnsi="宋体" w:eastAsia="宋体" w:cs="宋体"/>
          <w:color w:val="auto"/>
          <w:spacing w:val="17"/>
          <w:sz w:val="20"/>
          <w:szCs w:val="20"/>
          <w:highlight w:val="none"/>
        </w:rPr>
        <w:t xml:space="preserve"> </w:t>
      </w:r>
      <w:r>
        <w:rPr>
          <w:rFonts w:ascii="宋体" w:hAnsi="宋体" w:eastAsia="宋体" w:cs="宋体"/>
          <w:color w:val="auto"/>
          <w:spacing w:val="3"/>
          <w:sz w:val="20"/>
          <w:szCs w:val="20"/>
          <w:highlight w:val="none"/>
        </w:rPr>
        <w:t>未能修复</w:t>
      </w:r>
    </w:p>
    <w:p w14:paraId="5FF2A229">
      <w:pPr>
        <w:spacing w:before="220" w:line="432" w:lineRule="auto"/>
        <w:ind w:left="11" w:right="2" w:firstLine="43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因承包人原因造成工程的缺陷或损坏，承包人拒绝维修或未能在合理期限</w:t>
      </w:r>
      <w:r>
        <w:rPr>
          <w:rFonts w:ascii="宋体" w:hAnsi="宋体" w:eastAsia="宋体" w:cs="宋体"/>
          <w:color w:val="auto"/>
          <w:spacing w:val="9"/>
          <w:sz w:val="20"/>
          <w:szCs w:val="20"/>
          <w:highlight w:val="none"/>
        </w:rPr>
        <w:t>内修复缺陷或损坏，且经</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发包人书面催告后仍未修复的，发包人有权自行修复或委托第三方修复，所需费用由承包人承担。但修</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复范围超出缺陷或损坏范围的，超出范围部分的修复费用由发包人承担。</w:t>
      </w:r>
    </w:p>
    <w:p w14:paraId="011BEEA5">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15.4.5 承包人出入权</w:t>
      </w:r>
    </w:p>
    <w:p w14:paraId="6D9E9C13">
      <w:pPr>
        <w:spacing w:before="220" w:line="433" w:lineRule="auto"/>
        <w:ind w:left="8" w:right="1"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在保修期内，为了修复缺陷或损坏，承包人有权出入工程现场，除情况紧急必须立即修复缺陷或损</w:t>
      </w:r>
      <w:r>
        <w:rPr>
          <w:rFonts w:ascii="宋体" w:hAnsi="宋体" w:eastAsia="宋体" w:cs="宋体"/>
          <w:color w:val="auto"/>
          <w:spacing w:val="7"/>
          <w:sz w:val="20"/>
          <w:szCs w:val="20"/>
          <w:highlight w:val="none"/>
        </w:rPr>
        <w:t xml:space="preserve"> 坏外，承包人应提前</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24</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小时通知发包人进场修复的时间。承包人进入工程现场前应获得发包人同意，且</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不应影响发包人正常的生产经营，并应遵守发包人有关保安和保密等规定。</w:t>
      </w:r>
    </w:p>
    <w:p w14:paraId="0380438C">
      <w:pPr>
        <w:spacing w:line="433" w:lineRule="auto"/>
        <w:rPr>
          <w:rFonts w:ascii="宋体" w:hAnsi="宋体" w:eastAsia="宋体" w:cs="宋体"/>
          <w:color w:val="auto"/>
          <w:sz w:val="20"/>
          <w:szCs w:val="20"/>
          <w:highlight w:val="none"/>
        </w:rPr>
        <w:sectPr>
          <w:footerReference r:id="rId175" w:type="default"/>
          <w:pgSz w:w="11906" w:h="16839"/>
          <w:pgMar w:top="1091" w:right="1219" w:bottom="1158" w:left="1219" w:header="1076" w:footer="922" w:gutter="0"/>
          <w:cols w:space="720" w:num="1"/>
        </w:sectPr>
      </w:pPr>
    </w:p>
    <w:p w14:paraId="586EA52E">
      <w:pPr>
        <w:spacing w:before="256" w:line="233" w:lineRule="auto"/>
        <w:ind w:left="443"/>
        <w:rPr>
          <w:rFonts w:ascii="宋体" w:hAnsi="宋体" w:eastAsia="宋体" w:cs="宋体"/>
          <w:color w:val="auto"/>
          <w:sz w:val="20"/>
          <w:szCs w:val="20"/>
          <w:highlight w:val="none"/>
        </w:rPr>
      </w:pPr>
      <w:r>
        <w:rPr>
          <w:rFonts w:ascii="宋体" w:hAnsi="宋体" w:eastAsia="宋体" w:cs="宋体"/>
          <w:color w:val="auto"/>
          <w:sz w:val="20"/>
          <w:szCs w:val="20"/>
          <w:highlight w:val="none"/>
        </w:rPr>
        <w:t>16.</w:t>
      </w:r>
      <w:r>
        <w:rPr>
          <w:rFonts w:ascii="宋体" w:hAnsi="宋体" w:eastAsia="宋体" w:cs="宋体"/>
          <w:color w:val="auto"/>
          <w:spacing w:val="13"/>
          <w:sz w:val="20"/>
          <w:szCs w:val="20"/>
          <w:highlight w:val="none"/>
        </w:rPr>
        <w:t xml:space="preserve"> </w:t>
      </w:r>
      <w:r>
        <w:rPr>
          <w:rFonts w:ascii="宋体" w:hAnsi="宋体" w:eastAsia="宋体" w:cs="宋体"/>
          <w:color w:val="auto"/>
          <w:sz w:val="20"/>
          <w:szCs w:val="20"/>
          <w:highlight w:val="none"/>
        </w:rPr>
        <w:t>违约</w:t>
      </w:r>
    </w:p>
    <w:p w14:paraId="53BBF2F4">
      <w:pPr>
        <w:spacing w:before="215"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16.1 发包人违约</w:t>
      </w:r>
    </w:p>
    <w:p w14:paraId="067EBEEC">
      <w:pPr>
        <w:spacing w:before="219"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16.1.1 发包人违约的情形</w:t>
      </w:r>
    </w:p>
    <w:p w14:paraId="45F36E2B">
      <w:pPr>
        <w:spacing w:before="220" w:line="229"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在合同履行过程中发生的下列情形，属于发包人违约：</w:t>
      </w:r>
    </w:p>
    <w:p w14:paraId="60B667AD">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（1）因发包人原因未能在计划开工日期前</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3"/>
          <w:sz w:val="20"/>
          <w:szCs w:val="20"/>
          <w:highlight w:val="none"/>
        </w:rPr>
        <w:t xml:space="preserve"> </w:t>
      </w:r>
      <w:r>
        <w:rPr>
          <w:rFonts w:ascii="宋体" w:hAnsi="宋体" w:eastAsia="宋体" w:cs="宋体"/>
          <w:color w:val="auto"/>
          <w:spacing w:val="8"/>
          <w:sz w:val="20"/>
          <w:szCs w:val="20"/>
          <w:highlight w:val="none"/>
        </w:rPr>
        <w:t>天</w:t>
      </w:r>
      <w:r>
        <w:rPr>
          <w:rFonts w:ascii="宋体" w:hAnsi="宋体" w:eastAsia="宋体" w:cs="宋体"/>
          <w:color w:val="auto"/>
          <w:spacing w:val="7"/>
          <w:sz w:val="20"/>
          <w:szCs w:val="20"/>
          <w:highlight w:val="none"/>
        </w:rPr>
        <w:t>内下达开工通知的；</w:t>
      </w:r>
    </w:p>
    <w:p w14:paraId="51CB1E6E">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（2）因发包人原因未能按合同约定支付合同价款的；</w:t>
      </w:r>
    </w:p>
    <w:p w14:paraId="21FEF03C">
      <w:pPr>
        <w:spacing w:before="223" w:line="331" w:lineRule="auto"/>
        <w:ind w:left="25" w:right="87" w:firstLine="41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（3）发包人违反第</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10.1</w:t>
      </w:r>
      <w:r>
        <w:rPr>
          <w:rFonts w:ascii="宋体" w:hAnsi="宋体" w:eastAsia="宋体" w:cs="宋体"/>
          <w:color w:val="auto"/>
          <w:spacing w:val="-39"/>
          <w:sz w:val="20"/>
          <w:szCs w:val="20"/>
          <w:highlight w:val="none"/>
        </w:rPr>
        <w:t xml:space="preserve"> </w:t>
      </w:r>
      <w:r>
        <w:rPr>
          <w:rFonts w:ascii="宋体" w:hAnsi="宋体" w:eastAsia="宋体" w:cs="宋体"/>
          <w:color w:val="auto"/>
          <w:spacing w:val="6"/>
          <w:sz w:val="20"/>
          <w:szCs w:val="20"/>
          <w:highlight w:val="none"/>
        </w:rPr>
        <w:t>款〔变更的范围〕第（2）项约定，自行实施被取消的工作或转由他人实施</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w:t>
      </w:r>
    </w:p>
    <w:p w14:paraId="214DECA2">
      <w:pPr>
        <w:spacing w:before="218" w:line="330" w:lineRule="auto"/>
        <w:ind w:left="44" w:right="87" w:firstLine="39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（4）发包人提供的材料、工程设备的规格、数量或质量不符合合同约定，或因发包人原因导致交货</w:t>
      </w:r>
      <w:r>
        <w:rPr>
          <w:rFonts w:ascii="宋体" w:hAnsi="宋体" w:eastAsia="宋体" w:cs="宋体"/>
          <w:color w:val="auto"/>
          <w:spacing w:val="18"/>
          <w:sz w:val="20"/>
          <w:szCs w:val="20"/>
          <w:highlight w:val="none"/>
        </w:rPr>
        <w:t xml:space="preserve"> </w:t>
      </w:r>
      <w:r>
        <w:rPr>
          <w:rFonts w:ascii="宋体" w:hAnsi="宋体" w:eastAsia="宋体" w:cs="宋体"/>
          <w:color w:val="auto"/>
          <w:spacing w:val="6"/>
          <w:sz w:val="20"/>
          <w:szCs w:val="20"/>
          <w:highlight w:val="none"/>
        </w:rPr>
        <w:t>日期延误或交货地点变更等情况的；</w:t>
      </w:r>
    </w:p>
    <w:p w14:paraId="17B28803">
      <w:pPr>
        <w:spacing w:before="221" w:line="229"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（5）因发包人违反合同约定造成暂停施工的；</w:t>
      </w:r>
    </w:p>
    <w:p w14:paraId="56569A93">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（6）发包人无正当理由没有在约定期限内发出复工指示，导致承包人无法复工的；</w:t>
      </w:r>
    </w:p>
    <w:p w14:paraId="52978200">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（7）发包人明确表示或者以其行为表明不履</w:t>
      </w:r>
      <w:r>
        <w:rPr>
          <w:rFonts w:ascii="宋体" w:hAnsi="宋体" w:eastAsia="宋体" w:cs="宋体"/>
          <w:color w:val="auto"/>
          <w:spacing w:val="8"/>
          <w:sz w:val="20"/>
          <w:szCs w:val="20"/>
          <w:highlight w:val="none"/>
        </w:rPr>
        <w:t>行合同主要义务的；</w:t>
      </w:r>
    </w:p>
    <w:p w14:paraId="26AA6732">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（8）发包人未能按照合同约定履行其他义务的。</w:t>
      </w:r>
    </w:p>
    <w:p w14:paraId="66746B0C">
      <w:pPr>
        <w:spacing w:before="220" w:line="432" w:lineRule="auto"/>
        <w:ind w:left="7" w:right="87" w:firstLine="424"/>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发包人发生除本项第（7）目以外的违约情况时，承包人</w:t>
      </w:r>
      <w:r>
        <w:rPr>
          <w:rFonts w:ascii="宋体" w:hAnsi="宋体" w:eastAsia="宋体" w:cs="宋体"/>
          <w:color w:val="auto"/>
          <w:spacing w:val="7"/>
          <w:sz w:val="20"/>
          <w:szCs w:val="20"/>
          <w:highlight w:val="none"/>
        </w:rPr>
        <w:t>可向发包人发出通知，要求发包人采取有效</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措施纠正违约行为。发包人收到承包人通知后</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天内仍不纠正违约行为的，承包人有权暂停相应部位工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程施工，并通知监理人。</w:t>
      </w:r>
    </w:p>
    <w:p w14:paraId="2516CA57">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16.1.2 发包人违约的责任</w:t>
      </w:r>
    </w:p>
    <w:p w14:paraId="3B3E4CAC">
      <w:pPr>
        <w:spacing w:before="220" w:line="432" w:lineRule="auto"/>
        <w:ind w:left="9" w:right="31" w:firstLine="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发包人应承担因其违约给承包人增加的费用和（或）延误</w:t>
      </w:r>
      <w:r>
        <w:rPr>
          <w:rFonts w:ascii="宋体" w:hAnsi="宋体" w:eastAsia="宋体" w:cs="宋体"/>
          <w:color w:val="auto"/>
          <w:spacing w:val="6"/>
          <w:sz w:val="20"/>
          <w:szCs w:val="20"/>
          <w:highlight w:val="none"/>
        </w:rPr>
        <w:t>的工期，并支付承包人合理的利润。此外，</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合同当事人可在专用合同条款中另行约定发包人违约责任的承担方式和计算方法。</w:t>
      </w:r>
    </w:p>
    <w:p w14:paraId="00430BD8">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16.1.3</w:t>
      </w:r>
      <w:r>
        <w:rPr>
          <w:rFonts w:ascii="宋体" w:hAnsi="宋体" w:eastAsia="宋体" w:cs="宋体"/>
          <w:color w:val="auto"/>
          <w:spacing w:val="43"/>
          <w:sz w:val="20"/>
          <w:szCs w:val="20"/>
          <w:highlight w:val="none"/>
        </w:rPr>
        <w:t xml:space="preserve"> </w:t>
      </w:r>
      <w:r>
        <w:rPr>
          <w:rFonts w:ascii="宋体" w:hAnsi="宋体" w:eastAsia="宋体" w:cs="宋体"/>
          <w:color w:val="auto"/>
          <w:spacing w:val="4"/>
          <w:sz w:val="20"/>
          <w:szCs w:val="20"/>
          <w:highlight w:val="none"/>
        </w:rPr>
        <w:t>因发包人违约解除合同</w:t>
      </w:r>
    </w:p>
    <w:p w14:paraId="05C56D33">
      <w:pPr>
        <w:spacing w:before="220" w:line="432" w:lineRule="auto"/>
        <w:ind w:left="11" w:firstLine="42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除专用合同条款另有约定外，承包人按第</w:t>
      </w:r>
      <w:r>
        <w:rPr>
          <w:rFonts w:ascii="宋体" w:hAnsi="宋体" w:eastAsia="宋体" w:cs="宋体"/>
          <w:color w:val="auto"/>
          <w:spacing w:val="-19"/>
          <w:sz w:val="20"/>
          <w:szCs w:val="20"/>
          <w:highlight w:val="none"/>
        </w:rPr>
        <w:t xml:space="preserve"> </w:t>
      </w:r>
      <w:r>
        <w:rPr>
          <w:rFonts w:ascii="宋体" w:hAnsi="宋体" w:eastAsia="宋体" w:cs="宋体"/>
          <w:color w:val="auto"/>
          <w:spacing w:val="5"/>
          <w:sz w:val="20"/>
          <w:szCs w:val="20"/>
          <w:highlight w:val="none"/>
        </w:rPr>
        <w:t>16.1.1</w:t>
      </w:r>
      <w:r>
        <w:rPr>
          <w:rFonts w:ascii="宋体" w:hAnsi="宋体" w:eastAsia="宋体" w:cs="宋体"/>
          <w:color w:val="auto"/>
          <w:spacing w:val="-34"/>
          <w:sz w:val="20"/>
          <w:szCs w:val="20"/>
          <w:highlight w:val="none"/>
        </w:rPr>
        <w:t xml:space="preserve"> </w:t>
      </w:r>
      <w:r>
        <w:rPr>
          <w:rFonts w:ascii="宋体" w:hAnsi="宋体" w:eastAsia="宋体" w:cs="宋体"/>
          <w:color w:val="auto"/>
          <w:spacing w:val="5"/>
          <w:sz w:val="20"/>
          <w:szCs w:val="20"/>
          <w:highlight w:val="none"/>
        </w:rPr>
        <w:t>项〔发包人违约的情形〕约定暂停施工满</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天后，</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发包人仍不纠正其违约行为并致使合同目的不能实现的，或出现第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2"/>
          <w:sz w:val="20"/>
          <w:szCs w:val="20"/>
          <w:highlight w:val="none"/>
        </w:rPr>
        <w:t>16.1.1</w:t>
      </w:r>
      <w:r>
        <w:rPr>
          <w:rFonts w:ascii="宋体" w:hAnsi="宋体" w:eastAsia="宋体" w:cs="宋体"/>
          <w:color w:val="auto"/>
          <w:spacing w:val="-35"/>
          <w:sz w:val="20"/>
          <w:szCs w:val="20"/>
          <w:highlight w:val="none"/>
        </w:rPr>
        <w:t xml:space="preserve"> </w:t>
      </w:r>
      <w:r>
        <w:rPr>
          <w:rFonts w:ascii="宋体" w:hAnsi="宋体" w:eastAsia="宋体" w:cs="宋体"/>
          <w:color w:val="auto"/>
          <w:spacing w:val="2"/>
          <w:sz w:val="20"/>
          <w:szCs w:val="20"/>
          <w:highlight w:val="none"/>
        </w:rPr>
        <w:t>项〔发包人违约的情形〕</w:t>
      </w:r>
      <w:r>
        <w:rPr>
          <w:rFonts w:ascii="宋体" w:hAnsi="宋体" w:eastAsia="宋体" w:cs="宋体"/>
          <w:color w:val="auto"/>
          <w:spacing w:val="1"/>
          <w:sz w:val="20"/>
          <w:szCs w:val="20"/>
          <w:highlight w:val="none"/>
        </w:rPr>
        <w:t>第（7）</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目约定的违约情况，承包人有权解除合同，</w:t>
      </w:r>
      <w:r>
        <w:rPr>
          <w:rFonts w:ascii="宋体" w:hAnsi="宋体" w:eastAsia="宋体" w:cs="宋体"/>
          <w:color w:val="auto"/>
          <w:spacing w:val="9"/>
          <w:sz w:val="20"/>
          <w:szCs w:val="20"/>
          <w:highlight w:val="none"/>
        </w:rPr>
        <w:t>发包人应承担由此增加的费用，并支付承包人合理的利润。</w:t>
      </w:r>
    </w:p>
    <w:p w14:paraId="738EA1AB">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16.1.4 因发包人违约解除合同后的付款</w:t>
      </w:r>
    </w:p>
    <w:p w14:paraId="5DB4BE9C">
      <w:pPr>
        <w:spacing w:before="220" w:line="228" w:lineRule="auto"/>
        <w:ind w:right="9"/>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承包人按照本款约定解除合同的，发包人应在解除合同后</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3"/>
          <w:sz w:val="20"/>
          <w:szCs w:val="20"/>
          <w:highlight w:val="none"/>
        </w:rPr>
        <w:t xml:space="preserve"> </w:t>
      </w:r>
      <w:r>
        <w:rPr>
          <w:rFonts w:ascii="宋体" w:hAnsi="宋体" w:eastAsia="宋体" w:cs="宋体"/>
          <w:color w:val="auto"/>
          <w:spacing w:val="9"/>
          <w:sz w:val="20"/>
          <w:szCs w:val="20"/>
          <w:highlight w:val="none"/>
        </w:rPr>
        <w:t>天内支付下</w:t>
      </w:r>
      <w:r>
        <w:rPr>
          <w:rFonts w:ascii="宋体" w:hAnsi="宋体" w:eastAsia="宋体" w:cs="宋体"/>
          <w:color w:val="auto"/>
          <w:spacing w:val="8"/>
          <w:sz w:val="20"/>
          <w:szCs w:val="20"/>
          <w:highlight w:val="none"/>
        </w:rPr>
        <w:t>列款项，并解除履约担保：</w:t>
      </w:r>
    </w:p>
    <w:p w14:paraId="1E91E9D1">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（1）合同解除前所完成工作的价款；</w:t>
      </w:r>
    </w:p>
    <w:p w14:paraId="25FD077B">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（2）承包人为工程施工订购并已付款的材料、工程设备和其他物品的</w:t>
      </w:r>
      <w:r>
        <w:rPr>
          <w:rFonts w:ascii="宋体" w:hAnsi="宋体" w:eastAsia="宋体" w:cs="宋体"/>
          <w:color w:val="auto"/>
          <w:spacing w:val="8"/>
          <w:sz w:val="20"/>
          <w:szCs w:val="20"/>
          <w:highlight w:val="none"/>
        </w:rPr>
        <w:t>价款；</w:t>
      </w:r>
    </w:p>
    <w:p w14:paraId="7F922944">
      <w:pPr>
        <w:spacing w:before="223"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（3）承包人撤离施工现场以及遣散承包人人员的款项；</w:t>
      </w:r>
    </w:p>
    <w:p w14:paraId="27DF68FA">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（4）按照合同约定在合同解除前应支付的违约金；</w:t>
      </w:r>
    </w:p>
    <w:p w14:paraId="42828C1D">
      <w:pPr>
        <w:spacing w:line="228" w:lineRule="auto"/>
        <w:rPr>
          <w:rFonts w:ascii="宋体" w:hAnsi="宋体" w:eastAsia="宋体" w:cs="宋体"/>
          <w:color w:val="auto"/>
          <w:sz w:val="20"/>
          <w:szCs w:val="20"/>
          <w:highlight w:val="none"/>
        </w:rPr>
        <w:sectPr>
          <w:headerReference r:id="rId176" w:type="default"/>
          <w:footerReference r:id="rId177" w:type="default"/>
          <w:pgSz w:w="11906" w:h="16839"/>
          <w:pgMar w:top="1091" w:right="1133" w:bottom="1158" w:left="1219" w:header="1076" w:footer="922" w:gutter="0"/>
          <w:cols w:space="720" w:num="1"/>
        </w:sectPr>
      </w:pPr>
    </w:p>
    <w:p w14:paraId="5DF1A34C">
      <w:pPr>
        <w:spacing w:before="256"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（5）按照合同约定应当支付给承包人的其他款项；</w:t>
      </w:r>
    </w:p>
    <w:p w14:paraId="28FD814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（6）按照合同约定应退还的质量保证金；</w:t>
      </w:r>
    </w:p>
    <w:p w14:paraId="3D27A48C">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（7）因解除合同给承包人造成的损失。</w:t>
      </w:r>
    </w:p>
    <w:p w14:paraId="0DE6C243">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合同当事人未能就解除合同后的结清达成一致的，按照第</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2</w:t>
      </w:r>
      <w:r>
        <w:rPr>
          <w:rFonts w:ascii="宋体" w:hAnsi="宋体" w:eastAsia="宋体" w:cs="宋体"/>
          <w:color w:val="auto"/>
          <w:spacing w:val="8"/>
          <w:sz w:val="20"/>
          <w:szCs w:val="20"/>
          <w:highlight w:val="none"/>
        </w:rPr>
        <w:t>0</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条〔争议解决〕的约定处理。</w:t>
      </w:r>
    </w:p>
    <w:p w14:paraId="734566E6">
      <w:pPr>
        <w:spacing w:before="220" w:line="432" w:lineRule="auto"/>
        <w:ind w:left="9" w:right="71"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承包人应妥善做好已完工程和与工程有关的已购材料、工程设备的保护和移交工作，并将施工设备</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和人员撤出施工现场，发包人应为承包人撤出提供必要条件。</w:t>
      </w:r>
    </w:p>
    <w:p w14:paraId="745BEE89">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16.2 承包人违约</w:t>
      </w:r>
    </w:p>
    <w:p w14:paraId="3A25A2F3">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16.2.1 承包人违约的情形</w:t>
      </w:r>
    </w:p>
    <w:p w14:paraId="015CDB14">
      <w:pPr>
        <w:spacing w:before="221" w:line="228"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在合同履行过程中发生的下列情形，属于承包人违约：</w:t>
      </w:r>
    </w:p>
    <w:p w14:paraId="3FF8987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（1）承包人违反合同约定进行转包或违法分包的；</w:t>
      </w:r>
    </w:p>
    <w:p w14:paraId="3339A24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（2）承包人违反合同约定采购和使用不合格的材料</w:t>
      </w:r>
      <w:r>
        <w:rPr>
          <w:rFonts w:ascii="宋体" w:hAnsi="宋体" w:eastAsia="宋体" w:cs="宋体"/>
          <w:color w:val="auto"/>
          <w:spacing w:val="8"/>
          <w:sz w:val="20"/>
          <w:szCs w:val="20"/>
          <w:highlight w:val="none"/>
        </w:rPr>
        <w:t>和工程设备的；</w:t>
      </w:r>
    </w:p>
    <w:p w14:paraId="4CD1B30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（3）因承包人原因导致工程质量不符合合同要求的；</w:t>
      </w:r>
    </w:p>
    <w:p w14:paraId="7BB1C903">
      <w:pPr>
        <w:spacing w:before="221" w:line="330" w:lineRule="auto"/>
        <w:ind w:left="7" w:right="70"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（4）承包人违反第</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8.9</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款〔材料与设备专用要求〕的约定，未经批</w:t>
      </w:r>
      <w:r>
        <w:rPr>
          <w:rFonts w:ascii="宋体" w:hAnsi="宋体" w:eastAsia="宋体" w:cs="宋体"/>
          <w:color w:val="auto"/>
          <w:spacing w:val="6"/>
          <w:sz w:val="20"/>
          <w:szCs w:val="20"/>
          <w:highlight w:val="none"/>
        </w:rPr>
        <w:t>准，私自将已按照合同约定进入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施工现场的材料或设备撤离施工现场的；</w:t>
      </w:r>
    </w:p>
    <w:p w14:paraId="2CB9C9A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（5）承包人未能按施工进度计划及时完成合同约定的工作，造成工期延</w:t>
      </w:r>
      <w:r>
        <w:rPr>
          <w:rFonts w:ascii="宋体" w:hAnsi="宋体" w:eastAsia="宋体" w:cs="宋体"/>
          <w:color w:val="auto"/>
          <w:spacing w:val="8"/>
          <w:sz w:val="20"/>
          <w:szCs w:val="20"/>
          <w:highlight w:val="none"/>
        </w:rPr>
        <w:t>误的；</w:t>
      </w:r>
    </w:p>
    <w:p w14:paraId="320FC6AC">
      <w:pPr>
        <w:spacing w:before="221" w:line="330" w:lineRule="auto"/>
        <w:ind w:left="6" w:right="70" w:firstLine="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（6）承包人在缺陷责任期及保修期内，未能在合理期限对工程缺陷进行修复，或拒绝按发包人要求</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进行修复的；</w:t>
      </w:r>
    </w:p>
    <w:p w14:paraId="1792CD41">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（7）承包人明确表示或者以其行为表明不履</w:t>
      </w:r>
      <w:r>
        <w:rPr>
          <w:rFonts w:ascii="宋体" w:hAnsi="宋体" w:eastAsia="宋体" w:cs="宋体"/>
          <w:color w:val="auto"/>
          <w:spacing w:val="8"/>
          <w:sz w:val="20"/>
          <w:szCs w:val="20"/>
          <w:highlight w:val="none"/>
        </w:rPr>
        <w:t>行合同主要义务的；</w:t>
      </w:r>
    </w:p>
    <w:p w14:paraId="3E6AB6EE">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（8）承包人未能按照合同约定履行其他义务的。</w:t>
      </w:r>
    </w:p>
    <w:p w14:paraId="2771271E">
      <w:pPr>
        <w:spacing w:before="221" w:line="432" w:lineRule="auto"/>
        <w:ind w:left="7" w:right="70"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承包人发生除本项第（7）目约定以外的其他违约情况时，监理</w:t>
      </w:r>
      <w:r>
        <w:rPr>
          <w:rFonts w:ascii="宋体" w:hAnsi="宋体" w:eastAsia="宋体" w:cs="宋体"/>
          <w:color w:val="auto"/>
          <w:spacing w:val="7"/>
          <w:sz w:val="20"/>
          <w:szCs w:val="20"/>
          <w:highlight w:val="none"/>
        </w:rPr>
        <w:t>人可向承包人发出整改通知，要求其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在指定的期限内改正。</w:t>
      </w:r>
    </w:p>
    <w:p w14:paraId="3ACFADA4">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16.2.2 承包人违约的责任</w:t>
      </w:r>
    </w:p>
    <w:p w14:paraId="1C7B453E">
      <w:pPr>
        <w:spacing w:before="221" w:line="432" w:lineRule="auto"/>
        <w:ind w:left="9" w:right="71"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承包人应承担因其违约行为而增加的费用和（或）延误的工期。此外，合同当事人可在专用合同条</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款中另行约定承包人违约责任的承担方式和计算方法。</w:t>
      </w:r>
    </w:p>
    <w:p w14:paraId="5B873ED5">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16.2.3</w:t>
      </w:r>
      <w:r>
        <w:rPr>
          <w:rFonts w:ascii="宋体" w:hAnsi="宋体" w:eastAsia="宋体" w:cs="宋体"/>
          <w:color w:val="auto"/>
          <w:spacing w:val="43"/>
          <w:sz w:val="20"/>
          <w:szCs w:val="20"/>
          <w:highlight w:val="none"/>
        </w:rPr>
        <w:t xml:space="preserve"> </w:t>
      </w:r>
      <w:r>
        <w:rPr>
          <w:rFonts w:ascii="宋体" w:hAnsi="宋体" w:eastAsia="宋体" w:cs="宋体"/>
          <w:color w:val="auto"/>
          <w:spacing w:val="4"/>
          <w:sz w:val="20"/>
          <w:szCs w:val="20"/>
          <w:highlight w:val="none"/>
        </w:rPr>
        <w:t>因承包人违约解除合同</w:t>
      </w:r>
    </w:p>
    <w:p w14:paraId="56F628D0">
      <w:pPr>
        <w:spacing w:before="218" w:line="433" w:lineRule="auto"/>
        <w:ind w:left="10" w:firstLine="42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除专用合同条款另有约定外，出现第</w:t>
      </w:r>
      <w:r>
        <w:rPr>
          <w:rFonts w:ascii="宋体" w:hAnsi="宋体" w:eastAsia="宋体" w:cs="宋体"/>
          <w:color w:val="auto"/>
          <w:spacing w:val="-23"/>
          <w:sz w:val="20"/>
          <w:szCs w:val="20"/>
          <w:highlight w:val="none"/>
        </w:rPr>
        <w:t xml:space="preserve"> </w:t>
      </w:r>
      <w:r>
        <w:rPr>
          <w:rFonts w:ascii="宋体" w:hAnsi="宋体" w:eastAsia="宋体" w:cs="宋体"/>
          <w:color w:val="auto"/>
          <w:spacing w:val="5"/>
          <w:sz w:val="20"/>
          <w:szCs w:val="20"/>
          <w:highlight w:val="none"/>
        </w:rPr>
        <w:t>16.2.</w:t>
      </w:r>
      <w:r>
        <w:rPr>
          <w:rFonts w:ascii="宋体" w:hAnsi="宋体" w:eastAsia="宋体" w:cs="宋体"/>
          <w:color w:val="auto"/>
          <w:spacing w:val="4"/>
          <w:sz w:val="20"/>
          <w:szCs w:val="20"/>
          <w:highlight w:val="none"/>
        </w:rPr>
        <w:t>1</w:t>
      </w:r>
      <w:r>
        <w:rPr>
          <w:rFonts w:ascii="宋体" w:hAnsi="宋体" w:eastAsia="宋体" w:cs="宋体"/>
          <w:color w:val="auto"/>
          <w:spacing w:val="-35"/>
          <w:sz w:val="20"/>
          <w:szCs w:val="20"/>
          <w:highlight w:val="none"/>
        </w:rPr>
        <w:t xml:space="preserve"> </w:t>
      </w:r>
      <w:r>
        <w:rPr>
          <w:rFonts w:ascii="宋体" w:hAnsi="宋体" w:eastAsia="宋体" w:cs="宋体"/>
          <w:color w:val="auto"/>
          <w:spacing w:val="4"/>
          <w:sz w:val="20"/>
          <w:szCs w:val="20"/>
          <w:highlight w:val="none"/>
        </w:rPr>
        <w:t>项〔承包人违约的情形〕第（7）</w:t>
      </w:r>
      <w:r>
        <w:rPr>
          <w:rFonts w:ascii="宋体" w:hAnsi="宋体" w:eastAsia="宋体" w:cs="宋体"/>
          <w:color w:val="auto"/>
          <w:spacing w:val="-56"/>
          <w:sz w:val="20"/>
          <w:szCs w:val="20"/>
          <w:highlight w:val="none"/>
        </w:rPr>
        <w:t xml:space="preserve"> </w:t>
      </w:r>
      <w:r>
        <w:rPr>
          <w:rFonts w:ascii="宋体" w:hAnsi="宋体" w:eastAsia="宋体" w:cs="宋体"/>
          <w:color w:val="auto"/>
          <w:spacing w:val="4"/>
          <w:sz w:val="20"/>
          <w:szCs w:val="20"/>
          <w:highlight w:val="none"/>
        </w:rPr>
        <w:t>目约定的违约情况时，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或监理人发出整改通知后，承包人在指定的合理期限内仍不纠正违约行为并致使合同目的不能实现的，</w:t>
      </w:r>
      <w:r>
        <w:rPr>
          <w:rFonts w:ascii="宋体" w:hAnsi="宋体" w:eastAsia="宋体" w:cs="宋体"/>
          <w:color w:val="auto"/>
          <w:spacing w:val="17"/>
          <w:sz w:val="20"/>
          <w:szCs w:val="20"/>
          <w:highlight w:val="none"/>
        </w:rPr>
        <w:t xml:space="preserve"> </w:t>
      </w:r>
      <w:r>
        <w:rPr>
          <w:rFonts w:ascii="宋体" w:hAnsi="宋体" w:eastAsia="宋体" w:cs="宋体"/>
          <w:color w:val="auto"/>
          <w:spacing w:val="7"/>
          <w:sz w:val="20"/>
          <w:szCs w:val="20"/>
          <w:highlight w:val="none"/>
        </w:rPr>
        <w:t>发包人有权解除合同。合同解除后，因继续完成工程的需要，发包人有权使用承包人在施工现场的材料、</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设备、临时工程、承包人文件和由承包人或以其名义编制的其他文件，合同当事人应在专用合同条款约</w:t>
      </w:r>
      <w:r>
        <w:rPr>
          <w:rFonts w:ascii="宋体" w:hAnsi="宋体" w:eastAsia="宋体" w:cs="宋体"/>
          <w:color w:val="auto"/>
          <w:spacing w:val="3"/>
          <w:sz w:val="20"/>
          <w:szCs w:val="20"/>
          <w:highlight w:val="none"/>
        </w:rPr>
        <w:t xml:space="preserve"> </w:t>
      </w:r>
      <w:r>
        <w:rPr>
          <w:rFonts w:ascii="宋体" w:hAnsi="宋体" w:eastAsia="宋体" w:cs="宋体"/>
          <w:color w:val="auto"/>
          <w:spacing w:val="9"/>
          <w:sz w:val="20"/>
          <w:szCs w:val="20"/>
          <w:highlight w:val="none"/>
        </w:rPr>
        <w:t>定相应费用的承担方式。发包人继续使用的行为不免除或减轻承包人应承担的违约责任。</w:t>
      </w:r>
    </w:p>
    <w:p w14:paraId="25E8D675">
      <w:pPr>
        <w:spacing w:line="433" w:lineRule="auto"/>
        <w:rPr>
          <w:rFonts w:ascii="宋体" w:hAnsi="宋体" w:eastAsia="宋体" w:cs="宋体"/>
          <w:color w:val="auto"/>
          <w:sz w:val="20"/>
          <w:szCs w:val="20"/>
          <w:highlight w:val="none"/>
        </w:rPr>
        <w:sectPr>
          <w:headerReference r:id="rId178" w:type="default"/>
          <w:footerReference r:id="rId179" w:type="default"/>
          <w:pgSz w:w="11906" w:h="16839"/>
          <w:pgMar w:top="1091" w:right="1150" w:bottom="1158" w:left="1219" w:header="1076" w:footer="922" w:gutter="0"/>
          <w:cols w:space="720" w:num="1"/>
        </w:sectPr>
      </w:pPr>
    </w:p>
    <w:p w14:paraId="7809E472">
      <w:pPr>
        <w:spacing w:before="256"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16.2.4</w:t>
      </w:r>
      <w:r>
        <w:rPr>
          <w:rFonts w:ascii="宋体" w:hAnsi="宋体" w:eastAsia="宋体" w:cs="宋体"/>
          <w:color w:val="auto"/>
          <w:spacing w:val="-6"/>
          <w:sz w:val="20"/>
          <w:szCs w:val="20"/>
          <w:highlight w:val="none"/>
        </w:rPr>
        <w:t xml:space="preserve"> </w:t>
      </w:r>
      <w:r>
        <w:rPr>
          <w:rFonts w:ascii="宋体" w:hAnsi="宋体" w:eastAsia="宋体" w:cs="宋体"/>
          <w:color w:val="auto"/>
          <w:spacing w:val="5"/>
          <w:sz w:val="20"/>
          <w:szCs w:val="20"/>
          <w:highlight w:val="none"/>
        </w:rPr>
        <w:t>因承包人违约解除合同后的处理</w:t>
      </w:r>
    </w:p>
    <w:p w14:paraId="1C8BB153">
      <w:pPr>
        <w:spacing w:before="220" w:line="432" w:lineRule="auto"/>
        <w:ind w:left="31" w:right="2" w:firstLine="41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因承包人原因导致合同解除的，则合同当事人应在合同解除</w:t>
      </w:r>
      <w:r>
        <w:rPr>
          <w:rFonts w:ascii="宋体" w:hAnsi="宋体" w:eastAsia="宋体" w:cs="宋体"/>
          <w:color w:val="auto"/>
          <w:spacing w:val="6"/>
          <w:sz w:val="20"/>
          <w:szCs w:val="20"/>
          <w:highlight w:val="none"/>
        </w:rPr>
        <w:t>后</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天内完成估价、付款和清算，并按</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以下约定执行：</w:t>
      </w:r>
    </w:p>
    <w:p w14:paraId="534DFBBE">
      <w:pPr>
        <w:spacing w:before="1" w:line="329" w:lineRule="auto"/>
        <w:ind w:left="7" w:right="1" w:firstLine="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（1）合同解除后，按第4.4</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款〔商定或确定〕商定或确定承包人实际完成工作对应的合同价款，以</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及承包人已提供的材料、工程设备、施工设备和临时工程等的价值；</w:t>
      </w:r>
    </w:p>
    <w:p w14:paraId="003E82AB">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（2）合同解除后，承包人应支付的违约金；</w:t>
      </w:r>
    </w:p>
    <w:p w14:paraId="7EBD2D74">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（3）合同解除后，因解除合同给发包人造成的损失；</w:t>
      </w:r>
    </w:p>
    <w:p w14:paraId="6B4E0DA2">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（4）合同解除后，承包人应按照发包人要求和监理人的指示完成现场的清理和撤离；</w:t>
      </w:r>
    </w:p>
    <w:p w14:paraId="2BD02735">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（5）发包人和承包人应在合同解除后进行清算，出具最终结清付款证书，结清全部款项。</w:t>
      </w:r>
    </w:p>
    <w:p w14:paraId="39703BAB">
      <w:pPr>
        <w:spacing w:before="221" w:line="432" w:lineRule="auto"/>
        <w:ind w:left="8" w:right="2" w:firstLine="43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因承包人违约解除合同的，发包人有权暂停对承包人的付款，查清各项付</w:t>
      </w:r>
      <w:r>
        <w:rPr>
          <w:rFonts w:ascii="宋体" w:hAnsi="宋体" w:eastAsia="宋体" w:cs="宋体"/>
          <w:color w:val="auto"/>
          <w:spacing w:val="9"/>
          <w:sz w:val="20"/>
          <w:szCs w:val="20"/>
          <w:highlight w:val="none"/>
        </w:rPr>
        <w:t>款和已扣款项。发包人和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承包人未能就合同解除后的清算和款项支付达成一致的，按照第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20</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条</w:t>
      </w:r>
      <w:r>
        <w:rPr>
          <w:rFonts w:ascii="宋体" w:hAnsi="宋体" w:eastAsia="宋体" w:cs="宋体"/>
          <w:color w:val="auto"/>
          <w:spacing w:val="8"/>
          <w:sz w:val="20"/>
          <w:szCs w:val="20"/>
          <w:highlight w:val="none"/>
        </w:rPr>
        <w:t>〔争议解决〕的约定处理。</w:t>
      </w:r>
    </w:p>
    <w:p w14:paraId="48D4B7E0">
      <w:pPr>
        <w:spacing w:before="1" w:line="227"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16.2.5</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采购合同权益转让</w:t>
      </w:r>
    </w:p>
    <w:p w14:paraId="4A68675E">
      <w:pPr>
        <w:spacing w:before="221" w:line="432" w:lineRule="auto"/>
        <w:ind w:left="11" w:right="2" w:firstLine="43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因承包人违约解除合同的，发包人有权要求承包人将其为实施合同而签订</w:t>
      </w:r>
      <w:r>
        <w:rPr>
          <w:rFonts w:ascii="宋体" w:hAnsi="宋体" w:eastAsia="宋体" w:cs="宋体"/>
          <w:color w:val="auto"/>
          <w:spacing w:val="9"/>
          <w:sz w:val="20"/>
          <w:szCs w:val="20"/>
          <w:highlight w:val="none"/>
        </w:rPr>
        <w:t>的材料和设备的采购合同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的权益转让给发包人，承包人应在收到解除合同通知后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天内，协助发包人</w:t>
      </w:r>
      <w:r>
        <w:rPr>
          <w:rFonts w:ascii="宋体" w:hAnsi="宋体" w:eastAsia="宋体" w:cs="宋体"/>
          <w:color w:val="auto"/>
          <w:spacing w:val="6"/>
          <w:sz w:val="20"/>
          <w:szCs w:val="20"/>
          <w:highlight w:val="none"/>
        </w:rPr>
        <w:t>与采购合同的供应商达成相</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关的转让协议。</w:t>
      </w:r>
    </w:p>
    <w:p w14:paraId="06F7A7B7">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16.3 第三人造成的违约</w:t>
      </w:r>
    </w:p>
    <w:p w14:paraId="0A6FD729">
      <w:pPr>
        <w:spacing w:before="220" w:line="432" w:lineRule="auto"/>
        <w:ind w:left="9" w:right="2"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在履行合同过程中，一方当事人因第三人的原因造成违约的，应当向对方当事人承担违约责任。一</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方当事人和第三人之间的纠纷，依照法律规定或者按照约定解决。</w:t>
      </w:r>
    </w:p>
    <w:p w14:paraId="6C926498">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17.</w:t>
      </w:r>
      <w:r>
        <w:rPr>
          <w:rFonts w:ascii="宋体" w:hAnsi="宋体" w:eastAsia="宋体" w:cs="宋体"/>
          <w:color w:val="auto"/>
          <w:spacing w:val="19"/>
          <w:sz w:val="20"/>
          <w:szCs w:val="20"/>
          <w:highlight w:val="none"/>
        </w:rPr>
        <w:t xml:space="preserve"> </w:t>
      </w:r>
      <w:r>
        <w:rPr>
          <w:rFonts w:ascii="宋体" w:hAnsi="宋体" w:eastAsia="宋体" w:cs="宋体"/>
          <w:color w:val="auto"/>
          <w:spacing w:val="2"/>
          <w:sz w:val="20"/>
          <w:szCs w:val="20"/>
          <w:highlight w:val="none"/>
        </w:rPr>
        <w:t>不可抗力</w:t>
      </w:r>
    </w:p>
    <w:p w14:paraId="7208E776">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17.1 不可抗力的确认</w:t>
      </w:r>
    </w:p>
    <w:p w14:paraId="0836C918">
      <w:pPr>
        <w:spacing w:before="220" w:line="432" w:lineRule="auto"/>
        <w:ind w:left="10"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不可抗力是指合同当事人在签订合同时不可预见，在合同履行过程中不可避免且不能克服的自然灾</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害和社会性突发事件，如地震、海啸、瘟疫、骚乱、戒严、暴动、战争和专用合同条款中约定的其他情</w:t>
      </w:r>
      <w:r>
        <w:rPr>
          <w:rFonts w:ascii="宋体" w:hAnsi="宋体" w:eastAsia="宋体" w:cs="宋体"/>
          <w:color w:val="auto"/>
          <w:spacing w:val="3"/>
          <w:sz w:val="20"/>
          <w:szCs w:val="20"/>
          <w:highlight w:val="none"/>
        </w:rPr>
        <w:t xml:space="preserve"> </w:t>
      </w:r>
      <w:r>
        <w:rPr>
          <w:rFonts w:ascii="宋体" w:hAnsi="宋体" w:eastAsia="宋体" w:cs="宋体"/>
          <w:color w:val="auto"/>
          <w:spacing w:val="-1"/>
          <w:sz w:val="20"/>
          <w:szCs w:val="20"/>
          <w:highlight w:val="none"/>
        </w:rPr>
        <w:t>形。</w:t>
      </w:r>
    </w:p>
    <w:p w14:paraId="36113FD0">
      <w:pPr>
        <w:spacing w:line="432" w:lineRule="auto"/>
        <w:ind w:left="10" w:right="1" w:firstLine="42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不可抗力发生后，发包人和承包人应收集证明不可抗力发生及不可抗力造成损失的证据，并及时认</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真统计所造成的损失。合同当事人对是否属</w:t>
      </w:r>
      <w:r>
        <w:rPr>
          <w:rFonts w:ascii="宋体" w:hAnsi="宋体" w:eastAsia="宋体" w:cs="宋体"/>
          <w:color w:val="auto"/>
          <w:spacing w:val="9"/>
          <w:sz w:val="20"/>
          <w:szCs w:val="20"/>
          <w:highlight w:val="none"/>
        </w:rPr>
        <w:t>于不可抗力或其损失的意见不一致的，由监理人按第</w:t>
      </w:r>
      <w:r>
        <w:rPr>
          <w:rFonts w:ascii="宋体" w:hAnsi="宋体" w:eastAsia="宋体" w:cs="宋体"/>
          <w:color w:val="auto"/>
          <w:spacing w:val="-40"/>
          <w:sz w:val="20"/>
          <w:szCs w:val="20"/>
          <w:highlight w:val="none"/>
        </w:rPr>
        <w:t xml:space="preserve"> </w:t>
      </w:r>
      <w:r>
        <w:rPr>
          <w:rFonts w:ascii="宋体" w:hAnsi="宋体" w:eastAsia="宋体" w:cs="宋体"/>
          <w:color w:val="auto"/>
          <w:spacing w:val="9"/>
          <w:sz w:val="20"/>
          <w:szCs w:val="20"/>
          <w:highlight w:val="none"/>
        </w:rPr>
        <w:t>4.4</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款</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〔商定或确定〕的约定处理。发生争议时，按第</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20</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条〔争议解决〕的约定处理。</w:t>
      </w:r>
    </w:p>
    <w:p w14:paraId="100F0E94">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17.2 不可抗力的通知</w:t>
      </w:r>
    </w:p>
    <w:p w14:paraId="342A5132">
      <w:pPr>
        <w:spacing w:before="220" w:line="432" w:lineRule="auto"/>
        <w:ind w:left="9"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合同一方当事人遇到不可抗力事件，使其履行合同义务受到阻碍时，应立即通知合同另一方当事人</w:t>
      </w:r>
      <w:r>
        <w:rPr>
          <w:rFonts w:ascii="宋体" w:hAnsi="宋体" w:eastAsia="宋体" w:cs="宋体"/>
          <w:color w:val="auto"/>
          <w:spacing w:val="5"/>
          <w:sz w:val="20"/>
          <w:szCs w:val="20"/>
          <w:highlight w:val="none"/>
        </w:rPr>
        <w:t xml:space="preserve"> </w:t>
      </w:r>
      <w:r>
        <w:rPr>
          <w:rFonts w:ascii="宋体" w:hAnsi="宋体" w:eastAsia="宋体" w:cs="宋体"/>
          <w:color w:val="auto"/>
          <w:spacing w:val="9"/>
          <w:sz w:val="20"/>
          <w:szCs w:val="20"/>
          <w:highlight w:val="none"/>
        </w:rPr>
        <w:t>和监理人，书面说明不可抗力和受阻碍的详细情况，并提供必要的证明。</w:t>
      </w:r>
    </w:p>
    <w:p w14:paraId="42FD0208">
      <w:pPr>
        <w:spacing w:before="1" w:line="226" w:lineRule="auto"/>
        <w:ind w:right="2"/>
        <w:jc w:val="right"/>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不可抗力持续发生的，合同一方当事人应及时向合同另一方当事人和监理人提交中间报告，说明不</w:t>
      </w:r>
    </w:p>
    <w:p w14:paraId="176B43B9">
      <w:pPr>
        <w:spacing w:line="226" w:lineRule="auto"/>
        <w:rPr>
          <w:rFonts w:ascii="宋体" w:hAnsi="宋体" w:eastAsia="宋体" w:cs="宋体"/>
          <w:color w:val="auto"/>
          <w:sz w:val="20"/>
          <w:szCs w:val="20"/>
          <w:highlight w:val="none"/>
        </w:rPr>
        <w:sectPr>
          <w:headerReference r:id="rId180" w:type="default"/>
          <w:footerReference r:id="rId181" w:type="default"/>
          <w:pgSz w:w="11906" w:h="16839"/>
          <w:pgMar w:top="1091" w:right="1219" w:bottom="1158" w:left="1219" w:header="1076" w:footer="922" w:gutter="0"/>
          <w:cols w:space="720" w:num="1"/>
        </w:sectPr>
      </w:pPr>
    </w:p>
    <w:p w14:paraId="426387CB">
      <w:pPr>
        <w:spacing w:before="256" w:line="227" w:lineRule="auto"/>
        <w:ind w:left="1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可抗力和履行合同受阻的情况，并于不可抗力事件结束后</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2</w:t>
      </w:r>
      <w:r>
        <w:rPr>
          <w:rFonts w:ascii="宋体" w:hAnsi="宋体" w:eastAsia="宋体" w:cs="宋体"/>
          <w:color w:val="auto"/>
          <w:spacing w:val="8"/>
          <w:sz w:val="20"/>
          <w:szCs w:val="20"/>
          <w:highlight w:val="none"/>
        </w:rPr>
        <w:t>8</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天内提交最终报告及有关资料。</w:t>
      </w:r>
    </w:p>
    <w:p w14:paraId="5C7C454D">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17.3 不可抗力后果的承担</w:t>
      </w:r>
    </w:p>
    <w:p w14:paraId="143AD7B8">
      <w:pPr>
        <w:spacing w:before="220" w:line="330" w:lineRule="auto"/>
        <w:ind w:left="11" w:right="71" w:firstLine="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17.3.1 不可抗力引起的后果及造成的损失由合同当事人按照法律规定及合同约定</w:t>
      </w:r>
      <w:r>
        <w:rPr>
          <w:rFonts w:ascii="宋体" w:hAnsi="宋体" w:eastAsia="宋体" w:cs="宋体"/>
          <w:color w:val="auto"/>
          <w:spacing w:val="6"/>
          <w:sz w:val="20"/>
          <w:szCs w:val="20"/>
          <w:highlight w:val="none"/>
        </w:rPr>
        <w:t>各自承担。不可抗</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力发生前已完成的工程应当按照合同约定进行计量支付。</w:t>
      </w:r>
    </w:p>
    <w:p w14:paraId="57F4EBC9">
      <w:pPr>
        <w:spacing w:before="220" w:line="330" w:lineRule="auto"/>
        <w:ind w:left="31" w:right="71" w:firstLine="41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17.3.2 不可抗力导致的人员伤亡、财产损失、费用增加和（或）工期延误等后果</w:t>
      </w:r>
      <w:r>
        <w:rPr>
          <w:rFonts w:ascii="宋体" w:hAnsi="宋体" w:eastAsia="宋体" w:cs="宋体"/>
          <w:color w:val="auto"/>
          <w:spacing w:val="6"/>
          <w:sz w:val="20"/>
          <w:szCs w:val="20"/>
          <w:highlight w:val="none"/>
        </w:rPr>
        <w:t>，由合同当事人按</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rPr>
        <w:t>以下原则承担：</w:t>
      </w:r>
    </w:p>
    <w:p w14:paraId="7089AF6C">
      <w:pPr>
        <w:spacing w:before="221" w:line="330" w:lineRule="auto"/>
        <w:ind w:left="9" w:right="71"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（1）永久工程、已运至施工现场的材料和工程设备的损坏，以及因工程损坏造成的第三人人员伤亡</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和财产损失由发包人承担；</w:t>
      </w:r>
    </w:p>
    <w:p w14:paraId="122647F9">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（2）承包人施工设备的损坏由承包人承担；</w:t>
      </w:r>
    </w:p>
    <w:p w14:paraId="7A861732">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（3）发包人和承包人承担各自人员伤亡和财产的损失；</w:t>
      </w:r>
    </w:p>
    <w:p w14:paraId="69820FBB">
      <w:pPr>
        <w:spacing w:before="222" w:line="364" w:lineRule="auto"/>
        <w:ind w:left="9" w:right="32" w:firstLine="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（4）因不可抗力影响承包人履行合同约定的义务，已经引起或将引起工期延误的，应当顺延工期，</w:t>
      </w:r>
      <w:r>
        <w:rPr>
          <w:rFonts w:ascii="宋体" w:hAnsi="宋体" w:eastAsia="宋体" w:cs="宋体"/>
          <w:color w:val="auto"/>
          <w:spacing w:val="13"/>
          <w:sz w:val="20"/>
          <w:szCs w:val="20"/>
          <w:highlight w:val="none"/>
        </w:rPr>
        <w:t xml:space="preserve"> </w:t>
      </w:r>
      <w:r>
        <w:rPr>
          <w:rFonts w:ascii="宋体" w:hAnsi="宋体" w:eastAsia="宋体" w:cs="宋体"/>
          <w:color w:val="auto"/>
          <w:spacing w:val="10"/>
          <w:sz w:val="20"/>
          <w:szCs w:val="20"/>
          <w:highlight w:val="none"/>
        </w:rPr>
        <w:t>由此导致承包人停工的费用损失由发包人和承包人合理分担，停工期间必须支付的工人工资由发包人承</w:t>
      </w:r>
      <w:r>
        <w:rPr>
          <w:rFonts w:ascii="宋体" w:hAnsi="宋体" w:eastAsia="宋体" w:cs="宋体"/>
          <w:color w:val="auto"/>
          <w:spacing w:val="5"/>
          <w:sz w:val="20"/>
          <w:szCs w:val="20"/>
          <w:highlight w:val="none"/>
        </w:rPr>
        <w:t xml:space="preserve"> </w:t>
      </w:r>
      <w:r>
        <w:rPr>
          <w:rFonts w:ascii="宋体" w:hAnsi="宋体" w:eastAsia="宋体" w:cs="宋体"/>
          <w:color w:val="auto"/>
          <w:sz w:val="20"/>
          <w:szCs w:val="20"/>
          <w:highlight w:val="none"/>
        </w:rPr>
        <w:t>担；</w:t>
      </w:r>
    </w:p>
    <w:p w14:paraId="66228594">
      <w:pPr>
        <w:spacing w:before="220" w:line="228" w:lineRule="auto"/>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（5）因不可抗力引起或将引起工期延误，发包人要求赶工的，</w:t>
      </w:r>
      <w:r>
        <w:rPr>
          <w:rFonts w:ascii="宋体" w:hAnsi="宋体" w:eastAsia="宋体" w:cs="宋体"/>
          <w:color w:val="auto"/>
          <w:spacing w:val="-46"/>
          <w:sz w:val="20"/>
          <w:szCs w:val="20"/>
          <w:highlight w:val="none"/>
        </w:rPr>
        <w:t xml:space="preserve"> </w:t>
      </w:r>
      <w:r>
        <w:rPr>
          <w:rFonts w:ascii="宋体" w:hAnsi="宋体" w:eastAsia="宋体" w:cs="宋体"/>
          <w:color w:val="auto"/>
          <w:spacing w:val="7"/>
          <w:sz w:val="20"/>
          <w:szCs w:val="20"/>
          <w:highlight w:val="none"/>
        </w:rPr>
        <w:t>由此增加的赶工费用由发包人承担；</w:t>
      </w:r>
    </w:p>
    <w:p w14:paraId="586CEFD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（6）承包人在停工期间按照发包人要求照管、清理和修复工程的费用由发包人承担。</w:t>
      </w:r>
    </w:p>
    <w:p w14:paraId="09F4C9B6">
      <w:pPr>
        <w:spacing w:before="221" w:line="432" w:lineRule="auto"/>
        <w:ind w:left="9" w:right="72"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不可抗力发生后，合同当事人均应采取措施尽量避免和减少损失的扩大，任何一方当事人没有采取</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有效措施导致损失扩大的，应对扩大的损失承担责任。</w:t>
      </w:r>
    </w:p>
    <w:p w14:paraId="0F3DC470">
      <w:pPr>
        <w:spacing w:line="228" w:lineRule="auto"/>
        <w:ind w:left="4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因合同一方迟延履行合同义务，在迟延履行期间遭遇不可抗力的，不免除其违约责任。</w:t>
      </w:r>
    </w:p>
    <w:p w14:paraId="08233A97">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17.4</w:t>
      </w:r>
      <w:r>
        <w:rPr>
          <w:rFonts w:ascii="宋体" w:hAnsi="宋体" w:eastAsia="宋体" w:cs="宋体"/>
          <w:color w:val="auto"/>
          <w:spacing w:val="37"/>
          <w:sz w:val="20"/>
          <w:szCs w:val="20"/>
          <w:highlight w:val="none"/>
        </w:rPr>
        <w:t xml:space="preserve"> </w:t>
      </w:r>
      <w:r>
        <w:rPr>
          <w:rFonts w:ascii="宋体" w:hAnsi="宋体" w:eastAsia="宋体" w:cs="宋体"/>
          <w:color w:val="auto"/>
          <w:spacing w:val="4"/>
          <w:sz w:val="20"/>
          <w:szCs w:val="20"/>
          <w:highlight w:val="none"/>
        </w:rPr>
        <w:t>因不可抗力解除合同</w:t>
      </w:r>
    </w:p>
    <w:p w14:paraId="694EACED">
      <w:pPr>
        <w:spacing w:before="221" w:line="432" w:lineRule="auto"/>
        <w:ind w:left="9" w:firstLine="43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因不可抗力导致合同无法履行连续超过84</w:t>
      </w:r>
      <w:r>
        <w:rPr>
          <w:rFonts w:ascii="宋体" w:hAnsi="宋体" w:eastAsia="宋体" w:cs="宋体"/>
          <w:color w:val="auto"/>
          <w:spacing w:val="-57"/>
          <w:sz w:val="20"/>
          <w:szCs w:val="20"/>
          <w:highlight w:val="none"/>
        </w:rPr>
        <w:t xml:space="preserve"> </w:t>
      </w:r>
      <w:r>
        <w:rPr>
          <w:rFonts w:ascii="宋体" w:hAnsi="宋体" w:eastAsia="宋体" w:cs="宋体"/>
          <w:color w:val="auto"/>
          <w:spacing w:val="6"/>
          <w:sz w:val="20"/>
          <w:szCs w:val="20"/>
          <w:highlight w:val="none"/>
        </w:rPr>
        <w:t>天或累</w:t>
      </w:r>
      <w:r>
        <w:rPr>
          <w:rFonts w:ascii="宋体" w:hAnsi="宋体" w:eastAsia="宋体" w:cs="宋体"/>
          <w:color w:val="auto"/>
          <w:spacing w:val="5"/>
          <w:sz w:val="20"/>
          <w:szCs w:val="20"/>
          <w:highlight w:val="none"/>
        </w:rPr>
        <w:t>计超过</w:t>
      </w:r>
      <w:r>
        <w:rPr>
          <w:rFonts w:ascii="宋体" w:hAnsi="宋体" w:eastAsia="宋体" w:cs="宋体"/>
          <w:color w:val="auto"/>
          <w:spacing w:val="-46"/>
          <w:sz w:val="20"/>
          <w:szCs w:val="20"/>
          <w:highlight w:val="none"/>
        </w:rPr>
        <w:t xml:space="preserve"> </w:t>
      </w:r>
      <w:r>
        <w:rPr>
          <w:rFonts w:ascii="宋体" w:hAnsi="宋体" w:eastAsia="宋体" w:cs="宋体"/>
          <w:color w:val="auto"/>
          <w:spacing w:val="5"/>
          <w:sz w:val="20"/>
          <w:szCs w:val="20"/>
          <w:highlight w:val="none"/>
        </w:rPr>
        <w:t>140</w:t>
      </w:r>
      <w:r>
        <w:rPr>
          <w:rFonts w:ascii="宋体" w:hAnsi="宋体" w:eastAsia="宋体" w:cs="宋体"/>
          <w:color w:val="auto"/>
          <w:spacing w:val="-58"/>
          <w:sz w:val="20"/>
          <w:szCs w:val="20"/>
          <w:highlight w:val="none"/>
        </w:rPr>
        <w:t xml:space="preserve"> </w:t>
      </w:r>
      <w:r>
        <w:rPr>
          <w:rFonts w:ascii="宋体" w:hAnsi="宋体" w:eastAsia="宋体" w:cs="宋体"/>
          <w:color w:val="auto"/>
          <w:spacing w:val="5"/>
          <w:sz w:val="20"/>
          <w:szCs w:val="20"/>
          <w:highlight w:val="none"/>
        </w:rPr>
        <w:t>天的，发包人和承包人均有权解除合同。</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合同解除后，由双方当事人按照第</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4.4</w:t>
      </w:r>
      <w:r>
        <w:rPr>
          <w:rFonts w:ascii="宋体" w:hAnsi="宋体" w:eastAsia="宋体" w:cs="宋体"/>
          <w:color w:val="auto"/>
          <w:spacing w:val="-40"/>
          <w:sz w:val="20"/>
          <w:szCs w:val="20"/>
          <w:highlight w:val="none"/>
        </w:rPr>
        <w:t xml:space="preserve"> </w:t>
      </w:r>
      <w:r>
        <w:rPr>
          <w:rFonts w:ascii="宋体" w:hAnsi="宋体" w:eastAsia="宋体" w:cs="宋体"/>
          <w:color w:val="auto"/>
          <w:spacing w:val="6"/>
          <w:sz w:val="20"/>
          <w:szCs w:val="20"/>
          <w:highlight w:val="none"/>
        </w:rPr>
        <w:t>款〔商定或确定〕商定或确定发包人应支付的款项，该款项包括：</w:t>
      </w:r>
    </w:p>
    <w:p w14:paraId="51142D4B">
      <w:pPr>
        <w:spacing w:before="1" w:line="226"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（1）合同解除前承包人已完成工作的价款；</w:t>
      </w:r>
    </w:p>
    <w:p w14:paraId="61D410CF">
      <w:pPr>
        <w:spacing w:before="223" w:line="329" w:lineRule="auto"/>
        <w:ind w:left="25" w:right="71"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（2）承包人为工程订购的并已交付给承包人，或承包人有责任接受交付的材料、工程设备和其他物</w:t>
      </w:r>
      <w:r>
        <w:rPr>
          <w:rFonts w:ascii="宋体" w:hAnsi="宋体" w:eastAsia="宋体" w:cs="宋体"/>
          <w:color w:val="auto"/>
          <w:spacing w:val="18"/>
          <w:sz w:val="20"/>
          <w:szCs w:val="20"/>
          <w:highlight w:val="none"/>
        </w:rPr>
        <w:t xml:space="preserve"> </w:t>
      </w:r>
      <w:r>
        <w:rPr>
          <w:rFonts w:ascii="宋体" w:hAnsi="宋体" w:eastAsia="宋体" w:cs="宋体"/>
          <w:color w:val="auto"/>
          <w:spacing w:val="2"/>
          <w:sz w:val="20"/>
          <w:szCs w:val="20"/>
          <w:highlight w:val="none"/>
        </w:rPr>
        <w:t>品的价款；</w:t>
      </w:r>
    </w:p>
    <w:p w14:paraId="003653FE">
      <w:pPr>
        <w:spacing w:before="222" w:line="228" w:lineRule="auto"/>
        <w:jc w:val="right"/>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（3）发包人要求承包人退货或解除订货合同而产生的费用，或因不能退货或解除合同而产生的损失；</w:t>
      </w:r>
    </w:p>
    <w:p w14:paraId="4C945F54">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（4）承包人撤离施工现场以及遣散承包人人员的费用；</w:t>
      </w:r>
    </w:p>
    <w:p w14:paraId="3BC49B6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（5）按照合同约定在合同解除前应支付给</w:t>
      </w:r>
      <w:r>
        <w:rPr>
          <w:rFonts w:ascii="宋体" w:hAnsi="宋体" w:eastAsia="宋体" w:cs="宋体"/>
          <w:color w:val="auto"/>
          <w:spacing w:val="8"/>
          <w:sz w:val="20"/>
          <w:szCs w:val="20"/>
          <w:highlight w:val="none"/>
        </w:rPr>
        <w:t>承包人的其他款项；</w:t>
      </w:r>
    </w:p>
    <w:p w14:paraId="6B580A2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（6）扣减承包人按照合同约定应向发包人支付的款项；</w:t>
      </w:r>
    </w:p>
    <w:p w14:paraId="71A479CB">
      <w:pPr>
        <w:spacing w:before="221" w:line="229"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（7）双方商定或确定的其他款项。</w:t>
      </w:r>
    </w:p>
    <w:p w14:paraId="3D778DF2">
      <w:pPr>
        <w:spacing w:before="220" w:line="228" w:lineRule="auto"/>
        <w:ind w:left="44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除专用合同条款另有约定外，合同解除后，发包人应在商定或确定上</w:t>
      </w:r>
      <w:r>
        <w:rPr>
          <w:rFonts w:ascii="宋体" w:hAnsi="宋体" w:eastAsia="宋体" w:cs="宋体"/>
          <w:color w:val="auto"/>
          <w:spacing w:val="6"/>
          <w:sz w:val="20"/>
          <w:szCs w:val="20"/>
          <w:highlight w:val="none"/>
        </w:rPr>
        <w:t>述款项后</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天内完成上述款项</w:t>
      </w:r>
    </w:p>
    <w:p w14:paraId="7A4A85A8">
      <w:pPr>
        <w:spacing w:line="228" w:lineRule="auto"/>
        <w:rPr>
          <w:rFonts w:ascii="宋体" w:hAnsi="宋体" w:eastAsia="宋体" w:cs="宋体"/>
          <w:color w:val="auto"/>
          <w:sz w:val="20"/>
          <w:szCs w:val="20"/>
          <w:highlight w:val="none"/>
        </w:rPr>
        <w:sectPr>
          <w:headerReference r:id="rId182" w:type="default"/>
          <w:footerReference r:id="rId183" w:type="default"/>
          <w:pgSz w:w="11906" w:h="16839"/>
          <w:pgMar w:top="1091" w:right="1149" w:bottom="1158" w:left="1219" w:header="1076" w:footer="922" w:gutter="0"/>
          <w:cols w:space="720" w:num="1"/>
        </w:sectPr>
      </w:pPr>
    </w:p>
    <w:p w14:paraId="3CDEF313">
      <w:pPr>
        <w:spacing w:before="256" w:line="228" w:lineRule="auto"/>
        <w:ind w:left="25"/>
        <w:rPr>
          <w:rFonts w:ascii="宋体" w:hAnsi="宋体" w:eastAsia="宋体" w:cs="宋体"/>
          <w:color w:val="auto"/>
          <w:sz w:val="20"/>
          <w:szCs w:val="20"/>
          <w:highlight w:val="none"/>
        </w:rPr>
      </w:pPr>
      <w:r>
        <w:rPr>
          <w:rFonts w:ascii="宋体" w:hAnsi="宋体" w:eastAsia="宋体" w:cs="宋体"/>
          <w:color w:val="auto"/>
          <w:sz w:val="20"/>
          <w:szCs w:val="20"/>
          <w:highlight w:val="none"/>
        </w:rPr>
        <w:t>的支付。</w:t>
      </w:r>
    </w:p>
    <w:p w14:paraId="4B6F39F9">
      <w:pPr>
        <w:spacing w:before="220" w:line="229" w:lineRule="auto"/>
        <w:ind w:left="443"/>
        <w:rPr>
          <w:rFonts w:ascii="宋体" w:hAnsi="宋体" w:eastAsia="宋体" w:cs="宋体"/>
          <w:color w:val="auto"/>
          <w:sz w:val="20"/>
          <w:szCs w:val="20"/>
          <w:highlight w:val="none"/>
        </w:rPr>
      </w:pPr>
      <w:r>
        <w:rPr>
          <w:rFonts w:ascii="宋体" w:hAnsi="宋体" w:eastAsia="宋体" w:cs="宋体"/>
          <w:color w:val="auto"/>
          <w:sz w:val="20"/>
          <w:szCs w:val="20"/>
          <w:highlight w:val="none"/>
        </w:rPr>
        <w:t>18.</w:t>
      </w:r>
      <w:r>
        <w:rPr>
          <w:rFonts w:ascii="宋体" w:hAnsi="宋体" w:eastAsia="宋体" w:cs="宋体"/>
          <w:color w:val="auto"/>
          <w:spacing w:val="13"/>
          <w:sz w:val="20"/>
          <w:szCs w:val="20"/>
          <w:highlight w:val="none"/>
        </w:rPr>
        <w:t xml:space="preserve"> </w:t>
      </w:r>
      <w:r>
        <w:rPr>
          <w:rFonts w:ascii="宋体" w:hAnsi="宋体" w:eastAsia="宋体" w:cs="宋体"/>
          <w:color w:val="auto"/>
          <w:sz w:val="20"/>
          <w:szCs w:val="20"/>
          <w:highlight w:val="none"/>
        </w:rPr>
        <w:t>保险</w:t>
      </w:r>
    </w:p>
    <w:p w14:paraId="14137DE5">
      <w:pPr>
        <w:spacing w:before="219" w:line="229"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18.1</w:t>
      </w:r>
      <w:r>
        <w:rPr>
          <w:rFonts w:ascii="宋体" w:hAnsi="宋体" w:eastAsia="宋体" w:cs="宋体"/>
          <w:color w:val="auto"/>
          <w:spacing w:val="14"/>
          <w:sz w:val="20"/>
          <w:szCs w:val="20"/>
          <w:highlight w:val="none"/>
        </w:rPr>
        <w:t xml:space="preserve"> </w:t>
      </w:r>
      <w:r>
        <w:rPr>
          <w:rFonts w:ascii="宋体" w:hAnsi="宋体" w:eastAsia="宋体" w:cs="宋体"/>
          <w:color w:val="auto"/>
          <w:spacing w:val="3"/>
          <w:sz w:val="20"/>
          <w:szCs w:val="20"/>
          <w:highlight w:val="none"/>
        </w:rPr>
        <w:t>工程保险</w:t>
      </w:r>
    </w:p>
    <w:p w14:paraId="7E9E02E2">
      <w:pPr>
        <w:spacing w:before="220" w:line="432" w:lineRule="auto"/>
        <w:ind w:left="10" w:right="2"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除专用合同条款另有约定外，发包人应投保建筑工程一切险或安装工程一切险；发</w:t>
      </w:r>
      <w:r>
        <w:rPr>
          <w:rFonts w:ascii="宋体" w:hAnsi="宋体" w:eastAsia="宋体" w:cs="宋体"/>
          <w:color w:val="auto"/>
          <w:spacing w:val="9"/>
          <w:sz w:val="20"/>
          <w:szCs w:val="20"/>
          <w:highlight w:val="none"/>
        </w:rPr>
        <w:t>包人委托承包人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投保的，因投保产生的保险费和其他相关费用由发包人承担。</w:t>
      </w:r>
    </w:p>
    <w:p w14:paraId="40FF74AA">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18.2</w:t>
      </w:r>
      <w:r>
        <w:rPr>
          <w:rFonts w:ascii="宋体" w:hAnsi="宋体" w:eastAsia="宋体" w:cs="宋体"/>
          <w:color w:val="auto"/>
          <w:spacing w:val="14"/>
          <w:sz w:val="20"/>
          <w:szCs w:val="20"/>
          <w:highlight w:val="none"/>
        </w:rPr>
        <w:t xml:space="preserve"> </w:t>
      </w:r>
      <w:r>
        <w:rPr>
          <w:rFonts w:ascii="宋体" w:hAnsi="宋体" w:eastAsia="宋体" w:cs="宋体"/>
          <w:color w:val="auto"/>
          <w:spacing w:val="3"/>
          <w:sz w:val="20"/>
          <w:szCs w:val="20"/>
          <w:highlight w:val="none"/>
        </w:rPr>
        <w:t>工伤保险</w:t>
      </w:r>
    </w:p>
    <w:p w14:paraId="05379252">
      <w:pPr>
        <w:spacing w:before="220" w:line="330" w:lineRule="auto"/>
        <w:ind w:left="9" w:right="2" w:firstLine="4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18.2.1 发包人应依照法律规定参加工伤保险，并为在施工现场的全部员工办理工</w:t>
      </w:r>
      <w:r>
        <w:rPr>
          <w:rFonts w:ascii="宋体" w:hAnsi="宋体" w:eastAsia="宋体" w:cs="宋体"/>
          <w:color w:val="auto"/>
          <w:spacing w:val="6"/>
          <w:sz w:val="20"/>
          <w:szCs w:val="20"/>
          <w:highlight w:val="none"/>
        </w:rPr>
        <w:t>伤保险，缴纳工伤</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保险费，并要求监理人及由发包人为履行合同聘请的第三方依法参加工伤保险。</w:t>
      </w:r>
    </w:p>
    <w:p w14:paraId="2EC45018">
      <w:pPr>
        <w:spacing w:before="221" w:line="330" w:lineRule="auto"/>
        <w:ind w:left="9" w:right="2" w:firstLine="43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18.2.2 承包人应依照法律规定参加工伤保险，并为其履行合同的全部员工办理工</w:t>
      </w:r>
      <w:r>
        <w:rPr>
          <w:rFonts w:ascii="宋体" w:hAnsi="宋体" w:eastAsia="宋体" w:cs="宋体"/>
          <w:color w:val="auto"/>
          <w:spacing w:val="6"/>
          <w:sz w:val="20"/>
          <w:szCs w:val="20"/>
          <w:highlight w:val="none"/>
        </w:rPr>
        <w:t>伤保险，缴纳工伤</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保险费，并要求分包人及由承包人为履行合同聘请的第三方依法参加工伤保险。</w:t>
      </w:r>
    </w:p>
    <w:p w14:paraId="5C2FD1B7">
      <w:pPr>
        <w:spacing w:before="222" w:line="229"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18.3</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其他保险</w:t>
      </w:r>
    </w:p>
    <w:p w14:paraId="5E5F8F87">
      <w:pPr>
        <w:spacing w:before="220" w:line="432" w:lineRule="auto"/>
        <w:ind w:left="11"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发包人和承包人可以为其施工现场的全部人员办理意外伤害保险并支付保险费，包括其员工及为履</w:t>
      </w:r>
      <w:r>
        <w:rPr>
          <w:rFonts w:ascii="宋体" w:hAnsi="宋体" w:eastAsia="宋体" w:cs="宋体"/>
          <w:color w:val="auto"/>
          <w:spacing w:val="2"/>
          <w:sz w:val="20"/>
          <w:szCs w:val="20"/>
          <w:highlight w:val="none"/>
        </w:rPr>
        <w:t xml:space="preserve"> </w:t>
      </w:r>
      <w:r>
        <w:rPr>
          <w:rFonts w:ascii="宋体" w:hAnsi="宋体" w:eastAsia="宋体" w:cs="宋体"/>
          <w:color w:val="auto"/>
          <w:spacing w:val="9"/>
          <w:sz w:val="20"/>
          <w:szCs w:val="20"/>
          <w:highlight w:val="none"/>
        </w:rPr>
        <w:t>行合同聘请的第三方的人员，具体事项由合同当事人在专用合同条款约定。</w:t>
      </w:r>
    </w:p>
    <w:p w14:paraId="092A4C0C">
      <w:pPr>
        <w:spacing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除专用合同条款另有约定外，承包人应为其施工设备等办理财产</w:t>
      </w:r>
      <w:r>
        <w:rPr>
          <w:rFonts w:ascii="宋体" w:hAnsi="宋体" w:eastAsia="宋体" w:cs="宋体"/>
          <w:color w:val="auto"/>
          <w:spacing w:val="8"/>
          <w:sz w:val="20"/>
          <w:szCs w:val="20"/>
          <w:highlight w:val="none"/>
        </w:rPr>
        <w:t>保险。</w:t>
      </w:r>
    </w:p>
    <w:p w14:paraId="7D62EA00">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18.4</w:t>
      </w:r>
      <w:r>
        <w:rPr>
          <w:rFonts w:ascii="宋体" w:hAnsi="宋体" w:eastAsia="宋体" w:cs="宋体"/>
          <w:color w:val="auto"/>
          <w:spacing w:val="-38"/>
          <w:sz w:val="20"/>
          <w:szCs w:val="20"/>
          <w:highlight w:val="none"/>
        </w:rPr>
        <w:t xml:space="preserve"> </w:t>
      </w:r>
      <w:r>
        <w:rPr>
          <w:rFonts w:ascii="宋体" w:hAnsi="宋体" w:eastAsia="宋体" w:cs="宋体"/>
          <w:color w:val="auto"/>
          <w:spacing w:val="3"/>
          <w:sz w:val="20"/>
          <w:szCs w:val="20"/>
          <w:highlight w:val="none"/>
        </w:rPr>
        <w:t>持续保险</w:t>
      </w:r>
    </w:p>
    <w:p w14:paraId="10E4E179">
      <w:pPr>
        <w:spacing w:before="221" w:line="432" w:lineRule="auto"/>
        <w:ind w:left="9"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合同当事人应与保险人保持联系，使保险人能够随时了解工程实施中的变动，并确保按保险合同条</w:t>
      </w:r>
      <w:r>
        <w:rPr>
          <w:rFonts w:ascii="宋体" w:hAnsi="宋体" w:eastAsia="宋体" w:cs="宋体"/>
          <w:color w:val="auto"/>
          <w:spacing w:val="5"/>
          <w:sz w:val="20"/>
          <w:szCs w:val="20"/>
          <w:highlight w:val="none"/>
        </w:rPr>
        <w:t xml:space="preserve"> </w:t>
      </w:r>
      <w:r>
        <w:rPr>
          <w:rFonts w:ascii="宋体" w:hAnsi="宋体" w:eastAsia="宋体" w:cs="宋体"/>
          <w:color w:val="auto"/>
          <w:spacing w:val="7"/>
          <w:sz w:val="20"/>
          <w:szCs w:val="20"/>
          <w:highlight w:val="none"/>
        </w:rPr>
        <w:t>款要求持续保险。</w:t>
      </w:r>
    </w:p>
    <w:p w14:paraId="5C9470D9">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18.5 保险凭证</w:t>
      </w:r>
    </w:p>
    <w:p w14:paraId="3510B30E">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合同当事人应及时向另一方当事人提交其已投保的各项保险的凭证和保险单复印件。</w:t>
      </w:r>
    </w:p>
    <w:p w14:paraId="7F2B8A60">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18.6 未按约定投保的补救</w:t>
      </w:r>
    </w:p>
    <w:p w14:paraId="097AEF80">
      <w:pPr>
        <w:spacing w:before="221" w:line="330" w:lineRule="auto"/>
        <w:ind w:left="33" w:right="2" w:firstLine="41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18.6.1</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发包人未按合同约定办理保险，或未能使保险持续有效的，则承包人</w:t>
      </w:r>
      <w:r>
        <w:rPr>
          <w:rFonts w:ascii="宋体" w:hAnsi="宋体" w:eastAsia="宋体" w:cs="宋体"/>
          <w:color w:val="auto"/>
          <w:spacing w:val="7"/>
          <w:sz w:val="20"/>
          <w:szCs w:val="20"/>
          <w:highlight w:val="none"/>
        </w:rPr>
        <w:t>可代为办理，所需费用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由发包人承担。发包人未按合同约定办理保险，导致未能得到足额赔偿的，由发包人负</w:t>
      </w:r>
      <w:r>
        <w:rPr>
          <w:rFonts w:ascii="宋体" w:hAnsi="宋体" w:eastAsia="宋体" w:cs="宋体"/>
          <w:color w:val="auto"/>
          <w:spacing w:val="8"/>
          <w:sz w:val="20"/>
          <w:szCs w:val="20"/>
          <w:highlight w:val="none"/>
        </w:rPr>
        <w:t>责补足。</w:t>
      </w:r>
    </w:p>
    <w:p w14:paraId="6BB19220">
      <w:pPr>
        <w:spacing w:before="221" w:line="330" w:lineRule="auto"/>
        <w:ind w:left="33" w:right="2" w:firstLine="41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18.6.2</w:t>
      </w:r>
      <w:r>
        <w:rPr>
          <w:rFonts w:ascii="宋体" w:hAnsi="宋体" w:eastAsia="宋体" w:cs="宋体"/>
          <w:color w:val="auto"/>
          <w:spacing w:val="-40"/>
          <w:sz w:val="20"/>
          <w:szCs w:val="20"/>
          <w:highlight w:val="none"/>
        </w:rPr>
        <w:t xml:space="preserve"> </w:t>
      </w:r>
      <w:r>
        <w:rPr>
          <w:rFonts w:ascii="宋体" w:hAnsi="宋体" w:eastAsia="宋体" w:cs="宋体"/>
          <w:color w:val="auto"/>
          <w:spacing w:val="8"/>
          <w:sz w:val="20"/>
          <w:szCs w:val="20"/>
          <w:highlight w:val="none"/>
        </w:rPr>
        <w:t>承包人未按合同约定办理保险，或未能使保险持续有效的，则发包人可代为</w:t>
      </w:r>
      <w:r>
        <w:rPr>
          <w:rFonts w:ascii="宋体" w:hAnsi="宋体" w:eastAsia="宋体" w:cs="宋体"/>
          <w:color w:val="auto"/>
          <w:spacing w:val="7"/>
          <w:sz w:val="20"/>
          <w:szCs w:val="20"/>
          <w:highlight w:val="none"/>
        </w:rPr>
        <w:t>办理，所需费用</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由承包人承担。承包人未按合同约定办理保险，导致未能得到足额赔偿的，由承包人负</w:t>
      </w:r>
      <w:r>
        <w:rPr>
          <w:rFonts w:ascii="宋体" w:hAnsi="宋体" w:eastAsia="宋体" w:cs="宋体"/>
          <w:color w:val="auto"/>
          <w:spacing w:val="8"/>
          <w:sz w:val="20"/>
          <w:szCs w:val="20"/>
          <w:highlight w:val="none"/>
        </w:rPr>
        <w:t>责补足。</w:t>
      </w:r>
    </w:p>
    <w:p w14:paraId="5F1AC88D">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18.7 通知义务</w:t>
      </w:r>
    </w:p>
    <w:p w14:paraId="20E43EF6">
      <w:pPr>
        <w:spacing w:before="221" w:line="432" w:lineRule="auto"/>
        <w:ind w:left="13" w:right="51" w:firstLine="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除专用合同条款另有约定外，发包人变更除工伤保险之外的保险合同</w:t>
      </w:r>
      <w:r>
        <w:rPr>
          <w:rFonts w:ascii="宋体" w:hAnsi="宋体" w:eastAsia="宋体" w:cs="宋体"/>
          <w:color w:val="auto"/>
          <w:spacing w:val="8"/>
          <w:sz w:val="20"/>
          <w:szCs w:val="20"/>
          <w:highlight w:val="none"/>
        </w:rPr>
        <w:t>时，应事先征得承包人同意，</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并通知监理人；承包人变更除工伤保险之外的保险合同时，应事先征得发包人同意，并通知监理人。</w:t>
      </w:r>
    </w:p>
    <w:p w14:paraId="3BDB92BA">
      <w:pPr>
        <w:spacing w:line="432" w:lineRule="auto"/>
        <w:ind w:left="21" w:right="2" w:firstLine="40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保险事故发生时，投保人应按照保险合同规定的条件和期限及时向保险人报告。发包人和承包人应</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当在知道保险事故发生后及时通知对方。</w:t>
      </w:r>
    </w:p>
    <w:p w14:paraId="75D14BCB">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19.</w:t>
      </w:r>
      <w:r>
        <w:rPr>
          <w:rFonts w:ascii="宋体" w:hAnsi="宋体" w:eastAsia="宋体" w:cs="宋体"/>
          <w:color w:val="auto"/>
          <w:spacing w:val="18"/>
          <w:sz w:val="20"/>
          <w:szCs w:val="20"/>
          <w:highlight w:val="none"/>
        </w:rPr>
        <w:t xml:space="preserve"> </w:t>
      </w:r>
      <w:r>
        <w:rPr>
          <w:rFonts w:ascii="宋体" w:hAnsi="宋体" w:eastAsia="宋体" w:cs="宋体"/>
          <w:color w:val="auto"/>
          <w:spacing w:val="-1"/>
          <w:sz w:val="20"/>
          <w:szCs w:val="20"/>
          <w:highlight w:val="none"/>
        </w:rPr>
        <w:t>索赔</w:t>
      </w:r>
    </w:p>
    <w:p w14:paraId="02B75BC2">
      <w:pPr>
        <w:spacing w:line="228" w:lineRule="auto"/>
        <w:rPr>
          <w:rFonts w:ascii="宋体" w:hAnsi="宋体" w:eastAsia="宋体" w:cs="宋体"/>
          <w:color w:val="auto"/>
          <w:sz w:val="20"/>
          <w:szCs w:val="20"/>
          <w:highlight w:val="none"/>
        </w:rPr>
        <w:sectPr>
          <w:headerReference r:id="rId184" w:type="default"/>
          <w:footerReference r:id="rId185" w:type="default"/>
          <w:pgSz w:w="11906" w:h="16839"/>
          <w:pgMar w:top="1091" w:right="1219" w:bottom="1158" w:left="1219" w:header="1076" w:footer="922" w:gutter="0"/>
          <w:cols w:space="720" w:num="1"/>
        </w:sectPr>
      </w:pPr>
    </w:p>
    <w:p w14:paraId="1DAE9C66">
      <w:pPr>
        <w:spacing w:before="256"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19.1</w:t>
      </w:r>
      <w:r>
        <w:rPr>
          <w:rFonts w:ascii="宋体" w:hAnsi="宋体" w:eastAsia="宋体" w:cs="宋体"/>
          <w:color w:val="auto"/>
          <w:spacing w:val="-35"/>
          <w:sz w:val="20"/>
          <w:szCs w:val="20"/>
          <w:highlight w:val="none"/>
        </w:rPr>
        <w:t xml:space="preserve"> </w:t>
      </w:r>
      <w:r>
        <w:rPr>
          <w:rFonts w:ascii="宋体" w:hAnsi="宋体" w:eastAsia="宋体" w:cs="宋体"/>
          <w:color w:val="auto"/>
          <w:spacing w:val="4"/>
          <w:sz w:val="20"/>
          <w:szCs w:val="20"/>
          <w:highlight w:val="none"/>
        </w:rPr>
        <w:t>承包人的索赔</w:t>
      </w:r>
    </w:p>
    <w:p w14:paraId="68B3A8E9">
      <w:pPr>
        <w:spacing w:before="220" w:line="432" w:lineRule="auto"/>
        <w:ind w:left="8"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根据合同约定，承包人认为有权得到追加付款和（或）延长工期的，应按以下程序向发包人提出索</w:t>
      </w:r>
      <w:r>
        <w:rPr>
          <w:rFonts w:ascii="宋体" w:hAnsi="宋体" w:eastAsia="宋体" w:cs="宋体"/>
          <w:color w:val="auto"/>
          <w:spacing w:val="6"/>
          <w:sz w:val="20"/>
          <w:szCs w:val="20"/>
          <w:highlight w:val="none"/>
        </w:rPr>
        <w:t xml:space="preserve"> </w:t>
      </w:r>
      <w:r>
        <w:rPr>
          <w:rFonts w:ascii="宋体" w:hAnsi="宋体" w:eastAsia="宋体" w:cs="宋体"/>
          <w:color w:val="auto"/>
          <w:sz w:val="20"/>
          <w:szCs w:val="20"/>
          <w:highlight w:val="none"/>
        </w:rPr>
        <w:t>赔：</w:t>
      </w:r>
    </w:p>
    <w:p w14:paraId="4F96803F">
      <w:pPr>
        <w:spacing w:line="364" w:lineRule="auto"/>
        <w:ind w:left="10" w:right="2" w:firstLine="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（1）承包人应在知道或应当知道索赔事件发生后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天内，向监理人递交索赔意向通知书，并说明</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发生索赔事件的事由；承包人未在前述</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天内发出索赔意向通知书的，丧失要求追加付款和（或）延长</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工期的权利；</w:t>
      </w:r>
    </w:p>
    <w:p w14:paraId="09776B2C">
      <w:pPr>
        <w:spacing w:before="220" w:line="330" w:lineRule="auto"/>
        <w:ind w:left="27" w:firstLine="41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（2）承包人应在发出索赔意向通知书后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天内，向监理人正式递交索赔报告；索赔报告应详细说</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明索赔理由以及要求追加的付款金额和（或）延长的工期，并附必要的记录和证明</w:t>
      </w:r>
      <w:r>
        <w:rPr>
          <w:rFonts w:ascii="宋体" w:hAnsi="宋体" w:eastAsia="宋体" w:cs="宋体"/>
          <w:color w:val="auto"/>
          <w:spacing w:val="8"/>
          <w:sz w:val="20"/>
          <w:szCs w:val="20"/>
          <w:highlight w:val="none"/>
        </w:rPr>
        <w:t>材料；</w:t>
      </w:r>
    </w:p>
    <w:p w14:paraId="1C1BA43C">
      <w:pPr>
        <w:spacing w:before="221" w:line="330" w:lineRule="auto"/>
        <w:ind w:left="13" w:right="2" w:firstLine="42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（3）索赔事件具有持续影响的，承包人应按合理时间间隔继续递交延续索赔通知，说明持续影响的</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实际情况和记录，列出累计的追加付款金额和（或）工期延长天数；</w:t>
      </w:r>
    </w:p>
    <w:p w14:paraId="61796983">
      <w:pPr>
        <w:spacing w:before="221" w:line="330" w:lineRule="auto"/>
        <w:ind w:left="8" w:right="2"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（4）在索赔事件影响结束后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天内，承包人应向监理人递交最终索赔报告，说明最终要求索赔的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追加付款金额和（或）延长的工期，并附必要的记录和证明材料。</w:t>
      </w:r>
    </w:p>
    <w:p w14:paraId="540E9AB7">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19.2 对承包人索赔的处理</w:t>
      </w:r>
    </w:p>
    <w:p w14:paraId="1E282856">
      <w:pPr>
        <w:spacing w:before="221"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对承包人索赔的处理如下：</w:t>
      </w:r>
    </w:p>
    <w:p w14:paraId="274D5BB8">
      <w:pPr>
        <w:spacing w:before="221" w:line="330" w:lineRule="auto"/>
        <w:ind w:left="9" w:right="51" w:firstLine="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（1）监理人应在收到索赔报告后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14</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天内完成审查并报送</w:t>
      </w:r>
      <w:r>
        <w:rPr>
          <w:rFonts w:ascii="宋体" w:hAnsi="宋体" w:eastAsia="宋体" w:cs="宋体"/>
          <w:color w:val="auto"/>
          <w:spacing w:val="7"/>
          <w:sz w:val="20"/>
          <w:szCs w:val="20"/>
          <w:highlight w:val="none"/>
        </w:rPr>
        <w:t>发包人。监理人对索赔报告存在异议的，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有权要求承包人提交全部原始记录副本；</w:t>
      </w:r>
    </w:p>
    <w:p w14:paraId="04A0561C">
      <w:pPr>
        <w:spacing w:before="221" w:line="330" w:lineRule="auto"/>
        <w:ind w:left="10" w:right="2" w:firstLine="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（2）发包人应在监理人收到索赔报告或有关索赔的进一步证明材料后的</w:t>
      </w:r>
      <w:r>
        <w:rPr>
          <w:rFonts w:ascii="宋体" w:hAnsi="宋体" w:eastAsia="宋体" w:cs="宋体"/>
          <w:color w:val="auto"/>
          <w:spacing w:val="-30"/>
          <w:sz w:val="20"/>
          <w:szCs w:val="20"/>
          <w:highlight w:val="none"/>
        </w:rPr>
        <w:t xml:space="preserve"> </w:t>
      </w:r>
      <w:r>
        <w:rPr>
          <w:rFonts w:ascii="宋体" w:hAnsi="宋体" w:eastAsia="宋体" w:cs="宋体"/>
          <w:color w:val="auto"/>
          <w:spacing w:val="8"/>
          <w:sz w:val="20"/>
          <w:szCs w:val="20"/>
          <w:highlight w:val="none"/>
        </w:rPr>
        <w:t>28</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天内，</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由监理人向承包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人出具经发包人签认的索赔处理结果。发包人逾期答复的，则视为认可承包人的索赔要求；</w:t>
      </w:r>
    </w:p>
    <w:p w14:paraId="65E36D1D">
      <w:pPr>
        <w:spacing w:before="221" w:line="330" w:lineRule="auto"/>
        <w:ind w:left="25" w:right="2"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（3）承包人接受索赔处理结果的，索赔款项在当期进度款中进行支付；承包人不接受索赔处理结果</w:t>
      </w:r>
      <w:r>
        <w:rPr>
          <w:rFonts w:ascii="宋体" w:hAnsi="宋体" w:eastAsia="宋体" w:cs="宋体"/>
          <w:color w:val="auto"/>
          <w:spacing w:val="18"/>
          <w:sz w:val="20"/>
          <w:szCs w:val="20"/>
          <w:highlight w:val="none"/>
        </w:rPr>
        <w:t xml:space="preserve"> </w:t>
      </w:r>
      <w:r>
        <w:rPr>
          <w:rFonts w:ascii="宋体" w:hAnsi="宋体" w:eastAsia="宋体" w:cs="宋体"/>
          <w:color w:val="auto"/>
          <w:spacing w:val="6"/>
          <w:sz w:val="20"/>
          <w:szCs w:val="20"/>
          <w:highlight w:val="none"/>
        </w:rPr>
        <w:t>的，按照第</w:t>
      </w:r>
      <w:r>
        <w:rPr>
          <w:rFonts w:ascii="宋体" w:hAnsi="宋体" w:eastAsia="宋体" w:cs="宋体"/>
          <w:color w:val="auto"/>
          <w:spacing w:val="-30"/>
          <w:sz w:val="20"/>
          <w:szCs w:val="20"/>
          <w:highlight w:val="none"/>
        </w:rPr>
        <w:t xml:space="preserve"> </w:t>
      </w:r>
      <w:r>
        <w:rPr>
          <w:rFonts w:ascii="宋体" w:hAnsi="宋体" w:eastAsia="宋体" w:cs="宋体"/>
          <w:color w:val="auto"/>
          <w:spacing w:val="6"/>
          <w:sz w:val="20"/>
          <w:szCs w:val="20"/>
          <w:highlight w:val="none"/>
        </w:rPr>
        <w:t>20</w:t>
      </w:r>
      <w:r>
        <w:rPr>
          <w:rFonts w:ascii="宋体" w:hAnsi="宋体" w:eastAsia="宋体" w:cs="宋体"/>
          <w:color w:val="auto"/>
          <w:spacing w:val="-36"/>
          <w:sz w:val="20"/>
          <w:szCs w:val="20"/>
          <w:highlight w:val="none"/>
        </w:rPr>
        <w:t xml:space="preserve"> </w:t>
      </w:r>
      <w:r>
        <w:rPr>
          <w:rFonts w:ascii="宋体" w:hAnsi="宋体" w:eastAsia="宋体" w:cs="宋体"/>
          <w:color w:val="auto"/>
          <w:spacing w:val="6"/>
          <w:sz w:val="20"/>
          <w:szCs w:val="20"/>
          <w:highlight w:val="none"/>
        </w:rPr>
        <w:t>条〔争议解决〕约定处理。</w:t>
      </w:r>
    </w:p>
    <w:p w14:paraId="24FA9252">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19.3</w:t>
      </w:r>
      <w:r>
        <w:rPr>
          <w:rFonts w:ascii="宋体" w:hAnsi="宋体" w:eastAsia="宋体" w:cs="宋体"/>
          <w:color w:val="auto"/>
          <w:spacing w:val="-35"/>
          <w:sz w:val="20"/>
          <w:szCs w:val="20"/>
          <w:highlight w:val="none"/>
        </w:rPr>
        <w:t xml:space="preserve"> </w:t>
      </w:r>
      <w:r>
        <w:rPr>
          <w:rFonts w:ascii="宋体" w:hAnsi="宋体" w:eastAsia="宋体" w:cs="宋体"/>
          <w:color w:val="auto"/>
          <w:spacing w:val="4"/>
          <w:sz w:val="20"/>
          <w:szCs w:val="20"/>
          <w:highlight w:val="none"/>
        </w:rPr>
        <w:t>发包人的索赔</w:t>
      </w:r>
    </w:p>
    <w:p w14:paraId="23AC33D6">
      <w:pPr>
        <w:spacing w:before="221" w:line="432" w:lineRule="auto"/>
        <w:ind w:left="8"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根据合同约定，发包人认为有权得到赔付金额和（或）延长缺陷责任期的，监理人应向承包人发出</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通知并附有详细的证明。</w:t>
      </w:r>
    </w:p>
    <w:p w14:paraId="3A81EBD3">
      <w:pPr>
        <w:spacing w:line="432" w:lineRule="auto"/>
        <w:ind w:left="8" w:right="2" w:firstLine="423"/>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发包人应在知道或应当知道索赔事件发生后</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天内通过监理人向承包人提出索赔意向通</w:t>
      </w:r>
      <w:r>
        <w:rPr>
          <w:rFonts w:ascii="宋体" w:hAnsi="宋体" w:eastAsia="宋体" w:cs="宋体"/>
          <w:color w:val="auto"/>
          <w:spacing w:val="6"/>
          <w:sz w:val="20"/>
          <w:szCs w:val="20"/>
          <w:highlight w:val="none"/>
        </w:rPr>
        <w:t>知书，发包</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人未在前述</w:t>
      </w:r>
      <w:r>
        <w:rPr>
          <w:rFonts w:ascii="宋体" w:hAnsi="宋体" w:eastAsia="宋体" w:cs="宋体"/>
          <w:color w:val="auto"/>
          <w:spacing w:val="-32"/>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天内发出索赔意向通知书的，丧失要求赔付金额和（或）延长缺陷责任期的权利。发包人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应在发出索赔意向通知书后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8"/>
          <w:sz w:val="20"/>
          <w:szCs w:val="20"/>
          <w:highlight w:val="none"/>
        </w:rPr>
        <w:t>28</w:t>
      </w:r>
      <w:r>
        <w:rPr>
          <w:rFonts w:ascii="宋体" w:hAnsi="宋体" w:eastAsia="宋体" w:cs="宋体"/>
          <w:color w:val="auto"/>
          <w:spacing w:val="-37"/>
          <w:sz w:val="20"/>
          <w:szCs w:val="20"/>
          <w:highlight w:val="none"/>
        </w:rPr>
        <w:t xml:space="preserve"> </w:t>
      </w:r>
      <w:r>
        <w:rPr>
          <w:rFonts w:ascii="宋体" w:hAnsi="宋体" w:eastAsia="宋体" w:cs="宋体"/>
          <w:color w:val="auto"/>
          <w:spacing w:val="8"/>
          <w:sz w:val="20"/>
          <w:szCs w:val="20"/>
          <w:highlight w:val="none"/>
        </w:rPr>
        <w:t>天内，通过监理人向承包人正式递交索赔报告。</w:t>
      </w:r>
    </w:p>
    <w:p w14:paraId="023E6788">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19.4 对发包人索赔的处理</w:t>
      </w:r>
    </w:p>
    <w:p w14:paraId="648F7F60">
      <w:pPr>
        <w:spacing w:before="221"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对发包人索赔的处理如下：</w:t>
      </w:r>
    </w:p>
    <w:p w14:paraId="66D984A9">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（1）承包人收到发包人提交的索赔报告后，应及时审查索赔报告的内容、查验发包人证明材料；</w:t>
      </w:r>
    </w:p>
    <w:p w14:paraId="16B4B059">
      <w:pPr>
        <w:spacing w:before="222" w:line="227" w:lineRule="auto"/>
        <w:ind w:right="2"/>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（2）承包人应在收到索赔报告或有关索赔的进一步证明材料后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9"/>
          <w:sz w:val="20"/>
          <w:szCs w:val="20"/>
          <w:highlight w:val="none"/>
        </w:rPr>
        <w:t>28</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天内，将索赔处理结果答复发包</w:t>
      </w:r>
    </w:p>
    <w:p w14:paraId="433FE768">
      <w:pPr>
        <w:spacing w:line="227" w:lineRule="auto"/>
        <w:rPr>
          <w:rFonts w:ascii="宋体" w:hAnsi="宋体" w:eastAsia="宋体" w:cs="宋体"/>
          <w:color w:val="auto"/>
          <w:sz w:val="20"/>
          <w:szCs w:val="20"/>
          <w:highlight w:val="none"/>
        </w:rPr>
        <w:sectPr>
          <w:headerReference r:id="rId186" w:type="default"/>
          <w:footerReference r:id="rId187" w:type="default"/>
          <w:pgSz w:w="11906" w:h="16839"/>
          <w:pgMar w:top="1091" w:right="1218" w:bottom="1158" w:left="1219" w:header="1076" w:footer="922" w:gutter="0"/>
          <w:cols w:space="720" w:num="1"/>
        </w:sectPr>
      </w:pPr>
    </w:p>
    <w:p w14:paraId="4DA7D8F6">
      <w:pPr>
        <w:spacing w:before="256" w:line="228" w:lineRule="auto"/>
        <w:ind w:left="1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人。如果承包人未在上述期限内作出答复的，则视为对发包人索赔要求的认可；</w:t>
      </w:r>
    </w:p>
    <w:p w14:paraId="78D47D97">
      <w:pPr>
        <w:spacing w:before="220" w:line="432" w:lineRule="auto"/>
        <w:ind w:left="8" w:right="56"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（3）承包人接受索赔处理结果的，发包人可从应支付给承包人的合同价款中扣除赔付的金额或延长</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缺陷责任期；发包人不接受索赔处理结果的</w:t>
      </w:r>
      <w:r>
        <w:rPr>
          <w:rFonts w:ascii="宋体" w:hAnsi="宋体" w:eastAsia="宋体" w:cs="宋体"/>
          <w:color w:val="auto"/>
          <w:spacing w:val="8"/>
          <w:sz w:val="20"/>
          <w:szCs w:val="20"/>
          <w:highlight w:val="none"/>
        </w:rPr>
        <w:t>，按第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20</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条〔争议解决〕约定处理。</w:t>
      </w:r>
    </w:p>
    <w:p w14:paraId="54845F94">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19.5 提出索赔的期限</w:t>
      </w:r>
    </w:p>
    <w:p w14:paraId="67307C67">
      <w:pPr>
        <w:spacing w:before="220" w:line="330" w:lineRule="auto"/>
        <w:ind w:left="7" w:right="56"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（1）承包人按第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9"/>
          <w:sz w:val="20"/>
          <w:szCs w:val="20"/>
          <w:highlight w:val="none"/>
        </w:rPr>
        <w:t>14.2</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款〔竣工结算审核〕约定接收竣工</w:t>
      </w:r>
      <w:r>
        <w:rPr>
          <w:rFonts w:ascii="宋体" w:hAnsi="宋体" w:eastAsia="宋体" w:cs="宋体"/>
          <w:color w:val="auto"/>
          <w:spacing w:val="8"/>
          <w:sz w:val="20"/>
          <w:szCs w:val="20"/>
          <w:highlight w:val="none"/>
        </w:rPr>
        <w:t>付款证书后，应被视为已无权再提出在工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程接收证书颁发前所发生的任何索赔。</w:t>
      </w:r>
    </w:p>
    <w:p w14:paraId="651CCBE9">
      <w:pPr>
        <w:spacing w:before="221" w:line="330" w:lineRule="auto"/>
        <w:ind w:left="11" w:right="56" w:firstLine="42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（2）承包人按第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9"/>
          <w:sz w:val="20"/>
          <w:szCs w:val="20"/>
          <w:highlight w:val="none"/>
        </w:rPr>
        <w:t>14.4</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款〔最终结清〕提交的最终结清申</w:t>
      </w:r>
      <w:r>
        <w:rPr>
          <w:rFonts w:ascii="宋体" w:hAnsi="宋体" w:eastAsia="宋体" w:cs="宋体"/>
          <w:color w:val="auto"/>
          <w:spacing w:val="8"/>
          <w:sz w:val="20"/>
          <w:szCs w:val="20"/>
          <w:highlight w:val="none"/>
        </w:rPr>
        <w:t>请单中，只限于提出工程接收证书颁发后</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发生的索赔。提出索赔的期限自接受最终结清证书时终止。</w:t>
      </w:r>
    </w:p>
    <w:p w14:paraId="7553BE10">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20.</w:t>
      </w:r>
      <w:r>
        <w:rPr>
          <w:rFonts w:ascii="宋体" w:hAnsi="宋体" w:eastAsia="宋体" w:cs="宋体"/>
          <w:color w:val="auto"/>
          <w:spacing w:val="18"/>
          <w:sz w:val="20"/>
          <w:szCs w:val="20"/>
          <w:highlight w:val="none"/>
        </w:rPr>
        <w:t xml:space="preserve"> </w:t>
      </w:r>
      <w:r>
        <w:rPr>
          <w:rFonts w:ascii="宋体" w:hAnsi="宋体" w:eastAsia="宋体" w:cs="宋体"/>
          <w:color w:val="auto"/>
          <w:spacing w:val="4"/>
          <w:sz w:val="20"/>
          <w:szCs w:val="20"/>
          <w:highlight w:val="none"/>
        </w:rPr>
        <w:t>争议解决</w:t>
      </w:r>
    </w:p>
    <w:p w14:paraId="5502E39A">
      <w:pPr>
        <w:spacing w:before="221" w:line="229" w:lineRule="auto"/>
        <w:ind w:left="43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20.1</w:t>
      </w:r>
      <w:r>
        <w:rPr>
          <w:rFonts w:ascii="宋体" w:hAnsi="宋体" w:eastAsia="宋体" w:cs="宋体"/>
          <w:color w:val="auto"/>
          <w:spacing w:val="-40"/>
          <w:sz w:val="20"/>
          <w:szCs w:val="20"/>
          <w:highlight w:val="none"/>
        </w:rPr>
        <w:t xml:space="preserve"> </w:t>
      </w:r>
      <w:r>
        <w:rPr>
          <w:rFonts w:ascii="宋体" w:hAnsi="宋体" w:eastAsia="宋体" w:cs="宋体"/>
          <w:color w:val="auto"/>
          <w:spacing w:val="3"/>
          <w:sz w:val="20"/>
          <w:szCs w:val="20"/>
          <w:highlight w:val="none"/>
        </w:rPr>
        <w:t>和解</w:t>
      </w:r>
    </w:p>
    <w:p w14:paraId="14D912F0">
      <w:pPr>
        <w:spacing w:before="220" w:line="432" w:lineRule="auto"/>
        <w:ind w:left="9" w:right="56"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合同当事人可以就争议自行和解，</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自行和解达成协议的经双方签字并盖章后作为合同补充文件</w:t>
      </w:r>
      <w:r>
        <w:rPr>
          <w:rFonts w:ascii="宋体" w:hAnsi="宋体" w:eastAsia="宋体" w:cs="宋体"/>
          <w:color w:val="auto"/>
          <w:spacing w:val="8"/>
          <w:sz w:val="20"/>
          <w:szCs w:val="20"/>
          <w:highlight w:val="none"/>
        </w:rPr>
        <w:t>，双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方均应遵照执行。</w:t>
      </w:r>
    </w:p>
    <w:p w14:paraId="7F91610B">
      <w:pPr>
        <w:spacing w:line="229" w:lineRule="auto"/>
        <w:ind w:left="43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20.2</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调解</w:t>
      </w:r>
    </w:p>
    <w:p w14:paraId="5B615DBE">
      <w:pPr>
        <w:spacing w:before="220" w:line="432" w:lineRule="auto"/>
        <w:ind w:left="10" w:firstLine="4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合同当事人可以就争议请求建设行政主管部门、行业协会或其</w:t>
      </w:r>
      <w:r>
        <w:rPr>
          <w:rFonts w:ascii="宋体" w:hAnsi="宋体" w:eastAsia="宋体" w:cs="宋体"/>
          <w:color w:val="auto"/>
          <w:spacing w:val="6"/>
          <w:sz w:val="20"/>
          <w:szCs w:val="20"/>
          <w:highlight w:val="none"/>
        </w:rPr>
        <w:t>他第三方进行调解，调解达成协议的，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经双方签字并盖章后作为合同补充文件，双方均应遵照执行。</w:t>
      </w:r>
    </w:p>
    <w:p w14:paraId="47CD29CE">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20.3</w:t>
      </w:r>
      <w:r>
        <w:rPr>
          <w:rFonts w:ascii="宋体" w:hAnsi="宋体" w:eastAsia="宋体" w:cs="宋体"/>
          <w:color w:val="auto"/>
          <w:spacing w:val="-34"/>
          <w:sz w:val="20"/>
          <w:szCs w:val="20"/>
          <w:highlight w:val="none"/>
        </w:rPr>
        <w:t xml:space="preserve"> </w:t>
      </w:r>
      <w:r>
        <w:rPr>
          <w:rFonts w:ascii="宋体" w:hAnsi="宋体" w:eastAsia="宋体" w:cs="宋体"/>
          <w:color w:val="auto"/>
          <w:spacing w:val="4"/>
          <w:sz w:val="20"/>
          <w:szCs w:val="20"/>
          <w:highlight w:val="none"/>
        </w:rPr>
        <w:t>争议评审</w:t>
      </w:r>
    </w:p>
    <w:p w14:paraId="272DDC94">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合同当事人在专用合同条款中约定采取争议评</w:t>
      </w:r>
      <w:r>
        <w:rPr>
          <w:rFonts w:ascii="宋体" w:hAnsi="宋体" w:eastAsia="宋体" w:cs="宋体"/>
          <w:color w:val="auto"/>
          <w:spacing w:val="9"/>
          <w:sz w:val="20"/>
          <w:szCs w:val="20"/>
          <w:highlight w:val="none"/>
        </w:rPr>
        <w:t>审方式解决争议以及评审规则，并按下列约定执行：</w:t>
      </w:r>
    </w:p>
    <w:p w14:paraId="3D50BB65">
      <w:pPr>
        <w:spacing w:before="222"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20.3.1 争议评审小组的确定</w:t>
      </w:r>
    </w:p>
    <w:p w14:paraId="23AD851B">
      <w:pPr>
        <w:spacing w:before="221" w:line="432" w:lineRule="auto"/>
        <w:ind w:left="9"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合同当事人可以共同选择一名或三名争议评审员，组成争议评</w:t>
      </w:r>
      <w:r>
        <w:rPr>
          <w:rFonts w:ascii="宋体" w:hAnsi="宋体" w:eastAsia="宋体" w:cs="宋体"/>
          <w:color w:val="auto"/>
          <w:spacing w:val="6"/>
          <w:sz w:val="20"/>
          <w:szCs w:val="20"/>
          <w:highlight w:val="none"/>
        </w:rPr>
        <w:t>审小组。除专用合同条款另有约定外，</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合同当事人应当自合同签订后</w:t>
      </w:r>
      <w:r>
        <w:rPr>
          <w:rFonts w:ascii="宋体" w:hAnsi="宋体" w:eastAsia="宋体" w:cs="宋体"/>
          <w:color w:val="auto"/>
          <w:spacing w:val="-27"/>
          <w:sz w:val="20"/>
          <w:szCs w:val="20"/>
          <w:highlight w:val="none"/>
        </w:rPr>
        <w:t xml:space="preserve"> </w:t>
      </w:r>
      <w:r>
        <w:rPr>
          <w:rFonts w:ascii="宋体" w:hAnsi="宋体" w:eastAsia="宋体" w:cs="宋体"/>
          <w:color w:val="auto"/>
          <w:spacing w:val="7"/>
          <w:sz w:val="20"/>
          <w:szCs w:val="20"/>
          <w:highlight w:val="none"/>
        </w:rPr>
        <w:t>28</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天内，或者争议发生后</w:t>
      </w:r>
      <w:r>
        <w:rPr>
          <w:rFonts w:ascii="宋体" w:hAnsi="宋体" w:eastAsia="宋体" w:cs="宋体"/>
          <w:color w:val="auto"/>
          <w:spacing w:val="-24"/>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天内，选定争议评审员。</w:t>
      </w:r>
    </w:p>
    <w:p w14:paraId="36BACE15">
      <w:pPr>
        <w:spacing w:before="3" w:line="431" w:lineRule="auto"/>
        <w:ind w:left="10" w:right="56" w:firstLine="417"/>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选择一名争议评审员的，由合同当事人共同确定；选择三名争议评审员的，各自选定一名，第三名</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rPr>
        <w:t>成员为首席争议评审员，由合同当事人共同确定或由合同当事人委托已选定的争议评审员共同确定，或</w:t>
      </w:r>
      <w:r>
        <w:rPr>
          <w:rFonts w:ascii="宋体" w:hAnsi="宋体" w:eastAsia="宋体" w:cs="宋体"/>
          <w:color w:val="auto"/>
          <w:spacing w:val="4"/>
          <w:sz w:val="20"/>
          <w:szCs w:val="20"/>
          <w:highlight w:val="none"/>
        </w:rPr>
        <w:t xml:space="preserve"> </w:t>
      </w:r>
      <w:r>
        <w:rPr>
          <w:rFonts w:ascii="宋体" w:hAnsi="宋体" w:eastAsia="宋体" w:cs="宋体"/>
          <w:color w:val="auto"/>
          <w:spacing w:val="9"/>
          <w:sz w:val="20"/>
          <w:szCs w:val="20"/>
          <w:highlight w:val="none"/>
        </w:rPr>
        <w:t>由专用合同条款约定的评审机构指定第三名首席争议评审员。</w:t>
      </w:r>
    </w:p>
    <w:p w14:paraId="265D3781">
      <w:pPr>
        <w:spacing w:line="228" w:lineRule="auto"/>
        <w:ind w:left="4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除专用合同条款另有约定外，评审员报酬由发包人和承包人各承担一半。</w:t>
      </w:r>
    </w:p>
    <w:p w14:paraId="720DB929">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20.3.2 争议评审小组的决定</w:t>
      </w:r>
    </w:p>
    <w:p w14:paraId="69E0C768">
      <w:pPr>
        <w:spacing w:before="221" w:line="432" w:lineRule="auto"/>
        <w:ind w:left="8" w:right="56"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合同当事人可在任何时间将与合同有关的任何争议共同提请争议评审小组进行评审。争议评审小组</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应秉持客观、公正原则，充分听取合同当事人的意见，依据相关法律、规范、标准、案例经验及商业惯</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例等，自收到争议评审申请报告后</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14</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天内作出书面决定，并说明理由。合同当</w:t>
      </w:r>
      <w:r>
        <w:rPr>
          <w:rFonts w:ascii="宋体" w:hAnsi="宋体" w:eastAsia="宋体" w:cs="宋体"/>
          <w:color w:val="auto"/>
          <w:spacing w:val="6"/>
          <w:sz w:val="20"/>
          <w:szCs w:val="20"/>
          <w:highlight w:val="none"/>
        </w:rPr>
        <w:t>事人可以在专用合同条款</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中对本项事项另行约定。</w:t>
      </w:r>
    </w:p>
    <w:p w14:paraId="7B6590CF">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20.3.3 争议评审小组决定的效力</w:t>
      </w:r>
    </w:p>
    <w:p w14:paraId="25AB8768">
      <w:pPr>
        <w:spacing w:line="228" w:lineRule="auto"/>
        <w:rPr>
          <w:rFonts w:ascii="宋体" w:hAnsi="宋体" w:eastAsia="宋体" w:cs="宋体"/>
          <w:color w:val="auto"/>
          <w:sz w:val="20"/>
          <w:szCs w:val="20"/>
          <w:highlight w:val="none"/>
        </w:rPr>
        <w:sectPr>
          <w:headerReference r:id="rId188" w:type="default"/>
          <w:footerReference r:id="rId189" w:type="default"/>
          <w:pgSz w:w="11906" w:h="16839"/>
          <w:pgMar w:top="1091" w:right="1164" w:bottom="1158" w:left="1219" w:header="1076" w:footer="922" w:gutter="0"/>
          <w:cols w:space="720" w:num="1"/>
        </w:sectPr>
      </w:pPr>
    </w:p>
    <w:p w14:paraId="743E7175">
      <w:pPr>
        <w:spacing w:before="256" w:line="228" w:lineRule="auto"/>
        <w:ind w:left="43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争议评审小组作出的书面决定经合同当事人签字确认后，对双方具有约束力，双方应遵照执行。</w:t>
      </w:r>
    </w:p>
    <w:p w14:paraId="5926F59A">
      <w:pPr>
        <w:spacing w:before="221" w:line="432" w:lineRule="auto"/>
        <w:ind w:left="7" w:right="53"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任何一方当事人不接受争议评审小组决定或不履行争议评审小组决定的，双方可选择采用其他争议</w:t>
      </w:r>
      <w:r>
        <w:rPr>
          <w:rFonts w:ascii="宋体" w:hAnsi="宋体" w:eastAsia="宋体" w:cs="宋体"/>
          <w:color w:val="auto"/>
          <w:spacing w:val="7"/>
          <w:sz w:val="20"/>
          <w:szCs w:val="20"/>
          <w:highlight w:val="none"/>
        </w:rPr>
        <w:t xml:space="preserve"> </w:t>
      </w:r>
      <w:r>
        <w:rPr>
          <w:rFonts w:ascii="宋体" w:hAnsi="宋体" w:eastAsia="宋体" w:cs="宋体"/>
          <w:color w:val="auto"/>
          <w:spacing w:val="6"/>
          <w:sz w:val="20"/>
          <w:szCs w:val="20"/>
          <w:highlight w:val="none"/>
        </w:rPr>
        <w:t>解决方式。</w:t>
      </w:r>
    </w:p>
    <w:p w14:paraId="78CF0DA8">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20.4</w:t>
      </w:r>
      <w:r>
        <w:rPr>
          <w:rFonts w:ascii="宋体" w:hAnsi="宋体" w:eastAsia="宋体" w:cs="宋体"/>
          <w:color w:val="auto"/>
          <w:spacing w:val="-35"/>
          <w:sz w:val="20"/>
          <w:szCs w:val="20"/>
          <w:highlight w:val="none"/>
        </w:rPr>
        <w:t xml:space="preserve"> </w:t>
      </w:r>
      <w:r>
        <w:rPr>
          <w:rFonts w:ascii="宋体" w:hAnsi="宋体" w:eastAsia="宋体" w:cs="宋体"/>
          <w:color w:val="auto"/>
          <w:spacing w:val="5"/>
          <w:sz w:val="20"/>
          <w:szCs w:val="20"/>
          <w:highlight w:val="none"/>
        </w:rPr>
        <w:t>仲裁或诉讼</w:t>
      </w:r>
    </w:p>
    <w:p w14:paraId="1E8D8141">
      <w:pPr>
        <w:spacing w:before="220" w:line="228" w:lineRule="auto"/>
        <w:jc w:val="right"/>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因合同及合同有关事项产生的争议，合同当事人可以在专用合同条款中约定以下一种方式解决争议：</w:t>
      </w:r>
    </w:p>
    <w:p w14:paraId="34B8E5E2">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（1）向约定的仲裁委员会申请仲裁；</w:t>
      </w:r>
    </w:p>
    <w:p w14:paraId="2CF5BFFF">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（2）向有管辖权的人民法院起诉。</w:t>
      </w:r>
    </w:p>
    <w:p w14:paraId="3DB56A70">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20.5</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争议解决条款效力</w:t>
      </w:r>
    </w:p>
    <w:p w14:paraId="73DA81F5">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合同有关争议解决的条款独立存在，合同的变</w:t>
      </w:r>
      <w:r>
        <w:rPr>
          <w:rFonts w:ascii="宋体" w:hAnsi="宋体" w:eastAsia="宋体" w:cs="宋体"/>
          <w:color w:val="auto"/>
          <w:spacing w:val="9"/>
          <w:sz w:val="20"/>
          <w:szCs w:val="20"/>
          <w:highlight w:val="none"/>
        </w:rPr>
        <w:t>更、解除、终止、无效或者被撤销均不影响其效力。</w:t>
      </w:r>
    </w:p>
    <w:p w14:paraId="5A7E9485">
      <w:pPr>
        <w:spacing w:line="228" w:lineRule="auto"/>
        <w:rPr>
          <w:rFonts w:ascii="宋体" w:hAnsi="宋体" w:eastAsia="宋体" w:cs="宋体"/>
          <w:color w:val="auto"/>
          <w:sz w:val="20"/>
          <w:szCs w:val="20"/>
          <w:highlight w:val="none"/>
        </w:rPr>
        <w:sectPr>
          <w:headerReference r:id="rId190" w:type="default"/>
          <w:footerReference r:id="rId191" w:type="default"/>
          <w:pgSz w:w="11906" w:h="16839"/>
          <w:pgMar w:top="1091" w:right="1167" w:bottom="1158" w:left="1219" w:header="1076" w:footer="922" w:gutter="0"/>
          <w:cols w:space="720" w:num="1"/>
        </w:sectPr>
      </w:pPr>
    </w:p>
    <w:p w14:paraId="040CE7FC">
      <w:pPr>
        <w:pStyle w:val="2"/>
        <w:spacing w:line="242" w:lineRule="auto"/>
        <w:rPr>
          <w:color w:val="auto"/>
          <w:highlight w:val="none"/>
        </w:rPr>
      </w:pPr>
    </w:p>
    <w:p w14:paraId="10E2C81A">
      <w:pPr>
        <w:pStyle w:val="2"/>
        <w:spacing w:line="242" w:lineRule="auto"/>
        <w:rPr>
          <w:color w:val="auto"/>
          <w:highlight w:val="none"/>
        </w:rPr>
      </w:pPr>
    </w:p>
    <w:p w14:paraId="7A46F259">
      <w:pPr>
        <w:pStyle w:val="2"/>
        <w:spacing w:line="243" w:lineRule="auto"/>
        <w:rPr>
          <w:color w:val="auto"/>
          <w:highlight w:val="none"/>
        </w:rPr>
      </w:pPr>
    </w:p>
    <w:p w14:paraId="31E69E44">
      <w:pPr>
        <w:pStyle w:val="2"/>
        <w:spacing w:line="243" w:lineRule="auto"/>
        <w:rPr>
          <w:color w:val="auto"/>
          <w:highlight w:val="none"/>
        </w:rPr>
      </w:pPr>
    </w:p>
    <w:p w14:paraId="53F20793">
      <w:pPr>
        <w:pStyle w:val="2"/>
        <w:spacing w:line="243" w:lineRule="auto"/>
        <w:rPr>
          <w:color w:val="auto"/>
          <w:highlight w:val="none"/>
        </w:rPr>
      </w:pPr>
    </w:p>
    <w:p w14:paraId="429FBFDE">
      <w:pPr>
        <w:spacing w:before="97" w:line="220" w:lineRule="auto"/>
        <w:ind w:left="3165"/>
        <w:outlineLvl w:val="0"/>
        <w:rPr>
          <w:rFonts w:ascii="宋体" w:hAnsi="宋体" w:eastAsia="宋体" w:cs="宋体"/>
          <w:color w:val="auto"/>
          <w:sz w:val="30"/>
          <w:szCs w:val="30"/>
          <w:highlight w:val="none"/>
        </w:rPr>
      </w:pPr>
      <w:bookmarkStart w:id="41" w:name="_Toc23236"/>
      <w:r>
        <w:rPr>
          <w:rFonts w:ascii="宋体" w:hAnsi="宋体" w:eastAsia="宋体" w:cs="宋体"/>
          <w:b/>
          <w:bCs/>
          <w:color w:val="auto"/>
          <w:spacing w:val="-4"/>
          <w:sz w:val="30"/>
          <w:szCs w:val="30"/>
          <w:highlight w:val="none"/>
        </w:rPr>
        <w:t>第三部分</w:t>
      </w:r>
      <w:r>
        <w:rPr>
          <w:rFonts w:ascii="宋体" w:hAnsi="宋体" w:eastAsia="宋体" w:cs="宋体"/>
          <w:color w:val="auto"/>
          <w:spacing w:val="-4"/>
          <w:sz w:val="30"/>
          <w:szCs w:val="30"/>
          <w:highlight w:val="none"/>
        </w:rPr>
        <w:t xml:space="preserve"> </w:t>
      </w:r>
      <w:r>
        <w:rPr>
          <w:rFonts w:ascii="宋体" w:hAnsi="宋体" w:eastAsia="宋体" w:cs="宋体"/>
          <w:b/>
          <w:bCs/>
          <w:color w:val="auto"/>
          <w:spacing w:val="-4"/>
          <w:sz w:val="30"/>
          <w:szCs w:val="30"/>
          <w:highlight w:val="none"/>
        </w:rPr>
        <w:t>专用合同条款</w:t>
      </w:r>
      <w:bookmarkEnd w:id="41"/>
    </w:p>
    <w:p w14:paraId="3A4744C3">
      <w:pPr>
        <w:pStyle w:val="2"/>
        <w:spacing w:line="273" w:lineRule="auto"/>
        <w:rPr>
          <w:color w:val="auto"/>
          <w:highlight w:val="none"/>
        </w:rPr>
      </w:pPr>
    </w:p>
    <w:p w14:paraId="21BE19B5">
      <w:pPr>
        <w:pStyle w:val="2"/>
        <w:spacing w:line="274" w:lineRule="auto"/>
        <w:rPr>
          <w:color w:val="auto"/>
          <w:highlight w:val="none"/>
        </w:rPr>
      </w:pPr>
    </w:p>
    <w:p w14:paraId="0FBB53A6">
      <w:pPr>
        <w:spacing w:before="100" w:line="226" w:lineRule="auto"/>
        <w:ind w:left="36"/>
        <w:outlineLvl w:val="1"/>
        <w:rPr>
          <w:rFonts w:ascii="宋体" w:hAnsi="宋体" w:eastAsia="宋体" w:cs="宋体"/>
          <w:color w:val="auto"/>
          <w:sz w:val="31"/>
          <w:szCs w:val="31"/>
          <w:highlight w:val="none"/>
        </w:rPr>
      </w:pPr>
      <w:bookmarkStart w:id="42" w:name="_Toc10000"/>
      <w:r>
        <w:rPr>
          <w:rFonts w:ascii="宋体" w:hAnsi="宋体" w:eastAsia="宋体" w:cs="宋体"/>
          <w:b/>
          <w:bCs/>
          <w:color w:val="auto"/>
          <w:spacing w:val="-3"/>
          <w:sz w:val="31"/>
          <w:szCs w:val="31"/>
          <w:highlight w:val="none"/>
        </w:rPr>
        <w:t>1.</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3"/>
          <w:sz w:val="31"/>
          <w:szCs w:val="31"/>
          <w:highlight w:val="none"/>
        </w:rPr>
        <w:t>一般约定</w:t>
      </w:r>
      <w:bookmarkEnd w:id="42"/>
    </w:p>
    <w:p w14:paraId="11259975">
      <w:pPr>
        <w:pStyle w:val="2"/>
        <w:spacing w:line="400" w:lineRule="auto"/>
        <w:rPr>
          <w:color w:val="auto"/>
          <w:highlight w:val="none"/>
        </w:rPr>
      </w:pPr>
    </w:p>
    <w:p w14:paraId="2341185D">
      <w:pPr>
        <w:spacing w:before="101" w:line="226" w:lineRule="auto"/>
        <w:ind w:left="36"/>
        <w:outlineLvl w:val="2"/>
        <w:rPr>
          <w:rFonts w:ascii="宋体" w:hAnsi="宋体" w:eastAsia="宋体" w:cs="宋体"/>
          <w:color w:val="auto"/>
          <w:sz w:val="31"/>
          <w:szCs w:val="31"/>
          <w:highlight w:val="none"/>
        </w:rPr>
      </w:pPr>
      <w:bookmarkStart w:id="43" w:name="_Toc22207"/>
      <w:r>
        <w:rPr>
          <w:rFonts w:ascii="宋体" w:hAnsi="宋体" w:eastAsia="宋体" w:cs="宋体"/>
          <w:b/>
          <w:bCs/>
          <w:color w:val="auto"/>
          <w:spacing w:val="-2"/>
          <w:sz w:val="31"/>
          <w:szCs w:val="31"/>
          <w:highlight w:val="none"/>
        </w:rPr>
        <w:t>1.1</w:t>
      </w:r>
      <w:r>
        <w:rPr>
          <w:rFonts w:ascii="宋体" w:hAnsi="宋体" w:eastAsia="宋体" w:cs="宋体"/>
          <w:color w:val="auto"/>
          <w:spacing w:val="21"/>
          <w:sz w:val="31"/>
          <w:szCs w:val="31"/>
          <w:highlight w:val="none"/>
        </w:rPr>
        <w:t xml:space="preserve"> </w:t>
      </w:r>
      <w:r>
        <w:rPr>
          <w:rFonts w:ascii="宋体" w:hAnsi="宋体" w:eastAsia="宋体" w:cs="宋体"/>
          <w:b/>
          <w:bCs/>
          <w:color w:val="auto"/>
          <w:spacing w:val="-2"/>
          <w:sz w:val="31"/>
          <w:szCs w:val="31"/>
          <w:highlight w:val="none"/>
        </w:rPr>
        <w:t>词语定义</w:t>
      </w:r>
      <w:bookmarkEnd w:id="43"/>
    </w:p>
    <w:p w14:paraId="4995AEE3">
      <w:pPr>
        <w:pStyle w:val="2"/>
        <w:spacing w:line="412" w:lineRule="auto"/>
        <w:rPr>
          <w:color w:val="auto"/>
          <w:highlight w:val="none"/>
        </w:rPr>
      </w:pPr>
    </w:p>
    <w:p w14:paraId="6682330F">
      <w:pPr>
        <w:spacing w:before="65" w:line="231" w:lineRule="auto"/>
        <w:ind w:left="44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1.1.1</w:t>
      </w:r>
      <w:r>
        <w:rPr>
          <w:rFonts w:ascii="宋体" w:hAnsi="宋体" w:eastAsia="宋体" w:cs="宋体"/>
          <w:color w:val="auto"/>
          <w:spacing w:val="15"/>
          <w:sz w:val="20"/>
          <w:szCs w:val="20"/>
          <w:highlight w:val="none"/>
        </w:rPr>
        <w:t xml:space="preserve"> </w:t>
      </w:r>
      <w:r>
        <w:rPr>
          <w:rFonts w:ascii="宋体" w:hAnsi="宋体" w:eastAsia="宋体" w:cs="宋体"/>
          <w:color w:val="auto"/>
          <w:spacing w:val="1"/>
          <w:sz w:val="20"/>
          <w:szCs w:val="20"/>
          <w:highlight w:val="none"/>
        </w:rPr>
        <w:t>合同</w:t>
      </w:r>
    </w:p>
    <w:p w14:paraId="14EB0F6F">
      <w:pPr>
        <w:pStyle w:val="2"/>
        <w:spacing w:line="306" w:lineRule="auto"/>
        <w:rPr>
          <w:color w:val="auto"/>
          <w:highlight w:val="none"/>
        </w:rPr>
      </w:pPr>
    </w:p>
    <w:p w14:paraId="2F10D91F">
      <w:pPr>
        <w:spacing w:before="66" w:line="228" w:lineRule="auto"/>
        <w:ind w:left="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1.1.1.10 其他合同文件包括：</w:t>
      </w:r>
      <w:r>
        <w:rPr>
          <w:rFonts w:ascii="宋体" w:hAnsi="宋体" w:eastAsia="宋体" w:cs="宋体"/>
          <w:color w:val="auto"/>
          <w:spacing w:val="10"/>
          <w:sz w:val="20"/>
          <w:szCs w:val="20"/>
          <w:highlight w:val="none"/>
          <w:u w:val="single" w:color="auto"/>
        </w:rPr>
        <w:t>双方约定的与工程施工有关的具有合同约束力的文件或书面协议</w:t>
      </w:r>
      <w:r>
        <w:rPr>
          <w:rFonts w:ascii="宋体" w:hAnsi="宋体" w:eastAsia="宋体" w:cs="宋体"/>
          <w:color w:val="auto"/>
          <w:spacing w:val="10"/>
          <w:sz w:val="20"/>
          <w:szCs w:val="20"/>
          <w:highlight w:val="none"/>
        </w:rPr>
        <w:t>。</w:t>
      </w:r>
    </w:p>
    <w:p w14:paraId="6F5316B1">
      <w:pPr>
        <w:pStyle w:val="2"/>
        <w:spacing w:line="274" w:lineRule="auto"/>
        <w:rPr>
          <w:color w:val="auto"/>
          <w:highlight w:val="none"/>
        </w:rPr>
      </w:pPr>
    </w:p>
    <w:p w14:paraId="4385EB3D">
      <w:pPr>
        <w:spacing w:before="66" w:line="229"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1.1.2 合同当事人及其他相关方</w:t>
      </w:r>
    </w:p>
    <w:p w14:paraId="26DEC024">
      <w:pPr>
        <w:spacing w:before="220" w:line="231" w:lineRule="auto"/>
        <w:ind w:left="443"/>
        <w:outlineLvl w:val="0"/>
        <w:rPr>
          <w:rFonts w:ascii="宋体" w:hAnsi="宋体" w:eastAsia="宋体" w:cs="宋体"/>
          <w:color w:val="auto"/>
          <w:sz w:val="20"/>
          <w:szCs w:val="20"/>
          <w:highlight w:val="none"/>
        </w:rPr>
      </w:pPr>
      <w:bookmarkStart w:id="44" w:name="_Toc10284"/>
      <w:r>
        <w:rPr>
          <w:rFonts w:ascii="宋体" w:hAnsi="宋体" w:eastAsia="宋体" w:cs="宋体"/>
          <w:color w:val="auto"/>
          <w:spacing w:val="3"/>
          <w:sz w:val="20"/>
          <w:szCs w:val="20"/>
          <w:highlight w:val="none"/>
        </w:rPr>
        <w:t>1.1.2.4 监理人：</w:t>
      </w:r>
      <w:bookmarkEnd w:id="44"/>
    </w:p>
    <w:p w14:paraId="3B169E70">
      <w:pPr>
        <w:spacing w:before="218"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名    称：</w:t>
      </w:r>
      <w:r>
        <w:rPr>
          <w:rFonts w:ascii="宋体" w:hAnsi="宋体" w:eastAsia="宋体" w:cs="宋体"/>
          <w:color w:val="auto"/>
          <w:spacing w:val="7"/>
          <w:sz w:val="20"/>
          <w:szCs w:val="20"/>
          <w:highlight w:val="none"/>
          <w:u w:val="single" w:color="auto"/>
        </w:rPr>
        <w:t xml:space="preserve">发包人安排并通知到位 </w:t>
      </w:r>
      <w:r>
        <w:rPr>
          <w:rFonts w:ascii="宋体" w:hAnsi="宋体" w:eastAsia="宋体" w:cs="宋体"/>
          <w:color w:val="auto"/>
          <w:spacing w:val="7"/>
          <w:sz w:val="20"/>
          <w:szCs w:val="20"/>
          <w:highlight w:val="none"/>
        </w:rPr>
        <w:t>；</w:t>
      </w:r>
    </w:p>
    <w:p w14:paraId="02135941">
      <w:pPr>
        <w:spacing w:before="221" w:line="228" w:lineRule="auto"/>
        <w:ind w:left="437"/>
        <w:rPr>
          <w:rFonts w:ascii="宋体" w:hAnsi="宋体" w:eastAsia="宋体" w:cs="宋体"/>
          <w:color w:val="auto"/>
          <w:sz w:val="20"/>
          <w:szCs w:val="20"/>
          <w:highlight w:val="none"/>
        </w:rPr>
      </w:pPr>
      <w:r>
        <w:rPr>
          <w:rFonts w:ascii="宋体" w:hAnsi="宋体" w:eastAsia="宋体" w:cs="宋体"/>
          <w:color w:val="auto"/>
          <w:spacing w:val="13"/>
          <w:sz w:val="20"/>
          <w:szCs w:val="20"/>
          <w:highlight w:val="none"/>
        </w:rPr>
        <w:t>资质类别和等级：</w:t>
      </w:r>
      <w:r>
        <w:rPr>
          <w:rFonts w:ascii="宋体" w:hAnsi="宋体" w:eastAsia="宋体" w:cs="宋体"/>
          <w:color w:val="auto"/>
          <w:spacing w:val="13"/>
          <w:sz w:val="20"/>
          <w:szCs w:val="20"/>
          <w:highlight w:val="none"/>
          <w:u w:val="single" w:color="auto"/>
        </w:rPr>
        <w:t>详见监理合</w:t>
      </w:r>
      <w:r>
        <w:rPr>
          <w:rFonts w:ascii="宋体" w:hAnsi="宋体" w:eastAsia="宋体" w:cs="宋体"/>
          <w:color w:val="auto"/>
          <w:spacing w:val="-43"/>
          <w:sz w:val="20"/>
          <w:szCs w:val="20"/>
          <w:highlight w:val="none"/>
          <w:u w:val="single" w:color="auto"/>
        </w:rPr>
        <w:t xml:space="preserve"> </w:t>
      </w:r>
      <w:r>
        <w:rPr>
          <w:rFonts w:ascii="宋体" w:hAnsi="宋体" w:eastAsia="宋体" w:cs="宋体"/>
          <w:color w:val="auto"/>
          <w:spacing w:val="13"/>
          <w:sz w:val="20"/>
          <w:szCs w:val="20"/>
          <w:highlight w:val="none"/>
          <w:u w:val="single" w:color="auto"/>
        </w:rPr>
        <w:t>同</w:t>
      </w:r>
      <w:r>
        <w:rPr>
          <w:rFonts w:ascii="宋体" w:hAnsi="宋体" w:eastAsia="宋体" w:cs="宋体"/>
          <w:color w:val="auto"/>
          <w:spacing w:val="13"/>
          <w:sz w:val="20"/>
          <w:szCs w:val="20"/>
          <w:highlight w:val="none"/>
        </w:rPr>
        <w:t>；</w:t>
      </w:r>
    </w:p>
    <w:p w14:paraId="385AFF7D">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14"/>
          <w:sz w:val="20"/>
          <w:szCs w:val="20"/>
          <w:highlight w:val="none"/>
        </w:rPr>
        <w:t>联系电话：</w:t>
      </w:r>
      <w:r>
        <w:rPr>
          <w:rFonts w:ascii="宋体" w:hAnsi="宋体" w:eastAsia="宋体" w:cs="宋体"/>
          <w:color w:val="auto"/>
          <w:spacing w:val="14"/>
          <w:sz w:val="20"/>
          <w:szCs w:val="20"/>
          <w:highlight w:val="none"/>
          <w:u w:val="single" w:color="auto"/>
        </w:rPr>
        <w:t>详见监理合</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pacing w:val="14"/>
          <w:sz w:val="20"/>
          <w:szCs w:val="20"/>
          <w:highlight w:val="none"/>
          <w:u w:val="single" w:color="auto"/>
        </w:rPr>
        <w:t>同</w:t>
      </w:r>
      <w:r>
        <w:rPr>
          <w:rFonts w:ascii="宋体" w:hAnsi="宋体" w:eastAsia="宋体" w:cs="宋体"/>
          <w:color w:val="auto"/>
          <w:spacing w:val="14"/>
          <w:sz w:val="20"/>
          <w:szCs w:val="20"/>
          <w:highlight w:val="none"/>
        </w:rPr>
        <w:t>；</w:t>
      </w:r>
    </w:p>
    <w:p w14:paraId="12C87C5C">
      <w:pPr>
        <w:spacing w:before="221" w:line="228" w:lineRule="auto"/>
        <w:ind w:left="452"/>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电子信箱：</w:t>
      </w:r>
      <w:r>
        <w:rPr>
          <w:rFonts w:ascii="宋体" w:hAnsi="宋体" w:eastAsia="宋体" w:cs="宋体"/>
          <w:color w:val="auto"/>
          <w:spacing w:val="12"/>
          <w:sz w:val="20"/>
          <w:szCs w:val="20"/>
          <w:highlight w:val="none"/>
          <w:u w:val="single" w:color="auto"/>
        </w:rPr>
        <w:t>详见监理合</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pacing w:val="12"/>
          <w:sz w:val="20"/>
          <w:szCs w:val="20"/>
          <w:highlight w:val="none"/>
          <w:u w:val="single" w:color="auto"/>
        </w:rPr>
        <w:t>同</w:t>
      </w:r>
      <w:r>
        <w:rPr>
          <w:rFonts w:ascii="宋体" w:hAnsi="宋体" w:eastAsia="宋体" w:cs="宋体"/>
          <w:color w:val="auto"/>
          <w:spacing w:val="12"/>
          <w:sz w:val="20"/>
          <w:szCs w:val="20"/>
          <w:highlight w:val="none"/>
        </w:rPr>
        <w:t>；</w:t>
      </w:r>
    </w:p>
    <w:p w14:paraId="2F7D21C3">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16"/>
          <w:sz w:val="20"/>
          <w:szCs w:val="20"/>
          <w:highlight w:val="none"/>
        </w:rPr>
        <w:t>通信地址：</w:t>
      </w:r>
      <w:r>
        <w:rPr>
          <w:rFonts w:ascii="宋体" w:hAnsi="宋体" w:eastAsia="宋体" w:cs="宋体"/>
          <w:color w:val="auto"/>
          <w:spacing w:val="16"/>
          <w:sz w:val="20"/>
          <w:szCs w:val="20"/>
          <w:highlight w:val="none"/>
          <w:u w:val="single" w:color="auto"/>
        </w:rPr>
        <w:t>详见监理合</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16"/>
          <w:sz w:val="20"/>
          <w:szCs w:val="20"/>
          <w:highlight w:val="none"/>
          <w:u w:val="single" w:color="auto"/>
        </w:rPr>
        <w:t>同</w:t>
      </w:r>
      <w:r>
        <w:rPr>
          <w:rFonts w:ascii="宋体" w:hAnsi="宋体" w:eastAsia="宋体" w:cs="宋体"/>
          <w:color w:val="auto"/>
          <w:spacing w:val="16"/>
          <w:sz w:val="20"/>
          <w:szCs w:val="20"/>
          <w:highlight w:val="none"/>
        </w:rPr>
        <w:t>。</w:t>
      </w:r>
    </w:p>
    <w:p w14:paraId="26E74368">
      <w:pPr>
        <w:spacing w:before="220" w:line="230" w:lineRule="auto"/>
        <w:ind w:left="443"/>
        <w:outlineLvl w:val="0"/>
        <w:rPr>
          <w:rFonts w:ascii="宋体" w:hAnsi="宋体" w:eastAsia="宋体" w:cs="宋体"/>
          <w:color w:val="auto"/>
          <w:sz w:val="20"/>
          <w:szCs w:val="20"/>
          <w:highlight w:val="none"/>
        </w:rPr>
      </w:pPr>
      <w:bookmarkStart w:id="45" w:name="_Toc30694"/>
      <w:r>
        <w:rPr>
          <w:rFonts w:ascii="宋体" w:hAnsi="宋体" w:eastAsia="宋体" w:cs="宋体"/>
          <w:color w:val="auto"/>
          <w:spacing w:val="3"/>
          <w:sz w:val="20"/>
          <w:szCs w:val="20"/>
          <w:highlight w:val="none"/>
        </w:rPr>
        <w:t>1.1.2.5 设计人：</w:t>
      </w:r>
      <w:bookmarkEnd w:id="45"/>
    </w:p>
    <w:p w14:paraId="4AEF9C67">
      <w:pPr>
        <w:spacing w:before="219"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名    称：</w:t>
      </w:r>
      <w:r>
        <w:rPr>
          <w:rFonts w:ascii="宋体" w:hAnsi="宋体" w:eastAsia="宋体" w:cs="宋体"/>
          <w:color w:val="auto"/>
          <w:spacing w:val="7"/>
          <w:sz w:val="20"/>
          <w:szCs w:val="20"/>
          <w:highlight w:val="none"/>
          <w:u w:val="single" w:color="auto"/>
        </w:rPr>
        <w:t xml:space="preserve"> 发包人安排并通知到位</w:t>
      </w:r>
      <w:r>
        <w:rPr>
          <w:rFonts w:ascii="宋体" w:hAnsi="宋体" w:eastAsia="宋体" w:cs="宋体"/>
          <w:color w:val="auto"/>
          <w:spacing w:val="16"/>
          <w:sz w:val="20"/>
          <w:szCs w:val="20"/>
          <w:highlight w:val="none"/>
          <w:u w:val="single" w:color="auto"/>
        </w:rPr>
        <w:t xml:space="preserve"> </w:t>
      </w:r>
      <w:r>
        <w:rPr>
          <w:rFonts w:ascii="宋体" w:hAnsi="宋体" w:eastAsia="宋体" w:cs="宋体"/>
          <w:color w:val="auto"/>
          <w:spacing w:val="7"/>
          <w:sz w:val="20"/>
          <w:szCs w:val="20"/>
          <w:highlight w:val="none"/>
        </w:rPr>
        <w:t>；</w:t>
      </w:r>
    </w:p>
    <w:p w14:paraId="560856AE">
      <w:pPr>
        <w:spacing w:before="221" w:line="228" w:lineRule="auto"/>
        <w:ind w:left="43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资质类别和等级：</w:t>
      </w:r>
      <w:r>
        <w:rPr>
          <w:rFonts w:ascii="宋体" w:hAnsi="宋体" w:eastAsia="宋体" w:cs="宋体"/>
          <w:color w:val="auto"/>
          <w:spacing w:val="2"/>
          <w:sz w:val="20"/>
          <w:szCs w:val="20"/>
          <w:highlight w:val="none"/>
          <w:u w:val="single" w:color="auto"/>
        </w:rPr>
        <w:t>详 见</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2"/>
          <w:sz w:val="20"/>
          <w:szCs w:val="20"/>
          <w:highlight w:val="none"/>
          <w:u w:val="single" w:color="auto"/>
        </w:rPr>
        <w:t>设</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2"/>
          <w:sz w:val="20"/>
          <w:szCs w:val="20"/>
          <w:highlight w:val="none"/>
          <w:u w:val="single" w:color="auto"/>
        </w:rPr>
        <w:t>计</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2"/>
          <w:sz w:val="20"/>
          <w:szCs w:val="20"/>
          <w:highlight w:val="none"/>
          <w:u w:val="single" w:color="auto"/>
        </w:rPr>
        <w:t>合 同</w:t>
      </w:r>
      <w:r>
        <w:rPr>
          <w:rFonts w:ascii="宋体" w:hAnsi="宋体" w:eastAsia="宋体" w:cs="宋体"/>
          <w:color w:val="auto"/>
          <w:spacing w:val="-25"/>
          <w:sz w:val="20"/>
          <w:szCs w:val="20"/>
          <w:highlight w:val="none"/>
          <w:u w:val="single" w:color="auto"/>
        </w:rPr>
        <w:t xml:space="preserve"> </w:t>
      </w:r>
      <w:r>
        <w:rPr>
          <w:rFonts w:ascii="宋体" w:hAnsi="宋体" w:eastAsia="宋体" w:cs="宋体"/>
          <w:color w:val="auto"/>
          <w:spacing w:val="2"/>
          <w:sz w:val="20"/>
          <w:szCs w:val="20"/>
          <w:highlight w:val="none"/>
        </w:rPr>
        <w:t>；</w:t>
      </w:r>
    </w:p>
    <w:p w14:paraId="6AECF1E9">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联系电话：</w:t>
      </w:r>
      <w:r>
        <w:rPr>
          <w:rFonts w:ascii="宋体" w:hAnsi="宋体" w:eastAsia="宋体" w:cs="宋体"/>
          <w:color w:val="auto"/>
          <w:spacing w:val="1"/>
          <w:sz w:val="20"/>
          <w:szCs w:val="20"/>
          <w:highlight w:val="none"/>
          <w:u w:val="single" w:color="auto"/>
        </w:rPr>
        <w:t>详 见</w:t>
      </w:r>
      <w:r>
        <w:rPr>
          <w:rFonts w:ascii="宋体" w:hAnsi="宋体" w:eastAsia="宋体" w:cs="宋体"/>
          <w:color w:val="auto"/>
          <w:spacing w:val="-11"/>
          <w:sz w:val="20"/>
          <w:szCs w:val="20"/>
          <w:highlight w:val="none"/>
          <w:u w:val="single" w:color="auto"/>
        </w:rPr>
        <w:t xml:space="preserve"> </w:t>
      </w:r>
      <w:r>
        <w:rPr>
          <w:rFonts w:ascii="宋体" w:hAnsi="宋体" w:eastAsia="宋体" w:cs="宋体"/>
          <w:color w:val="auto"/>
          <w:spacing w:val="1"/>
          <w:sz w:val="20"/>
          <w:szCs w:val="20"/>
          <w:highlight w:val="none"/>
          <w:u w:val="single" w:color="auto"/>
        </w:rPr>
        <w:t>设</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1"/>
          <w:sz w:val="20"/>
          <w:szCs w:val="20"/>
          <w:highlight w:val="none"/>
          <w:u w:val="single" w:color="auto"/>
        </w:rPr>
        <w:t>计</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1"/>
          <w:sz w:val="20"/>
          <w:szCs w:val="20"/>
          <w:highlight w:val="none"/>
          <w:u w:val="single" w:color="auto"/>
        </w:rPr>
        <w:t>合 同</w:t>
      </w:r>
      <w:r>
        <w:rPr>
          <w:rFonts w:ascii="宋体" w:hAnsi="宋体" w:eastAsia="宋体" w:cs="宋体"/>
          <w:color w:val="auto"/>
          <w:spacing w:val="-25"/>
          <w:sz w:val="20"/>
          <w:szCs w:val="20"/>
          <w:highlight w:val="none"/>
          <w:u w:val="single" w:color="auto"/>
        </w:rPr>
        <w:t xml:space="preserve"> </w:t>
      </w:r>
      <w:r>
        <w:rPr>
          <w:rFonts w:ascii="宋体" w:hAnsi="宋体" w:eastAsia="宋体" w:cs="宋体"/>
          <w:color w:val="auto"/>
          <w:spacing w:val="1"/>
          <w:sz w:val="20"/>
          <w:szCs w:val="20"/>
          <w:highlight w:val="none"/>
        </w:rPr>
        <w:t>；</w:t>
      </w:r>
    </w:p>
    <w:p w14:paraId="20C3E773">
      <w:pPr>
        <w:spacing w:before="221" w:line="228" w:lineRule="auto"/>
        <w:ind w:left="45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电子信箱：</w:t>
      </w:r>
      <w:r>
        <w:rPr>
          <w:rFonts w:ascii="宋体" w:hAnsi="宋体" w:eastAsia="宋体" w:cs="宋体"/>
          <w:color w:val="auto"/>
          <w:spacing w:val="-1"/>
          <w:sz w:val="20"/>
          <w:szCs w:val="20"/>
          <w:highlight w:val="none"/>
          <w:u w:val="single" w:color="auto"/>
        </w:rPr>
        <w:t>详 见</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1"/>
          <w:sz w:val="20"/>
          <w:szCs w:val="20"/>
          <w:highlight w:val="none"/>
          <w:u w:val="single" w:color="auto"/>
        </w:rPr>
        <w:t>设</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1"/>
          <w:sz w:val="20"/>
          <w:szCs w:val="20"/>
          <w:highlight w:val="none"/>
          <w:u w:val="single" w:color="auto"/>
        </w:rPr>
        <w:t>计</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1"/>
          <w:sz w:val="20"/>
          <w:szCs w:val="20"/>
          <w:highlight w:val="none"/>
          <w:u w:val="single" w:color="auto"/>
        </w:rPr>
        <w:t>合 同</w:t>
      </w:r>
      <w:r>
        <w:rPr>
          <w:rFonts w:ascii="宋体" w:hAnsi="宋体" w:eastAsia="宋体" w:cs="宋体"/>
          <w:color w:val="auto"/>
          <w:spacing w:val="-24"/>
          <w:sz w:val="20"/>
          <w:szCs w:val="20"/>
          <w:highlight w:val="none"/>
          <w:u w:val="single" w:color="auto"/>
        </w:rPr>
        <w:t xml:space="preserve"> </w:t>
      </w:r>
      <w:r>
        <w:rPr>
          <w:rFonts w:ascii="宋体" w:hAnsi="宋体" w:eastAsia="宋体" w:cs="宋体"/>
          <w:color w:val="auto"/>
          <w:spacing w:val="-1"/>
          <w:sz w:val="20"/>
          <w:szCs w:val="20"/>
          <w:highlight w:val="none"/>
        </w:rPr>
        <w:t>；</w:t>
      </w:r>
    </w:p>
    <w:p w14:paraId="131AB017">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通信地址：</w:t>
      </w:r>
      <w:r>
        <w:rPr>
          <w:rFonts w:ascii="宋体" w:hAnsi="宋体" w:eastAsia="宋体" w:cs="宋体"/>
          <w:color w:val="auto"/>
          <w:spacing w:val="1"/>
          <w:sz w:val="20"/>
          <w:szCs w:val="20"/>
          <w:highlight w:val="none"/>
          <w:u w:val="single" w:color="auto"/>
        </w:rPr>
        <w:t>详 见</w:t>
      </w:r>
      <w:r>
        <w:rPr>
          <w:rFonts w:ascii="宋体" w:hAnsi="宋体" w:eastAsia="宋体" w:cs="宋体"/>
          <w:color w:val="auto"/>
          <w:spacing w:val="-11"/>
          <w:sz w:val="20"/>
          <w:szCs w:val="20"/>
          <w:highlight w:val="none"/>
          <w:u w:val="single" w:color="auto"/>
        </w:rPr>
        <w:t xml:space="preserve"> </w:t>
      </w:r>
      <w:r>
        <w:rPr>
          <w:rFonts w:ascii="宋体" w:hAnsi="宋体" w:eastAsia="宋体" w:cs="宋体"/>
          <w:color w:val="auto"/>
          <w:spacing w:val="1"/>
          <w:sz w:val="20"/>
          <w:szCs w:val="20"/>
          <w:highlight w:val="none"/>
          <w:u w:val="single" w:color="auto"/>
        </w:rPr>
        <w:t>设</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1"/>
          <w:sz w:val="20"/>
          <w:szCs w:val="20"/>
          <w:highlight w:val="none"/>
          <w:u w:val="single" w:color="auto"/>
        </w:rPr>
        <w:t>计</w:t>
      </w:r>
      <w:r>
        <w:rPr>
          <w:rFonts w:ascii="宋体" w:hAnsi="宋体" w:eastAsia="宋体" w:cs="宋体"/>
          <w:color w:val="auto"/>
          <w:spacing w:val="-17"/>
          <w:sz w:val="20"/>
          <w:szCs w:val="20"/>
          <w:highlight w:val="none"/>
          <w:u w:val="single" w:color="auto"/>
        </w:rPr>
        <w:t xml:space="preserve"> </w:t>
      </w:r>
      <w:r>
        <w:rPr>
          <w:rFonts w:ascii="宋体" w:hAnsi="宋体" w:eastAsia="宋体" w:cs="宋体"/>
          <w:color w:val="auto"/>
          <w:spacing w:val="1"/>
          <w:sz w:val="20"/>
          <w:szCs w:val="20"/>
          <w:highlight w:val="none"/>
          <w:u w:val="single" w:color="auto"/>
        </w:rPr>
        <w:t>合 同</w:t>
      </w:r>
      <w:r>
        <w:rPr>
          <w:rFonts w:ascii="宋体" w:hAnsi="宋体" w:eastAsia="宋体" w:cs="宋体"/>
          <w:color w:val="auto"/>
          <w:spacing w:val="-25"/>
          <w:sz w:val="20"/>
          <w:szCs w:val="20"/>
          <w:highlight w:val="none"/>
          <w:u w:val="single" w:color="auto"/>
        </w:rPr>
        <w:t xml:space="preserve"> </w:t>
      </w:r>
      <w:r>
        <w:rPr>
          <w:rFonts w:ascii="宋体" w:hAnsi="宋体" w:eastAsia="宋体" w:cs="宋体"/>
          <w:color w:val="auto"/>
          <w:spacing w:val="1"/>
          <w:sz w:val="20"/>
          <w:szCs w:val="20"/>
          <w:highlight w:val="none"/>
        </w:rPr>
        <w:t>。</w:t>
      </w:r>
    </w:p>
    <w:p w14:paraId="71E5DCBE">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1.1.3 工程和设备</w:t>
      </w:r>
    </w:p>
    <w:p w14:paraId="30017E28">
      <w:pPr>
        <w:spacing w:before="220" w:line="228" w:lineRule="auto"/>
        <w:ind w:right="2"/>
        <w:jc w:val="right"/>
        <w:outlineLvl w:val="0"/>
        <w:rPr>
          <w:rFonts w:ascii="宋体" w:hAnsi="宋体" w:eastAsia="宋体" w:cs="宋体"/>
          <w:color w:val="auto"/>
          <w:sz w:val="20"/>
          <w:szCs w:val="20"/>
          <w:highlight w:val="none"/>
        </w:rPr>
      </w:pPr>
      <w:bookmarkStart w:id="46" w:name="_Toc19560"/>
      <w:r>
        <w:rPr>
          <w:rFonts w:ascii="宋体" w:hAnsi="宋体" w:eastAsia="宋体" w:cs="宋体"/>
          <w:color w:val="auto"/>
          <w:spacing w:val="9"/>
          <w:sz w:val="20"/>
          <w:szCs w:val="20"/>
          <w:highlight w:val="none"/>
        </w:rPr>
        <w:t>1.1.3.7 作为施工现场组成部分的其他场所包括：</w:t>
      </w:r>
      <w:r>
        <w:rPr>
          <w:rFonts w:ascii="宋体" w:hAnsi="宋体" w:eastAsia="宋体" w:cs="宋体"/>
          <w:color w:val="auto"/>
          <w:spacing w:val="9"/>
          <w:sz w:val="20"/>
          <w:szCs w:val="20"/>
          <w:highlight w:val="none"/>
          <w:u w:val="single" w:color="auto"/>
        </w:rPr>
        <w:t>指用于合同工程施工的场所，以及在合同中</w:t>
      </w:r>
      <w:r>
        <w:rPr>
          <w:rFonts w:ascii="宋体" w:hAnsi="宋体" w:eastAsia="宋体" w:cs="宋体"/>
          <w:color w:val="auto"/>
          <w:spacing w:val="8"/>
          <w:sz w:val="20"/>
          <w:szCs w:val="20"/>
          <w:highlight w:val="none"/>
          <w:u w:val="single" w:color="auto"/>
        </w:rPr>
        <w:t>指定</w:t>
      </w:r>
      <w:bookmarkEnd w:id="46"/>
    </w:p>
    <w:p w14:paraId="1B6389EC">
      <w:pPr>
        <w:spacing w:before="221" w:line="228" w:lineRule="auto"/>
        <w:ind w:left="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作为施工场地组成部分的其他场所，包括永久占地和临时占地</w:t>
      </w:r>
      <w:r>
        <w:rPr>
          <w:rFonts w:ascii="宋体" w:hAnsi="宋体" w:eastAsia="宋体" w:cs="宋体"/>
          <w:color w:val="auto"/>
          <w:spacing w:val="9"/>
          <w:sz w:val="20"/>
          <w:szCs w:val="20"/>
          <w:highlight w:val="none"/>
        </w:rPr>
        <w:t>。</w:t>
      </w:r>
    </w:p>
    <w:p w14:paraId="1E08E96B">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1.1.3.9 永久占地包括：</w:t>
      </w:r>
      <w:r>
        <w:rPr>
          <w:rFonts w:ascii="宋体" w:hAnsi="宋体" w:eastAsia="宋体" w:cs="宋体"/>
          <w:color w:val="auto"/>
          <w:spacing w:val="8"/>
          <w:sz w:val="20"/>
          <w:szCs w:val="20"/>
          <w:highlight w:val="none"/>
          <w:u w:val="single" w:color="auto"/>
        </w:rPr>
        <w:t>依据选址图、设计图纸或其他文</w:t>
      </w:r>
      <w:r>
        <w:rPr>
          <w:rFonts w:ascii="宋体" w:hAnsi="宋体" w:eastAsia="宋体" w:cs="宋体"/>
          <w:color w:val="auto"/>
          <w:spacing w:val="7"/>
          <w:sz w:val="20"/>
          <w:szCs w:val="20"/>
          <w:highlight w:val="none"/>
          <w:u w:val="single" w:color="auto"/>
        </w:rPr>
        <w:t>件规定的范围</w:t>
      </w:r>
      <w:r>
        <w:rPr>
          <w:rFonts w:ascii="宋体" w:hAnsi="宋体" w:eastAsia="宋体" w:cs="宋体"/>
          <w:color w:val="auto"/>
          <w:spacing w:val="7"/>
          <w:sz w:val="20"/>
          <w:szCs w:val="20"/>
          <w:highlight w:val="none"/>
        </w:rPr>
        <w:t>。</w:t>
      </w:r>
    </w:p>
    <w:p w14:paraId="78347CCF">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1.1.3.10 临时占地包括：</w:t>
      </w:r>
      <w:r>
        <w:rPr>
          <w:rFonts w:ascii="宋体" w:hAnsi="宋体" w:eastAsia="宋体" w:cs="宋体"/>
          <w:color w:val="auto"/>
          <w:spacing w:val="7"/>
          <w:sz w:val="20"/>
          <w:szCs w:val="20"/>
          <w:highlight w:val="none"/>
          <w:u w:val="single" w:color="auto"/>
        </w:rPr>
        <w:t>根据施工现场双方约</w:t>
      </w:r>
      <w:r>
        <w:rPr>
          <w:rFonts w:ascii="宋体" w:hAnsi="宋体" w:eastAsia="宋体" w:cs="宋体"/>
          <w:color w:val="auto"/>
          <w:spacing w:val="6"/>
          <w:sz w:val="20"/>
          <w:szCs w:val="20"/>
          <w:highlight w:val="none"/>
          <w:u w:val="single" w:color="auto"/>
        </w:rPr>
        <w:t>定</w:t>
      </w:r>
      <w:r>
        <w:rPr>
          <w:rFonts w:ascii="宋体" w:hAnsi="宋体" w:eastAsia="宋体" w:cs="宋体"/>
          <w:color w:val="auto"/>
          <w:spacing w:val="6"/>
          <w:sz w:val="20"/>
          <w:szCs w:val="20"/>
          <w:highlight w:val="none"/>
        </w:rPr>
        <w:t>。</w:t>
      </w:r>
    </w:p>
    <w:p w14:paraId="5CED0886">
      <w:pPr>
        <w:spacing w:line="228" w:lineRule="auto"/>
        <w:rPr>
          <w:rFonts w:ascii="宋体" w:hAnsi="宋体" w:eastAsia="宋体" w:cs="宋体"/>
          <w:color w:val="auto"/>
          <w:sz w:val="20"/>
          <w:szCs w:val="20"/>
          <w:highlight w:val="none"/>
        </w:rPr>
        <w:sectPr>
          <w:headerReference r:id="rId192" w:type="default"/>
          <w:footerReference r:id="rId193" w:type="default"/>
          <w:pgSz w:w="11906" w:h="16839"/>
          <w:pgMar w:top="1091" w:right="1219" w:bottom="1158" w:left="1219" w:header="1076" w:footer="922" w:gutter="0"/>
          <w:cols w:space="720" w:num="1"/>
        </w:sectPr>
      </w:pPr>
    </w:p>
    <w:p w14:paraId="4B1ED983">
      <w:pPr>
        <w:spacing w:before="282" w:line="225" w:lineRule="auto"/>
        <w:ind w:left="36"/>
        <w:outlineLvl w:val="1"/>
        <w:rPr>
          <w:rFonts w:ascii="宋体" w:hAnsi="宋体" w:eastAsia="宋体" w:cs="宋体"/>
          <w:color w:val="auto"/>
          <w:sz w:val="31"/>
          <w:szCs w:val="31"/>
          <w:highlight w:val="none"/>
        </w:rPr>
      </w:pPr>
      <w:bookmarkStart w:id="47" w:name="_Toc5315"/>
      <w:r>
        <w:rPr>
          <w:rFonts w:ascii="宋体" w:hAnsi="宋体" w:eastAsia="宋体" w:cs="宋体"/>
          <w:b/>
          <w:bCs/>
          <w:color w:val="auto"/>
          <w:spacing w:val="-6"/>
          <w:sz w:val="31"/>
          <w:szCs w:val="31"/>
          <w:highlight w:val="none"/>
        </w:rPr>
        <w:t>1.3</w:t>
      </w:r>
      <w:r>
        <w:rPr>
          <w:rFonts w:ascii="宋体" w:hAnsi="宋体" w:eastAsia="宋体" w:cs="宋体"/>
          <w:color w:val="auto"/>
          <w:spacing w:val="20"/>
          <w:sz w:val="31"/>
          <w:szCs w:val="31"/>
          <w:highlight w:val="none"/>
        </w:rPr>
        <w:t xml:space="preserve"> </w:t>
      </w:r>
      <w:r>
        <w:rPr>
          <w:rFonts w:ascii="宋体" w:hAnsi="宋体" w:eastAsia="宋体" w:cs="宋体"/>
          <w:b/>
          <w:bCs/>
          <w:color w:val="auto"/>
          <w:spacing w:val="-6"/>
          <w:sz w:val="31"/>
          <w:szCs w:val="31"/>
          <w:highlight w:val="none"/>
        </w:rPr>
        <w:t>法律</w:t>
      </w:r>
      <w:bookmarkEnd w:id="47"/>
    </w:p>
    <w:p w14:paraId="3DC7AD64">
      <w:pPr>
        <w:pStyle w:val="2"/>
        <w:spacing w:line="413" w:lineRule="auto"/>
        <w:rPr>
          <w:color w:val="auto"/>
          <w:highlight w:val="none"/>
        </w:rPr>
      </w:pPr>
    </w:p>
    <w:p w14:paraId="1EDCAC83">
      <w:pPr>
        <w:spacing w:before="65" w:line="433" w:lineRule="auto"/>
        <w:ind w:left="9" w:right="1" w:firstLine="4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适用于合同的其他规范性文件：</w:t>
      </w:r>
      <w:r>
        <w:rPr>
          <w:rFonts w:ascii="宋体" w:hAnsi="宋体" w:eastAsia="宋体" w:cs="宋体"/>
          <w:color w:val="auto"/>
          <w:spacing w:val="8"/>
          <w:sz w:val="20"/>
          <w:szCs w:val="20"/>
          <w:highlight w:val="none"/>
          <w:u w:val="single" w:color="auto"/>
        </w:rPr>
        <w:t>适用于合同的其他规范性文件：</w:t>
      </w:r>
      <w:r>
        <w:rPr>
          <w:rFonts w:ascii="宋体" w:hAnsi="宋体" w:eastAsia="宋体" w:cs="宋体"/>
          <w:color w:val="auto"/>
          <w:spacing w:val="7"/>
          <w:sz w:val="20"/>
          <w:szCs w:val="20"/>
          <w:highlight w:val="none"/>
          <w:u w:val="single" w:color="auto"/>
        </w:rPr>
        <w:t xml:space="preserve"> 《建筑法》、《招投标法》、《民</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法典》、《建筑工程质量管理条例》、本地区的行业标准或规范等</w:t>
      </w:r>
      <w:r>
        <w:rPr>
          <w:rFonts w:ascii="宋体" w:hAnsi="宋体" w:eastAsia="宋体" w:cs="宋体"/>
          <w:color w:val="auto"/>
          <w:spacing w:val="9"/>
          <w:sz w:val="20"/>
          <w:szCs w:val="20"/>
          <w:highlight w:val="none"/>
        </w:rPr>
        <w:t>。</w:t>
      </w:r>
    </w:p>
    <w:p w14:paraId="24224517">
      <w:pPr>
        <w:spacing w:before="280" w:line="226" w:lineRule="auto"/>
        <w:ind w:left="36"/>
        <w:outlineLvl w:val="1"/>
        <w:rPr>
          <w:rFonts w:ascii="宋体" w:hAnsi="宋体" w:eastAsia="宋体" w:cs="宋体"/>
          <w:color w:val="auto"/>
          <w:sz w:val="31"/>
          <w:szCs w:val="31"/>
          <w:highlight w:val="none"/>
        </w:rPr>
      </w:pPr>
      <w:bookmarkStart w:id="48" w:name="_Toc30525"/>
      <w:r>
        <w:rPr>
          <w:rFonts w:ascii="宋体" w:hAnsi="宋体" w:eastAsia="宋体" w:cs="宋体"/>
          <w:b/>
          <w:bCs/>
          <w:color w:val="auto"/>
          <w:spacing w:val="1"/>
          <w:sz w:val="31"/>
          <w:szCs w:val="31"/>
          <w:highlight w:val="none"/>
        </w:rPr>
        <w:t>1.4</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标准和规范</w:t>
      </w:r>
      <w:bookmarkEnd w:id="48"/>
    </w:p>
    <w:p w14:paraId="184DB473">
      <w:pPr>
        <w:pStyle w:val="2"/>
        <w:spacing w:line="412" w:lineRule="auto"/>
        <w:rPr>
          <w:color w:val="auto"/>
          <w:highlight w:val="none"/>
        </w:rPr>
      </w:pPr>
    </w:p>
    <w:p w14:paraId="513C338A">
      <w:pPr>
        <w:spacing w:before="65" w:line="330" w:lineRule="auto"/>
        <w:ind w:left="10"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1.4.1 适用于工程的标准规范包括：</w:t>
      </w:r>
      <w:r>
        <w:rPr>
          <w:rFonts w:ascii="宋体" w:hAnsi="宋体" w:eastAsia="宋体" w:cs="宋体"/>
          <w:color w:val="auto"/>
          <w:spacing w:val="9"/>
          <w:sz w:val="20"/>
          <w:szCs w:val="20"/>
          <w:highlight w:val="none"/>
          <w:u w:val="single" w:color="auto"/>
        </w:rPr>
        <w:t>《建筑工程施工质理验收统一标准》、《建筑工程管理条例》</w:t>
      </w:r>
      <w:r>
        <w:rPr>
          <w:rFonts w:ascii="宋体" w:hAnsi="宋体" w:eastAsia="宋体" w:cs="宋体"/>
          <w:color w:val="auto"/>
          <w:spacing w:val="9"/>
          <w:sz w:val="20"/>
          <w:szCs w:val="20"/>
          <w:highlight w:val="none"/>
        </w:rPr>
        <w:t xml:space="preserve"> </w:t>
      </w:r>
      <w:r>
        <w:rPr>
          <w:rFonts w:ascii="宋体" w:hAnsi="宋体" w:eastAsia="宋体" w:cs="宋体"/>
          <w:color w:val="auto"/>
          <w:spacing w:val="8"/>
          <w:sz w:val="20"/>
          <w:szCs w:val="20"/>
          <w:highlight w:val="none"/>
          <w:u w:val="single" w:color="auto"/>
        </w:rPr>
        <w:t>等与本工程施工、验收相关的规范</w:t>
      </w:r>
      <w:r>
        <w:rPr>
          <w:rFonts w:ascii="宋体" w:hAnsi="宋体" w:eastAsia="宋体" w:cs="宋体"/>
          <w:color w:val="auto"/>
          <w:spacing w:val="8"/>
          <w:sz w:val="20"/>
          <w:szCs w:val="20"/>
          <w:highlight w:val="none"/>
        </w:rPr>
        <w:t>。</w:t>
      </w:r>
    </w:p>
    <w:p w14:paraId="3B137278">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1.4.2 发包人提供国外标准、规范的名称：</w:t>
      </w:r>
      <w:r>
        <w:rPr>
          <w:rFonts w:ascii="宋体" w:hAnsi="宋体" w:eastAsia="宋体" w:cs="宋体"/>
          <w:color w:val="auto"/>
          <w:spacing w:val="7"/>
          <w:sz w:val="20"/>
          <w:szCs w:val="20"/>
          <w:highlight w:val="none"/>
          <w:u w:val="single" w:color="auto"/>
        </w:rPr>
        <w:t>无</w:t>
      </w:r>
      <w:r>
        <w:rPr>
          <w:rFonts w:ascii="宋体" w:hAnsi="宋体" w:eastAsia="宋体" w:cs="宋体"/>
          <w:color w:val="auto"/>
          <w:spacing w:val="7"/>
          <w:sz w:val="20"/>
          <w:szCs w:val="20"/>
          <w:highlight w:val="none"/>
        </w:rPr>
        <w:t>；</w:t>
      </w:r>
    </w:p>
    <w:p w14:paraId="0A6E9DA5">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发包人提供国外标准、规范的份数：</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78A035F9">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发包人提供国外标准、规范的名称：</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7BC0762F">
      <w:pPr>
        <w:spacing w:before="222" w:line="433" w:lineRule="auto"/>
        <w:ind w:left="10" w:right="2" w:firstLine="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1.4.3 发包人对工程的技术标准和功能要求的特殊要求：</w:t>
      </w:r>
      <w:r>
        <w:rPr>
          <w:rFonts w:ascii="宋体" w:hAnsi="宋体" w:eastAsia="宋体" w:cs="宋体"/>
          <w:color w:val="auto"/>
          <w:spacing w:val="-9"/>
          <w:sz w:val="20"/>
          <w:szCs w:val="20"/>
          <w:highlight w:val="none"/>
        </w:rPr>
        <w:t xml:space="preserve"> </w:t>
      </w:r>
      <w:r>
        <w:rPr>
          <w:rFonts w:ascii="宋体" w:hAnsi="宋体" w:eastAsia="宋体" w:cs="宋体"/>
          <w:color w:val="auto"/>
          <w:spacing w:val="-92"/>
          <w:sz w:val="20"/>
          <w:szCs w:val="20"/>
          <w:highlight w:val="none"/>
          <w:u w:val="single" w:color="auto"/>
        </w:rPr>
        <w:t xml:space="preserve"> </w:t>
      </w:r>
      <w:r>
        <w:rPr>
          <w:rFonts w:ascii="宋体" w:hAnsi="宋体" w:eastAsia="宋体" w:cs="宋体"/>
          <w:color w:val="auto"/>
          <w:spacing w:val="7"/>
          <w:sz w:val="20"/>
          <w:szCs w:val="20"/>
          <w:highlight w:val="none"/>
          <w:u w:val="single" w:color="auto"/>
        </w:rPr>
        <w:t>施工图纸、涉及本工程的施工及验收规范</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u w:val="single" w:color="auto"/>
        </w:rPr>
        <w:t>等</w:t>
      </w:r>
      <w:r>
        <w:rPr>
          <w:rFonts w:ascii="宋体" w:hAnsi="宋体" w:eastAsia="宋体" w:cs="宋体"/>
          <w:color w:val="auto"/>
          <w:spacing w:val="-1"/>
          <w:sz w:val="20"/>
          <w:szCs w:val="20"/>
          <w:highlight w:val="none"/>
        </w:rPr>
        <w:t>。</w:t>
      </w:r>
    </w:p>
    <w:p w14:paraId="3CBC4512">
      <w:pPr>
        <w:spacing w:before="283" w:line="225" w:lineRule="auto"/>
        <w:ind w:left="36"/>
        <w:outlineLvl w:val="1"/>
        <w:rPr>
          <w:rFonts w:ascii="宋体" w:hAnsi="宋体" w:eastAsia="宋体" w:cs="宋体"/>
          <w:color w:val="auto"/>
          <w:sz w:val="31"/>
          <w:szCs w:val="31"/>
          <w:highlight w:val="none"/>
        </w:rPr>
      </w:pPr>
      <w:bookmarkStart w:id="49" w:name="_Toc13726"/>
      <w:r>
        <w:rPr>
          <w:rFonts w:ascii="宋体" w:hAnsi="宋体" w:eastAsia="宋体" w:cs="宋体"/>
          <w:b/>
          <w:bCs/>
          <w:color w:val="auto"/>
          <w:spacing w:val="3"/>
          <w:sz w:val="31"/>
          <w:szCs w:val="31"/>
          <w:highlight w:val="none"/>
        </w:rPr>
        <w:t>1.5</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合同文件的优先顺序</w:t>
      </w:r>
      <w:bookmarkEnd w:id="49"/>
    </w:p>
    <w:p w14:paraId="7A0A7F44">
      <w:pPr>
        <w:pStyle w:val="2"/>
        <w:spacing w:line="413" w:lineRule="auto"/>
        <w:rPr>
          <w:color w:val="auto"/>
          <w:highlight w:val="none"/>
        </w:rPr>
      </w:pPr>
    </w:p>
    <w:p w14:paraId="10402B8F">
      <w:pPr>
        <w:spacing w:before="65" w:line="228"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（1）合同协议书；</w:t>
      </w:r>
    </w:p>
    <w:p w14:paraId="724165E4">
      <w:pPr>
        <w:spacing w:before="222"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（2）专用合同条款；</w:t>
      </w:r>
    </w:p>
    <w:p w14:paraId="1CF4C53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（3）通用合同条款；</w:t>
      </w:r>
    </w:p>
    <w:p w14:paraId="534884FA">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（4）技术标准和要求；</w:t>
      </w:r>
    </w:p>
    <w:p w14:paraId="2429106F">
      <w:pPr>
        <w:spacing w:before="221" w:line="227" w:lineRule="auto"/>
        <w:ind w:left="43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（5）</w:t>
      </w:r>
      <w:r>
        <w:rPr>
          <w:rFonts w:ascii="宋体" w:hAnsi="宋体" w:eastAsia="宋体" w:cs="宋体"/>
          <w:color w:val="auto"/>
          <w:spacing w:val="-52"/>
          <w:sz w:val="20"/>
          <w:szCs w:val="20"/>
          <w:highlight w:val="none"/>
        </w:rPr>
        <w:t xml:space="preserve"> </w:t>
      </w:r>
      <w:r>
        <w:rPr>
          <w:rFonts w:ascii="宋体" w:hAnsi="宋体" w:eastAsia="宋体" w:cs="宋体"/>
          <w:color w:val="auto"/>
          <w:spacing w:val="3"/>
          <w:sz w:val="20"/>
          <w:szCs w:val="20"/>
          <w:highlight w:val="none"/>
        </w:rPr>
        <w:t>已标价工程量清单；</w:t>
      </w:r>
    </w:p>
    <w:p w14:paraId="5CC6A5E9">
      <w:pPr>
        <w:spacing w:before="222" w:line="230" w:lineRule="auto"/>
        <w:ind w:left="438"/>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（6）图纸；</w:t>
      </w:r>
    </w:p>
    <w:p w14:paraId="0C46B3B2">
      <w:pPr>
        <w:spacing w:before="219"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（7）其他合同文件；</w:t>
      </w:r>
    </w:p>
    <w:p w14:paraId="39F499B1">
      <w:pPr>
        <w:spacing w:before="219" w:line="381" w:lineRule="auto"/>
        <w:ind w:left="7" w:right="2"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（8）《建设工程工程量清单计价规范（</w:t>
      </w:r>
      <w:r>
        <w:rPr>
          <w:rFonts w:ascii="宋体" w:hAnsi="宋体" w:eastAsia="宋体" w:cs="宋体"/>
          <w:color w:val="auto"/>
          <w:sz w:val="20"/>
          <w:szCs w:val="20"/>
          <w:highlight w:val="none"/>
        </w:rPr>
        <w:t>GB</w:t>
      </w:r>
      <w:r>
        <w:rPr>
          <w:rFonts w:ascii="宋体" w:hAnsi="宋体" w:eastAsia="宋体" w:cs="宋体"/>
          <w:color w:val="auto"/>
          <w:spacing w:val="9"/>
          <w:sz w:val="20"/>
          <w:szCs w:val="20"/>
          <w:highlight w:val="none"/>
        </w:rPr>
        <w:t>5050-2013）》及其</w:t>
      </w:r>
      <w:r>
        <w:rPr>
          <w:rFonts w:ascii="宋体" w:hAnsi="宋体" w:eastAsia="宋体" w:cs="宋体"/>
          <w:color w:val="auto"/>
          <w:spacing w:val="8"/>
          <w:sz w:val="20"/>
          <w:szCs w:val="20"/>
          <w:highlight w:val="none"/>
        </w:rPr>
        <w:t>广西实施细则及《关于建筑业实施营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业税改征增值税后广西壮族自治区建设工程计价依据调整的通知》（桂建标〔2016〕17 号）、《建设工</w:t>
      </w:r>
      <w:r>
        <w:rPr>
          <w:rFonts w:ascii="宋体" w:hAnsi="宋体" w:eastAsia="宋体" w:cs="宋体"/>
          <w:color w:val="auto"/>
          <w:spacing w:val="14"/>
          <w:sz w:val="20"/>
          <w:szCs w:val="20"/>
          <w:highlight w:val="none"/>
        </w:rPr>
        <w:t xml:space="preserve"> </w:t>
      </w:r>
      <w:r>
        <w:rPr>
          <w:rFonts w:ascii="宋体" w:hAnsi="宋体" w:eastAsia="宋体" w:cs="宋体"/>
          <w:color w:val="auto"/>
          <w:spacing w:val="6"/>
          <w:sz w:val="20"/>
          <w:szCs w:val="20"/>
          <w:highlight w:val="none"/>
        </w:rPr>
        <w:t>程工程量清单计算规范（</w:t>
      </w:r>
      <w:r>
        <w:rPr>
          <w:rFonts w:ascii="宋体" w:hAnsi="宋体" w:eastAsia="宋体" w:cs="宋体"/>
          <w:color w:val="auto"/>
          <w:sz w:val="20"/>
          <w:szCs w:val="20"/>
          <w:highlight w:val="none"/>
        </w:rPr>
        <w:t>GB</w:t>
      </w:r>
      <w:r>
        <w:rPr>
          <w:rFonts w:ascii="宋体" w:hAnsi="宋体" w:eastAsia="宋体" w:cs="宋体"/>
          <w:color w:val="auto"/>
          <w:spacing w:val="6"/>
          <w:sz w:val="20"/>
          <w:szCs w:val="20"/>
          <w:highlight w:val="none"/>
        </w:rPr>
        <w:t>5854~50862-2013）》及其广西实施细则（修订本）</w:t>
      </w:r>
      <w:r>
        <w:rPr>
          <w:rFonts w:ascii="宋体" w:hAnsi="宋体" w:eastAsia="宋体" w:cs="宋体"/>
          <w:color w:val="auto"/>
          <w:spacing w:val="45"/>
          <w:sz w:val="20"/>
          <w:szCs w:val="20"/>
          <w:highlight w:val="none"/>
        </w:rPr>
        <w:t xml:space="preserve"> </w:t>
      </w:r>
      <w:r>
        <w:rPr>
          <w:rFonts w:ascii="宋体" w:hAnsi="宋体" w:eastAsia="宋体" w:cs="宋体"/>
          <w:color w:val="auto"/>
          <w:spacing w:val="6"/>
          <w:sz w:val="20"/>
          <w:szCs w:val="20"/>
          <w:highlight w:val="none"/>
        </w:rPr>
        <w:t>(适用于实行工程量清单</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计价的项目) ；</w:t>
      </w:r>
    </w:p>
    <w:p w14:paraId="58B1B893">
      <w:pPr>
        <w:spacing w:before="221" w:line="433" w:lineRule="auto"/>
        <w:ind w:left="8" w:right="2" w:firstLine="421"/>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上述各项合同文件包括合同当事人就该项合同文件所作出的补充和修改，属于同一类内容的文件，</w:t>
      </w:r>
      <w:r>
        <w:rPr>
          <w:rFonts w:ascii="宋体" w:hAnsi="宋体" w:eastAsia="宋体" w:cs="宋体"/>
          <w:color w:val="auto"/>
          <w:spacing w:val="4"/>
          <w:sz w:val="20"/>
          <w:szCs w:val="20"/>
          <w:highlight w:val="none"/>
        </w:rPr>
        <w:t xml:space="preserve"> </w:t>
      </w:r>
      <w:r>
        <w:rPr>
          <w:rFonts w:ascii="宋体" w:hAnsi="宋体" w:eastAsia="宋体" w:cs="宋体"/>
          <w:color w:val="auto"/>
          <w:spacing w:val="10"/>
          <w:sz w:val="20"/>
          <w:szCs w:val="20"/>
          <w:highlight w:val="none"/>
        </w:rPr>
        <w:t>应以最新签署的为准（违反招标文件实质性内容的约定除外）。专用合同条款及其附件须经合同当事人</w:t>
      </w:r>
      <w:r>
        <w:rPr>
          <w:rFonts w:ascii="宋体" w:hAnsi="宋体" w:eastAsia="宋体" w:cs="宋体"/>
          <w:color w:val="auto"/>
          <w:spacing w:val="6"/>
          <w:sz w:val="20"/>
          <w:szCs w:val="20"/>
          <w:highlight w:val="none"/>
        </w:rPr>
        <w:t xml:space="preserve"> 签字或盖章。</w:t>
      </w:r>
    </w:p>
    <w:p w14:paraId="583A6922">
      <w:pPr>
        <w:spacing w:line="433" w:lineRule="auto"/>
        <w:rPr>
          <w:rFonts w:ascii="宋体" w:hAnsi="宋体" w:eastAsia="宋体" w:cs="宋体"/>
          <w:color w:val="auto"/>
          <w:sz w:val="20"/>
          <w:szCs w:val="20"/>
          <w:highlight w:val="none"/>
        </w:rPr>
        <w:sectPr>
          <w:footerReference r:id="rId194" w:type="default"/>
          <w:pgSz w:w="11906" w:h="16839"/>
          <w:pgMar w:top="1091" w:right="1219" w:bottom="1158" w:left="1219" w:header="1076" w:footer="922" w:gutter="0"/>
          <w:cols w:space="720" w:num="1"/>
        </w:sectPr>
      </w:pPr>
    </w:p>
    <w:p w14:paraId="62931903">
      <w:pPr>
        <w:pStyle w:val="2"/>
        <w:spacing w:line="289" w:lineRule="auto"/>
        <w:rPr>
          <w:color w:val="auto"/>
          <w:highlight w:val="none"/>
        </w:rPr>
      </w:pPr>
    </w:p>
    <w:p w14:paraId="2718DE9D">
      <w:pPr>
        <w:pStyle w:val="2"/>
        <w:spacing w:line="289" w:lineRule="auto"/>
        <w:rPr>
          <w:color w:val="auto"/>
          <w:highlight w:val="none"/>
        </w:rPr>
      </w:pPr>
    </w:p>
    <w:p w14:paraId="2174D54F">
      <w:pPr>
        <w:pStyle w:val="2"/>
        <w:spacing w:line="290" w:lineRule="auto"/>
        <w:rPr>
          <w:color w:val="auto"/>
          <w:highlight w:val="none"/>
        </w:rPr>
      </w:pPr>
      <w:r>
        <w:rPr>
          <w:color w:val="auto"/>
          <w:highlight w:val="none"/>
        </w:rPr>
        <w:pict>
          <v:shape id="_x0000_s1031" o:spid="_x0000_s1031" style="position:absolute;left:0pt;margin-left:0pt;margin-top:4.8pt;height:0.75pt;width:473.4pt;z-index:251680768;mso-width-relative:page;mso-height-relative:page;" fillcolor="#000000" filled="t" stroked="f" coordsize="9467,15" path="m0,0l9467,0,9467,14,0,14,0,0xe">
            <v:path/>
            <v:fill on="t" focussize="0,0"/>
            <v:stroke on="f"/>
            <v:imagedata o:title=""/>
            <o:lock v:ext="edit"/>
          </v:shape>
        </w:pict>
      </w:r>
    </w:p>
    <w:p w14:paraId="66C3A0F2">
      <w:pPr>
        <w:spacing w:before="100" w:line="225" w:lineRule="auto"/>
        <w:ind w:left="36"/>
        <w:outlineLvl w:val="1"/>
        <w:rPr>
          <w:rFonts w:ascii="宋体" w:hAnsi="宋体" w:eastAsia="宋体" w:cs="宋体"/>
          <w:color w:val="auto"/>
          <w:sz w:val="31"/>
          <w:szCs w:val="31"/>
          <w:highlight w:val="none"/>
        </w:rPr>
      </w:pPr>
      <w:bookmarkStart w:id="50" w:name="_Toc16319"/>
      <w:r>
        <w:rPr>
          <w:rFonts w:ascii="宋体" w:hAnsi="宋体" w:eastAsia="宋体" w:cs="宋体"/>
          <w:b/>
          <w:bCs/>
          <w:color w:val="auto"/>
          <w:spacing w:val="-1"/>
          <w:sz w:val="31"/>
          <w:szCs w:val="31"/>
          <w:highlight w:val="none"/>
        </w:rPr>
        <w:t>1.6</w:t>
      </w:r>
      <w:r>
        <w:rPr>
          <w:rFonts w:ascii="宋体" w:hAnsi="宋体" w:eastAsia="宋体" w:cs="宋体"/>
          <w:color w:val="auto"/>
          <w:spacing w:val="49"/>
          <w:sz w:val="31"/>
          <w:szCs w:val="31"/>
          <w:highlight w:val="none"/>
        </w:rPr>
        <w:t xml:space="preserve"> </w:t>
      </w:r>
      <w:r>
        <w:rPr>
          <w:rFonts w:ascii="宋体" w:hAnsi="宋体" w:eastAsia="宋体" w:cs="宋体"/>
          <w:b/>
          <w:bCs/>
          <w:color w:val="auto"/>
          <w:spacing w:val="-1"/>
          <w:sz w:val="31"/>
          <w:szCs w:val="31"/>
          <w:highlight w:val="none"/>
        </w:rPr>
        <w:t>图纸和承包人文件</w:t>
      </w:r>
      <w:bookmarkEnd w:id="50"/>
    </w:p>
    <w:p w14:paraId="2F29637B">
      <w:pPr>
        <w:pStyle w:val="2"/>
        <w:spacing w:line="413" w:lineRule="auto"/>
        <w:rPr>
          <w:color w:val="auto"/>
          <w:highlight w:val="none"/>
        </w:rPr>
      </w:pPr>
    </w:p>
    <w:p w14:paraId="3F4544C2">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1.6.1</w:t>
      </w:r>
      <w:r>
        <w:rPr>
          <w:rFonts w:ascii="宋体" w:hAnsi="宋体" w:eastAsia="宋体" w:cs="宋体"/>
          <w:color w:val="auto"/>
          <w:spacing w:val="33"/>
          <w:sz w:val="20"/>
          <w:szCs w:val="20"/>
          <w:highlight w:val="none"/>
        </w:rPr>
        <w:t xml:space="preserve"> </w:t>
      </w:r>
      <w:r>
        <w:rPr>
          <w:rFonts w:ascii="宋体" w:hAnsi="宋体" w:eastAsia="宋体" w:cs="宋体"/>
          <w:color w:val="auto"/>
          <w:spacing w:val="2"/>
          <w:sz w:val="20"/>
          <w:szCs w:val="20"/>
          <w:highlight w:val="none"/>
        </w:rPr>
        <w:t>图纸的提供</w:t>
      </w:r>
    </w:p>
    <w:p w14:paraId="521D4E12">
      <w:pPr>
        <w:spacing w:before="220" w:line="228"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发包人向承包人提供图纸的期限：</w:t>
      </w:r>
      <w:r>
        <w:rPr>
          <w:rFonts w:ascii="宋体" w:hAnsi="宋体" w:eastAsia="宋体" w:cs="宋体"/>
          <w:color w:val="auto"/>
          <w:spacing w:val="6"/>
          <w:sz w:val="20"/>
          <w:szCs w:val="20"/>
          <w:highlight w:val="none"/>
          <w:u w:val="single" w:color="auto"/>
        </w:rPr>
        <w:t>合同生效后</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6"/>
          <w:sz w:val="20"/>
          <w:szCs w:val="20"/>
          <w:highlight w:val="none"/>
          <w:u w:val="single" w:color="auto"/>
        </w:rPr>
        <w:t>5</w:t>
      </w:r>
      <w:r>
        <w:rPr>
          <w:rFonts w:ascii="宋体" w:hAnsi="宋体" w:eastAsia="宋体" w:cs="宋体"/>
          <w:color w:val="auto"/>
          <w:spacing w:val="5"/>
          <w:sz w:val="20"/>
          <w:szCs w:val="20"/>
          <w:highlight w:val="none"/>
          <w:u w:val="single" w:color="auto"/>
        </w:rPr>
        <w:t xml:space="preserve"> 日内</w:t>
      </w:r>
      <w:r>
        <w:rPr>
          <w:rFonts w:ascii="宋体" w:hAnsi="宋体" w:eastAsia="宋体" w:cs="宋体"/>
          <w:color w:val="auto"/>
          <w:spacing w:val="5"/>
          <w:sz w:val="20"/>
          <w:szCs w:val="20"/>
          <w:highlight w:val="none"/>
        </w:rPr>
        <w:t>；</w:t>
      </w:r>
    </w:p>
    <w:p w14:paraId="6DB8F2BF">
      <w:pPr>
        <w:spacing w:before="221" w:line="432" w:lineRule="auto"/>
        <w:ind w:left="9" w:right="71" w:firstLine="422"/>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发包人向承包人提供图纸的数量：</w:t>
      </w:r>
      <w:r>
        <w:rPr>
          <w:rFonts w:ascii="宋体" w:hAnsi="宋体" w:eastAsia="宋体" w:cs="宋体"/>
          <w:color w:val="auto"/>
          <w:spacing w:val="11"/>
          <w:sz w:val="20"/>
          <w:szCs w:val="20"/>
          <w:highlight w:val="none"/>
          <w:u w:val="single" w:color="auto"/>
        </w:rPr>
        <w:t>一式</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11"/>
          <w:sz w:val="20"/>
          <w:szCs w:val="20"/>
          <w:highlight w:val="none"/>
          <w:u w:val="single" w:color="auto"/>
        </w:rPr>
        <w:t>2</w:t>
      </w:r>
      <w:r>
        <w:rPr>
          <w:rFonts w:ascii="宋体" w:hAnsi="宋体" w:eastAsia="宋体" w:cs="宋体"/>
          <w:color w:val="auto"/>
          <w:spacing w:val="11"/>
          <w:sz w:val="20"/>
          <w:szCs w:val="20"/>
          <w:highlight w:val="none"/>
        </w:rPr>
        <w:t>套（承包人需要增加图纸套数的，发包人应代为</w:t>
      </w:r>
      <w:r>
        <w:rPr>
          <w:rFonts w:ascii="宋体" w:hAnsi="宋体" w:eastAsia="宋体" w:cs="宋体"/>
          <w:color w:val="auto"/>
          <w:spacing w:val="10"/>
          <w:sz w:val="20"/>
          <w:szCs w:val="20"/>
          <w:highlight w:val="none"/>
        </w:rPr>
        <w:t>复制，复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制费用由承包人承担</w:t>
      </w:r>
      <w:r>
        <w:rPr>
          <w:rFonts w:ascii="宋体" w:hAnsi="宋体" w:eastAsia="宋体" w:cs="宋体"/>
          <w:color w:val="auto"/>
          <w:spacing w:val="3"/>
          <w:sz w:val="20"/>
          <w:szCs w:val="20"/>
          <w:highlight w:val="none"/>
        </w:rPr>
        <w:t>）；</w:t>
      </w:r>
    </w:p>
    <w:p w14:paraId="109FD202">
      <w:pPr>
        <w:spacing w:before="1" w:line="227"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发包人向承包人提供图纸的内容：</w:t>
      </w:r>
      <w:r>
        <w:rPr>
          <w:rFonts w:ascii="宋体" w:hAnsi="宋体" w:eastAsia="宋体" w:cs="宋体"/>
          <w:color w:val="auto"/>
          <w:spacing w:val="8"/>
          <w:sz w:val="20"/>
          <w:szCs w:val="20"/>
          <w:highlight w:val="none"/>
          <w:u w:val="single" w:color="auto"/>
        </w:rPr>
        <w:t>详见施工图纸</w:t>
      </w:r>
      <w:r>
        <w:rPr>
          <w:rFonts w:ascii="宋体" w:hAnsi="宋体" w:eastAsia="宋体" w:cs="宋体"/>
          <w:color w:val="auto"/>
          <w:spacing w:val="8"/>
          <w:sz w:val="20"/>
          <w:szCs w:val="20"/>
          <w:highlight w:val="none"/>
        </w:rPr>
        <w:t>。</w:t>
      </w:r>
    </w:p>
    <w:p w14:paraId="47FFCC83">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1.6.4 承包人文件</w:t>
      </w:r>
    </w:p>
    <w:p w14:paraId="005CD8DD">
      <w:pPr>
        <w:spacing w:before="220" w:line="432" w:lineRule="auto"/>
        <w:ind w:left="8" w:right="70"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需要由承包人提供的文件，包括：</w:t>
      </w:r>
      <w:r>
        <w:rPr>
          <w:rFonts w:ascii="宋体" w:hAnsi="宋体" w:eastAsia="宋体" w:cs="宋体"/>
          <w:color w:val="auto"/>
          <w:spacing w:val="10"/>
          <w:sz w:val="20"/>
          <w:szCs w:val="20"/>
          <w:highlight w:val="none"/>
          <w:u w:val="single" w:color="auto"/>
        </w:rPr>
        <w:t>除专用合同</w:t>
      </w:r>
      <w:r>
        <w:rPr>
          <w:rFonts w:ascii="宋体" w:hAnsi="宋体" w:eastAsia="宋体" w:cs="宋体"/>
          <w:color w:val="auto"/>
          <w:spacing w:val="9"/>
          <w:sz w:val="20"/>
          <w:szCs w:val="20"/>
          <w:highlight w:val="none"/>
          <w:u w:val="single" w:color="auto"/>
        </w:rPr>
        <w:t>条款约定的由承包人提供的设计文件外，本项约定的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其他应由承包人提供的文件，包括必要的加工图和大样图，均不是合同计量与支付的依</w:t>
      </w:r>
      <w:r>
        <w:rPr>
          <w:rFonts w:ascii="宋体" w:hAnsi="宋体" w:eastAsia="宋体" w:cs="宋体"/>
          <w:color w:val="auto"/>
          <w:spacing w:val="8"/>
          <w:sz w:val="20"/>
          <w:szCs w:val="20"/>
          <w:highlight w:val="none"/>
          <w:u w:val="single" w:color="auto"/>
        </w:rPr>
        <w:t>据文件。</w:t>
      </w:r>
      <w:r>
        <w:rPr>
          <w:rFonts w:ascii="宋体" w:hAnsi="宋体" w:eastAsia="宋体" w:cs="宋体"/>
          <w:color w:val="auto"/>
          <w:spacing w:val="-59"/>
          <w:sz w:val="20"/>
          <w:szCs w:val="20"/>
          <w:highlight w:val="none"/>
          <w:u w:val="single" w:color="auto"/>
        </w:rPr>
        <w:t xml:space="preserve"> </w:t>
      </w:r>
      <w:r>
        <w:rPr>
          <w:rFonts w:ascii="宋体" w:hAnsi="宋体" w:eastAsia="宋体" w:cs="宋体"/>
          <w:color w:val="auto"/>
          <w:spacing w:val="8"/>
          <w:sz w:val="20"/>
          <w:szCs w:val="20"/>
          <w:highlight w:val="none"/>
          <w:u w:val="single" w:color="auto"/>
        </w:rPr>
        <w:t>由承包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人提供的文件范围：工程建设项目竣工验收前，承包人应根据合同工作内容要</w:t>
      </w:r>
      <w:r>
        <w:rPr>
          <w:rFonts w:ascii="宋体" w:hAnsi="宋体" w:eastAsia="宋体" w:cs="宋体"/>
          <w:color w:val="auto"/>
          <w:spacing w:val="7"/>
          <w:sz w:val="20"/>
          <w:szCs w:val="20"/>
          <w:highlight w:val="none"/>
          <w:u w:val="single" w:color="auto"/>
        </w:rPr>
        <w:t>求， 分别整理竣工验收资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料（含竣工图</w:t>
      </w:r>
      <w:r>
        <w:rPr>
          <w:rFonts w:ascii="宋体" w:hAnsi="宋体" w:eastAsia="宋体" w:cs="宋体"/>
          <w:color w:val="auto"/>
          <w:spacing w:val="10"/>
          <w:sz w:val="20"/>
          <w:szCs w:val="20"/>
          <w:highlight w:val="none"/>
          <w:u w:val="single" w:color="auto"/>
        </w:rPr>
        <w:t>），</w:t>
      </w:r>
      <w:r>
        <w:rPr>
          <w:rFonts w:ascii="宋体" w:hAnsi="宋体" w:eastAsia="宋体" w:cs="宋体"/>
          <w:color w:val="auto"/>
          <w:spacing w:val="9"/>
          <w:sz w:val="20"/>
          <w:szCs w:val="20"/>
          <w:highlight w:val="none"/>
          <w:u w:val="single" w:color="auto"/>
        </w:rPr>
        <w:t>汇总为完整的建设项目竣工资料报发包人（费用由承包人负责</w:t>
      </w:r>
      <w:r>
        <w:rPr>
          <w:rFonts w:ascii="宋体" w:hAnsi="宋体" w:eastAsia="宋体" w:cs="宋体"/>
          <w:color w:val="auto"/>
          <w:spacing w:val="10"/>
          <w:sz w:val="20"/>
          <w:szCs w:val="20"/>
          <w:highlight w:val="none"/>
          <w:u w:val="single" w:color="auto"/>
        </w:rPr>
        <w:t>）</w:t>
      </w:r>
      <w:r>
        <w:rPr>
          <w:rFonts w:ascii="宋体" w:hAnsi="宋体" w:eastAsia="宋体" w:cs="宋体"/>
          <w:color w:val="auto"/>
          <w:spacing w:val="10"/>
          <w:sz w:val="20"/>
          <w:szCs w:val="20"/>
          <w:highlight w:val="none"/>
        </w:rPr>
        <w:t>；</w:t>
      </w:r>
    </w:p>
    <w:p w14:paraId="10576A8F">
      <w:pPr>
        <w:spacing w:before="1" w:line="227"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承包人提供的文件的期限为：</w:t>
      </w:r>
      <w:r>
        <w:rPr>
          <w:rFonts w:ascii="宋体" w:hAnsi="宋体" w:eastAsia="宋体" w:cs="宋体"/>
          <w:color w:val="auto"/>
          <w:spacing w:val="8"/>
          <w:sz w:val="20"/>
          <w:szCs w:val="20"/>
          <w:highlight w:val="none"/>
          <w:u w:val="single" w:color="auto"/>
        </w:rPr>
        <w:t>竣工验收正式通过后</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7"/>
          <w:sz w:val="20"/>
          <w:szCs w:val="20"/>
          <w:highlight w:val="none"/>
          <w:u w:val="single" w:color="auto"/>
        </w:rPr>
        <w:t>30</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w:t>
      </w:r>
      <w:r>
        <w:rPr>
          <w:rFonts w:ascii="宋体" w:hAnsi="宋体" w:eastAsia="宋体" w:cs="宋体"/>
          <w:color w:val="auto"/>
          <w:spacing w:val="7"/>
          <w:sz w:val="20"/>
          <w:szCs w:val="20"/>
          <w:highlight w:val="none"/>
        </w:rPr>
        <w:t>；</w:t>
      </w:r>
    </w:p>
    <w:p w14:paraId="1C0BEDAD">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承包人提供的文件的数量为：</w:t>
      </w:r>
      <w:r>
        <w:rPr>
          <w:rFonts w:ascii="宋体" w:hAnsi="宋体" w:eastAsia="宋体" w:cs="宋体"/>
          <w:color w:val="auto"/>
          <w:spacing w:val="8"/>
          <w:sz w:val="20"/>
          <w:szCs w:val="20"/>
          <w:highlight w:val="none"/>
          <w:u w:val="single" w:color="auto"/>
        </w:rPr>
        <w:t>按需提供</w:t>
      </w:r>
      <w:r>
        <w:rPr>
          <w:rFonts w:ascii="宋体" w:hAnsi="宋体" w:eastAsia="宋体" w:cs="宋体"/>
          <w:color w:val="auto"/>
          <w:spacing w:val="8"/>
          <w:sz w:val="20"/>
          <w:szCs w:val="20"/>
          <w:highlight w:val="none"/>
        </w:rPr>
        <w:t>；</w:t>
      </w:r>
    </w:p>
    <w:p w14:paraId="4E3DE891">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承包人提供的文件的形式为：</w:t>
      </w:r>
      <w:r>
        <w:rPr>
          <w:rFonts w:ascii="宋体" w:hAnsi="宋体" w:eastAsia="宋体" w:cs="宋体"/>
          <w:color w:val="auto"/>
          <w:spacing w:val="8"/>
          <w:sz w:val="20"/>
          <w:szCs w:val="20"/>
          <w:highlight w:val="none"/>
          <w:u w:val="single" w:color="auto"/>
        </w:rPr>
        <w:t>纸质版本</w:t>
      </w:r>
      <w:r>
        <w:rPr>
          <w:rFonts w:ascii="宋体" w:hAnsi="宋体" w:eastAsia="宋体" w:cs="宋体"/>
          <w:color w:val="auto"/>
          <w:spacing w:val="8"/>
          <w:sz w:val="20"/>
          <w:szCs w:val="20"/>
          <w:highlight w:val="none"/>
        </w:rPr>
        <w:t>；</w:t>
      </w:r>
    </w:p>
    <w:p w14:paraId="24127C71">
      <w:pPr>
        <w:spacing w:before="221" w:line="432" w:lineRule="auto"/>
        <w:ind w:left="7" w:firstLine="421"/>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其他约定：</w:t>
      </w:r>
      <w:r>
        <w:rPr>
          <w:rFonts w:ascii="宋体" w:hAnsi="宋体" w:eastAsia="宋体" w:cs="宋体"/>
          <w:color w:val="auto"/>
          <w:spacing w:val="8"/>
          <w:sz w:val="20"/>
          <w:szCs w:val="20"/>
          <w:highlight w:val="none"/>
          <w:u w:val="single" w:color="auto"/>
        </w:rPr>
        <w:t>承包人按国家、地方的工程竣工验收有关规定，向</w:t>
      </w:r>
      <w:r>
        <w:rPr>
          <w:rFonts w:ascii="宋体" w:hAnsi="宋体" w:eastAsia="宋体" w:cs="宋体"/>
          <w:color w:val="auto"/>
          <w:spacing w:val="7"/>
          <w:sz w:val="20"/>
          <w:szCs w:val="20"/>
          <w:highlight w:val="none"/>
          <w:u w:val="single" w:color="auto"/>
        </w:rPr>
        <w:t>发包人提交完整的竣工资料、 竣工图</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u w:val="single" w:color="auto"/>
        </w:rPr>
        <w:t>及竣工验收报告；由监理工程师负责审核并组织竣工验收。承包人提交的工程文件（档 案</w:t>
      </w:r>
      <w:r>
        <w:rPr>
          <w:rFonts w:ascii="宋体" w:hAnsi="宋体" w:eastAsia="宋体" w:cs="宋体"/>
          <w:color w:val="auto"/>
          <w:spacing w:val="4"/>
          <w:sz w:val="20"/>
          <w:szCs w:val="20"/>
          <w:highlight w:val="none"/>
          <w:u w:val="single" w:color="auto"/>
        </w:rPr>
        <w:t>）、竣工资料、</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竣工图必须满足国家、地方（含城建档案管理部门等）相关规范、规定，否则，监理单位及发包人均有</w:t>
      </w:r>
      <w:r>
        <w:rPr>
          <w:rFonts w:ascii="宋体" w:hAnsi="宋体" w:eastAsia="宋体" w:cs="宋体"/>
          <w:color w:val="auto"/>
          <w:spacing w:val="7"/>
          <w:sz w:val="20"/>
          <w:szCs w:val="20"/>
          <w:highlight w:val="none"/>
        </w:rPr>
        <w:t xml:space="preserve"> </w:t>
      </w:r>
      <w:r>
        <w:rPr>
          <w:rFonts w:ascii="宋体" w:hAnsi="宋体" w:eastAsia="宋体" w:cs="宋体"/>
          <w:color w:val="auto"/>
          <w:spacing w:val="10"/>
          <w:sz w:val="20"/>
          <w:szCs w:val="20"/>
          <w:highlight w:val="none"/>
          <w:u w:val="single" w:color="auto"/>
        </w:rPr>
        <w:t>权拒绝竣工验收及结算，承包人因此逾期交付的，发包</w:t>
      </w:r>
      <w:r>
        <w:rPr>
          <w:rFonts w:ascii="宋体" w:hAnsi="宋体" w:eastAsia="宋体" w:cs="宋体"/>
          <w:color w:val="auto"/>
          <w:spacing w:val="9"/>
          <w:sz w:val="20"/>
          <w:szCs w:val="20"/>
          <w:highlight w:val="none"/>
          <w:u w:val="single" w:color="auto"/>
        </w:rPr>
        <w:t>人有权按本合同的相关条款追究其违约责任</w:t>
      </w:r>
      <w:r>
        <w:rPr>
          <w:rFonts w:ascii="宋体" w:hAnsi="宋体" w:eastAsia="宋体" w:cs="宋体"/>
          <w:color w:val="auto"/>
          <w:spacing w:val="9"/>
          <w:sz w:val="20"/>
          <w:szCs w:val="20"/>
          <w:highlight w:val="none"/>
        </w:rPr>
        <w:t>；</w:t>
      </w:r>
    </w:p>
    <w:p w14:paraId="25D39A70">
      <w:pPr>
        <w:spacing w:before="1"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发包人审批承包人文件的期限：</w:t>
      </w:r>
      <w:r>
        <w:rPr>
          <w:rFonts w:ascii="宋体" w:hAnsi="宋体" w:eastAsia="宋体" w:cs="宋体"/>
          <w:color w:val="auto"/>
          <w:spacing w:val="7"/>
          <w:sz w:val="20"/>
          <w:szCs w:val="20"/>
          <w:highlight w:val="none"/>
          <w:u w:val="single" w:color="auto"/>
        </w:rPr>
        <w:t>收到后</w:t>
      </w:r>
      <w:r>
        <w:rPr>
          <w:rFonts w:ascii="宋体" w:hAnsi="宋体" w:eastAsia="宋体" w:cs="宋体"/>
          <w:color w:val="auto"/>
          <w:spacing w:val="-30"/>
          <w:sz w:val="20"/>
          <w:szCs w:val="20"/>
          <w:highlight w:val="none"/>
          <w:u w:val="single" w:color="auto"/>
        </w:rPr>
        <w:t xml:space="preserve"> </w:t>
      </w:r>
      <w:r>
        <w:rPr>
          <w:rFonts w:ascii="宋体" w:hAnsi="宋体" w:eastAsia="宋体" w:cs="宋体"/>
          <w:color w:val="auto"/>
          <w:spacing w:val="7"/>
          <w:sz w:val="20"/>
          <w:szCs w:val="20"/>
          <w:highlight w:val="none"/>
          <w:u w:val="single" w:color="auto"/>
        </w:rPr>
        <w:t>30</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w:t>
      </w:r>
      <w:r>
        <w:rPr>
          <w:rFonts w:ascii="宋体" w:hAnsi="宋体" w:eastAsia="宋体" w:cs="宋体"/>
          <w:color w:val="auto"/>
          <w:spacing w:val="7"/>
          <w:sz w:val="20"/>
          <w:szCs w:val="20"/>
          <w:highlight w:val="none"/>
        </w:rPr>
        <w:t>。</w:t>
      </w:r>
    </w:p>
    <w:p w14:paraId="22195571">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1.6.5 现场图纸准备</w:t>
      </w:r>
    </w:p>
    <w:p w14:paraId="53AFBCF9">
      <w:pPr>
        <w:spacing w:before="219"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关于现场图纸准备的约定：</w:t>
      </w:r>
      <w:r>
        <w:rPr>
          <w:rFonts w:ascii="宋体" w:hAnsi="宋体" w:eastAsia="宋体" w:cs="宋体"/>
          <w:color w:val="auto"/>
          <w:spacing w:val="7"/>
          <w:sz w:val="20"/>
          <w:szCs w:val="20"/>
          <w:highlight w:val="none"/>
          <w:u w:val="single" w:color="auto"/>
        </w:rPr>
        <w:t>开工前</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7"/>
          <w:sz w:val="20"/>
          <w:szCs w:val="20"/>
          <w:highlight w:val="none"/>
          <w:u w:val="single" w:color="auto"/>
        </w:rPr>
        <w:t>7</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天完成图纸会审</w:t>
      </w:r>
      <w:r>
        <w:rPr>
          <w:rFonts w:ascii="宋体" w:hAnsi="宋体" w:eastAsia="宋体" w:cs="宋体"/>
          <w:color w:val="auto"/>
          <w:spacing w:val="7"/>
          <w:sz w:val="20"/>
          <w:szCs w:val="20"/>
          <w:highlight w:val="none"/>
        </w:rPr>
        <w:t>。</w:t>
      </w:r>
    </w:p>
    <w:p w14:paraId="6980FE3B">
      <w:pPr>
        <w:pStyle w:val="2"/>
        <w:spacing w:line="399" w:lineRule="auto"/>
        <w:rPr>
          <w:color w:val="auto"/>
          <w:highlight w:val="none"/>
        </w:rPr>
      </w:pPr>
    </w:p>
    <w:p w14:paraId="7503F2D7">
      <w:pPr>
        <w:spacing w:before="102" w:line="228" w:lineRule="auto"/>
        <w:ind w:left="36"/>
        <w:outlineLvl w:val="1"/>
        <w:rPr>
          <w:rFonts w:ascii="宋体" w:hAnsi="宋体" w:eastAsia="宋体" w:cs="宋体"/>
          <w:color w:val="auto"/>
          <w:sz w:val="31"/>
          <w:szCs w:val="31"/>
          <w:highlight w:val="none"/>
        </w:rPr>
      </w:pPr>
      <w:bookmarkStart w:id="51" w:name="_Toc11642"/>
      <w:r>
        <w:rPr>
          <w:rFonts w:ascii="宋体" w:hAnsi="宋体" w:eastAsia="宋体" w:cs="宋体"/>
          <w:b/>
          <w:bCs/>
          <w:color w:val="auto"/>
          <w:spacing w:val="-6"/>
          <w:sz w:val="31"/>
          <w:szCs w:val="31"/>
          <w:highlight w:val="none"/>
        </w:rPr>
        <w:t>1.7</w:t>
      </w:r>
      <w:r>
        <w:rPr>
          <w:rFonts w:ascii="宋体" w:hAnsi="宋体" w:eastAsia="宋体" w:cs="宋体"/>
          <w:color w:val="auto"/>
          <w:spacing w:val="20"/>
          <w:sz w:val="31"/>
          <w:szCs w:val="31"/>
          <w:highlight w:val="none"/>
        </w:rPr>
        <w:t xml:space="preserve"> </w:t>
      </w:r>
      <w:r>
        <w:rPr>
          <w:rFonts w:ascii="宋体" w:hAnsi="宋体" w:eastAsia="宋体" w:cs="宋体"/>
          <w:b/>
          <w:bCs/>
          <w:color w:val="auto"/>
          <w:spacing w:val="-6"/>
          <w:sz w:val="31"/>
          <w:szCs w:val="31"/>
          <w:highlight w:val="none"/>
        </w:rPr>
        <w:t>联络</w:t>
      </w:r>
      <w:bookmarkEnd w:id="51"/>
    </w:p>
    <w:p w14:paraId="2A0A6855">
      <w:pPr>
        <w:pStyle w:val="2"/>
        <w:spacing w:line="409" w:lineRule="auto"/>
        <w:rPr>
          <w:color w:val="auto"/>
          <w:highlight w:val="none"/>
        </w:rPr>
      </w:pPr>
    </w:p>
    <w:p w14:paraId="23866BC8">
      <w:pPr>
        <w:spacing w:before="66" w:line="330" w:lineRule="auto"/>
        <w:ind w:left="6" w:firstLine="43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1.7.1</w:t>
      </w:r>
      <w:r>
        <w:rPr>
          <w:rFonts w:ascii="宋体" w:hAnsi="宋体" w:eastAsia="宋体" w:cs="宋体"/>
          <w:color w:val="auto"/>
          <w:spacing w:val="-19"/>
          <w:sz w:val="20"/>
          <w:szCs w:val="20"/>
          <w:highlight w:val="none"/>
        </w:rPr>
        <w:t xml:space="preserve"> </w:t>
      </w:r>
      <w:r>
        <w:rPr>
          <w:rFonts w:ascii="宋体" w:hAnsi="宋体" w:eastAsia="宋体" w:cs="宋体"/>
          <w:color w:val="auto"/>
          <w:spacing w:val="6"/>
          <w:sz w:val="20"/>
          <w:szCs w:val="20"/>
          <w:highlight w:val="none"/>
        </w:rPr>
        <w:t>发包人和承包人应当在</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u w:val="single" w:color="auto"/>
        </w:rPr>
        <w:t>7</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6"/>
          <w:sz w:val="20"/>
          <w:szCs w:val="20"/>
          <w:highlight w:val="none"/>
        </w:rPr>
        <w:t>天内将与合同有关的通知、批准、证明、证书、指示、指令、要求、</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请求、同意、意见、确定和决定等书面函件送达对方当事人。</w:t>
      </w:r>
    </w:p>
    <w:p w14:paraId="07B3F9CC">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1.7.2 发包人接收文件的地点：</w:t>
      </w:r>
      <w:r>
        <w:rPr>
          <w:rFonts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7"/>
          <w:sz w:val="20"/>
          <w:szCs w:val="20"/>
          <w:highlight w:val="none"/>
          <w:u w:val="single" w:color="auto"/>
          <w:lang w:eastAsia="zh-CN"/>
        </w:rPr>
        <w:t>横州市莲塘镇初级中学</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7"/>
          <w:sz w:val="20"/>
          <w:szCs w:val="20"/>
          <w:highlight w:val="none"/>
        </w:rPr>
        <w:t>；</w:t>
      </w:r>
    </w:p>
    <w:p w14:paraId="587618EB">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发包人指定的接收人为：</w:t>
      </w:r>
      <w:r>
        <w:rPr>
          <w:rFonts w:ascii="宋体" w:hAnsi="宋体" w:eastAsia="宋体" w:cs="宋体"/>
          <w:color w:val="auto"/>
          <w:spacing w:val="8"/>
          <w:sz w:val="20"/>
          <w:szCs w:val="20"/>
          <w:highlight w:val="none"/>
          <w:u w:val="single" w:color="auto"/>
        </w:rPr>
        <w:t xml:space="preserve">发包人现场代表     </w:t>
      </w:r>
      <w:r>
        <w:rPr>
          <w:rFonts w:ascii="宋体" w:hAnsi="宋体" w:eastAsia="宋体" w:cs="宋体"/>
          <w:color w:val="auto"/>
          <w:spacing w:val="8"/>
          <w:sz w:val="20"/>
          <w:szCs w:val="20"/>
          <w:highlight w:val="none"/>
        </w:rPr>
        <w:t>。</w:t>
      </w:r>
    </w:p>
    <w:p w14:paraId="7E77AD14">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承包人接收文件的地点：</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由承包人指定  </w:t>
      </w:r>
      <w:r>
        <w:rPr>
          <w:rFonts w:ascii="宋体" w:hAnsi="宋体" w:eastAsia="宋体" w:cs="宋体"/>
          <w:color w:val="auto"/>
          <w:spacing w:val="6"/>
          <w:sz w:val="20"/>
          <w:szCs w:val="20"/>
          <w:highlight w:val="none"/>
        </w:rPr>
        <w:t>；</w:t>
      </w:r>
    </w:p>
    <w:p w14:paraId="20119EEF">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承包人指定的接收人为：</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由承包人指定  </w:t>
      </w:r>
      <w:r>
        <w:rPr>
          <w:rFonts w:ascii="宋体" w:hAnsi="宋体" w:eastAsia="宋体" w:cs="宋体"/>
          <w:color w:val="auto"/>
          <w:spacing w:val="6"/>
          <w:sz w:val="20"/>
          <w:szCs w:val="20"/>
          <w:highlight w:val="none"/>
        </w:rPr>
        <w:t>。</w:t>
      </w:r>
    </w:p>
    <w:p w14:paraId="33C437D0">
      <w:pPr>
        <w:spacing w:line="228" w:lineRule="auto"/>
        <w:rPr>
          <w:rFonts w:ascii="宋体" w:hAnsi="宋体" w:eastAsia="宋体" w:cs="宋体"/>
          <w:color w:val="auto"/>
          <w:sz w:val="20"/>
          <w:szCs w:val="20"/>
          <w:highlight w:val="none"/>
        </w:rPr>
        <w:sectPr>
          <w:headerReference r:id="rId195" w:type="default"/>
          <w:footerReference r:id="rId196" w:type="default"/>
          <w:pgSz w:w="11906" w:h="16839"/>
          <w:pgMar w:top="400" w:right="1150" w:bottom="1158" w:left="1219" w:header="0" w:footer="922" w:gutter="0"/>
          <w:cols w:space="720" w:num="1"/>
        </w:sectPr>
      </w:pPr>
    </w:p>
    <w:p w14:paraId="4002F569">
      <w:pPr>
        <w:pStyle w:val="2"/>
        <w:spacing w:line="292" w:lineRule="auto"/>
        <w:rPr>
          <w:color w:val="auto"/>
          <w:highlight w:val="none"/>
        </w:rPr>
      </w:pPr>
    </w:p>
    <w:p w14:paraId="22397646">
      <w:pPr>
        <w:pStyle w:val="2"/>
        <w:spacing w:line="292" w:lineRule="auto"/>
        <w:rPr>
          <w:color w:val="auto"/>
          <w:highlight w:val="none"/>
        </w:rPr>
      </w:pPr>
    </w:p>
    <w:p w14:paraId="058FAF06">
      <w:pPr>
        <w:pStyle w:val="2"/>
        <w:spacing w:line="293" w:lineRule="auto"/>
        <w:rPr>
          <w:color w:val="auto"/>
          <w:highlight w:val="none"/>
        </w:rPr>
      </w:pPr>
      <w:r>
        <w:rPr>
          <w:color w:val="auto"/>
          <w:highlight w:val="none"/>
        </w:rPr>
        <w:pict>
          <v:shape id="_x0000_s1032" o:spid="_x0000_s1032" style="position:absolute;left:0pt;margin-left:0pt;margin-top:4.45pt;height:0.75pt;width:473.4pt;z-index:251681792;mso-width-relative:page;mso-height-relative:page;" fillcolor="#000000" filled="t" stroked="f" coordsize="9467,15" path="m0,0l9467,0,9467,14,0,14,0,0xe">
            <v:path/>
            <v:fill on="t" focussize="0,0"/>
            <v:stroke on="f"/>
            <v:imagedata o:title=""/>
            <o:lock v:ext="edit"/>
          </v:shape>
        </w:pict>
      </w:r>
    </w:p>
    <w:p w14:paraId="6BF9E68B">
      <w:pPr>
        <w:spacing w:before="65"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监理人接收文件的地点：</w:t>
      </w:r>
      <w:r>
        <w:rPr>
          <w:rFonts w:ascii="宋体" w:hAnsi="宋体" w:eastAsia="宋体" w:cs="宋体"/>
          <w:color w:val="auto"/>
          <w:spacing w:val="29"/>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由监理人指定  </w:t>
      </w:r>
      <w:r>
        <w:rPr>
          <w:rFonts w:ascii="宋体" w:hAnsi="宋体" w:eastAsia="宋体" w:cs="宋体"/>
          <w:color w:val="auto"/>
          <w:spacing w:val="6"/>
          <w:sz w:val="20"/>
          <w:szCs w:val="20"/>
          <w:highlight w:val="none"/>
        </w:rPr>
        <w:t>；</w:t>
      </w:r>
    </w:p>
    <w:p w14:paraId="58467BEA">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监理人指定的接收人为：</w:t>
      </w:r>
      <w:r>
        <w:rPr>
          <w:rFonts w:ascii="宋体" w:hAnsi="宋体" w:eastAsia="宋体" w:cs="宋体"/>
          <w:color w:val="auto"/>
          <w:spacing w:val="29"/>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由监理人指定  </w:t>
      </w:r>
      <w:r>
        <w:rPr>
          <w:rFonts w:ascii="宋体" w:hAnsi="宋体" w:eastAsia="宋体" w:cs="宋体"/>
          <w:color w:val="auto"/>
          <w:spacing w:val="6"/>
          <w:sz w:val="20"/>
          <w:szCs w:val="20"/>
          <w:highlight w:val="none"/>
        </w:rPr>
        <w:t>。</w:t>
      </w:r>
    </w:p>
    <w:p w14:paraId="32F0D140">
      <w:pPr>
        <w:pStyle w:val="2"/>
        <w:spacing w:line="402" w:lineRule="auto"/>
        <w:rPr>
          <w:color w:val="auto"/>
          <w:highlight w:val="none"/>
        </w:rPr>
      </w:pPr>
    </w:p>
    <w:p w14:paraId="76BD90A7">
      <w:pPr>
        <w:spacing w:before="101" w:line="225" w:lineRule="auto"/>
        <w:ind w:left="36"/>
        <w:outlineLvl w:val="1"/>
        <w:rPr>
          <w:rFonts w:ascii="宋体" w:hAnsi="宋体" w:eastAsia="宋体" w:cs="宋体"/>
          <w:color w:val="auto"/>
          <w:sz w:val="31"/>
          <w:szCs w:val="31"/>
          <w:highlight w:val="none"/>
        </w:rPr>
      </w:pPr>
      <w:bookmarkStart w:id="52" w:name="_Toc27682"/>
      <w:r>
        <w:rPr>
          <w:rFonts w:ascii="宋体" w:hAnsi="宋体" w:eastAsia="宋体" w:cs="宋体"/>
          <w:b/>
          <w:bCs/>
          <w:color w:val="auto"/>
          <w:spacing w:val="-2"/>
          <w:sz w:val="31"/>
          <w:szCs w:val="31"/>
          <w:highlight w:val="none"/>
        </w:rPr>
        <w:t>1.10</w:t>
      </w:r>
      <w:r>
        <w:rPr>
          <w:rFonts w:ascii="宋体" w:hAnsi="宋体" w:eastAsia="宋体" w:cs="宋体"/>
          <w:color w:val="auto"/>
          <w:spacing w:val="25"/>
          <w:sz w:val="31"/>
          <w:szCs w:val="31"/>
          <w:highlight w:val="none"/>
        </w:rPr>
        <w:t xml:space="preserve"> </w:t>
      </w:r>
      <w:r>
        <w:rPr>
          <w:rFonts w:ascii="宋体" w:hAnsi="宋体" w:eastAsia="宋体" w:cs="宋体"/>
          <w:b/>
          <w:bCs/>
          <w:color w:val="auto"/>
          <w:spacing w:val="-2"/>
          <w:sz w:val="31"/>
          <w:szCs w:val="31"/>
          <w:highlight w:val="none"/>
        </w:rPr>
        <w:t>交通运输</w:t>
      </w:r>
      <w:bookmarkEnd w:id="52"/>
    </w:p>
    <w:p w14:paraId="47000636">
      <w:pPr>
        <w:pStyle w:val="2"/>
        <w:spacing w:line="414" w:lineRule="auto"/>
        <w:rPr>
          <w:color w:val="auto"/>
          <w:highlight w:val="none"/>
        </w:rPr>
      </w:pPr>
    </w:p>
    <w:p w14:paraId="6BB5BBFD">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1.10.1</w:t>
      </w:r>
      <w:r>
        <w:rPr>
          <w:rFonts w:ascii="宋体" w:hAnsi="宋体" w:eastAsia="宋体" w:cs="宋体"/>
          <w:color w:val="auto"/>
          <w:spacing w:val="39"/>
          <w:sz w:val="20"/>
          <w:szCs w:val="20"/>
          <w:highlight w:val="none"/>
        </w:rPr>
        <w:t xml:space="preserve"> </w:t>
      </w:r>
      <w:r>
        <w:rPr>
          <w:rFonts w:ascii="宋体" w:hAnsi="宋体" w:eastAsia="宋体" w:cs="宋体"/>
          <w:color w:val="auto"/>
          <w:spacing w:val="3"/>
          <w:sz w:val="20"/>
          <w:szCs w:val="20"/>
          <w:highlight w:val="none"/>
        </w:rPr>
        <w:t>出入现场的权利</w:t>
      </w:r>
    </w:p>
    <w:p w14:paraId="1AED4306">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关于出入现场的权利的约定：</w:t>
      </w:r>
      <w:r>
        <w:rPr>
          <w:rFonts w:ascii="宋体" w:hAnsi="宋体" w:eastAsia="宋体" w:cs="宋体"/>
          <w:color w:val="auto"/>
          <w:spacing w:val="8"/>
          <w:sz w:val="20"/>
          <w:szCs w:val="20"/>
          <w:highlight w:val="none"/>
          <w:u w:val="single" w:color="auto"/>
        </w:rPr>
        <w:t>双方协商</w:t>
      </w:r>
      <w:r>
        <w:rPr>
          <w:rFonts w:ascii="宋体" w:hAnsi="宋体" w:eastAsia="宋体" w:cs="宋体"/>
          <w:color w:val="auto"/>
          <w:spacing w:val="8"/>
          <w:sz w:val="20"/>
          <w:szCs w:val="20"/>
          <w:highlight w:val="none"/>
        </w:rPr>
        <w:t>。</w:t>
      </w:r>
    </w:p>
    <w:p w14:paraId="694FF166">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1.10.3 场内交通</w:t>
      </w:r>
    </w:p>
    <w:p w14:paraId="7E4AEB7F">
      <w:pPr>
        <w:spacing w:before="221" w:line="432" w:lineRule="auto"/>
        <w:ind w:left="9" w:right="19"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关于场外交通和场内交通的边界的约定：</w:t>
      </w:r>
      <w:r>
        <w:rPr>
          <w:rFonts w:ascii="宋体" w:hAnsi="宋体" w:eastAsia="宋体" w:cs="宋体"/>
          <w:color w:val="auto"/>
          <w:spacing w:val="10"/>
          <w:sz w:val="20"/>
          <w:szCs w:val="20"/>
          <w:highlight w:val="none"/>
          <w:u w:val="single" w:color="auto"/>
        </w:rPr>
        <w:t>承包人负责修建、维修、</w:t>
      </w:r>
      <w:r>
        <w:rPr>
          <w:rFonts w:ascii="宋体" w:hAnsi="宋体" w:eastAsia="宋体" w:cs="宋体"/>
          <w:color w:val="auto"/>
          <w:spacing w:val="9"/>
          <w:sz w:val="20"/>
          <w:szCs w:val="20"/>
          <w:highlight w:val="none"/>
          <w:u w:val="single" w:color="auto"/>
        </w:rPr>
        <w:t>养护和管理其他场内临时道路及</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其他设施。建设单位和监理人可以为实现合同</w:t>
      </w:r>
      <w:r>
        <w:rPr>
          <w:rFonts w:ascii="宋体" w:hAnsi="宋体" w:eastAsia="宋体" w:cs="宋体"/>
          <w:color w:val="auto"/>
          <w:spacing w:val="9"/>
          <w:sz w:val="20"/>
          <w:szCs w:val="20"/>
          <w:highlight w:val="none"/>
          <w:u w:val="single" w:color="auto"/>
        </w:rPr>
        <w:t>目的使用承包人修建的场内临时道路及其他设施</w:t>
      </w:r>
      <w:r>
        <w:rPr>
          <w:rFonts w:ascii="宋体" w:hAnsi="宋体" w:eastAsia="宋体" w:cs="宋体"/>
          <w:color w:val="auto"/>
          <w:spacing w:val="9"/>
          <w:sz w:val="20"/>
          <w:szCs w:val="20"/>
          <w:highlight w:val="none"/>
        </w:rPr>
        <w:t>。</w:t>
      </w:r>
    </w:p>
    <w:p w14:paraId="440E5617">
      <w:pPr>
        <w:spacing w:line="432" w:lineRule="auto"/>
        <w:ind w:left="9" w:right="2" w:firstLine="422"/>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关于发包人向承包人免费提供满足工程施工需要的场内道路和交通设施的约定</w:t>
      </w:r>
      <w:r>
        <w:rPr>
          <w:rFonts w:ascii="宋体" w:hAnsi="宋体" w:eastAsia="宋体" w:cs="宋体"/>
          <w:color w:val="auto"/>
          <w:spacing w:val="6"/>
          <w:sz w:val="20"/>
          <w:szCs w:val="20"/>
          <w:highlight w:val="none"/>
        </w:rPr>
        <w:t>：</w:t>
      </w:r>
      <w:r>
        <w:rPr>
          <w:rFonts w:ascii="宋体" w:hAnsi="宋体" w:eastAsia="宋体" w:cs="宋体"/>
          <w:color w:val="auto"/>
          <w:spacing w:val="6"/>
          <w:sz w:val="20"/>
          <w:szCs w:val="20"/>
          <w:highlight w:val="none"/>
          <w:u w:val="single" w:color="auto"/>
        </w:rPr>
        <w:t>红线范围</w:t>
      </w:r>
      <w:r>
        <w:rPr>
          <w:rFonts w:ascii="宋体" w:hAnsi="宋体" w:eastAsia="宋体" w:cs="宋体"/>
          <w:color w:val="auto"/>
          <w:spacing w:val="41"/>
          <w:sz w:val="20"/>
          <w:szCs w:val="20"/>
          <w:highlight w:val="none"/>
          <w:u w:val="single" w:color="auto"/>
        </w:rPr>
        <w:t xml:space="preserve"> </w:t>
      </w:r>
      <w:r>
        <w:rPr>
          <w:rFonts w:ascii="宋体" w:hAnsi="宋体" w:eastAsia="宋体" w:cs="宋体"/>
          <w:color w:val="auto"/>
          <w:spacing w:val="6"/>
          <w:sz w:val="20"/>
          <w:szCs w:val="20"/>
          <w:highlight w:val="none"/>
          <w:u w:val="single" w:color="auto"/>
        </w:rPr>
        <w:t>内施工道</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路均由承包人负责修建，若损坏应负责及时修复。 承包人负责修建、维修</w:t>
      </w:r>
      <w:r>
        <w:rPr>
          <w:rFonts w:ascii="宋体" w:hAnsi="宋体" w:eastAsia="宋体" w:cs="宋体"/>
          <w:color w:val="auto"/>
          <w:spacing w:val="7"/>
          <w:sz w:val="20"/>
          <w:szCs w:val="20"/>
          <w:highlight w:val="none"/>
          <w:u w:val="single" w:color="auto"/>
        </w:rPr>
        <w:t>、养护和管理施工现场所需的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其他场内临时道路交通及其他设施</w:t>
      </w:r>
      <w:r>
        <w:rPr>
          <w:rFonts w:ascii="宋体" w:hAnsi="宋体" w:eastAsia="宋体" w:cs="宋体"/>
          <w:color w:val="auto"/>
          <w:spacing w:val="8"/>
          <w:sz w:val="20"/>
          <w:szCs w:val="20"/>
          <w:highlight w:val="none"/>
        </w:rPr>
        <w:t>。</w:t>
      </w:r>
    </w:p>
    <w:p w14:paraId="59058E39">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1.10.4 超大件和超重件的运输</w:t>
      </w:r>
    </w:p>
    <w:p w14:paraId="28516DFC">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运输超大件或超重件所需的道路和桥梁临时加固改造费用和其他有关费用由</w:t>
      </w:r>
      <w:r>
        <w:rPr>
          <w:rFonts w:ascii="宋体" w:hAnsi="宋体" w:eastAsia="宋体" w:cs="宋体"/>
          <w:color w:val="auto"/>
          <w:spacing w:val="9"/>
          <w:sz w:val="20"/>
          <w:szCs w:val="20"/>
          <w:highlight w:val="none"/>
          <w:u w:val="single" w:color="auto"/>
        </w:rPr>
        <w:t>承包人</w:t>
      </w:r>
      <w:r>
        <w:rPr>
          <w:rFonts w:ascii="宋体" w:hAnsi="宋体" w:eastAsia="宋体" w:cs="宋体"/>
          <w:color w:val="auto"/>
          <w:spacing w:val="9"/>
          <w:sz w:val="20"/>
          <w:szCs w:val="20"/>
          <w:highlight w:val="none"/>
        </w:rPr>
        <w:t>承担。</w:t>
      </w:r>
    </w:p>
    <w:p w14:paraId="44C82E24">
      <w:pPr>
        <w:pStyle w:val="2"/>
        <w:spacing w:line="402" w:lineRule="auto"/>
        <w:rPr>
          <w:color w:val="auto"/>
          <w:highlight w:val="none"/>
        </w:rPr>
      </w:pPr>
    </w:p>
    <w:p w14:paraId="66C3E8B1">
      <w:pPr>
        <w:spacing w:before="102" w:line="225" w:lineRule="auto"/>
        <w:ind w:left="36"/>
        <w:outlineLvl w:val="1"/>
        <w:rPr>
          <w:rFonts w:ascii="宋体" w:hAnsi="宋体" w:eastAsia="宋体" w:cs="宋体"/>
          <w:color w:val="auto"/>
          <w:sz w:val="31"/>
          <w:szCs w:val="31"/>
          <w:highlight w:val="none"/>
        </w:rPr>
      </w:pPr>
      <w:bookmarkStart w:id="53" w:name="_Toc21520"/>
      <w:r>
        <w:rPr>
          <w:rFonts w:ascii="宋体" w:hAnsi="宋体" w:eastAsia="宋体" w:cs="宋体"/>
          <w:b/>
          <w:bCs/>
          <w:color w:val="auto"/>
          <w:spacing w:val="-2"/>
          <w:sz w:val="31"/>
          <w:szCs w:val="31"/>
          <w:highlight w:val="none"/>
        </w:rPr>
        <w:t>1.11</w:t>
      </w:r>
      <w:r>
        <w:rPr>
          <w:rFonts w:ascii="宋体" w:hAnsi="宋体" w:eastAsia="宋体" w:cs="宋体"/>
          <w:color w:val="auto"/>
          <w:spacing w:val="25"/>
          <w:sz w:val="31"/>
          <w:szCs w:val="31"/>
          <w:highlight w:val="none"/>
        </w:rPr>
        <w:t xml:space="preserve"> </w:t>
      </w:r>
      <w:r>
        <w:rPr>
          <w:rFonts w:ascii="宋体" w:hAnsi="宋体" w:eastAsia="宋体" w:cs="宋体"/>
          <w:b/>
          <w:bCs/>
          <w:color w:val="auto"/>
          <w:spacing w:val="-2"/>
          <w:sz w:val="31"/>
          <w:szCs w:val="31"/>
          <w:highlight w:val="none"/>
        </w:rPr>
        <w:t>知识产权</w:t>
      </w:r>
      <w:bookmarkEnd w:id="53"/>
    </w:p>
    <w:p w14:paraId="22CE752C">
      <w:pPr>
        <w:pStyle w:val="2"/>
        <w:spacing w:line="413" w:lineRule="auto"/>
        <w:rPr>
          <w:color w:val="auto"/>
          <w:highlight w:val="none"/>
        </w:rPr>
      </w:pPr>
    </w:p>
    <w:p w14:paraId="2E6ACC9E">
      <w:pPr>
        <w:spacing w:before="66" w:line="432" w:lineRule="auto"/>
        <w:ind w:left="19" w:right="2" w:firstLine="4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1.11.1 关于发包人提供给承包人的图纸、发包人为实施工程自行编制或委托编制</w:t>
      </w:r>
      <w:r>
        <w:rPr>
          <w:rFonts w:ascii="宋体" w:hAnsi="宋体" w:eastAsia="宋体" w:cs="宋体"/>
          <w:color w:val="auto"/>
          <w:spacing w:val="6"/>
          <w:sz w:val="20"/>
          <w:szCs w:val="20"/>
          <w:highlight w:val="none"/>
        </w:rPr>
        <w:t>的技术规范以及反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映发包人关于合同要求或其他类似性质的文件的著作权的归属：</w:t>
      </w:r>
      <w:r>
        <w:rPr>
          <w:rFonts w:ascii="宋体" w:hAnsi="宋体" w:eastAsia="宋体" w:cs="宋体"/>
          <w:color w:val="auto"/>
          <w:spacing w:val="9"/>
          <w:sz w:val="20"/>
          <w:szCs w:val="20"/>
          <w:highlight w:val="none"/>
          <w:u w:val="single" w:color="auto"/>
        </w:rPr>
        <w:t>发包人</w:t>
      </w:r>
      <w:r>
        <w:rPr>
          <w:rFonts w:ascii="宋体" w:hAnsi="宋体" w:eastAsia="宋体" w:cs="宋体"/>
          <w:color w:val="auto"/>
          <w:spacing w:val="9"/>
          <w:sz w:val="20"/>
          <w:szCs w:val="20"/>
          <w:highlight w:val="none"/>
        </w:rPr>
        <w:t>。</w:t>
      </w:r>
    </w:p>
    <w:p w14:paraId="5BCA3342">
      <w:pPr>
        <w:spacing w:before="1"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关于发包人提供的上述文件的使用限制的要求：</w:t>
      </w:r>
      <w:r>
        <w:rPr>
          <w:rFonts w:ascii="宋体" w:hAnsi="宋体" w:eastAsia="宋体" w:cs="宋体"/>
          <w:color w:val="auto"/>
          <w:spacing w:val="9"/>
          <w:sz w:val="20"/>
          <w:szCs w:val="20"/>
          <w:highlight w:val="none"/>
          <w:u w:val="single" w:color="auto"/>
        </w:rPr>
        <w:t>仅限于工程施工和竣工验收使用</w:t>
      </w:r>
      <w:r>
        <w:rPr>
          <w:rFonts w:ascii="宋体" w:hAnsi="宋体" w:eastAsia="宋体" w:cs="宋体"/>
          <w:color w:val="auto"/>
          <w:spacing w:val="9"/>
          <w:sz w:val="20"/>
          <w:szCs w:val="20"/>
          <w:highlight w:val="none"/>
        </w:rPr>
        <w:t>。</w:t>
      </w:r>
    </w:p>
    <w:p w14:paraId="11958096">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1.11.2 关于承包人为实施工程所编制文件的著作权的归属：</w:t>
      </w:r>
      <w:r>
        <w:rPr>
          <w:rFonts w:ascii="宋体" w:hAnsi="宋体" w:eastAsia="宋体" w:cs="宋体"/>
          <w:color w:val="auto"/>
          <w:spacing w:val="8"/>
          <w:sz w:val="20"/>
          <w:szCs w:val="20"/>
          <w:highlight w:val="none"/>
          <w:u w:val="single" w:color="auto"/>
        </w:rPr>
        <w:t>承</w:t>
      </w:r>
      <w:r>
        <w:rPr>
          <w:rFonts w:ascii="宋体" w:hAnsi="宋体" w:eastAsia="宋体" w:cs="宋体"/>
          <w:color w:val="auto"/>
          <w:spacing w:val="7"/>
          <w:sz w:val="20"/>
          <w:szCs w:val="20"/>
          <w:highlight w:val="none"/>
          <w:u w:val="single" w:color="auto"/>
        </w:rPr>
        <w:t>包人</w:t>
      </w:r>
      <w:r>
        <w:rPr>
          <w:rFonts w:ascii="宋体" w:hAnsi="宋体" w:eastAsia="宋体" w:cs="宋体"/>
          <w:color w:val="auto"/>
          <w:spacing w:val="7"/>
          <w:sz w:val="20"/>
          <w:szCs w:val="20"/>
          <w:highlight w:val="none"/>
        </w:rPr>
        <w:t>。</w:t>
      </w:r>
    </w:p>
    <w:p w14:paraId="0B829E71">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关于承包人提供的上述文件的使用限制的要求：</w:t>
      </w:r>
      <w:r>
        <w:rPr>
          <w:rFonts w:ascii="宋体" w:hAnsi="宋体" w:eastAsia="宋体" w:cs="宋体"/>
          <w:color w:val="auto"/>
          <w:spacing w:val="9"/>
          <w:sz w:val="20"/>
          <w:szCs w:val="20"/>
          <w:highlight w:val="none"/>
          <w:u w:val="single" w:color="auto"/>
        </w:rPr>
        <w:t>在施工期间对发包人免费使用</w:t>
      </w:r>
      <w:r>
        <w:rPr>
          <w:rFonts w:ascii="宋体" w:hAnsi="宋体" w:eastAsia="宋体" w:cs="宋体"/>
          <w:color w:val="auto"/>
          <w:spacing w:val="9"/>
          <w:sz w:val="20"/>
          <w:szCs w:val="20"/>
          <w:highlight w:val="none"/>
        </w:rPr>
        <w:t>。</w:t>
      </w:r>
    </w:p>
    <w:p w14:paraId="55A9ABC1">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1.11.4 承包人在施工过程中所采用的专利、专有技术、技术秘密的使用费的承担方式：</w:t>
      </w:r>
    </w:p>
    <w:p w14:paraId="6C0B7500">
      <w:pPr>
        <w:spacing w:before="221" w:line="228" w:lineRule="auto"/>
        <w:ind w:left="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u w:val="single" w:color="auto"/>
        </w:rPr>
        <w:t>承包人自行承担</w:t>
      </w:r>
      <w:r>
        <w:rPr>
          <w:rFonts w:ascii="宋体" w:hAnsi="宋体" w:eastAsia="宋体" w:cs="宋体"/>
          <w:color w:val="auto"/>
          <w:spacing w:val="7"/>
          <w:sz w:val="20"/>
          <w:szCs w:val="20"/>
          <w:highlight w:val="none"/>
        </w:rPr>
        <w:t>。</w:t>
      </w:r>
    </w:p>
    <w:p w14:paraId="4BD9149D">
      <w:pPr>
        <w:pStyle w:val="2"/>
        <w:spacing w:line="400" w:lineRule="auto"/>
        <w:rPr>
          <w:color w:val="auto"/>
          <w:highlight w:val="none"/>
        </w:rPr>
      </w:pPr>
    </w:p>
    <w:p w14:paraId="40B511D5">
      <w:pPr>
        <w:spacing w:before="102" w:line="225" w:lineRule="auto"/>
        <w:ind w:left="36"/>
        <w:outlineLvl w:val="1"/>
        <w:rPr>
          <w:rFonts w:ascii="宋体" w:hAnsi="宋体" w:eastAsia="宋体" w:cs="宋体"/>
          <w:color w:val="auto"/>
          <w:sz w:val="31"/>
          <w:szCs w:val="31"/>
          <w:highlight w:val="none"/>
        </w:rPr>
      </w:pPr>
      <w:bookmarkStart w:id="54" w:name="_Toc15936"/>
      <w:r>
        <w:rPr>
          <w:rFonts w:ascii="宋体" w:hAnsi="宋体" w:eastAsia="宋体" w:cs="宋体"/>
          <w:b/>
          <w:bCs/>
          <w:color w:val="auto"/>
          <w:spacing w:val="2"/>
          <w:sz w:val="31"/>
          <w:szCs w:val="31"/>
          <w:highlight w:val="none"/>
        </w:rPr>
        <w:t>1.13</w:t>
      </w:r>
      <w:r>
        <w:rPr>
          <w:rFonts w:ascii="宋体" w:hAnsi="宋体" w:eastAsia="宋体" w:cs="宋体"/>
          <w:color w:val="auto"/>
          <w:spacing w:val="-50"/>
          <w:sz w:val="31"/>
          <w:szCs w:val="31"/>
          <w:highlight w:val="none"/>
        </w:rPr>
        <w:t xml:space="preserve"> </w:t>
      </w:r>
      <w:r>
        <w:rPr>
          <w:rFonts w:ascii="宋体" w:hAnsi="宋体" w:eastAsia="宋体" w:cs="宋体"/>
          <w:b/>
          <w:bCs/>
          <w:color w:val="auto"/>
          <w:spacing w:val="2"/>
          <w:sz w:val="31"/>
          <w:szCs w:val="31"/>
          <w:highlight w:val="none"/>
        </w:rPr>
        <w:t>工程量清单错误的修正</w:t>
      </w:r>
      <w:bookmarkEnd w:id="54"/>
    </w:p>
    <w:p w14:paraId="45685DF8">
      <w:pPr>
        <w:pStyle w:val="2"/>
        <w:spacing w:line="413" w:lineRule="auto"/>
        <w:rPr>
          <w:color w:val="auto"/>
          <w:highlight w:val="none"/>
        </w:rPr>
      </w:pPr>
    </w:p>
    <w:p w14:paraId="22002896">
      <w:pPr>
        <w:spacing w:before="65" w:line="227" w:lineRule="auto"/>
        <w:ind w:left="44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出现工程量清单工程量偏差时，是否调整对应清单单价：</w:t>
      </w:r>
      <w:r>
        <w:rPr>
          <w:rFonts w:ascii="宋体" w:hAnsi="宋体" w:eastAsia="宋体" w:cs="宋体"/>
          <w:color w:val="auto"/>
          <w:spacing w:val="-54"/>
          <w:sz w:val="20"/>
          <w:szCs w:val="20"/>
          <w:highlight w:val="none"/>
        </w:rPr>
        <w:t xml:space="preserve"> </w:t>
      </w:r>
      <w:r>
        <w:rPr>
          <w:rFonts w:ascii="宋体" w:hAnsi="宋体" w:eastAsia="宋体" w:cs="宋体"/>
          <w:color w:val="auto"/>
          <w:spacing w:val="7"/>
          <w:sz w:val="20"/>
          <w:szCs w:val="20"/>
          <w:highlight w:val="none"/>
          <w:u w:val="single" w:color="auto"/>
        </w:rPr>
        <w:t xml:space="preserve">□是  </w:t>
      </w:r>
      <w:r>
        <w:rPr>
          <w:rFonts w:ascii="MS PMincho" w:hAnsi="MS PMincho" w:eastAsia="MS PMincho" w:cs="MS PMincho"/>
          <w:color w:val="auto"/>
          <w:spacing w:val="7"/>
          <w:sz w:val="20"/>
          <w:szCs w:val="20"/>
          <w:highlight w:val="none"/>
          <w:u w:val="single" w:color="auto"/>
        </w:rPr>
        <w:t>☑</w:t>
      </w:r>
      <w:r>
        <w:rPr>
          <w:rFonts w:ascii="宋体" w:hAnsi="宋体" w:eastAsia="宋体" w:cs="宋体"/>
          <w:color w:val="auto"/>
          <w:spacing w:val="7"/>
          <w:sz w:val="20"/>
          <w:szCs w:val="20"/>
          <w:highlight w:val="none"/>
          <w:u w:val="single" w:color="auto"/>
        </w:rPr>
        <w:t>否</w:t>
      </w:r>
      <w:r>
        <w:rPr>
          <w:rFonts w:ascii="宋体" w:hAnsi="宋体" w:eastAsia="宋体" w:cs="宋体"/>
          <w:color w:val="auto"/>
          <w:spacing w:val="7"/>
          <w:sz w:val="20"/>
          <w:szCs w:val="20"/>
          <w:highlight w:val="none"/>
        </w:rPr>
        <w:t>。</w:t>
      </w:r>
    </w:p>
    <w:p w14:paraId="71DBAF96">
      <w:pPr>
        <w:spacing w:before="223" w:line="227" w:lineRule="auto"/>
        <w:ind w:left="43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允许调整清单单价的工程量偏差范围及其调整办法：</w:t>
      </w:r>
    </w:p>
    <w:p w14:paraId="64307A61">
      <w:pPr>
        <w:spacing w:before="222" w:line="227" w:lineRule="auto"/>
        <w:ind w:left="44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w:t>
      </w:r>
      <w:r>
        <w:rPr>
          <w:rFonts w:ascii="宋体" w:hAnsi="宋体" w:eastAsia="宋体" w:cs="宋体"/>
          <w:color w:val="auto"/>
          <w:spacing w:val="9"/>
          <w:sz w:val="20"/>
          <w:szCs w:val="20"/>
          <w:highlight w:val="none"/>
          <w:u w:val="single" w:color="auto"/>
        </w:rPr>
        <w:t xml:space="preserve"> 除严重不平衡报价外，无论分部分项工</w:t>
      </w:r>
      <w:r>
        <w:rPr>
          <w:rFonts w:ascii="宋体" w:hAnsi="宋体" w:eastAsia="宋体" w:cs="宋体"/>
          <w:color w:val="auto"/>
          <w:spacing w:val="8"/>
          <w:sz w:val="20"/>
          <w:szCs w:val="20"/>
          <w:highlight w:val="none"/>
          <w:u w:val="single" w:color="auto"/>
        </w:rPr>
        <w:t xml:space="preserve">程量清单项目中的工程量变化多少均不调整    </w:t>
      </w:r>
      <w:r>
        <w:rPr>
          <w:rFonts w:ascii="宋体" w:hAnsi="宋体" w:eastAsia="宋体" w:cs="宋体"/>
          <w:color w:val="auto"/>
          <w:spacing w:val="8"/>
          <w:sz w:val="20"/>
          <w:szCs w:val="20"/>
          <w:highlight w:val="none"/>
        </w:rPr>
        <w:t>。</w:t>
      </w:r>
    </w:p>
    <w:p w14:paraId="0EA83CB5">
      <w:pPr>
        <w:spacing w:before="222" w:line="228" w:lineRule="auto"/>
        <w:ind w:right="2"/>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w:t>
      </w:r>
      <w:r>
        <w:rPr>
          <w:rFonts w:ascii="宋体" w:hAnsi="宋体" w:eastAsia="宋体" w:cs="宋体"/>
          <w:color w:val="auto"/>
          <w:spacing w:val="9"/>
          <w:sz w:val="20"/>
          <w:szCs w:val="20"/>
          <w:highlight w:val="none"/>
          <w:u w:val="single" w:color="auto"/>
        </w:rPr>
        <w:t>承包人实际完成的某单项清单项目工程量与招标工程量清单工程量偏差超过 / %且该单项清单造</w:t>
      </w:r>
    </w:p>
    <w:p w14:paraId="75BBD998">
      <w:pPr>
        <w:spacing w:line="228" w:lineRule="auto"/>
        <w:rPr>
          <w:rFonts w:ascii="宋体" w:hAnsi="宋体" w:eastAsia="宋体" w:cs="宋体"/>
          <w:color w:val="auto"/>
          <w:sz w:val="20"/>
          <w:szCs w:val="20"/>
          <w:highlight w:val="none"/>
        </w:rPr>
        <w:sectPr>
          <w:footerReference r:id="rId197" w:type="default"/>
          <w:pgSz w:w="11906" w:h="16839"/>
          <w:pgMar w:top="400" w:right="1219" w:bottom="1158" w:left="1219" w:header="0" w:footer="922" w:gutter="0"/>
          <w:cols w:space="720" w:num="1"/>
        </w:sectPr>
      </w:pPr>
    </w:p>
    <w:p w14:paraId="4CC587B8">
      <w:pPr>
        <w:pStyle w:val="2"/>
        <w:spacing w:line="292" w:lineRule="auto"/>
        <w:rPr>
          <w:color w:val="auto"/>
          <w:highlight w:val="none"/>
        </w:rPr>
      </w:pPr>
    </w:p>
    <w:p w14:paraId="26440B87">
      <w:pPr>
        <w:pStyle w:val="2"/>
        <w:spacing w:line="292" w:lineRule="auto"/>
        <w:rPr>
          <w:color w:val="auto"/>
          <w:highlight w:val="none"/>
        </w:rPr>
      </w:pPr>
    </w:p>
    <w:p w14:paraId="7A28BF8B">
      <w:pPr>
        <w:pStyle w:val="2"/>
        <w:spacing w:line="293" w:lineRule="auto"/>
        <w:rPr>
          <w:color w:val="auto"/>
          <w:highlight w:val="none"/>
        </w:rPr>
      </w:pPr>
      <w:r>
        <w:rPr>
          <w:color w:val="auto"/>
          <w:highlight w:val="none"/>
        </w:rPr>
        <w:pict>
          <v:shape id="_x0000_s1033" o:spid="_x0000_s1033" style="position:absolute;left:0pt;margin-left:0pt;margin-top:4.45pt;height:0.75pt;width:473.4pt;z-index:251683840;mso-width-relative:page;mso-height-relative:page;" fillcolor="#000000" filled="t" stroked="f" coordsize="9467,15" path="m0,0l9467,0,9467,14,0,14,0,0xe">
            <v:path/>
            <v:fill on="t" focussize="0,0"/>
            <v:stroke on="f"/>
            <v:imagedata o:title=""/>
            <o:lock v:ext="edit"/>
          </v:shape>
        </w:pict>
      </w:r>
    </w:p>
    <w:p w14:paraId="7E263715">
      <w:pPr>
        <w:spacing w:before="65" w:line="227" w:lineRule="auto"/>
        <w:ind w:left="9"/>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u w:val="single" w:color="auto"/>
        </w:rPr>
        <w:t>价超过合同总价/ %以上的，超过后增加部分工程量或减少后剩余部分工程量的综合单价按以下方法调</w:t>
      </w:r>
    </w:p>
    <w:p w14:paraId="3BA38633">
      <w:pPr>
        <w:spacing w:before="222" w:line="233" w:lineRule="auto"/>
        <w:ind w:left="9"/>
        <w:rPr>
          <w:rFonts w:ascii="宋体" w:hAnsi="宋体" w:eastAsia="宋体" w:cs="宋体"/>
          <w:color w:val="auto"/>
          <w:sz w:val="20"/>
          <w:szCs w:val="20"/>
          <w:highlight w:val="none"/>
        </w:rPr>
      </w:pPr>
      <w:r>
        <w:rPr>
          <w:color w:val="auto"/>
          <w:highlight w:val="none"/>
        </w:rPr>
        <w:pict>
          <v:shape id="_x0000_s1034" o:spid="_x0000_s1034" style="position:absolute;left:0pt;margin-left:0pt;margin-top:21.05pt;height:0.5pt;width:84pt;z-index:251684864;mso-width-relative:page;mso-height-relative:page;" filled="f" stroked="t" coordsize="1680,10" path="m0,4l1680,4e">
            <v:fill on="f" focussize="0,0"/>
            <v:stroke weight="0.48pt" color="#000000" miterlimit="2" joinstyle="bevel"/>
            <v:imagedata o:title=""/>
            <o:lock v:ext="edit"/>
          </v:shape>
        </w:pict>
      </w:r>
      <w:r>
        <w:rPr>
          <w:rFonts w:ascii="宋体" w:hAnsi="宋体" w:eastAsia="宋体" w:cs="宋体"/>
          <w:color w:val="auto"/>
          <w:spacing w:val="-1"/>
          <w:sz w:val="20"/>
          <w:szCs w:val="20"/>
          <w:highlight w:val="none"/>
        </w:rPr>
        <w:t>整：</w:t>
      </w:r>
      <w:r>
        <w:rPr>
          <w:rFonts w:ascii="宋体" w:hAnsi="宋体" w:eastAsia="宋体" w:cs="宋体"/>
          <w:color w:val="auto"/>
          <w:spacing w:val="8"/>
          <w:sz w:val="20"/>
          <w:szCs w:val="20"/>
          <w:highlight w:val="none"/>
        </w:rPr>
        <w:t xml:space="preserve">     </w:t>
      </w:r>
      <w:r>
        <w:rPr>
          <w:rFonts w:ascii="宋体" w:hAnsi="宋体" w:eastAsia="宋体" w:cs="宋体"/>
          <w:color w:val="auto"/>
          <w:spacing w:val="-1"/>
          <w:sz w:val="20"/>
          <w:szCs w:val="20"/>
          <w:highlight w:val="none"/>
        </w:rPr>
        <w:t>/</w:t>
      </w:r>
      <w:r>
        <w:rPr>
          <w:rFonts w:ascii="宋体" w:hAnsi="宋体" w:eastAsia="宋体" w:cs="宋体"/>
          <w:color w:val="auto"/>
          <w:spacing w:val="6"/>
          <w:sz w:val="20"/>
          <w:szCs w:val="20"/>
          <w:highlight w:val="none"/>
        </w:rPr>
        <w:t xml:space="preserve">    </w:t>
      </w:r>
      <w:r>
        <w:rPr>
          <w:rFonts w:ascii="宋体" w:hAnsi="宋体" w:eastAsia="宋体" w:cs="宋体"/>
          <w:color w:val="auto"/>
          <w:spacing w:val="-1"/>
          <w:sz w:val="20"/>
          <w:szCs w:val="20"/>
          <w:highlight w:val="none"/>
        </w:rPr>
        <w:t>。</w:t>
      </w:r>
    </w:p>
    <w:p w14:paraId="78BF58CA">
      <w:pPr>
        <w:pStyle w:val="2"/>
        <w:spacing w:line="396" w:lineRule="auto"/>
        <w:rPr>
          <w:color w:val="auto"/>
          <w:highlight w:val="none"/>
        </w:rPr>
      </w:pPr>
    </w:p>
    <w:p w14:paraId="1EE31E07">
      <w:pPr>
        <w:spacing w:before="101" w:line="226" w:lineRule="auto"/>
        <w:ind w:left="16"/>
        <w:outlineLvl w:val="1"/>
        <w:rPr>
          <w:rFonts w:ascii="宋体" w:hAnsi="宋体" w:eastAsia="宋体" w:cs="宋体"/>
          <w:color w:val="auto"/>
          <w:sz w:val="31"/>
          <w:szCs w:val="31"/>
          <w:highlight w:val="none"/>
        </w:rPr>
      </w:pPr>
      <w:bookmarkStart w:id="55" w:name="_Toc12470"/>
      <w:r>
        <w:rPr>
          <w:rFonts w:ascii="宋体" w:hAnsi="宋体" w:eastAsia="宋体" w:cs="宋体"/>
          <w:b/>
          <w:bCs/>
          <w:color w:val="auto"/>
          <w:spacing w:val="-2"/>
          <w:sz w:val="31"/>
          <w:szCs w:val="31"/>
          <w:highlight w:val="none"/>
        </w:rPr>
        <w:t>2.</w:t>
      </w:r>
      <w:r>
        <w:rPr>
          <w:rFonts w:ascii="宋体" w:hAnsi="宋体" w:eastAsia="宋体" w:cs="宋体"/>
          <w:color w:val="auto"/>
          <w:spacing w:val="26"/>
          <w:sz w:val="31"/>
          <w:szCs w:val="31"/>
          <w:highlight w:val="none"/>
        </w:rPr>
        <w:t xml:space="preserve"> </w:t>
      </w:r>
      <w:r>
        <w:rPr>
          <w:rFonts w:ascii="宋体" w:hAnsi="宋体" w:eastAsia="宋体" w:cs="宋体"/>
          <w:b/>
          <w:bCs/>
          <w:color w:val="auto"/>
          <w:spacing w:val="-2"/>
          <w:sz w:val="31"/>
          <w:szCs w:val="31"/>
          <w:highlight w:val="none"/>
        </w:rPr>
        <w:t>发包人</w:t>
      </w:r>
      <w:bookmarkEnd w:id="55"/>
    </w:p>
    <w:p w14:paraId="183ED5C2">
      <w:pPr>
        <w:pStyle w:val="2"/>
        <w:spacing w:line="400" w:lineRule="auto"/>
        <w:rPr>
          <w:color w:val="auto"/>
          <w:highlight w:val="none"/>
        </w:rPr>
      </w:pPr>
    </w:p>
    <w:p w14:paraId="3A5723AA">
      <w:pPr>
        <w:spacing w:before="101" w:line="225" w:lineRule="auto"/>
        <w:ind w:left="16"/>
        <w:outlineLvl w:val="2"/>
        <w:rPr>
          <w:rFonts w:ascii="宋体" w:hAnsi="宋体" w:eastAsia="宋体" w:cs="宋体"/>
          <w:color w:val="auto"/>
          <w:sz w:val="31"/>
          <w:szCs w:val="31"/>
          <w:highlight w:val="none"/>
        </w:rPr>
      </w:pPr>
      <w:bookmarkStart w:id="56" w:name="_Toc16756"/>
      <w:r>
        <w:rPr>
          <w:rFonts w:ascii="宋体" w:hAnsi="宋体" w:eastAsia="宋体" w:cs="宋体"/>
          <w:b/>
          <w:bCs/>
          <w:color w:val="auto"/>
          <w:spacing w:val="5"/>
          <w:sz w:val="31"/>
          <w:szCs w:val="31"/>
          <w:highlight w:val="none"/>
        </w:rPr>
        <w:t>2.2</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发包人代表（发包人通知到位）</w:t>
      </w:r>
      <w:bookmarkEnd w:id="56"/>
    </w:p>
    <w:p w14:paraId="26EB0920">
      <w:pPr>
        <w:pStyle w:val="2"/>
        <w:spacing w:line="414" w:lineRule="auto"/>
        <w:rPr>
          <w:color w:val="auto"/>
          <w:highlight w:val="none"/>
        </w:rPr>
      </w:pPr>
    </w:p>
    <w:p w14:paraId="58A1628C">
      <w:pPr>
        <w:spacing w:before="65"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发包人代表</w:t>
      </w:r>
      <w:r>
        <w:rPr>
          <w:rFonts w:ascii="宋体" w:hAnsi="宋体" w:eastAsia="宋体" w:cs="宋体"/>
          <w:color w:val="auto"/>
          <w:spacing w:val="6"/>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6"/>
          <w:sz w:val="20"/>
          <w:szCs w:val="20"/>
          <w:highlight w:val="none"/>
          <w:u w:val="single" w:color="auto"/>
        </w:rPr>
        <w:t>；</w:t>
      </w:r>
    </w:p>
    <w:p w14:paraId="39510539">
      <w:pPr>
        <w:spacing w:before="220" w:line="231"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联系电话</w:t>
      </w:r>
      <w:r>
        <w:rPr>
          <w:rFonts w:ascii="宋体" w:hAnsi="宋体" w:eastAsia="宋体" w:cs="宋体"/>
          <w:color w:val="auto"/>
          <w:spacing w:val="5"/>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p>
    <w:p w14:paraId="45893D07">
      <w:pPr>
        <w:spacing w:before="219" w:line="228" w:lineRule="auto"/>
        <w:ind w:left="45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电子信箱</w:t>
      </w:r>
      <w:r>
        <w:rPr>
          <w:rFonts w:ascii="宋体" w:hAnsi="宋体" w:eastAsia="宋体" w:cs="宋体"/>
          <w:color w:val="auto"/>
          <w:spacing w:val="5"/>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p>
    <w:p w14:paraId="09033D28">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通信地址：</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6"/>
          <w:sz w:val="20"/>
          <w:szCs w:val="20"/>
          <w:highlight w:val="none"/>
          <w:u w:val="single" w:color="auto"/>
        </w:rPr>
        <w:t>。</w:t>
      </w:r>
    </w:p>
    <w:p w14:paraId="152DF253">
      <w:pPr>
        <w:tabs>
          <w:tab w:val="left" w:pos="9467"/>
        </w:tabs>
        <w:spacing w:before="220" w:line="433" w:lineRule="auto"/>
        <w:ind w:left="8" w:firstLine="423"/>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发包人对发包人代表的授权范围如下：</w:t>
      </w:r>
      <w:r>
        <w:rPr>
          <w:rFonts w:ascii="宋体" w:hAnsi="宋体" w:eastAsia="宋体" w:cs="宋体"/>
          <w:color w:val="auto"/>
          <w:spacing w:val="10"/>
          <w:sz w:val="20"/>
          <w:szCs w:val="20"/>
          <w:highlight w:val="none"/>
          <w:u w:val="single" w:color="auto"/>
        </w:rPr>
        <w:t>督促指导监理单位管理人员履行监理职责，协调解决有关设</w:t>
      </w:r>
      <w:r>
        <w:rPr>
          <w:rFonts w:ascii="宋体" w:hAnsi="宋体" w:eastAsia="宋体" w:cs="宋体"/>
          <w:color w:val="auto"/>
          <w:spacing w:val="3"/>
          <w:sz w:val="20"/>
          <w:szCs w:val="20"/>
          <w:highlight w:val="none"/>
        </w:rPr>
        <w:t xml:space="preserve"> </w:t>
      </w:r>
      <w:r>
        <w:rPr>
          <w:rFonts w:ascii="宋体" w:hAnsi="宋体" w:eastAsia="宋体" w:cs="宋体"/>
          <w:color w:val="auto"/>
          <w:spacing w:val="7"/>
          <w:sz w:val="20"/>
          <w:szCs w:val="20"/>
          <w:highlight w:val="none"/>
          <w:u w:val="single" w:color="auto"/>
        </w:rPr>
        <w:t>计变更、工程进度和安全文明施工等工程施工过程遇到的问题，办理、签认现场合</w:t>
      </w:r>
      <w:r>
        <w:rPr>
          <w:rFonts w:ascii="宋体" w:hAnsi="宋体" w:eastAsia="宋体" w:cs="宋体"/>
          <w:color w:val="auto"/>
          <w:spacing w:val="6"/>
          <w:sz w:val="20"/>
          <w:szCs w:val="20"/>
          <w:highlight w:val="none"/>
          <w:u w:val="single" w:color="auto"/>
        </w:rPr>
        <w:t>理的经济技术签证，</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审核工程进度报表等。</w:t>
      </w:r>
    </w:p>
    <w:p w14:paraId="39A67395">
      <w:pPr>
        <w:spacing w:before="282" w:line="225" w:lineRule="auto"/>
        <w:ind w:left="16"/>
        <w:outlineLvl w:val="2"/>
        <w:rPr>
          <w:rFonts w:ascii="宋体" w:hAnsi="宋体" w:eastAsia="宋体" w:cs="宋体"/>
          <w:color w:val="auto"/>
          <w:sz w:val="31"/>
          <w:szCs w:val="31"/>
          <w:highlight w:val="none"/>
        </w:rPr>
      </w:pPr>
      <w:bookmarkStart w:id="57" w:name="_Toc9545"/>
      <w:r>
        <w:rPr>
          <w:rFonts w:ascii="宋体" w:hAnsi="宋体" w:eastAsia="宋体" w:cs="宋体"/>
          <w:b/>
          <w:bCs/>
          <w:color w:val="auto"/>
          <w:spacing w:val="6"/>
          <w:sz w:val="31"/>
          <w:szCs w:val="31"/>
          <w:highlight w:val="none"/>
        </w:rPr>
        <w:t>2.4</w:t>
      </w:r>
      <w:r>
        <w:rPr>
          <w:rFonts w:ascii="宋体" w:hAnsi="宋体" w:eastAsia="宋体" w:cs="宋体"/>
          <w:color w:val="auto"/>
          <w:spacing w:val="6"/>
          <w:sz w:val="31"/>
          <w:szCs w:val="31"/>
          <w:highlight w:val="none"/>
        </w:rPr>
        <w:t xml:space="preserve"> </w:t>
      </w:r>
      <w:r>
        <w:rPr>
          <w:rFonts w:ascii="宋体" w:hAnsi="宋体" w:eastAsia="宋体" w:cs="宋体"/>
          <w:b/>
          <w:bCs/>
          <w:color w:val="auto"/>
          <w:spacing w:val="6"/>
          <w:sz w:val="31"/>
          <w:szCs w:val="31"/>
          <w:highlight w:val="none"/>
        </w:rPr>
        <w:t>施工现场、施工条件和基础资料的提供</w:t>
      </w:r>
      <w:bookmarkEnd w:id="57"/>
    </w:p>
    <w:p w14:paraId="255D347E">
      <w:pPr>
        <w:pStyle w:val="2"/>
        <w:spacing w:line="414" w:lineRule="auto"/>
        <w:rPr>
          <w:color w:val="auto"/>
          <w:highlight w:val="none"/>
        </w:rPr>
      </w:pPr>
    </w:p>
    <w:p w14:paraId="570B014D">
      <w:pPr>
        <w:spacing w:before="65"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2.4.1 提供施工现场</w:t>
      </w:r>
    </w:p>
    <w:p w14:paraId="12AD33AF">
      <w:pPr>
        <w:spacing w:before="222" w:line="432" w:lineRule="auto"/>
        <w:ind w:left="13" w:right="2"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关于发包人移交施工现场的期限要求：</w:t>
      </w:r>
      <w:r>
        <w:rPr>
          <w:rFonts w:ascii="宋体" w:hAnsi="宋体" w:eastAsia="宋体" w:cs="宋体"/>
          <w:color w:val="auto"/>
          <w:spacing w:val="10"/>
          <w:sz w:val="20"/>
          <w:szCs w:val="20"/>
          <w:highlight w:val="none"/>
          <w:u w:val="single" w:color="auto"/>
        </w:rPr>
        <w:t>施工场地应当在监理人发出的开工通知中载明的开工日期前</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u w:val="single" w:color="auto"/>
        </w:rPr>
        <w:t>7 天具备施工条件并移交给承包人，具体施工条件在以下条款中约定。发包人最迟</w:t>
      </w:r>
      <w:r>
        <w:rPr>
          <w:rFonts w:ascii="宋体" w:hAnsi="宋体" w:eastAsia="宋体" w:cs="宋体"/>
          <w:color w:val="auto"/>
          <w:spacing w:val="9"/>
          <w:sz w:val="20"/>
          <w:szCs w:val="20"/>
          <w:highlight w:val="none"/>
          <w:u w:val="single" w:color="auto"/>
        </w:rPr>
        <w:t>应当在移交施工场地</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的同时向承包人提供施工场地内地下管线和地下设施等有关资料，并保证资料的真实、准确和完整</w:t>
      </w:r>
      <w:r>
        <w:rPr>
          <w:rFonts w:ascii="宋体" w:hAnsi="宋体" w:eastAsia="宋体" w:cs="宋体"/>
          <w:color w:val="auto"/>
          <w:spacing w:val="9"/>
          <w:sz w:val="20"/>
          <w:szCs w:val="20"/>
          <w:highlight w:val="none"/>
        </w:rPr>
        <w:t>。</w:t>
      </w:r>
    </w:p>
    <w:p w14:paraId="6F33FA20">
      <w:pPr>
        <w:spacing w:before="1" w:line="227"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2.4.2 提供施工条件</w:t>
      </w:r>
    </w:p>
    <w:p w14:paraId="568E3947">
      <w:pPr>
        <w:spacing w:before="220" w:line="433" w:lineRule="auto"/>
        <w:ind w:left="10" w:firstLine="42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关于发包人应负责提供施工所需要的条件，包括：</w:t>
      </w:r>
      <w:r>
        <w:rPr>
          <w:rFonts w:ascii="宋体" w:hAnsi="宋体" w:eastAsia="宋体" w:cs="宋体"/>
          <w:color w:val="auto"/>
          <w:spacing w:val="9"/>
          <w:sz w:val="20"/>
          <w:szCs w:val="20"/>
          <w:highlight w:val="none"/>
          <w:u w:val="single" w:color="auto"/>
        </w:rPr>
        <w:t>将项目施工所需水、</w:t>
      </w:r>
      <w:r>
        <w:rPr>
          <w:rFonts w:ascii="宋体" w:hAnsi="宋体" w:eastAsia="宋体" w:cs="宋体"/>
          <w:color w:val="auto"/>
          <w:spacing w:val="-52"/>
          <w:sz w:val="20"/>
          <w:szCs w:val="20"/>
          <w:highlight w:val="none"/>
          <w:u w:val="single" w:color="auto"/>
        </w:rPr>
        <w:t xml:space="preserve"> </w:t>
      </w:r>
      <w:r>
        <w:rPr>
          <w:rFonts w:ascii="宋体" w:hAnsi="宋体" w:eastAsia="宋体" w:cs="宋体"/>
          <w:color w:val="auto"/>
          <w:spacing w:val="9"/>
          <w:sz w:val="20"/>
          <w:szCs w:val="20"/>
          <w:highlight w:val="none"/>
          <w:u w:val="single" w:color="auto"/>
        </w:rPr>
        <w:t>电、电讯线路接至项目所在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学校内，但具体从校内接至施工指定场地发生的费用由承包人承担。若供电部门的原因造成停电，承包</w:t>
      </w:r>
      <w:r>
        <w:rPr>
          <w:rFonts w:ascii="宋体" w:hAnsi="宋体" w:eastAsia="宋体" w:cs="宋体"/>
          <w:color w:val="auto"/>
          <w:spacing w:val="4"/>
          <w:sz w:val="20"/>
          <w:szCs w:val="20"/>
          <w:highlight w:val="none"/>
        </w:rPr>
        <w:t xml:space="preserve"> </w:t>
      </w:r>
      <w:r>
        <w:rPr>
          <w:rFonts w:ascii="宋体" w:hAnsi="宋体" w:eastAsia="宋体" w:cs="宋体"/>
          <w:color w:val="auto"/>
          <w:spacing w:val="8"/>
          <w:sz w:val="20"/>
          <w:szCs w:val="20"/>
          <w:highlight w:val="none"/>
          <w:u w:val="single" w:color="auto"/>
        </w:rPr>
        <w:t>人必须自行解决施工用电，费用自理</w:t>
      </w:r>
      <w:r>
        <w:rPr>
          <w:rFonts w:ascii="宋体" w:hAnsi="宋体" w:eastAsia="宋体" w:cs="宋体"/>
          <w:color w:val="auto"/>
          <w:spacing w:val="8"/>
          <w:sz w:val="20"/>
          <w:szCs w:val="20"/>
          <w:highlight w:val="none"/>
        </w:rPr>
        <w:t>。</w:t>
      </w:r>
    </w:p>
    <w:p w14:paraId="3DCC9AC7">
      <w:pPr>
        <w:spacing w:before="283" w:line="225" w:lineRule="auto"/>
        <w:ind w:left="16"/>
        <w:outlineLvl w:val="2"/>
        <w:rPr>
          <w:rFonts w:ascii="宋体" w:hAnsi="宋体" w:eastAsia="宋体" w:cs="宋体"/>
          <w:color w:val="auto"/>
          <w:sz w:val="31"/>
          <w:szCs w:val="31"/>
          <w:highlight w:val="none"/>
        </w:rPr>
      </w:pPr>
      <w:bookmarkStart w:id="58" w:name="_Toc3153"/>
      <w:r>
        <w:rPr>
          <w:rFonts w:ascii="宋体" w:hAnsi="宋体" w:eastAsia="宋体" w:cs="宋体"/>
          <w:b/>
          <w:bCs/>
          <w:color w:val="auto"/>
          <w:spacing w:val="5"/>
          <w:sz w:val="31"/>
          <w:szCs w:val="31"/>
          <w:highlight w:val="none"/>
        </w:rPr>
        <w:t>2.5</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资金来源证明及支付担保</w:t>
      </w:r>
      <w:bookmarkEnd w:id="58"/>
    </w:p>
    <w:p w14:paraId="53679337">
      <w:pPr>
        <w:pStyle w:val="2"/>
        <w:spacing w:line="413" w:lineRule="auto"/>
        <w:rPr>
          <w:color w:val="auto"/>
          <w:highlight w:val="none"/>
        </w:rPr>
      </w:pPr>
    </w:p>
    <w:p w14:paraId="0293F0BB">
      <w:pPr>
        <w:spacing w:before="66"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发包人提供资金来源证明的期限要求：</w:t>
      </w:r>
      <w:r>
        <w:rPr>
          <w:rFonts w:ascii="宋体" w:hAnsi="宋体" w:eastAsia="宋体" w:cs="宋体"/>
          <w:color w:val="auto"/>
          <w:spacing w:val="9"/>
          <w:sz w:val="20"/>
          <w:szCs w:val="20"/>
          <w:highlight w:val="none"/>
          <w:u w:val="single" w:color="auto"/>
        </w:rPr>
        <w:t>见第一</w:t>
      </w:r>
      <w:r>
        <w:rPr>
          <w:rFonts w:ascii="宋体" w:hAnsi="宋体" w:eastAsia="宋体" w:cs="宋体"/>
          <w:color w:val="auto"/>
          <w:spacing w:val="8"/>
          <w:sz w:val="20"/>
          <w:szCs w:val="20"/>
          <w:highlight w:val="none"/>
          <w:u w:val="single" w:color="auto"/>
        </w:rPr>
        <w:t>部分合同协议书</w:t>
      </w:r>
      <w:r>
        <w:rPr>
          <w:rFonts w:ascii="宋体" w:hAnsi="宋体" w:eastAsia="宋体" w:cs="宋体"/>
          <w:color w:val="auto"/>
          <w:spacing w:val="8"/>
          <w:sz w:val="20"/>
          <w:szCs w:val="20"/>
          <w:highlight w:val="none"/>
        </w:rPr>
        <w:t>。</w:t>
      </w:r>
    </w:p>
    <w:p w14:paraId="0B3DBA15">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发包人是否提供支付担保：</w:t>
      </w:r>
      <w:r>
        <w:rPr>
          <w:rFonts w:ascii="宋体" w:hAnsi="宋体" w:eastAsia="宋体" w:cs="宋体"/>
          <w:color w:val="auto"/>
          <w:spacing w:val="8"/>
          <w:sz w:val="20"/>
          <w:szCs w:val="20"/>
          <w:highlight w:val="none"/>
          <w:u w:val="single" w:color="auto"/>
        </w:rPr>
        <w:t>不提供</w:t>
      </w:r>
      <w:r>
        <w:rPr>
          <w:rFonts w:ascii="宋体" w:hAnsi="宋体" w:eastAsia="宋体" w:cs="宋体"/>
          <w:color w:val="auto"/>
          <w:spacing w:val="8"/>
          <w:sz w:val="20"/>
          <w:szCs w:val="20"/>
          <w:highlight w:val="none"/>
        </w:rPr>
        <w:t xml:space="preserve"> 。</w:t>
      </w:r>
    </w:p>
    <w:p w14:paraId="68AF25F6">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发包人提供支付担保的形式：</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2FFAC4C1">
      <w:pPr>
        <w:spacing w:line="228" w:lineRule="auto"/>
        <w:rPr>
          <w:rFonts w:ascii="宋体" w:hAnsi="宋体" w:eastAsia="宋体" w:cs="宋体"/>
          <w:color w:val="auto"/>
          <w:sz w:val="20"/>
          <w:szCs w:val="20"/>
          <w:highlight w:val="none"/>
        </w:rPr>
        <w:sectPr>
          <w:footerReference r:id="rId198" w:type="default"/>
          <w:pgSz w:w="11906" w:h="16839"/>
          <w:pgMar w:top="400" w:right="1218" w:bottom="1158" w:left="1219" w:header="0" w:footer="922" w:gutter="0"/>
          <w:cols w:space="720" w:num="1"/>
        </w:sectPr>
      </w:pPr>
    </w:p>
    <w:p w14:paraId="333E0AB1">
      <w:pPr>
        <w:pStyle w:val="2"/>
        <w:spacing w:line="289" w:lineRule="auto"/>
        <w:rPr>
          <w:color w:val="auto"/>
          <w:highlight w:val="none"/>
        </w:rPr>
      </w:pPr>
    </w:p>
    <w:p w14:paraId="24B2378F">
      <w:pPr>
        <w:pStyle w:val="2"/>
        <w:spacing w:line="289" w:lineRule="auto"/>
        <w:rPr>
          <w:color w:val="auto"/>
          <w:highlight w:val="none"/>
        </w:rPr>
      </w:pPr>
    </w:p>
    <w:p w14:paraId="3D090538">
      <w:pPr>
        <w:pStyle w:val="2"/>
        <w:spacing w:line="290" w:lineRule="auto"/>
        <w:rPr>
          <w:color w:val="auto"/>
          <w:highlight w:val="none"/>
        </w:rPr>
      </w:pPr>
      <w:r>
        <w:rPr>
          <w:color w:val="auto"/>
          <w:highlight w:val="none"/>
        </w:rPr>
        <w:pict>
          <v:shape id="_x0000_s1035" o:spid="_x0000_s1035" style="position:absolute;left:0pt;margin-left:0pt;margin-top:4.8pt;height:0.75pt;width:473.4pt;z-index:251685888;mso-width-relative:page;mso-height-relative:page;" fillcolor="#000000" filled="t" stroked="f" coordsize="9467,15" path="m0,0l9467,0,9467,14,0,14,0,0xe">
            <v:path/>
            <v:fill on="t" focussize="0,0"/>
            <v:stroke on="f"/>
            <v:imagedata o:title=""/>
            <o:lock v:ext="edit"/>
          </v:shape>
        </w:pict>
      </w:r>
    </w:p>
    <w:p w14:paraId="5F0A341A">
      <w:pPr>
        <w:spacing w:before="100" w:line="225" w:lineRule="auto"/>
        <w:ind w:left="19"/>
        <w:outlineLvl w:val="1"/>
        <w:rPr>
          <w:rFonts w:ascii="宋体" w:hAnsi="宋体" w:eastAsia="宋体" w:cs="宋体"/>
          <w:color w:val="auto"/>
          <w:sz w:val="31"/>
          <w:szCs w:val="31"/>
          <w:highlight w:val="none"/>
        </w:rPr>
      </w:pPr>
      <w:bookmarkStart w:id="59" w:name="_Toc24977"/>
      <w:r>
        <w:rPr>
          <w:rFonts w:ascii="宋体" w:hAnsi="宋体" w:eastAsia="宋体" w:cs="宋体"/>
          <w:b/>
          <w:bCs/>
          <w:color w:val="auto"/>
          <w:spacing w:val="-1"/>
          <w:sz w:val="31"/>
          <w:szCs w:val="31"/>
          <w:highlight w:val="none"/>
        </w:rPr>
        <w:t>3.</w:t>
      </w:r>
      <w:r>
        <w:rPr>
          <w:rFonts w:ascii="宋体" w:hAnsi="宋体" w:eastAsia="宋体" w:cs="宋体"/>
          <w:color w:val="auto"/>
          <w:spacing w:val="18"/>
          <w:sz w:val="31"/>
          <w:szCs w:val="31"/>
          <w:highlight w:val="none"/>
        </w:rPr>
        <w:t xml:space="preserve"> </w:t>
      </w:r>
      <w:r>
        <w:rPr>
          <w:rFonts w:ascii="宋体" w:hAnsi="宋体" w:eastAsia="宋体" w:cs="宋体"/>
          <w:b/>
          <w:bCs/>
          <w:color w:val="auto"/>
          <w:spacing w:val="-1"/>
          <w:sz w:val="31"/>
          <w:szCs w:val="31"/>
          <w:highlight w:val="none"/>
        </w:rPr>
        <w:t>承包人</w:t>
      </w:r>
      <w:bookmarkEnd w:id="59"/>
    </w:p>
    <w:p w14:paraId="31D7B455">
      <w:pPr>
        <w:pStyle w:val="2"/>
        <w:spacing w:line="402" w:lineRule="auto"/>
        <w:rPr>
          <w:color w:val="auto"/>
          <w:highlight w:val="none"/>
        </w:rPr>
      </w:pPr>
    </w:p>
    <w:p w14:paraId="3E24F736">
      <w:pPr>
        <w:spacing w:before="100" w:line="225" w:lineRule="auto"/>
        <w:ind w:left="19"/>
        <w:outlineLvl w:val="2"/>
        <w:rPr>
          <w:rFonts w:ascii="宋体" w:hAnsi="宋体" w:eastAsia="宋体" w:cs="宋体"/>
          <w:color w:val="auto"/>
          <w:sz w:val="31"/>
          <w:szCs w:val="31"/>
          <w:highlight w:val="none"/>
        </w:rPr>
      </w:pPr>
      <w:bookmarkStart w:id="60" w:name="_Toc15607"/>
      <w:r>
        <w:rPr>
          <w:rFonts w:ascii="宋体" w:hAnsi="宋体" w:eastAsia="宋体" w:cs="宋体"/>
          <w:b/>
          <w:bCs/>
          <w:color w:val="auto"/>
          <w:spacing w:val="4"/>
          <w:sz w:val="31"/>
          <w:szCs w:val="31"/>
          <w:highlight w:val="none"/>
        </w:rPr>
        <w:t>3.1</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承包人的一般义务</w:t>
      </w:r>
      <w:bookmarkEnd w:id="60"/>
    </w:p>
    <w:p w14:paraId="01CE18E4">
      <w:pPr>
        <w:pStyle w:val="2"/>
        <w:spacing w:line="413" w:lineRule="auto"/>
        <w:rPr>
          <w:color w:val="auto"/>
          <w:highlight w:val="none"/>
        </w:rPr>
      </w:pPr>
    </w:p>
    <w:p w14:paraId="6EDD12A7">
      <w:pPr>
        <w:spacing w:before="65" w:line="432" w:lineRule="auto"/>
        <w:ind w:left="8" w:right="2" w:firstLine="430"/>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（9）承包人提交的竣工资料的内容：</w:t>
      </w:r>
      <w:r>
        <w:rPr>
          <w:rFonts w:ascii="宋体" w:hAnsi="宋体" w:eastAsia="宋体" w:cs="宋体"/>
          <w:color w:val="auto"/>
          <w:spacing w:val="7"/>
          <w:sz w:val="20"/>
          <w:szCs w:val="20"/>
          <w:highlight w:val="none"/>
          <w:u w:val="single" w:color="auto"/>
        </w:rPr>
        <w:t>除专用合同条款约定的由承包人提供的设计文件外，本项约定</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u w:val="single" w:color="auto"/>
        </w:rPr>
        <w:t>的其他应由承包人提供的文件，包括必要的加工图和大样图，均不是合同计量与支付的依据文件。</w:t>
      </w:r>
      <w:r>
        <w:rPr>
          <w:rFonts w:ascii="宋体" w:hAnsi="宋体" w:eastAsia="宋体" w:cs="宋体"/>
          <w:color w:val="auto"/>
          <w:spacing w:val="-49"/>
          <w:sz w:val="20"/>
          <w:szCs w:val="20"/>
          <w:highlight w:val="none"/>
          <w:u w:val="single" w:color="auto"/>
        </w:rPr>
        <w:t xml:space="preserve"> </w:t>
      </w:r>
      <w:r>
        <w:rPr>
          <w:rFonts w:ascii="宋体" w:hAnsi="宋体" w:eastAsia="宋体" w:cs="宋体"/>
          <w:color w:val="auto"/>
          <w:spacing w:val="9"/>
          <w:sz w:val="20"/>
          <w:szCs w:val="20"/>
          <w:highlight w:val="none"/>
          <w:u w:val="single" w:color="auto"/>
        </w:rPr>
        <w:t>由承</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包人提供的文件范围：工程建设项目竣工验收前，承包人应根据合同工作内容要求，分别整理竣工验收</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u w:val="single" w:color="auto"/>
        </w:rPr>
        <w:t>资料（含竣工图</w:t>
      </w:r>
      <w:r>
        <w:rPr>
          <w:rFonts w:ascii="宋体" w:hAnsi="宋体" w:eastAsia="宋体" w:cs="宋体"/>
          <w:color w:val="auto"/>
          <w:spacing w:val="14"/>
          <w:sz w:val="20"/>
          <w:szCs w:val="20"/>
          <w:highlight w:val="none"/>
          <w:u w:val="single" w:color="auto"/>
        </w:rPr>
        <w:t>），</w:t>
      </w:r>
      <w:r>
        <w:rPr>
          <w:rFonts w:ascii="宋体" w:hAnsi="宋体" w:eastAsia="宋体" w:cs="宋体"/>
          <w:color w:val="auto"/>
          <w:spacing w:val="9"/>
          <w:sz w:val="20"/>
          <w:szCs w:val="20"/>
          <w:highlight w:val="none"/>
          <w:u w:val="single" w:color="auto"/>
        </w:rPr>
        <w:t>汇总为完整的建设项目竣工资料报发</w:t>
      </w:r>
      <w:r>
        <w:rPr>
          <w:rFonts w:ascii="宋体" w:hAnsi="宋体" w:eastAsia="宋体" w:cs="宋体"/>
          <w:color w:val="auto"/>
          <w:spacing w:val="8"/>
          <w:sz w:val="20"/>
          <w:szCs w:val="20"/>
          <w:highlight w:val="none"/>
          <w:u w:val="single" w:color="auto"/>
        </w:rPr>
        <w:t>包人</w:t>
      </w:r>
      <w:r>
        <w:rPr>
          <w:rFonts w:ascii="宋体" w:hAnsi="宋体" w:eastAsia="宋体" w:cs="宋体"/>
          <w:color w:val="auto"/>
          <w:spacing w:val="8"/>
          <w:sz w:val="20"/>
          <w:szCs w:val="20"/>
          <w:highlight w:val="none"/>
        </w:rPr>
        <w:t>。</w:t>
      </w:r>
    </w:p>
    <w:p w14:paraId="76E8A7F0">
      <w:pPr>
        <w:spacing w:before="1" w:line="227"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承包人需要提交的竣工资料套数：</w:t>
      </w:r>
      <w:r>
        <w:rPr>
          <w:rFonts w:ascii="宋体" w:hAnsi="宋体" w:eastAsia="宋体" w:cs="宋体"/>
          <w:color w:val="auto"/>
          <w:spacing w:val="9"/>
          <w:sz w:val="20"/>
          <w:szCs w:val="20"/>
          <w:highlight w:val="none"/>
          <w:u w:val="single" w:color="auto"/>
        </w:rPr>
        <w:t>提供竣工验收资料的数量为</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9"/>
          <w:sz w:val="20"/>
          <w:szCs w:val="20"/>
          <w:highlight w:val="none"/>
          <w:u w:val="single" w:color="auto"/>
        </w:rPr>
        <w:t>2 套，竣工图的数量为</w:t>
      </w:r>
      <w:r>
        <w:rPr>
          <w:rFonts w:ascii="宋体" w:hAnsi="宋体" w:eastAsia="宋体" w:cs="宋体"/>
          <w:color w:val="auto"/>
          <w:spacing w:val="8"/>
          <w:sz w:val="20"/>
          <w:szCs w:val="20"/>
          <w:highlight w:val="none"/>
          <w:u w:val="single" w:color="auto"/>
        </w:rPr>
        <w:t>贰套</w:t>
      </w:r>
      <w:r>
        <w:rPr>
          <w:rFonts w:ascii="宋体" w:hAnsi="宋体" w:eastAsia="宋体" w:cs="宋体"/>
          <w:color w:val="auto"/>
          <w:spacing w:val="8"/>
          <w:sz w:val="20"/>
          <w:szCs w:val="20"/>
          <w:highlight w:val="none"/>
        </w:rPr>
        <w:t>。</w:t>
      </w:r>
    </w:p>
    <w:p w14:paraId="4F7900B0">
      <w:pPr>
        <w:spacing w:before="222"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承包人提交的竣工资料的费用承担：</w:t>
      </w:r>
      <w:r>
        <w:rPr>
          <w:rFonts w:ascii="宋体" w:hAnsi="宋体" w:eastAsia="宋体" w:cs="宋体"/>
          <w:color w:val="auto"/>
          <w:spacing w:val="-53"/>
          <w:sz w:val="20"/>
          <w:szCs w:val="20"/>
          <w:highlight w:val="none"/>
        </w:rPr>
        <w:t xml:space="preserve"> </w:t>
      </w:r>
      <w:r>
        <w:rPr>
          <w:rFonts w:ascii="宋体" w:hAnsi="宋体" w:eastAsia="宋体" w:cs="宋体"/>
          <w:color w:val="auto"/>
          <w:spacing w:val="7"/>
          <w:sz w:val="20"/>
          <w:szCs w:val="20"/>
          <w:highlight w:val="none"/>
          <w:u w:val="single" w:color="auto"/>
        </w:rPr>
        <w:t>由承包人承担</w:t>
      </w:r>
      <w:r>
        <w:rPr>
          <w:rFonts w:ascii="宋体" w:hAnsi="宋体" w:eastAsia="宋体" w:cs="宋体"/>
          <w:color w:val="auto"/>
          <w:spacing w:val="7"/>
          <w:sz w:val="20"/>
          <w:szCs w:val="20"/>
          <w:highlight w:val="none"/>
        </w:rPr>
        <w:t>。</w:t>
      </w:r>
    </w:p>
    <w:p w14:paraId="0A183FFA">
      <w:pPr>
        <w:spacing w:before="221"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承包人提交的竣工资料移交时间：</w:t>
      </w:r>
      <w:r>
        <w:rPr>
          <w:rFonts w:ascii="宋体" w:hAnsi="宋体" w:eastAsia="宋体" w:cs="宋体"/>
          <w:color w:val="auto"/>
          <w:spacing w:val="7"/>
          <w:sz w:val="20"/>
          <w:szCs w:val="20"/>
          <w:highlight w:val="none"/>
          <w:u w:val="single" w:color="auto"/>
        </w:rPr>
        <w:t>竣工验收后</w:t>
      </w:r>
      <w:r>
        <w:rPr>
          <w:rFonts w:ascii="宋体" w:hAnsi="宋体" w:eastAsia="宋体" w:cs="宋体"/>
          <w:color w:val="auto"/>
          <w:spacing w:val="-19"/>
          <w:sz w:val="20"/>
          <w:szCs w:val="20"/>
          <w:highlight w:val="none"/>
          <w:u w:val="single" w:color="auto"/>
        </w:rPr>
        <w:t xml:space="preserve"> </w:t>
      </w:r>
      <w:r>
        <w:rPr>
          <w:rFonts w:ascii="宋体" w:hAnsi="宋体" w:eastAsia="宋体" w:cs="宋体"/>
          <w:color w:val="auto"/>
          <w:spacing w:val="7"/>
          <w:sz w:val="20"/>
          <w:szCs w:val="20"/>
          <w:highlight w:val="none"/>
          <w:u w:val="single" w:color="auto"/>
        </w:rPr>
        <w:t>30</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w:t>
      </w:r>
      <w:r>
        <w:rPr>
          <w:rFonts w:ascii="宋体" w:hAnsi="宋体" w:eastAsia="宋体" w:cs="宋体"/>
          <w:color w:val="auto"/>
          <w:spacing w:val="7"/>
          <w:sz w:val="20"/>
          <w:szCs w:val="20"/>
          <w:highlight w:val="none"/>
        </w:rPr>
        <w:t>。</w:t>
      </w:r>
    </w:p>
    <w:p w14:paraId="33F81792">
      <w:pPr>
        <w:tabs>
          <w:tab w:val="left" w:pos="9449"/>
        </w:tabs>
        <w:spacing w:before="220" w:line="432" w:lineRule="auto"/>
        <w:ind w:left="7" w:right="2" w:firstLine="42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承包人提交的竣工资料形式要求：</w:t>
      </w:r>
      <w:r>
        <w:rPr>
          <w:rFonts w:ascii="宋体" w:hAnsi="宋体" w:eastAsia="宋体" w:cs="宋体"/>
          <w:color w:val="auto"/>
          <w:spacing w:val="10"/>
          <w:sz w:val="20"/>
          <w:szCs w:val="20"/>
          <w:highlight w:val="none"/>
          <w:u w:val="single" w:color="auto"/>
        </w:rPr>
        <w:t>承包人按国家、地</w:t>
      </w:r>
      <w:r>
        <w:rPr>
          <w:rFonts w:ascii="宋体" w:hAnsi="宋体" w:eastAsia="宋体" w:cs="宋体"/>
          <w:color w:val="auto"/>
          <w:spacing w:val="9"/>
          <w:sz w:val="20"/>
          <w:szCs w:val="20"/>
          <w:highlight w:val="none"/>
          <w:u w:val="single" w:color="auto"/>
        </w:rPr>
        <w:t>方的工程竣工验收有关规定，向发包  人提交</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完整的竣工资料、竣工图及竣工验收报告； 由监理工程师负责</w:t>
      </w:r>
      <w:r>
        <w:rPr>
          <w:rFonts w:ascii="宋体" w:hAnsi="宋体" w:eastAsia="宋体" w:cs="宋体"/>
          <w:color w:val="auto"/>
          <w:spacing w:val="7"/>
          <w:sz w:val="20"/>
          <w:szCs w:val="20"/>
          <w:highlight w:val="none"/>
          <w:u w:val="single" w:color="auto"/>
        </w:rPr>
        <w:t>审核并组织竣工验收。承  包人提交的工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程文件（档案）、竣工资料、竣工图必须满足</w:t>
      </w:r>
      <w:r>
        <w:rPr>
          <w:rFonts w:ascii="宋体" w:hAnsi="宋体" w:eastAsia="宋体" w:cs="宋体"/>
          <w:color w:val="auto"/>
          <w:spacing w:val="6"/>
          <w:sz w:val="20"/>
          <w:szCs w:val="20"/>
          <w:highlight w:val="none"/>
          <w:u w:val="single" w:color="auto"/>
        </w:rPr>
        <w:t>国家、地方（含城建档案管理部门等）相关规范、规定，</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否则， 监理单位及发包人均有权拒绝竣工验收及结算，承包人因此逾期交付的</w:t>
      </w:r>
      <w:r>
        <w:rPr>
          <w:rFonts w:ascii="宋体" w:hAnsi="宋体" w:eastAsia="宋体" w:cs="宋体"/>
          <w:color w:val="auto"/>
          <w:spacing w:val="7"/>
          <w:sz w:val="20"/>
          <w:szCs w:val="20"/>
          <w:highlight w:val="none"/>
          <w:u w:val="single" w:color="auto"/>
        </w:rPr>
        <w:t>，发包人有权按本合同的</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相关条款追究其违约责任</w:t>
      </w:r>
      <w:r>
        <w:rPr>
          <w:rFonts w:ascii="宋体" w:hAnsi="宋体" w:eastAsia="宋体" w:cs="宋体"/>
          <w:color w:val="auto"/>
          <w:spacing w:val="8"/>
          <w:sz w:val="20"/>
          <w:szCs w:val="20"/>
          <w:highlight w:val="none"/>
        </w:rPr>
        <w:t>。</w:t>
      </w:r>
    </w:p>
    <w:p w14:paraId="75656D13">
      <w:pPr>
        <w:spacing w:before="3" w:line="432" w:lineRule="auto"/>
        <w:ind w:left="7" w:right="2" w:firstLine="43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（10）承包人应履行的其他义务：</w:t>
      </w:r>
      <w:r>
        <w:rPr>
          <w:rFonts w:ascii="宋体" w:hAnsi="宋体" w:eastAsia="宋体" w:cs="宋体"/>
          <w:color w:val="auto"/>
          <w:spacing w:val="10"/>
          <w:sz w:val="20"/>
          <w:szCs w:val="20"/>
          <w:highlight w:val="none"/>
          <w:u w:val="single" w:color="auto"/>
        </w:rPr>
        <w:t>对开工的项</w:t>
      </w:r>
      <w:r>
        <w:rPr>
          <w:rFonts w:ascii="宋体" w:hAnsi="宋体" w:eastAsia="宋体" w:cs="宋体"/>
          <w:color w:val="auto"/>
          <w:spacing w:val="9"/>
          <w:sz w:val="20"/>
          <w:szCs w:val="20"/>
          <w:highlight w:val="none"/>
          <w:u w:val="single" w:color="auto"/>
        </w:rPr>
        <w:t>目，须组建项目工会。 ①施工场地周围地下 管线和</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邻近建筑物、构筑物（含文物保护建筑）、古树名木的保护要求及费用承担：承</w:t>
      </w:r>
      <w:r>
        <w:rPr>
          <w:rFonts w:ascii="宋体" w:hAnsi="宋体" w:eastAsia="宋体" w:cs="宋体"/>
          <w:color w:val="auto"/>
          <w:spacing w:val="7"/>
          <w:sz w:val="20"/>
          <w:szCs w:val="20"/>
          <w:highlight w:val="none"/>
          <w:u w:val="single" w:color="auto"/>
        </w:rPr>
        <w:t>包人施 工时应探明并负</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责保护且承包费用，施工时如损坏地下管线、邻近建筑物、构筑物，所发生费用由承包人承担。②取土</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u w:val="single" w:color="auto"/>
        </w:rPr>
        <w:t>场及弃土场由承包人自行解决，但不得违反相关管理规定， 并承担相关费用</w:t>
      </w:r>
      <w:r>
        <w:rPr>
          <w:rFonts w:ascii="宋体" w:hAnsi="宋体" w:eastAsia="宋体" w:cs="宋体"/>
          <w:color w:val="auto"/>
          <w:spacing w:val="9"/>
          <w:sz w:val="20"/>
          <w:szCs w:val="20"/>
          <w:highlight w:val="none"/>
        </w:rPr>
        <w:t>。</w:t>
      </w:r>
    </w:p>
    <w:p w14:paraId="20A84772">
      <w:pPr>
        <w:spacing w:before="282" w:line="226" w:lineRule="auto"/>
        <w:ind w:left="19"/>
        <w:outlineLvl w:val="2"/>
        <w:rPr>
          <w:rFonts w:ascii="宋体" w:hAnsi="宋体" w:eastAsia="宋体" w:cs="宋体"/>
          <w:color w:val="auto"/>
          <w:sz w:val="31"/>
          <w:szCs w:val="31"/>
          <w:highlight w:val="none"/>
        </w:rPr>
      </w:pPr>
      <w:bookmarkStart w:id="61" w:name="_Toc27333"/>
      <w:r>
        <w:rPr>
          <w:rFonts w:ascii="宋体" w:hAnsi="宋体" w:eastAsia="宋体" w:cs="宋体"/>
          <w:b/>
          <w:bCs/>
          <w:color w:val="auto"/>
          <w:sz w:val="31"/>
          <w:szCs w:val="31"/>
          <w:highlight w:val="none"/>
        </w:rPr>
        <w:t>3.2</w:t>
      </w:r>
      <w:r>
        <w:rPr>
          <w:rFonts w:ascii="宋体" w:hAnsi="宋体" w:eastAsia="宋体" w:cs="宋体"/>
          <w:color w:val="auto"/>
          <w:spacing w:val="24"/>
          <w:sz w:val="31"/>
          <w:szCs w:val="31"/>
          <w:highlight w:val="none"/>
        </w:rPr>
        <w:t xml:space="preserve"> </w:t>
      </w:r>
      <w:r>
        <w:rPr>
          <w:rFonts w:ascii="宋体" w:hAnsi="宋体" w:eastAsia="宋体" w:cs="宋体"/>
          <w:b/>
          <w:bCs/>
          <w:color w:val="auto"/>
          <w:sz w:val="31"/>
          <w:szCs w:val="31"/>
          <w:highlight w:val="none"/>
        </w:rPr>
        <w:t>项目经理</w:t>
      </w:r>
      <w:bookmarkEnd w:id="61"/>
    </w:p>
    <w:p w14:paraId="28420C35">
      <w:pPr>
        <w:pStyle w:val="2"/>
        <w:spacing w:line="412" w:lineRule="auto"/>
        <w:rPr>
          <w:color w:val="auto"/>
          <w:highlight w:val="none"/>
        </w:rPr>
      </w:pPr>
    </w:p>
    <w:p w14:paraId="2DABF19F">
      <w:pPr>
        <w:spacing w:before="66" w:line="229" w:lineRule="auto"/>
        <w:ind w:left="43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3.2.1 项目经理：</w:t>
      </w:r>
    </w:p>
    <w:p w14:paraId="33D76479">
      <w:pPr>
        <w:spacing w:before="220" w:line="228" w:lineRule="auto"/>
        <w:ind w:left="428"/>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姓</w:t>
      </w:r>
      <w:r>
        <w:rPr>
          <w:rFonts w:ascii="宋体" w:hAnsi="宋体" w:eastAsia="宋体" w:cs="宋体"/>
          <w:color w:val="auto"/>
          <w:spacing w:val="7"/>
          <w:sz w:val="20"/>
          <w:szCs w:val="20"/>
          <w:highlight w:val="none"/>
        </w:rPr>
        <w:t xml:space="preserve">    </w:t>
      </w:r>
      <w:r>
        <w:rPr>
          <w:rFonts w:ascii="宋体" w:hAnsi="宋体" w:eastAsia="宋体" w:cs="宋体"/>
          <w:color w:val="auto"/>
          <w:spacing w:val="-1"/>
          <w:sz w:val="20"/>
          <w:szCs w:val="20"/>
          <w:highlight w:val="none"/>
        </w:rPr>
        <w:t>名</w:t>
      </w:r>
      <w:r>
        <w:rPr>
          <w:rFonts w:ascii="宋体" w:hAnsi="宋体" w:eastAsia="宋体" w:cs="宋体"/>
          <w:color w:val="auto"/>
          <w:spacing w:val="-71"/>
          <w:sz w:val="20"/>
          <w:szCs w:val="20"/>
          <w:highlight w:val="none"/>
        </w:rPr>
        <w:t xml:space="preserve"> </w:t>
      </w:r>
      <w:r>
        <w:rPr>
          <w:rFonts w:ascii="宋体" w:hAnsi="宋体" w:eastAsia="宋体" w:cs="宋体"/>
          <w:color w:val="auto"/>
          <w:spacing w:val="-8"/>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8"/>
          <w:sz w:val="20"/>
          <w:szCs w:val="20"/>
          <w:highlight w:val="none"/>
        </w:rPr>
        <w:t>；</w:t>
      </w:r>
    </w:p>
    <w:p w14:paraId="309FF3B0">
      <w:pPr>
        <w:spacing w:before="221" w:line="228"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身份证号</w:t>
      </w:r>
      <w:r>
        <w:rPr>
          <w:rFonts w:ascii="宋体" w:hAnsi="宋体" w:eastAsia="宋体" w:cs="宋体"/>
          <w:color w:val="auto"/>
          <w:spacing w:val="7"/>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7"/>
          <w:sz w:val="20"/>
          <w:szCs w:val="20"/>
          <w:highlight w:val="none"/>
        </w:rPr>
        <w:t>；</w:t>
      </w:r>
    </w:p>
    <w:p w14:paraId="781B1BD8">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建造师执业资格等级：</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6"/>
          <w:sz w:val="20"/>
          <w:szCs w:val="20"/>
          <w:highlight w:val="none"/>
        </w:rPr>
        <w:t>；</w:t>
      </w:r>
    </w:p>
    <w:p w14:paraId="06F76E50">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建造师注册证书号</w:t>
      </w:r>
      <w:r>
        <w:rPr>
          <w:rFonts w:ascii="宋体" w:hAnsi="宋体" w:eastAsia="宋体" w:cs="宋体"/>
          <w:color w:val="auto"/>
          <w:spacing w:val="6"/>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6"/>
          <w:sz w:val="20"/>
          <w:szCs w:val="20"/>
          <w:highlight w:val="none"/>
        </w:rPr>
        <w:t>；</w:t>
      </w:r>
    </w:p>
    <w:p w14:paraId="2ECDFC1C">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安全生产考核合格证书号</w:t>
      </w:r>
      <w:r>
        <w:rPr>
          <w:rFonts w:ascii="宋体" w:hAnsi="宋体" w:eastAsia="宋体" w:cs="宋体"/>
          <w:color w:val="auto"/>
          <w:spacing w:val="9"/>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
          <w:sz w:val="20"/>
          <w:szCs w:val="20"/>
          <w:highlight w:val="none"/>
        </w:rPr>
        <w:t>；</w:t>
      </w:r>
    </w:p>
    <w:p w14:paraId="1DD1A78D">
      <w:pPr>
        <w:spacing w:before="220" w:line="231"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联系电话</w:t>
      </w:r>
      <w:r>
        <w:rPr>
          <w:rFonts w:ascii="宋体" w:hAnsi="宋体" w:eastAsia="宋体" w:cs="宋体"/>
          <w:color w:val="auto"/>
          <w:spacing w:val="5"/>
          <w:sz w:val="20"/>
          <w:szCs w:val="20"/>
          <w:highlight w:val="none"/>
        </w:rPr>
        <w:t>：</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5"/>
          <w:sz w:val="20"/>
          <w:szCs w:val="20"/>
          <w:highlight w:val="none"/>
        </w:rPr>
        <w:t>；</w:t>
      </w:r>
    </w:p>
    <w:p w14:paraId="09A0C1DB">
      <w:pPr>
        <w:spacing w:before="219" w:line="228" w:lineRule="auto"/>
        <w:ind w:left="452"/>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电子信箱：</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1"/>
          <w:sz w:val="20"/>
          <w:szCs w:val="20"/>
          <w:highlight w:val="none"/>
          <w:u w:val="single" w:color="auto"/>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1"/>
          <w:sz w:val="20"/>
          <w:szCs w:val="20"/>
          <w:highlight w:val="none"/>
        </w:rPr>
        <w:t>；</w:t>
      </w:r>
    </w:p>
    <w:p w14:paraId="7723F5A0">
      <w:pPr>
        <w:spacing w:line="228" w:lineRule="auto"/>
        <w:rPr>
          <w:rFonts w:ascii="宋体" w:hAnsi="宋体" w:eastAsia="宋体" w:cs="宋体"/>
          <w:color w:val="auto"/>
          <w:sz w:val="20"/>
          <w:szCs w:val="20"/>
          <w:highlight w:val="none"/>
        </w:rPr>
        <w:sectPr>
          <w:footerReference r:id="rId199" w:type="default"/>
          <w:pgSz w:w="11906" w:h="16839"/>
          <w:pgMar w:top="400" w:right="1219" w:bottom="1158" w:left="1219" w:header="0" w:footer="922" w:gutter="0"/>
          <w:cols w:space="720" w:num="1"/>
        </w:sectPr>
      </w:pPr>
    </w:p>
    <w:p w14:paraId="0B3C451C">
      <w:pPr>
        <w:spacing w:before="97"/>
        <w:rPr>
          <w:color w:val="auto"/>
          <w:highlight w:val="none"/>
        </w:rPr>
      </w:pPr>
    </w:p>
    <w:p w14:paraId="70670148">
      <w:pPr>
        <w:spacing w:before="97"/>
        <w:rPr>
          <w:color w:val="auto"/>
          <w:highlight w:val="none"/>
        </w:rPr>
      </w:pPr>
    </w:p>
    <w:tbl>
      <w:tblPr>
        <w:tblStyle w:val="8"/>
        <w:tblW w:w="9468"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468"/>
      </w:tblGrid>
      <w:tr w14:paraId="3D05C1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9468" w:type="dxa"/>
            <w:tcBorders>
              <w:top w:val="single" w:color="000000" w:sz="4" w:space="0"/>
              <w:bottom w:val="single" w:color="000000" w:sz="2" w:space="0"/>
            </w:tcBorders>
            <w:vAlign w:val="top"/>
          </w:tcPr>
          <w:p w14:paraId="6BBB0C60">
            <w:pPr>
              <w:pStyle w:val="9"/>
              <w:spacing w:before="261" w:line="228" w:lineRule="auto"/>
              <w:ind w:left="428"/>
              <w:rPr>
                <w:color w:val="auto"/>
                <w:highlight w:val="none"/>
              </w:rPr>
            </w:pPr>
            <w:r>
              <w:rPr>
                <w:color w:val="auto"/>
                <w:spacing w:val="5"/>
                <w:highlight w:val="none"/>
              </w:rPr>
              <w:t>通信地址：</w:t>
            </w:r>
            <w:r>
              <w:rPr>
                <w:color w:val="auto"/>
                <w:spacing w:val="5"/>
                <w:highlight w:val="none"/>
                <w:u w:val="single" w:color="auto"/>
              </w:rPr>
              <w:t xml:space="preserve">               /                    </w:t>
            </w:r>
            <w:r>
              <w:rPr>
                <w:color w:val="auto"/>
                <w:spacing w:val="5"/>
                <w:highlight w:val="none"/>
              </w:rPr>
              <w:t>；</w:t>
            </w:r>
          </w:p>
          <w:p w14:paraId="1A632189">
            <w:pPr>
              <w:pStyle w:val="9"/>
              <w:spacing w:before="220" w:line="305" w:lineRule="auto"/>
              <w:ind w:left="10" w:right="2" w:firstLine="418"/>
              <w:rPr>
                <w:color w:val="auto"/>
                <w:highlight w:val="none"/>
              </w:rPr>
            </w:pPr>
            <w:r>
              <w:rPr>
                <w:color w:val="auto"/>
                <w:spacing w:val="10"/>
                <w:highlight w:val="none"/>
              </w:rPr>
              <w:t>承包人对项目经理的授权范围如下：</w:t>
            </w:r>
            <w:r>
              <w:rPr>
                <w:color w:val="auto"/>
                <w:spacing w:val="10"/>
                <w:highlight w:val="none"/>
                <w:u w:val="single" w:color="auto"/>
              </w:rPr>
              <w:t>项目经理仅限于对本工程的施工现场全面管理，包括质量、技</w:t>
            </w:r>
            <w:r>
              <w:rPr>
                <w:color w:val="auto"/>
                <w:spacing w:val="6"/>
                <w:highlight w:val="none"/>
              </w:rPr>
              <w:t xml:space="preserve"> </w:t>
            </w:r>
            <w:r>
              <w:rPr>
                <w:color w:val="auto"/>
                <w:spacing w:val="10"/>
                <w:highlight w:val="none"/>
              </w:rPr>
              <w:t>术、安全、进度管理，及与发包人、监理工程师有关工程联系单、工程管理的函件往来的签收，但未经</w:t>
            </w:r>
          </w:p>
        </w:tc>
      </w:tr>
      <w:tr w14:paraId="5A0EEA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3" w:hRule="atLeast"/>
        </w:trPr>
        <w:tc>
          <w:tcPr>
            <w:tcW w:w="9468" w:type="dxa"/>
            <w:tcBorders>
              <w:top w:val="single" w:color="000000" w:sz="2" w:space="0"/>
              <w:bottom w:val="single" w:color="000000" w:sz="2" w:space="0"/>
            </w:tcBorders>
            <w:vAlign w:val="top"/>
          </w:tcPr>
          <w:p w14:paraId="38EC8FF2">
            <w:pPr>
              <w:pStyle w:val="9"/>
              <w:spacing w:before="260" w:line="178" w:lineRule="auto"/>
              <w:ind w:left="8"/>
              <w:rPr>
                <w:color w:val="auto"/>
                <w:highlight w:val="none"/>
              </w:rPr>
            </w:pPr>
            <w:r>
              <w:rPr>
                <w:color w:val="auto"/>
                <w:spacing w:val="10"/>
                <w:highlight w:val="none"/>
              </w:rPr>
              <w:t>承包人盖章同意授权下不得以承包人名义向外采购材料设备、租用建筑周转材料、雇佣劳动力、签订分</w:t>
            </w:r>
          </w:p>
        </w:tc>
      </w:tr>
      <w:tr w14:paraId="3E6A86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9468" w:type="dxa"/>
            <w:tcBorders>
              <w:top w:val="single" w:color="000000" w:sz="2" w:space="0"/>
              <w:bottom w:val="single" w:color="000000" w:sz="2" w:space="0"/>
            </w:tcBorders>
            <w:vAlign w:val="top"/>
          </w:tcPr>
          <w:p w14:paraId="3BCDBABE">
            <w:pPr>
              <w:pStyle w:val="9"/>
              <w:spacing w:before="260" w:line="228" w:lineRule="auto"/>
              <w:ind w:left="8"/>
              <w:rPr>
                <w:color w:val="auto"/>
                <w:highlight w:val="none"/>
              </w:rPr>
            </w:pPr>
            <w:r>
              <w:rPr>
                <w:color w:val="auto"/>
                <w:spacing w:val="9"/>
                <w:highlight w:val="none"/>
                <w:u w:val="single" w:color="auto"/>
              </w:rPr>
              <w:t>包合同等从事一切为承包人设立义务或责任</w:t>
            </w:r>
            <w:r>
              <w:rPr>
                <w:color w:val="auto"/>
                <w:spacing w:val="9"/>
                <w:highlight w:val="none"/>
              </w:rPr>
              <w:t>。</w:t>
            </w:r>
          </w:p>
          <w:p w14:paraId="72538BC7">
            <w:pPr>
              <w:pStyle w:val="9"/>
              <w:spacing w:before="221" w:line="228" w:lineRule="auto"/>
              <w:ind w:left="431"/>
              <w:rPr>
                <w:color w:val="auto"/>
                <w:highlight w:val="none"/>
              </w:rPr>
            </w:pPr>
            <w:r>
              <w:rPr>
                <w:color w:val="auto"/>
                <w:spacing w:val="9"/>
                <w:highlight w:val="none"/>
              </w:rPr>
              <w:t>关于项目经理每月在施工现场的时间要求：</w:t>
            </w:r>
            <w:r>
              <w:rPr>
                <w:color w:val="auto"/>
                <w:spacing w:val="9"/>
                <w:highlight w:val="none"/>
                <w:u w:val="single" w:color="auto"/>
              </w:rPr>
              <w:t>按相关工程质量管理规范或条例要求</w:t>
            </w:r>
            <w:r>
              <w:rPr>
                <w:color w:val="auto"/>
                <w:spacing w:val="9"/>
                <w:highlight w:val="none"/>
              </w:rPr>
              <w:t>。</w:t>
            </w:r>
          </w:p>
          <w:p w14:paraId="04CE86EF">
            <w:pPr>
              <w:pStyle w:val="9"/>
              <w:spacing w:before="220" w:line="228" w:lineRule="auto"/>
              <w:ind w:left="428"/>
              <w:rPr>
                <w:color w:val="auto"/>
                <w:highlight w:val="none"/>
              </w:rPr>
            </w:pPr>
            <w:r>
              <w:rPr>
                <w:color w:val="auto"/>
                <w:spacing w:val="9"/>
                <w:highlight w:val="none"/>
              </w:rPr>
              <w:t>承包人未提交劳动合同，以及没有为项目经理缴纳社会保险证明的违约责任：</w:t>
            </w:r>
            <w:r>
              <w:rPr>
                <w:color w:val="auto"/>
                <w:spacing w:val="9"/>
                <w:highlight w:val="none"/>
                <w:u w:val="single" w:color="000000"/>
              </w:rPr>
              <w:t xml:space="preserve"> </w:t>
            </w:r>
            <w:r>
              <w:rPr>
                <w:color w:val="auto"/>
                <w:spacing w:val="9"/>
                <w:highlight w:val="none"/>
                <w:u w:val="single" w:color="auto"/>
              </w:rPr>
              <w:t>/</w:t>
            </w:r>
            <w:r>
              <w:rPr>
                <w:color w:val="auto"/>
                <w:spacing w:val="9"/>
                <w:highlight w:val="none"/>
                <w:u w:val="single" w:color="000000"/>
              </w:rPr>
              <w:t xml:space="preserve"> </w:t>
            </w:r>
            <w:r>
              <w:rPr>
                <w:color w:val="auto"/>
                <w:spacing w:val="9"/>
                <w:highlight w:val="none"/>
              </w:rPr>
              <w:t>。</w:t>
            </w:r>
          </w:p>
          <w:p w14:paraId="31290CCA">
            <w:pPr>
              <w:pStyle w:val="9"/>
              <w:spacing w:before="220" w:line="305" w:lineRule="auto"/>
              <w:ind w:left="18" w:right="2" w:firstLine="413"/>
              <w:rPr>
                <w:color w:val="auto"/>
                <w:highlight w:val="none"/>
              </w:rPr>
            </w:pPr>
            <w:r>
              <w:rPr>
                <w:color w:val="auto"/>
                <w:spacing w:val="8"/>
                <w:highlight w:val="none"/>
              </w:rPr>
              <w:t>项目经理未经批准，擅自离开施工现场的违约责任：</w:t>
            </w:r>
            <w:r>
              <w:rPr>
                <w:color w:val="auto"/>
                <w:spacing w:val="8"/>
                <w:highlight w:val="none"/>
                <w:u w:val="single" w:color="auto"/>
              </w:rPr>
              <w:t>项目</w:t>
            </w:r>
            <w:r>
              <w:rPr>
                <w:color w:val="auto"/>
                <w:spacing w:val="7"/>
                <w:highlight w:val="none"/>
                <w:u w:val="single" w:color="auto"/>
              </w:rPr>
              <w:t>经理每月在岗带班时间不得少于 当月施工</w:t>
            </w:r>
            <w:r>
              <w:rPr>
                <w:color w:val="auto"/>
                <w:highlight w:val="none"/>
              </w:rPr>
              <w:t xml:space="preserve"> </w:t>
            </w:r>
            <w:r>
              <w:rPr>
                <w:color w:val="auto"/>
                <w:spacing w:val="9"/>
                <w:highlight w:val="none"/>
              </w:rPr>
              <w:t>时间的 80%。未经发包人同意或正当理由，项目经理每月在岗带班时间少于当月施工时间 80%的，少在</w:t>
            </w:r>
          </w:p>
        </w:tc>
      </w:tr>
      <w:tr w14:paraId="053DE8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45" w:hRule="atLeast"/>
        </w:trPr>
        <w:tc>
          <w:tcPr>
            <w:tcW w:w="9468" w:type="dxa"/>
            <w:tcBorders>
              <w:top w:val="single" w:color="000000" w:sz="2" w:space="0"/>
              <w:bottom w:val="single" w:color="000000" w:sz="2" w:space="0"/>
            </w:tcBorders>
            <w:vAlign w:val="top"/>
          </w:tcPr>
          <w:p w14:paraId="5353072D">
            <w:pPr>
              <w:pStyle w:val="9"/>
              <w:spacing w:before="260" w:line="228" w:lineRule="auto"/>
              <w:ind w:left="31"/>
              <w:rPr>
                <w:color w:val="auto"/>
                <w:highlight w:val="none"/>
              </w:rPr>
            </w:pPr>
            <w:r>
              <w:rPr>
                <w:color w:val="auto"/>
                <w:spacing w:val="7"/>
                <w:highlight w:val="none"/>
                <w:u w:val="single" w:color="auto"/>
              </w:rPr>
              <w:t>岗带班一天， 发包人有权处违约金 1000</w:t>
            </w:r>
            <w:r>
              <w:rPr>
                <w:color w:val="auto"/>
                <w:spacing w:val="15"/>
                <w:highlight w:val="none"/>
                <w:u w:val="single" w:color="auto"/>
              </w:rPr>
              <w:t xml:space="preserve"> </w:t>
            </w:r>
            <w:r>
              <w:rPr>
                <w:color w:val="auto"/>
                <w:spacing w:val="7"/>
                <w:highlight w:val="none"/>
                <w:u w:val="single" w:color="auto"/>
              </w:rPr>
              <w:t>元</w:t>
            </w:r>
            <w:r>
              <w:rPr>
                <w:color w:val="auto"/>
                <w:spacing w:val="6"/>
                <w:highlight w:val="none"/>
                <w:u w:val="single" w:color="auto"/>
              </w:rPr>
              <w:t>/日（人民币）</w:t>
            </w:r>
            <w:r>
              <w:rPr>
                <w:color w:val="auto"/>
                <w:spacing w:val="6"/>
                <w:highlight w:val="none"/>
              </w:rPr>
              <w:t>。</w:t>
            </w:r>
          </w:p>
          <w:p w14:paraId="48E1A130">
            <w:pPr>
              <w:pStyle w:val="9"/>
              <w:tabs>
                <w:tab w:val="left" w:pos="118"/>
                <w:tab w:val="left" w:pos="9449"/>
              </w:tabs>
              <w:spacing w:before="280" w:line="414" w:lineRule="auto"/>
              <w:ind w:right="2" w:firstLine="12"/>
              <w:jc w:val="both"/>
              <w:rPr>
                <w:color w:val="auto"/>
                <w:highlight w:val="none"/>
              </w:rPr>
            </w:pPr>
            <w:r>
              <w:rPr>
                <w:color w:val="auto"/>
                <w:spacing w:val="9"/>
                <w:highlight w:val="none"/>
              </w:rPr>
              <w:t>3.2.3 承包人擅自更换项目经理的违约责任：</w:t>
            </w:r>
            <w:r>
              <w:rPr>
                <w:color w:val="auto"/>
                <w:spacing w:val="9"/>
                <w:highlight w:val="none"/>
                <w:u w:val="single" w:color="auto"/>
              </w:rPr>
              <w:t>承包人项目经理必须与承包人所承诺的人员一致，并在</w:t>
            </w:r>
            <w:r>
              <w:rPr>
                <w:color w:val="auto"/>
                <w:highlight w:val="none"/>
                <w:u w:val="single" w:color="auto"/>
              </w:rPr>
              <w:tab/>
            </w:r>
            <w:r>
              <w:rPr>
                <w:color w:val="auto"/>
                <w:highlight w:val="none"/>
              </w:rPr>
              <w:t xml:space="preserve"> </w:t>
            </w:r>
            <w:r>
              <w:rPr>
                <w:color w:val="auto"/>
                <w:highlight w:val="none"/>
                <w:u w:val="single" w:color="auto"/>
              </w:rPr>
              <w:tab/>
            </w:r>
            <w:r>
              <w:rPr>
                <w:color w:val="auto"/>
                <w:spacing w:val="7"/>
                <w:highlight w:val="none"/>
                <w:u w:val="single" w:color="auto"/>
              </w:rPr>
              <w:t>（开工日期）  前到</w:t>
            </w:r>
            <w:r>
              <w:rPr>
                <w:color w:val="auto"/>
                <w:spacing w:val="7"/>
                <w:highlight w:val="none"/>
              </w:rPr>
              <w:t xml:space="preserve">任。在监理人向承包人颁发 </w:t>
            </w:r>
            <w:r>
              <w:rPr>
                <w:color w:val="auto"/>
                <w:spacing w:val="7"/>
                <w:highlight w:val="none"/>
                <w:u w:val="single" w:color="auto"/>
              </w:rPr>
              <w:t xml:space="preserve"> （竣工证明材料名称）  </w:t>
            </w:r>
            <w:r>
              <w:rPr>
                <w:color w:val="auto"/>
                <w:spacing w:val="6"/>
                <w:highlight w:val="none"/>
                <w:u w:val="single" w:color="auto"/>
              </w:rPr>
              <w:t xml:space="preserve"> </w:t>
            </w:r>
            <w:r>
              <w:rPr>
                <w:color w:val="auto"/>
                <w:spacing w:val="6"/>
                <w:highlight w:val="none"/>
              </w:rPr>
              <w:t xml:space="preserve"> 前，项目经理不得同时兼</w:t>
            </w:r>
            <w:r>
              <w:rPr>
                <w:color w:val="auto"/>
                <w:highlight w:val="none"/>
              </w:rPr>
              <w:t xml:space="preserve"> </w:t>
            </w:r>
            <w:r>
              <w:rPr>
                <w:color w:val="auto"/>
                <w:spacing w:val="10"/>
                <w:highlight w:val="none"/>
              </w:rPr>
              <w:t>任其他任何项目的项目经理（符合《广西壮族自治区建筑市场诚信卡管理暂行办法》第十六条第</w:t>
            </w:r>
            <w:r>
              <w:rPr>
                <w:color w:val="auto"/>
                <w:spacing w:val="9"/>
                <w:highlight w:val="none"/>
              </w:rPr>
              <w:t>一款及</w:t>
            </w:r>
            <w:r>
              <w:rPr>
                <w:color w:val="auto"/>
                <w:highlight w:val="none"/>
              </w:rPr>
              <w:t xml:space="preserve"> </w:t>
            </w:r>
            <w:r>
              <w:rPr>
                <w:color w:val="auto"/>
                <w:spacing w:val="7"/>
                <w:highlight w:val="none"/>
              </w:rPr>
              <w:t>桂建管﹝2016﹞70</w:t>
            </w:r>
            <w:r>
              <w:rPr>
                <w:color w:val="auto"/>
                <w:spacing w:val="-33"/>
                <w:highlight w:val="none"/>
              </w:rPr>
              <w:t xml:space="preserve"> </w:t>
            </w:r>
            <w:r>
              <w:rPr>
                <w:color w:val="auto"/>
                <w:spacing w:val="7"/>
                <w:highlight w:val="none"/>
              </w:rPr>
              <w:t>号、桂建管〔2020〕11</w:t>
            </w:r>
            <w:r>
              <w:rPr>
                <w:color w:val="auto"/>
                <w:spacing w:val="-36"/>
                <w:highlight w:val="none"/>
              </w:rPr>
              <w:t xml:space="preserve"> </w:t>
            </w:r>
            <w:r>
              <w:rPr>
                <w:color w:val="auto"/>
                <w:spacing w:val="7"/>
                <w:highlight w:val="none"/>
              </w:rPr>
              <w:t>号文除</w:t>
            </w:r>
            <w:r>
              <w:rPr>
                <w:color w:val="auto"/>
                <w:spacing w:val="6"/>
                <w:highlight w:val="none"/>
              </w:rPr>
              <w:t>外）。未经发包人书面同意，承包人擅自更换项目经理</w:t>
            </w:r>
            <w:r>
              <w:rPr>
                <w:color w:val="auto"/>
                <w:highlight w:val="none"/>
              </w:rPr>
              <w:t xml:space="preserve"> </w:t>
            </w:r>
            <w:r>
              <w:rPr>
                <w:color w:val="auto"/>
                <w:spacing w:val="6"/>
                <w:highlight w:val="none"/>
              </w:rPr>
              <w:t>的视为违约，违约金处</w:t>
            </w:r>
            <w:r>
              <w:rPr>
                <w:color w:val="auto"/>
                <w:spacing w:val="-35"/>
                <w:highlight w:val="none"/>
              </w:rPr>
              <w:t xml:space="preserve"> </w:t>
            </w:r>
            <w:r>
              <w:rPr>
                <w:color w:val="auto"/>
                <w:spacing w:val="-77"/>
                <w:highlight w:val="none"/>
                <w:u w:val="single" w:color="auto"/>
              </w:rPr>
              <w:t xml:space="preserve"> </w:t>
            </w:r>
            <w:r>
              <w:rPr>
                <w:color w:val="auto"/>
                <w:spacing w:val="6"/>
                <w:highlight w:val="none"/>
                <w:u w:val="single" w:color="auto"/>
              </w:rPr>
              <w:t>1000</w:t>
            </w:r>
            <w:r>
              <w:rPr>
                <w:color w:val="auto"/>
                <w:spacing w:val="-36"/>
                <w:highlight w:val="none"/>
                <w:u w:val="single" w:color="auto"/>
              </w:rPr>
              <w:t xml:space="preserve"> </w:t>
            </w:r>
            <w:r>
              <w:rPr>
                <w:color w:val="auto"/>
                <w:spacing w:val="6"/>
                <w:highlight w:val="none"/>
              </w:rPr>
              <w:t>元/人•次（人民币）。</w:t>
            </w:r>
          </w:p>
          <w:p w14:paraId="3D320B12">
            <w:pPr>
              <w:pStyle w:val="9"/>
              <w:spacing w:before="2" w:line="432" w:lineRule="auto"/>
              <w:ind w:left="10" w:firstLine="422"/>
              <w:rPr>
                <w:color w:val="auto"/>
                <w:highlight w:val="none"/>
              </w:rPr>
            </w:pPr>
            <w:r>
              <w:rPr>
                <w:color w:val="auto"/>
                <w:spacing w:val="10"/>
                <w:highlight w:val="none"/>
              </w:rPr>
              <w:t>3.2.4 承包人无正当理由拒绝更换项目</w:t>
            </w:r>
            <w:r>
              <w:rPr>
                <w:color w:val="auto"/>
                <w:spacing w:val="9"/>
                <w:highlight w:val="none"/>
              </w:rPr>
              <w:t>经理的违约责任：</w:t>
            </w:r>
            <w:r>
              <w:rPr>
                <w:color w:val="auto"/>
                <w:spacing w:val="9"/>
                <w:highlight w:val="none"/>
                <w:u w:val="single" w:color="auto"/>
              </w:rPr>
              <w:t>因承包人项目经理不称职，发包人要求调</w:t>
            </w:r>
            <w:r>
              <w:rPr>
                <w:color w:val="auto"/>
                <w:highlight w:val="none"/>
              </w:rPr>
              <w:t xml:space="preserve"> </w:t>
            </w:r>
            <w:r>
              <w:rPr>
                <w:color w:val="auto"/>
                <w:spacing w:val="8"/>
                <w:highlight w:val="none"/>
                <w:u w:val="single" w:color="auto"/>
              </w:rPr>
              <w:t>换而未及时调换的，视为承包人违约，必须向发包人交纳处罚金</w:t>
            </w:r>
            <w:r>
              <w:rPr>
                <w:color w:val="auto"/>
                <w:spacing w:val="-21"/>
                <w:highlight w:val="none"/>
                <w:u w:val="single" w:color="auto"/>
              </w:rPr>
              <w:t xml:space="preserve"> </w:t>
            </w:r>
            <w:r>
              <w:rPr>
                <w:color w:val="auto"/>
                <w:spacing w:val="7"/>
                <w:highlight w:val="none"/>
                <w:u w:val="single" w:color="auto"/>
              </w:rPr>
              <w:t>1000</w:t>
            </w:r>
            <w:r>
              <w:rPr>
                <w:color w:val="auto"/>
                <w:spacing w:val="-36"/>
                <w:highlight w:val="none"/>
                <w:u w:val="single" w:color="auto"/>
              </w:rPr>
              <w:t xml:space="preserve"> </w:t>
            </w:r>
            <w:r>
              <w:rPr>
                <w:color w:val="auto"/>
                <w:spacing w:val="7"/>
                <w:highlight w:val="none"/>
                <w:u w:val="single" w:color="auto"/>
              </w:rPr>
              <w:t>元/人•次（人民币）</w:t>
            </w:r>
            <w:r>
              <w:rPr>
                <w:color w:val="auto"/>
                <w:spacing w:val="7"/>
                <w:highlight w:val="none"/>
              </w:rPr>
              <w:t>。</w:t>
            </w:r>
          </w:p>
          <w:p w14:paraId="3913F0B6">
            <w:pPr>
              <w:pStyle w:val="9"/>
              <w:spacing w:before="280" w:line="225" w:lineRule="auto"/>
              <w:ind w:left="19"/>
              <w:outlineLvl w:val="2"/>
              <w:rPr>
                <w:color w:val="auto"/>
                <w:sz w:val="31"/>
                <w:szCs w:val="31"/>
                <w:highlight w:val="none"/>
              </w:rPr>
            </w:pPr>
            <w:bookmarkStart w:id="62" w:name="_Toc27917"/>
            <w:r>
              <w:rPr>
                <w:b/>
                <w:bCs/>
                <w:color w:val="auto"/>
                <w:spacing w:val="3"/>
                <w:sz w:val="31"/>
                <w:szCs w:val="31"/>
                <w:highlight w:val="none"/>
              </w:rPr>
              <w:t>3.3</w:t>
            </w:r>
            <w:r>
              <w:rPr>
                <w:color w:val="auto"/>
                <w:spacing w:val="3"/>
                <w:sz w:val="31"/>
                <w:szCs w:val="31"/>
                <w:highlight w:val="none"/>
              </w:rPr>
              <w:t xml:space="preserve"> </w:t>
            </w:r>
            <w:r>
              <w:rPr>
                <w:b/>
                <w:bCs/>
                <w:color w:val="auto"/>
                <w:spacing w:val="3"/>
                <w:sz w:val="31"/>
                <w:szCs w:val="31"/>
                <w:highlight w:val="none"/>
              </w:rPr>
              <w:t>承包人人员</w:t>
            </w:r>
            <w:bookmarkEnd w:id="62"/>
          </w:p>
          <w:p w14:paraId="7380DB34">
            <w:pPr>
              <w:spacing w:line="413" w:lineRule="auto"/>
              <w:rPr>
                <w:rFonts w:ascii="Arial"/>
                <w:color w:val="auto"/>
                <w:sz w:val="21"/>
                <w:highlight w:val="none"/>
              </w:rPr>
            </w:pPr>
          </w:p>
          <w:p w14:paraId="1ACEB3AD">
            <w:pPr>
              <w:pStyle w:val="9"/>
              <w:spacing w:before="65" w:line="227" w:lineRule="auto"/>
              <w:ind w:left="432"/>
              <w:rPr>
                <w:color w:val="auto"/>
                <w:highlight w:val="none"/>
              </w:rPr>
            </w:pPr>
            <w:r>
              <w:rPr>
                <w:color w:val="auto"/>
                <w:spacing w:val="9"/>
                <w:highlight w:val="none"/>
              </w:rPr>
              <w:t>3.3.1 承包人提交项目管理机构及施工现场管理</w:t>
            </w:r>
            <w:r>
              <w:rPr>
                <w:color w:val="auto"/>
                <w:spacing w:val="8"/>
                <w:highlight w:val="none"/>
              </w:rPr>
              <w:t>人员安排报告的期限：</w:t>
            </w:r>
            <w:r>
              <w:rPr>
                <w:color w:val="auto"/>
                <w:spacing w:val="8"/>
                <w:highlight w:val="none"/>
                <w:u w:val="single" w:color="auto"/>
              </w:rPr>
              <w:t>开工前七天</w:t>
            </w:r>
            <w:r>
              <w:rPr>
                <w:color w:val="auto"/>
                <w:spacing w:val="8"/>
                <w:highlight w:val="none"/>
              </w:rPr>
              <w:t>。</w:t>
            </w:r>
          </w:p>
          <w:p w14:paraId="54D710D9">
            <w:pPr>
              <w:pStyle w:val="9"/>
              <w:spacing w:before="222" w:line="304" w:lineRule="auto"/>
              <w:ind w:left="9" w:right="2" w:firstLine="423"/>
              <w:rPr>
                <w:color w:val="auto"/>
                <w:highlight w:val="none"/>
              </w:rPr>
            </w:pPr>
            <w:r>
              <w:rPr>
                <w:color w:val="auto"/>
                <w:spacing w:val="9"/>
                <w:highlight w:val="none"/>
              </w:rPr>
              <w:t>3.3.3 承包人无正当理由拒绝撤换主要施工管理人员的违约责任：</w:t>
            </w:r>
            <w:r>
              <w:rPr>
                <w:color w:val="auto"/>
                <w:spacing w:val="9"/>
                <w:highlight w:val="none"/>
                <w:u w:val="single" w:color="auto"/>
              </w:rPr>
              <w:t>因承包人主要施工管理人员不称</w:t>
            </w:r>
            <w:r>
              <w:rPr>
                <w:color w:val="auto"/>
                <w:spacing w:val="18"/>
                <w:highlight w:val="none"/>
              </w:rPr>
              <w:t xml:space="preserve"> </w:t>
            </w:r>
            <w:r>
              <w:rPr>
                <w:color w:val="auto"/>
                <w:spacing w:val="10"/>
                <w:highlight w:val="none"/>
              </w:rPr>
              <w:t>职，发包人要求调换而无正当理由拒绝撤换或未及时调换的，视为承包人违约，必须向发包人交纳处罚</w:t>
            </w:r>
          </w:p>
        </w:tc>
      </w:tr>
      <w:tr w14:paraId="3D9634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118" w:hRule="atLeast"/>
        </w:trPr>
        <w:tc>
          <w:tcPr>
            <w:tcW w:w="9468" w:type="dxa"/>
            <w:tcBorders>
              <w:top w:val="single" w:color="000000" w:sz="2" w:space="0"/>
              <w:bottom w:val="single" w:color="000000" w:sz="2" w:space="0"/>
            </w:tcBorders>
            <w:vAlign w:val="top"/>
          </w:tcPr>
          <w:p w14:paraId="4BCCFCCA">
            <w:pPr>
              <w:pStyle w:val="9"/>
              <w:spacing w:before="262" w:line="228" w:lineRule="auto"/>
              <w:ind w:left="10"/>
              <w:rPr>
                <w:color w:val="auto"/>
                <w:highlight w:val="none"/>
              </w:rPr>
            </w:pPr>
            <w:r>
              <w:rPr>
                <w:color w:val="auto"/>
                <w:spacing w:val="6"/>
                <w:highlight w:val="none"/>
                <w:u w:val="single" w:color="auto"/>
              </w:rPr>
              <w:t>金，处罚标准：技术负责人</w:t>
            </w:r>
            <w:r>
              <w:rPr>
                <w:color w:val="auto"/>
                <w:spacing w:val="-33"/>
                <w:highlight w:val="none"/>
                <w:u w:val="single" w:color="auto"/>
              </w:rPr>
              <w:t xml:space="preserve"> </w:t>
            </w:r>
            <w:r>
              <w:rPr>
                <w:color w:val="auto"/>
                <w:spacing w:val="6"/>
                <w:highlight w:val="none"/>
                <w:u w:val="single" w:color="auto"/>
              </w:rPr>
              <w:t>2000</w:t>
            </w:r>
            <w:r>
              <w:rPr>
                <w:color w:val="auto"/>
                <w:spacing w:val="-37"/>
                <w:highlight w:val="none"/>
                <w:u w:val="single" w:color="auto"/>
              </w:rPr>
              <w:t xml:space="preserve"> </w:t>
            </w:r>
            <w:r>
              <w:rPr>
                <w:color w:val="auto"/>
                <w:spacing w:val="6"/>
                <w:highlight w:val="none"/>
                <w:u w:val="single" w:color="auto"/>
              </w:rPr>
              <w:t>元/人•次（人民币</w:t>
            </w:r>
            <w:r>
              <w:rPr>
                <w:color w:val="auto"/>
                <w:spacing w:val="23"/>
                <w:highlight w:val="none"/>
                <w:u w:val="single" w:color="auto"/>
              </w:rPr>
              <w:t>）；</w:t>
            </w:r>
            <w:r>
              <w:rPr>
                <w:color w:val="auto"/>
                <w:spacing w:val="6"/>
                <w:highlight w:val="none"/>
                <w:u w:val="single" w:color="auto"/>
              </w:rPr>
              <w:t>专业工程师</w:t>
            </w:r>
            <w:r>
              <w:rPr>
                <w:color w:val="auto"/>
                <w:spacing w:val="-21"/>
                <w:highlight w:val="none"/>
                <w:u w:val="single" w:color="auto"/>
              </w:rPr>
              <w:t xml:space="preserve"> </w:t>
            </w:r>
            <w:r>
              <w:rPr>
                <w:color w:val="auto"/>
                <w:spacing w:val="6"/>
                <w:highlight w:val="none"/>
                <w:u w:val="single" w:color="auto"/>
              </w:rPr>
              <w:t>1000</w:t>
            </w:r>
            <w:r>
              <w:rPr>
                <w:color w:val="auto"/>
                <w:spacing w:val="-39"/>
                <w:highlight w:val="none"/>
                <w:u w:val="single" w:color="auto"/>
              </w:rPr>
              <w:t xml:space="preserve"> </w:t>
            </w:r>
            <w:r>
              <w:rPr>
                <w:color w:val="auto"/>
                <w:spacing w:val="6"/>
                <w:highlight w:val="none"/>
                <w:u w:val="single" w:color="auto"/>
              </w:rPr>
              <w:t>元/人•次（人民币）</w:t>
            </w:r>
            <w:r>
              <w:rPr>
                <w:color w:val="auto"/>
                <w:spacing w:val="6"/>
                <w:highlight w:val="none"/>
              </w:rPr>
              <w:t>。</w:t>
            </w:r>
          </w:p>
          <w:p w14:paraId="1D962564">
            <w:pPr>
              <w:spacing w:line="289" w:lineRule="auto"/>
              <w:rPr>
                <w:rFonts w:ascii="Arial"/>
                <w:color w:val="auto"/>
                <w:sz w:val="21"/>
                <w:highlight w:val="none"/>
              </w:rPr>
            </w:pPr>
          </w:p>
          <w:p w14:paraId="64397C92">
            <w:pPr>
              <w:pStyle w:val="9"/>
              <w:spacing w:before="65" w:line="228" w:lineRule="auto"/>
              <w:ind w:left="432"/>
              <w:rPr>
                <w:color w:val="auto"/>
                <w:highlight w:val="none"/>
              </w:rPr>
            </w:pPr>
            <w:r>
              <w:rPr>
                <w:color w:val="auto"/>
                <w:spacing w:val="7"/>
                <w:highlight w:val="none"/>
              </w:rPr>
              <w:t>3.3.4 承包人主要施工管理人员离开施工现场的批准要求：</w:t>
            </w:r>
            <w:r>
              <w:rPr>
                <w:color w:val="auto"/>
                <w:spacing w:val="7"/>
                <w:highlight w:val="none"/>
                <w:u w:val="single" w:color="auto"/>
              </w:rPr>
              <w:t>按相关工程质量管理规范或条例要</w:t>
            </w:r>
            <w:r>
              <w:rPr>
                <w:color w:val="auto"/>
                <w:spacing w:val="6"/>
                <w:highlight w:val="none"/>
                <w:u w:val="single" w:color="auto"/>
              </w:rPr>
              <w:t>求</w:t>
            </w:r>
            <w:r>
              <w:rPr>
                <w:color w:val="auto"/>
                <w:spacing w:val="6"/>
                <w:highlight w:val="none"/>
              </w:rPr>
              <w:t>。</w:t>
            </w:r>
          </w:p>
          <w:p w14:paraId="0E232FDE">
            <w:pPr>
              <w:spacing w:line="272" w:lineRule="auto"/>
              <w:rPr>
                <w:rFonts w:ascii="Arial"/>
                <w:color w:val="auto"/>
                <w:sz w:val="21"/>
                <w:highlight w:val="none"/>
              </w:rPr>
            </w:pPr>
          </w:p>
          <w:p w14:paraId="2CE829BE">
            <w:pPr>
              <w:pStyle w:val="9"/>
              <w:spacing w:before="65" w:line="303" w:lineRule="auto"/>
              <w:ind w:left="9" w:firstLine="423"/>
              <w:rPr>
                <w:color w:val="auto"/>
                <w:highlight w:val="none"/>
              </w:rPr>
            </w:pPr>
            <w:r>
              <w:rPr>
                <w:color w:val="auto"/>
                <w:spacing w:val="9"/>
                <w:highlight w:val="none"/>
              </w:rPr>
              <w:t>3.3.5 承包人擅自更换主要施工管理人员的违约责任：</w:t>
            </w:r>
            <w:r>
              <w:rPr>
                <w:color w:val="auto"/>
                <w:spacing w:val="9"/>
                <w:highlight w:val="none"/>
                <w:u w:val="single" w:color="auto"/>
              </w:rPr>
              <w:t>项目技术负责人、专职安全生产管理人员及</w:t>
            </w:r>
            <w:r>
              <w:rPr>
                <w:color w:val="auto"/>
                <w:spacing w:val="18"/>
                <w:highlight w:val="none"/>
              </w:rPr>
              <w:t xml:space="preserve"> </w:t>
            </w:r>
            <w:r>
              <w:rPr>
                <w:color w:val="auto"/>
                <w:spacing w:val="7"/>
                <w:highlight w:val="none"/>
              </w:rPr>
              <w:t>其承诺的其它在场管理人员未经发包人书面同意不准擅自更换，擅自更换项目技术负责人处</w:t>
            </w:r>
            <w:r>
              <w:rPr>
                <w:color w:val="auto"/>
                <w:spacing w:val="-37"/>
                <w:highlight w:val="none"/>
              </w:rPr>
              <w:t xml:space="preserve"> </w:t>
            </w:r>
            <w:r>
              <w:rPr>
                <w:color w:val="auto"/>
                <w:spacing w:val="7"/>
                <w:highlight w:val="none"/>
              </w:rPr>
              <w:t>2000</w:t>
            </w:r>
            <w:r>
              <w:rPr>
                <w:color w:val="auto"/>
                <w:spacing w:val="-39"/>
                <w:highlight w:val="none"/>
              </w:rPr>
              <w:t xml:space="preserve"> </w:t>
            </w:r>
            <w:r>
              <w:rPr>
                <w:color w:val="auto"/>
                <w:spacing w:val="6"/>
                <w:highlight w:val="none"/>
              </w:rPr>
              <w:t>元/人•</w:t>
            </w:r>
          </w:p>
        </w:tc>
      </w:tr>
      <w:tr w14:paraId="42C4DA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3" w:hRule="atLeast"/>
        </w:trPr>
        <w:tc>
          <w:tcPr>
            <w:tcW w:w="9468" w:type="dxa"/>
            <w:tcBorders>
              <w:top w:val="single" w:color="000000" w:sz="2" w:space="0"/>
              <w:bottom w:val="single" w:color="000000" w:sz="2" w:space="0"/>
            </w:tcBorders>
            <w:vAlign w:val="top"/>
          </w:tcPr>
          <w:p w14:paraId="51E1752C">
            <w:pPr>
              <w:pStyle w:val="9"/>
              <w:spacing w:before="263" w:line="175" w:lineRule="auto"/>
              <w:ind w:right="2"/>
              <w:jc w:val="right"/>
              <w:rPr>
                <w:color w:val="auto"/>
                <w:highlight w:val="none"/>
              </w:rPr>
            </w:pPr>
            <w:r>
              <w:rPr>
                <w:color w:val="auto"/>
                <w:spacing w:val="9"/>
                <w:highlight w:val="none"/>
              </w:rPr>
              <w:t>次（人民币）违约金；擅自更换专职安全生产管理人员处</w:t>
            </w:r>
            <w:r>
              <w:rPr>
                <w:color w:val="auto"/>
                <w:spacing w:val="-34"/>
                <w:highlight w:val="none"/>
              </w:rPr>
              <w:t xml:space="preserve"> </w:t>
            </w:r>
            <w:r>
              <w:rPr>
                <w:color w:val="auto"/>
                <w:spacing w:val="9"/>
                <w:highlight w:val="none"/>
              </w:rPr>
              <w:t>500</w:t>
            </w:r>
            <w:r>
              <w:rPr>
                <w:color w:val="auto"/>
                <w:spacing w:val="-37"/>
                <w:highlight w:val="none"/>
              </w:rPr>
              <w:t xml:space="preserve"> </w:t>
            </w:r>
            <w:r>
              <w:rPr>
                <w:color w:val="auto"/>
                <w:spacing w:val="9"/>
                <w:highlight w:val="none"/>
              </w:rPr>
              <w:t>元/人•次（人民币）违约金；擅自更</w:t>
            </w:r>
            <w:r>
              <w:rPr>
                <w:color w:val="auto"/>
                <w:spacing w:val="8"/>
                <w:highlight w:val="none"/>
              </w:rPr>
              <w:t>换其</w:t>
            </w:r>
          </w:p>
        </w:tc>
      </w:tr>
      <w:tr w14:paraId="05DA82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4" w:hRule="atLeast"/>
        </w:trPr>
        <w:tc>
          <w:tcPr>
            <w:tcW w:w="9468" w:type="dxa"/>
            <w:tcBorders>
              <w:top w:val="single" w:color="000000" w:sz="2" w:space="0"/>
              <w:bottom w:val="single" w:color="000000" w:sz="2" w:space="0"/>
            </w:tcBorders>
            <w:vAlign w:val="top"/>
          </w:tcPr>
          <w:p w14:paraId="6F317DBF">
            <w:pPr>
              <w:pStyle w:val="9"/>
              <w:spacing w:before="263" w:line="228" w:lineRule="auto"/>
              <w:ind w:left="8"/>
              <w:rPr>
                <w:color w:val="auto"/>
                <w:highlight w:val="none"/>
              </w:rPr>
            </w:pPr>
            <w:r>
              <w:rPr>
                <w:color w:val="auto"/>
                <w:spacing w:val="7"/>
                <w:highlight w:val="none"/>
                <w:u w:val="single" w:color="auto"/>
              </w:rPr>
              <w:t>它在场管理人员处</w:t>
            </w:r>
            <w:r>
              <w:rPr>
                <w:color w:val="auto"/>
                <w:spacing w:val="-28"/>
                <w:highlight w:val="none"/>
                <w:u w:val="single" w:color="auto"/>
              </w:rPr>
              <w:t xml:space="preserve"> </w:t>
            </w:r>
            <w:r>
              <w:rPr>
                <w:color w:val="auto"/>
                <w:spacing w:val="7"/>
                <w:highlight w:val="none"/>
                <w:u w:val="single" w:color="auto"/>
              </w:rPr>
              <w:t>200</w:t>
            </w:r>
            <w:r>
              <w:rPr>
                <w:color w:val="auto"/>
                <w:spacing w:val="-39"/>
                <w:highlight w:val="none"/>
                <w:u w:val="single" w:color="auto"/>
              </w:rPr>
              <w:t xml:space="preserve"> </w:t>
            </w:r>
            <w:r>
              <w:rPr>
                <w:color w:val="auto"/>
                <w:spacing w:val="7"/>
                <w:highlight w:val="none"/>
                <w:u w:val="single" w:color="auto"/>
              </w:rPr>
              <w:t>元/人•次（人民币）违约金</w:t>
            </w:r>
            <w:r>
              <w:rPr>
                <w:color w:val="auto"/>
                <w:spacing w:val="7"/>
                <w:highlight w:val="none"/>
              </w:rPr>
              <w:t>。</w:t>
            </w:r>
          </w:p>
          <w:p w14:paraId="547DEC5B">
            <w:pPr>
              <w:pStyle w:val="9"/>
              <w:spacing w:before="220" w:line="306" w:lineRule="auto"/>
              <w:ind w:left="31" w:firstLine="397"/>
              <w:rPr>
                <w:color w:val="auto"/>
                <w:highlight w:val="none"/>
              </w:rPr>
            </w:pPr>
            <w:r>
              <w:rPr>
                <w:color w:val="auto"/>
                <w:spacing w:val="10"/>
                <w:highlight w:val="none"/>
              </w:rPr>
              <w:t>承包人主要施工管理人员擅自离开施工现场的违约责任：</w:t>
            </w:r>
            <w:r>
              <w:rPr>
                <w:color w:val="auto"/>
                <w:spacing w:val="10"/>
                <w:highlight w:val="none"/>
                <w:u w:val="single" w:color="auto"/>
              </w:rPr>
              <w:t>未经发包人同意，项目技术负责人擅自离</w:t>
            </w:r>
            <w:r>
              <w:rPr>
                <w:color w:val="auto"/>
                <w:spacing w:val="8"/>
                <w:highlight w:val="none"/>
              </w:rPr>
              <w:t xml:space="preserve"> </w:t>
            </w:r>
            <w:r>
              <w:rPr>
                <w:color w:val="auto"/>
                <w:spacing w:val="6"/>
                <w:highlight w:val="none"/>
              </w:rPr>
              <w:t>岗的，视为承包人违约，发包人有权处违约金</w:t>
            </w:r>
            <w:r>
              <w:rPr>
                <w:color w:val="auto"/>
                <w:spacing w:val="-23"/>
                <w:highlight w:val="none"/>
              </w:rPr>
              <w:t xml:space="preserve"> </w:t>
            </w:r>
            <w:r>
              <w:rPr>
                <w:color w:val="auto"/>
                <w:spacing w:val="6"/>
                <w:highlight w:val="none"/>
              </w:rPr>
              <w:t>1000</w:t>
            </w:r>
            <w:r>
              <w:rPr>
                <w:color w:val="auto"/>
                <w:spacing w:val="-36"/>
                <w:highlight w:val="none"/>
              </w:rPr>
              <w:t xml:space="preserve"> </w:t>
            </w:r>
            <w:r>
              <w:rPr>
                <w:color w:val="auto"/>
                <w:spacing w:val="6"/>
                <w:highlight w:val="none"/>
              </w:rPr>
              <w:t>元/人•次（人民币</w:t>
            </w:r>
            <w:r>
              <w:rPr>
                <w:color w:val="auto"/>
                <w:spacing w:val="8"/>
                <w:highlight w:val="none"/>
              </w:rPr>
              <w:t>）；</w:t>
            </w:r>
            <w:r>
              <w:rPr>
                <w:color w:val="auto"/>
                <w:spacing w:val="6"/>
                <w:highlight w:val="none"/>
              </w:rPr>
              <w:t>未经发包人同意，专职安全生</w:t>
            </w:r>
          </w:p>
        </w:tc>
      </w:tr>
    </w:tbl>
    <w:p w14:paraId="0A2C1F7B">
      <w:pPr>
        <w:pStyle w:val="2"/>
        <w:spacing w:line="119" w:lineRule="exact"/>
        <w:rPr>
          <w:color w:val="auto"/>
          <w:sz w:val="10"/>
          <w:highlight w:val="none"/>
        </w:rPr>
      </w:pPr>
    </w:p>
    <w:p w14:paraId="0813401A">
      <w:pPr>
        <w:spacing w:line="119" w:lineRule="exact"/>
        <w:rPr>
          <w:color w:val="auto"/>
          <w:sz w:val="10"/>
          <w:szCs w:val="10"/>
          <w:highlight w:val="none"/>
        </w:rPr>
        <w:sectPr>
          <w:footerReference r:id="rId200" w:type="default"/>
          <w:pgSz w:w="11906" w:h="16839"/>
          <w:pgMar w:top="400" w:right="1218" w:bottom="1158" w:left="1219" w:header="0" w:footer="922" w:gutter="0"/>
          <w:cols w:space="720" w:num="1"/>
        </w:sectPr>
      </w:pPr>
    </w:p>
    <w:p w14:paraId="1D4B8A38">
      <w:pPr>
        <w:pStyle w:val="2"/>
        <w:spacing w:line="292" w:lineRule="auto"/>
        <w:rPr>
          <w:color w:val="auto"/>
          <w:highlight w:val="none"/>
        </w:rPr>
      </w:pPr>
    </w:p>
    <w:p w14:paraId="65D0B587">
      <w:pPr>
        <w:pStyle w:val="2"/>
        <w:spacing w:line="292" w:lineRule="auto"/>
        <w:rPr>
          <w:color w:val="auto"/>
          <w:highlight w:val="none"/>
        </w:rPr>
      </w:pPr>
    </w:p>
    <w:p w14:paraId="18F7BC12">
      <w:pPr>
        <w:pStyle w:val="2"/>
        <w:spacing w:line="293" w:lineRule="auto"/>
        <w:rPr>
          <w:color w:val="auto"/>
          <w:highlight w:val="none"/>
        </w:rPr>
      </w:pPr>
      <w:r>
        <w:rPr>
          <w:color w:val="auto"/>
          <w:highlight w:val="none"/>
        </w:rPr>
        <w:pict>
          <v:shape id="_x0000_s1036" o:spid="_x0000_s1036" style="position:absolute;left:0pt;margin-left:0pt;margin-top:4.45pt;height:0.75pt;width:473.4pt;z-index:251686912;mso-width-relative:page;mso-height-relative:page;" fillcolor="#000000" filled="t" stroked="f" coordsize="9467,15" path="m0,0l9467,0,9467,14,0,14,0,0xe">
            <v:path/>
            <v:fill on="t" focussize="0,0"/>
            <v:stroke on="f"/>
            <v:imagedata o:title=""/>
            <o:lock v:ext="edit"/>
          </v:shape>
        </w:pict>
      </w:r>
    </w:p>
    <w:p w14:paraId="6AA4F37B">
      <w:pPr>
        <w:spacing w:before="65" w:line="433" w:lineRule="auto"/>
        <w:ind w:left="10" w:right="2" w:hanging="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产管理人员擅自离岗的，视为承包人违约，发包人有权处违约金</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9"/>
          <w:sz w:val="20"/>
          <w:szCs w:val="20"/>
          <w:highlight w:val="none"/>
          <w:u w:val="single" w:color="auto"/>
        </w:rPr>
        <w:t>300</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9"/>
          <w:sz w:val="20"/>
          <w:szCs w:val="20"/>
          <w:highlight w:val="none"/>
          <w:u w:val="single" w:color="auto"/>
        </w:rPr>
        <w:t>元/人•次（人</w:t>
      </w:r>
      <w:r>
        <w:rPr>
          <w:rFonts w:ascii="宋体" w:hAnsi="宋体" w:eastAsia="宋体" w:cs="宋体"/>
          <w:color w:val="auto"/>
          <w:spacing w:val="8"/>
          <w:sz w:val="20"/>
          <w:szCs w:val="20"/>
          <w:highlight w:val="none"/>
          <w:u w:val="single" w:color="auto"/>
        </w:rPr>
        <w:t>民币</w:t>
      </w:r>
      <w:r>
        <w:rPr>
          <w:rFonts w:ascii="宋体" w:hAnsi="宋体" w:eastAsia="宋体" w:cs="宋体"/>
          <w:color w:val="auto"/>
          <w:spacing w:val="16"/>
          <w:sz w:val="20"/>
          <w:szCs w:val="20"/>
          <w:highlight w:val="none"/>
          <w:u w:val="single" w:color="auto"/>
        </w:rPr>
        <w:t>）；</w:t>
      </w:r>
      <w:r>
        <w:rPr>
          <w:rFonts w:ascii="宋体" w:hAnsi="宋体" w:eastAsia="宋体" w:cs="宋体"/>
          <w:color w:val="auto"/>
          <w:spacing w:val="8"/>
          <w:sz w:val="20"/>
          <w:szCs w:val="20"/>
          <w:highlight w:val="none"/>
          <w:u w:val="single" w:color="auto"/>
        </w:rPr>
        <w:t>其它在场管</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理人员擅自离岗的，视为承包人违约，发包人有权处违约</w:t>
      </w:r>
      <w:r>
        <w:rPr>
          <w:rFonts w:ascii="宋体" w:hAnsi="宋体" w:eastAsia="宋体" w:cs="宋体"/>
          <w:color w:val="auto"/>
          <w:spacing w:val="7"/>
          <w:sz w:val="20"/>
          <w:szCs w:val="20"/>
          <w:highlight w:val="none"/>
          <w:u w:val="single" w:color="auto"/>
        </w:rPr>
        <w:t>金</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7"/>
          <w:sz w:val="20"/>
          <w:szCs w:val="20"/>
          <w:highlight w:val="none"/>
          <w:u w:val="single" w:color="auto"/>
        </w:rPr>
        <w:t>100</w:t>
      </w:r>
      <w:r>
        <w:rPr>
          <w:rFonts w:ascii="宋体" w:hAnsi="宋体" w:eastAsia="宋体" w:cs="宋体"/>
          <w:color w:val="auto"/>
          <w:spacing w:val="-38"/>
          <w:sz w:val="20"/>
          <w:szCs w:val="20"/>
          <w:highlight w:val="none"/>
          <w:u w:val="single" w:color="auto"/>
        </w:rPr>
        <w:t xml:space="preserve"> </w:t>
      </w:r>
      <w:r>
        <w:rPr>
          <w:rFonts w:ascii="宋体" w:hAnsi="宋体" w:eastAsia="宋体" w:cs="宋体"/>
          <w:color w:val="auto"/>
          <w:spacing w:val="7"/>
          <w:sz w:val="20"/>
          <w:szCs w:val="20"/>
          <w:highlight w:val="none"/>
          <w:u w:val="single" w:color="auto"/>
        </w:rPr>
        <w:t>元/人•次（人民币）</w:t>
      </w:r>
      <w:r>
        <w:rPr>
          <w:rFonts w:ascii="宋体" w:hAnsi="宋体" w:eastAsia="宋体" w:cs="宋体"/>
          <w:color w:val="auto"/>
          <w:spacing w:val="7"/>
          <w:sz w:val="20"/>
          <w:szCs w:val="20"/>
          <w:highlight w:val="none"/>
        </w:rPr>
        <w:t>。</w:t>
      </w:r>
    </w:p>
    <w:p w14:paraId="1F039BA0">
      <w:pPr>
        <w:spacing w:before="282" w:line="226" w:lineRule="auto"/>
        <w:ind w:left="19"/>
        <w:outlineLvl w:val="2"/>
        <w:rPr>
          <w:rFonts w:ascii="宋体" w:hAnsi="宋体" w:eastAsia="宋体" w:cs="宋体"/>
          <w:color w:val="auto"/>
          <w:sz w:val="31"/>
          <w:szCs w:val="31"/>
          <w:highlight w:val="none"/>
        </w:rPr>
      </w:pPr>
      <w:bookmarkStart w:id="63" w:name="_Toc8204"/>
      <w:r>
        <w:rPr>
          <w:rFonts w:ascii="宋体" w:hAnsi="宋体" w:eastAsia="宋体" w:cs="宋体"/>
          <w:b/>
          <w:bCs/>
          <w:color w:val="auto"/>
          <w:spacing w:val="-3"/>
          <w:sz w:val="31"/>
          <w:szCs w:val="31"/>
          <w:highlight w:val="none"/>
        </w:rPr>
        <w:t>3.5</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3"/>
          <w:sz w:val="31"/>
          <w:szCs w:val="31"/>
          <w:highlight w:val="none"/>
        </w:rPr>
        <w:t>分包</w:t>
      </w:r>
      <w:bookmarkEnd w:id="63"/>
    </w:p>
    <w:p w14:paraId="4CCC35B7">
      <w:pPr>
        <w:pStyle w:val="2"/>
        <w:spacing w:line="412" w:lineRule="auto"/>
        <w:rPr>
          <w:color w:val="auto"/>
          <w:highlight w:val="none"/>
        </w:rPr>
      </w:pPr>
    </w:p>
    <w:p w14:paraId="39B9321F">
      <w:pPr>
        <w:spacing w:before="65" w:line="229"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3.5.1 分包的一般约定</w:t>
      </w:r>
    </w:p>
    <w:p w14:paraId="5F1347D9">
      <w:pPr>
        <w:spacing w:before="220"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禁止分包的工程包括：</w:t>
      </w:r>
      <w:r>
        <w:rPr>
          <w:rFonts w:ascii="宋体" w:hAnsi="宋体" w:eastAsia="宋体" w:cs="宋体"/>
          <w:color w:val="auto"/>
          <w:spacing w:val="8"/>
          <w:sz w:val="20"/>
          <w:szCs w:val="20"/>
          <w:highlight w:val="none"/>
          <w:u w:val="single" w:color="auto"/>
        </w:rPr>
        <w:t>主体结构、关键性工作等</w:t>
      </w:r>
      <w:r>
        <w:rPr>
          <w:rFonts w:ascii="宋体" w:hAnsi="宋体" w:eastAsia="宋体" w:cs="宋体"/>
          <w:color w:val="auto"/>
          <w:spacing w:val="8"/>
          <w:sz w:val="20"/>
          <w:szCs w:val="20"/>
          <w:highlight w:val="none"/>
        </w:rPr>
        <w:t>。</w:t>
      </w:r>
    </w:p>
    <w:p w14:paraId="7FC4BED0">
      <w:pPr>
        <w:spacing w:before="221" w:line="229"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主体结构、关键性工作的范围：</w:t>
      </w:r>
      <w:r>
        <w:rPr>
          <w:rFonts w:ascii="宋体" w:hAnsi="宋体" w:eastAsia="宋体" w:cs="宋体"/>
          <w:color w:val="auto"/>
          <w:spacing w:val="6"/>
          <w:sz w:val="20"/>
          <w:szCs w:val="20"/>
          <w:highlight w:val="none"/>
          <w:u w:val="single" w:color="auto"/>
        </w:rPr>
        <w:t>基础工程、主体工程</w:t>
      </w:r>
      <w:r>
        <w:rPr>
          <w:rFonts w:ascii="宋体" w:hAnsi="宋体" w:eastAsia="宋体" w:cs="宋体"/>
          <w:color w:val="auto"/>
          <w:spacing w:val="6"/>
          <w:sz w:val="20"/>
          <w:szCs w:val="20"/>
          <w:highlight w:val="none"/>
        </w:rPr>
        <w:t>。</w:t>
      </w:r>
    </w:p>
    <w:p w14:paraId="42F4CA3E">
      <w:pPr>
        <w:spacing w:before="220" w:line="229"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3.5.2 分包的确定</w:t>
      </w:r>
    </w:p>
    <w:p w14:paraId="19124B72">
      <w:pPr>
        <w:spacing w:before="220" w:line="228" w:lineRule="auto"/>
        <w:ind w:left="43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允许分包的专业工程包括：</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30EF4C0F">
      <w:pPr>
        <w:spacing w:before="220" w:line="229"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其他关于分包的约定：</w:t>
      </w:r>
    </w:p>
    <w:p w14:paraId="054A0B8E">
      <w:pPr>
        <w:spacing w:before="221" w:line="364" w:lineRule="auto"/>
        <w:ind w:left="9" w:right="2"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（1）除前款约定的分包内容外，经过发包人和监理人同意，承包人可以将其他非主体、非关键性工</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作分包给第三人，但分包人应当经过发包人和监理人审批。发包人和监理人有权拒绝承包人的分包请求</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rPr>
        <w:t>和承包人选择的分包人。</w:t>
      </w:r>
    </w:p>
    <w:p w14:paraId="5021DCCD">
      <w:pPr>
        <w:spacing w:before="221" w:line="330" w:lineRule="auto"/>
        <w:ind w:left="9" w:right="2"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（2）在相关分包合同签订并报送有关建设行政主管部门备案后</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7"/>
          <w:sz w:val="20"/>
          <w:szCs w:val="20"/>
          <w:highlight w:val="none"/>
        </w:rPr>
        <w:t>天</w:t>
      </w:r>
      <w:r>
        <w:rPr>
          <w:rFonts w:ascii="宋体" w:hAnsi="宋体" w:eastAsia="宋体" w:cs="宋体"/>
          <w:color w:val="auto"/>
          <w:spacing w:val="6"/>
          <w:sz w:val="20"/>
          <w:szCs w:val="20"/>
          <w:highlight w:val="none"/>
        </w:rPr>
        <w:t>内，承包人应当将一份副本提交</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给监理人，承包人应保障分包工作不得再次分包。</w:t>
      </w:r>
    </w:p>
    <w:p w14:paraId="1BBA606A">
      <w:pPr>
        <w:spacing w:before="221" w:line="330" w:lineRule="auto"/>
        <w:ind w:left="9" w:right="2" w:firstLine="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（3）未经承包人和监理人审批同意的分包工程和分包人，承包人有权拒绝验收分包工程和支付相应</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款项，由此引起的发包人费用增加和(或)延误的工期由发包人承担。</w:t>
      </w:r>
    </w:p>
    <w:p w14:paraId="24C9ED52">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（4）承包人有以下情况之一者，发包人有权解除合同，并视情况扣除其履约保证金：</w:t>
      </w:r>
    </w:p>
    <w:p w14:paraId="659E29CA">
      <w:pPr>
        <w:spacing w:before="221" w:line="330" w:lineRule="auto"/>
        <w:ind w:left="9" w:right="2" w:firstLine="43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①个人承包工程，包括本人单位及外单位人员承包，发包人不承</w:t>
      </w:r>
      <w:r>
        <w:rPr>
          <w:rFonts w:ascii="宋体" w:hAnsi="宋体" w:eastAsia="宋体" w:cs="宋体"/>
          <w:color w:val="auto"/>
          <w:spacing w:val="9"/>
          <w:sz w:val="20"/>
          <w:szCs w:val="20"/>
          <w:highlight w:val="none"/>
        </w:rPr>
        <w:t>认其个人拥有任何资质等级及营业</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许可资格。没收全部履约保证金。</w:t>
      </w:r>
    </w:p>
    <w:p w14:paraId="367C9973">
      <w:pPr>
        <w:spacing w:before="221" w:line="330" w:lineRule="auto"/>
        <w:ind w:left="13" w:right="2" w:firstLine="43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②几个人联合承包工程，就地组织暗分包队伍，不具备完成本工程</w:t>
      </w:r>
      <w:r>
        <w:rPr>
          <w:rFonts w:ascii="宋体" w:hAnsi="宋体" w:eastAsia="宋体" w:cs="宋体"/>
          <w:color w:val="auto"/>
          <w:spacing w:val="9"/>
          <w:sz w:val="20"/>
          <w:szCs w:val="20"/>
          <w:highlight w:val="none"/>
        </w:rPr>
        <w:t>的技术、机械能力，被发包人判</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定为没有能力履行的承包人。没收全部履约</w:t>
      </w:r>
      <w:r>
        <w:rPr>
          <w:rFonts w:ascii="宋体" w:hAnsi="宋体" w:eastAsia="宋体" w:cs="宋体"/>
          <w:color w:val="auto"/>
          <w:spacing w:val="8"/>
          <w:sz w:val="20"/>
          <w:szCs w:val="20"/>
          <w:highlight w:val="none"/>
        </w:rPr>
        <w:t>保证金。</w:t>
      </w:r>
    </w:p>
    <w:p w14:paraId="6BABD4B0">
      <w:pPr>
        <w:spacing w:before="220" w:line="226" w:lineRule="auto"/>
        <w:ind w:left="44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③就地转包全部的工程，以谋取高额转让费、管理费的承包人。没收全部履约保证金。</w:t>
      </w:r>
    </w:p>
    <w:p w14:paraId="129D5579">
      <w:pPr>
        <w:spacing w:before="223" w:line="330" w:lineRule="auto"/>
        <w:ind w:left="10" w:right="2" w:firstLine="41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④承包人有部分分包现象（其中包括冒充承包人下属单位的挂勾单位，凭口头协议参与施工的分包</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人及其他暗分包个体户</w:t>
      </w:r>
      <w:r>
        <w:rPr>
          <w:rFonts w:ascii="宋体" w:hAnsi="宋体" w:eastAsia="宋体" w:cs="宋体"/>
          <w:color w:val="auto"/>
          <w:spacing w:val="19"/>
          <w:sz w:val="20"/>
          <w:szCs w:val="20"/>
          <w:highlight w:val="none"/>
        </w:rPr>
        <w:t>），</w:t>
      </w:r>
      <w:r>
        <w:rPr>
          <w:rFonts w:ascii="宋体" w:hAnsi="宋体" w:eastAsia="宋体" w:cs="宋体"/>
          <w:color w:val="auto"/>
          <w:spacing w:val="9"/>
          <w:sz w:val="20"/>
          <w:szCs w:val="20"/>
          <w:highlight w:val="none"/>
        </w:rPr>
        <w:t>一经发现核实，发包人将采取驱逐该暗分包人措施。没收全部履约保证金。</w:t>
      </w:r>
    </w:p>
    <w:p w14:paraId="5B2C50BB">
      <w:pPr>
        <w:spacing w:before="221" w:line="227"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3.5.4 分包合同价款</w:t>
      </w:r>
    </w:p>
    <w:p w14:paraId="319B96CF">
      <w:pPr>
        <w:spacing w:before="221" w:line="433" w:lineRule="auto"/>
        <w:ind w:left="11"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关于分包合同价款支付的约定：</w:t>
      </w:r>
      <w:r>
        <w:rPr>
          <w:rFonts w:ascii="宋体" w:hAnsi="宋体" w:eastAsia="宋体" w:cs="宋体"/>
          <w:color w:val="auto"/>
          <w:spacing w:val="10"/>
          <w:sz w:val="20"/>
          <w:szCs w:val="20"/>
          <w:highlight w:val="none"/>
          <w:u w:val="single" w:color="auto"/>
        </w:rPr>
        <w:t>分包工程价款由承包人与分包人（包括专业分包人）结算。发包人</w:t>
      </w:r>
      <w:r>
        <w:rPr>
          <w:rFonts w:ascii="宋体" w:hAnsi="宋体" w:eastAsia="宋体" w:cs="宋体"/>
          <w:color w:val="auto"/>
          <w:spacing w:val="3"/>
          <w:sz w:val="20"/>
          <w:szCs w:val="20"/>
          <w:highlight w:val="none"/>
        </w:rPr>
        <w:t xml:space="preserve"> </w:t>
      </w:r>
      <w:r>
        <w:rPr>
          <w:rFonts w:ascii="宋体" w:hAnsi="宋体" w:eastAsia="宋体" w:cs="宋体"/>
          <w:color w:val="auto"/>
          <w:spacing w:val="10"/>
          <w:sz w:val="20"/>
          <w:szCs w:val="20"/>
          <w:highlight w:val="none"/>
          <w:u w:val="single" w:color="auto"/>
        </w:rPr>
        <w:t>未经承包人同意不得以任何形式向分包人（包括专业分包人）支付相关分包合同项下的任何工程款项。</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u w:val="single" w:color="auto"/>
        </w:rPr>
        <w:t>因发包人未经承包人同意直接向分包人（包括专业分包人）支付相关分包合同项下的任何工程款项而影</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u w:val="single" w:color="auto"/>
        </w:rPr>
        <w:t>响承包人工作的，所造成的承包人费用增加和（或）延误的工期由发包人承担。</w:t>
      </w:r>
    </w:p>
    <w:p w14:paraId="708B187C">
      <w:pPr>
        <w:spacing w:line="433" w:lineRule="auto"/>
        <w:rPr>
          <w:rFonts w:ascii="宋体" w:hAnsi="宋体" w:eastAsia="宋体" w:cs="宋体"/>
          <w:color w:val="auto"/>
          <w:sz w:val="20"/>
          <w:szCs w:val="20"/>
          <w:highlight w:val="none"/>
        </w:rPr>
        <w:sectPr>
          <w:footerReference r:id="rId201" w:type="default"/>
          <w:pgSz w:w="11906" w:h="16839"/>
          <w:pgMar w:top="400" w:right="1219" w:bottom="1158" w:left="1219" w:header="0" w:footer="922" w:gutter="0"/>
          <w:cols w:space="720" w:num="1"/>
        </w:sectPr>
      </w:pPr>
    </w:p>
    <w:p w14:paraId="5F5DD9B7">
      <w:pPr>
        <w:spacing w:before="282" w:line="225" w:lineRule="auto"/>
        <w:ind w:left="19"/>
        <w:outlineLvl w:val="2"/>
        <w:rPr>
          <w:rFonts w:ascii="宋体" w:hAnsi="宋体" w:eastAsia="宋体" w:cs="宋体"/>
          <w:color w:val="auto"/>
          <w:sz w:val="31"/>
          <w:szCs w:val="31"/>
          <w:highlight w:val="none"/>
        </w:rPr>
      </w:pPr>
      <w:bookmarkStart w:id="64" w:name="_Toc695"/>
      <w:r>
        <w:rPr>
          <w:rFonts w:ascii="宋体" w:hAnsi="宋体" w:eastAsia="宋体" w:cs="宋体"/>
          <w:b/>
          <w:bCs/>
          <w:color w:val="auto"/>
          <w:spacing w:val="5"/>
          <w:sz w:val="31"/>
          <w:szCs w:val="31"/>
          <w:highlight w:val="none"/>
        </w:rPr>
        <w:t>3.6</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工程照管与成品、半成品保护</w:t>
      </w:r>
      <w:bookmarkEnd w:id="64"/>
    </w:p>
    <w:p w14:paraId="654E06B0">
      <w:pPr>
        <w:pStyle w:val="2"/>
        <w:spacing w:line="413" w:lineRule="auto"/>
        <w:rPr>
          <w:color w:val="auto"/>
          <w:highlight w:val="none"/>
        </w:rPr>
      </w:pPr>
    </w:p>
    <w:p w14:paraId="706D5AD0">
      <w:pPr>
        <w:spacing w:before="65"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承包人负责照管工程及工程相关的材料、工程设备的起始时间：</w:t>
      </w:r>
    </w:p>
    <w:p w14:paraId="0C3DD29D">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 承包人负责照管工程及工程相关的材料、工程设备的</w:t>
      </w:r>
      <w:r>
        <w:rPr>
          <w:rFonts w:ascii="宋体" w:hAnsi="宋体" w:eastAsia="宋体" w:cs="宋体"/>
          <w:color w:val="auto"/>
          <w:spacing w:val="8"/>
          <w:sz w:val="20"/>
          <w:szCs w:val="20"/>
          <w:highlight w:val="none"/>
        </w:rPr>
        <w:t>起始时间： 施工现场移交时 。</w:t>
      </w:r>
    </w:p>
    <w:p w14:paraId="2BFB9C53">
      <w:pPr>
        <w:spacing w:before="221" w:line="330" w:lineRule="auto"/>
        <w:ind w:left="25" w:right="2" w:firstLine="40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 承包人负责对未验收工程和双方已到货材料、设备的现场保管，包括因发包人原</w:t>
      </w:r>
      <w:r>
        <w:rPr>
          <w:rFonts w:ascii="宋体" w:hAnsi="宋体" w:eastAsia="宋体" w:cs="宋体"/>
          <w:color w:val="auto"/>
          <w:spacing w:val="9"/>
          <w:sz w:val="20"/>
          <w:szCs w:val="20"/>
          <w:highlight w:val="none"/>
        </w:rPr>
        <w:t>因暂时无法安装</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的材料和设备。</w:t>
      </w:r>
    </w:p>
    <w:p w14:paraId="1EAB943F">
      <w:pPr>
        <w:pStyle w:val="2"/>
        <w:spacing w:line="400" w:lineRule="auto"/>
        <w:rPr>
          <w:color w:val="auto"/>
          <w:highlight w:val="none"/>
        </w:rPr>
      </w:pPr>
    </w:p>
    <w:p w14:paraId="1A48996F">
      <w:pPr>
        <w:spacing w:before="101" w:line="226" w:lineRule="auto"/>
        <w:ind w:left="19"/>
        <w:outlineLvl w:val="2"/>
        <w:rPr>
          <w:rFonts w:ascii="宋体" w:hAnsi="宋体" w:eastAsia="宋体" w:cs="宋体"/>
          <w:color w:val="auto"/>
          <w:sz w:val="31"/>
          <w:szCs w:val="31"/>
          <w:highlight w:val="none"/>
        </w:rPr>
      </w:pPr>
      <w:bookmarkStart w:id="65" w:name="_Toc11316"/>
      <w:r>
        <w:rPr>
          <w:rFonts w:ascii="宋体" w:hAnsi="宋体" w:eastAsia="宋体" w:cs="宋体"/>
          <w:b/>
          <w:bCs/>
          <w:color w:val="auto"/>
          <w:spacing w:val="1"/>
          <w:sz w:val="31"/>
          <w:szCs w:val="31"/>
          <w:highlight w:val="none"/>
        </w:rPr>
        <w:t>3.7</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1"/>
          <w:sz w:val="31"/>
          <w:szCs w:val="31"/>
          <w:highlight w:val="none"/>
        </w:rPr>
        <w:t>履约保证金</w:t>
      </w:r>
      <w:bookmarkEnd w:id="65"/>
    </w:p>
    <w:p w14:paraId="4C724305">
      <w:pPr>
        <w:pStyle w:val="2"/>
        <w:spacing w:line="412" w:lineRule="auto"/>
        <w:rPr>
          <w:color w:val="auto"/>
          <w:highlight w:val="none"/>
        </w:rPr>
      </w:pPr>
    </w:p>
    <w:p w14:paraId="62BCB025">
      <w:pPr>
        <w:spacing w:before="66"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承包人提供履约担保的形式、金额及期限的：</w:t>
      </w:r>
      <w:r>
        <w:rPr>
          <w:rFonts w:ascii="宋体" w:hAnsi="宋体" w:eastAsia="宋体" w:cs="宋体"/>
          <w:color w:val="auto"/>
          <w:spacing w:val="8"/>
          <w:sz w:val="20"/>
          <w:szCs w:val="20"/>
          <w:highlight w:val="none"/>
          <w:u w:val="single" w:color="auto"/>
        </w:rPr>
        <w:t xml:space="preserve">       /   。</w:t>
      </w:r>
    </w:p>
    <w:p w14:paraId="5D133F84">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承包人提供履约担保的形式：</w:t>
      </w:r>
      <w:r>
        <w:rPr>
          <w:rFonts w:ascii="宋体" w:hAnsi="宋体" w:eastAsia="宋体" w:cs="宋体"/>
          <w:color w:val="auto"/>
          <w:spacing w:val="8"/>
          <w:sz w:val="20"/>
          <w:szCs w:val="20"/>
          <w:highlight w:val="none"/>
          <w:u w:val="single" w:color="auto"/>
        </w:rPr>
        <w:t xml:space="preserve">  /</w:t>
      </w:r>
      <w:r>
        <w:rPr>
          <w:rFonts w:ascii="宋体" w:hAnsi="宋体" w:eastAsia="宋体" w:cs="宋体"/>
          <w:color w:val="auto"/>
          <w:spacing w:val="14"/>
          <w:sz w:val="20"/>
          <w:szCs w:val="20"/>
          <w:highlight w:val="none"/>
          <w:u w:val="single" w:color="auto"/>
        </w:rPr>
        <w:t xml:space="preserve">   </w:t>
      </w:r>
      <w:r>
        <w:rPr>
          <w:rFonts w:ascii="宋体" w:hAnsi="宋体" w:eastAsia="宋体" w:cs="宋体"/>
          <w:color w:val="auto"/>
          <w:spacing w:val="8"/>
          <w:sz w:val="20"/>
          <w:szCs w:val="20"/>
          <w:highlight w:val="none"/>
          <w:u w:val="single" w:color="auto"/>
        </w:rPr>
        <w:t>。</w:t>
      </w:r>
    </w:p>
    <w:p w14:paraId="53215E30">
      <w:pPr>
        <w:pStyle w:val="2"/>
        <w:spacing w:line="403" w:lineRule="auto"/>
        <w:rPr>
          <w:color w:val="auto"/>
          <w:highlight w:val="none"/>
        </w:rPr>
      </w:pPr>
    </w:p>
    <w:p w14:paraId="791C9A9A">
      <w:pPr>
        <w:spacing w:before="101" w:line="228" w:lineRule="auto"/>
        <w:ind w:left="11"/>
        <w:outlineLvl w:val="1"/>
        <w:rPr>
          <w:rFonts w:ascii="宋体" w:hAnsi="宋体" w:eastAsia="宋体" w:cs="宋体"/>
          <w:color w:val="auto"/>
          <w:sz w:val="31"/>
          <w:szCs w:val="31"/>
          <w:highlight w:val="none"/>
        </w:rPr>
      </w:pPr>
      <w:bookmarkStart w:id="66" w:name="_Toc11765"/>
      <w:r>
        <w:rPr>
          <w:rFonts w:ascii="宋体" w:hAnsi="宋体" w:eastAsia="宋体" w:cs="宋体"/>
          <w:b/>
          <w:bCs/>
          <w:color w:val="auto"/>
          <w:sz w:val="31"/>
          <w:szCs w:val="31"/>
          <w:highlight w:val="none"/>
        </w:rPr>
        <w:t>4.</w:t>
      </w:r>
      <w:r>
        <w:rPr>
          <w:rFonts w:ascii="宋体" w:hAnsi="宋体" w:eastAsia="宋体" w:cs="宋体"/>
          <w:color w:val="auto"/>
          <w:spacing w:val="21"/>
          <w:sz w:val="31"/>
          <w:szCs w:val="31"/>
          <w:highlight w:val="none"/>
        </w:rPr>
        <w:t xml:space="preserve"> </w:t>
      </w:r>
      <w:r>
        <w:rPr>
          <w:rFonts w:ascii="宋体" w:hAnsi="宋体" w:eastAsia="宋体" w:cs="宋体"/>
          <w:b/>
          <w:bCs/>
          <w:color w:val="auto"/>
          <w:sz w:val="31"/>
          <w:szCs w:val="31"/>
          <w:highlight w:val="none"/>
        </w:rPr>
        <w:t>监理人</w:t>
      </w:r>
      <w:bookmarkEnd w:id="66"/>
    </w:p>
    <w:p w14:paraId="62BADCF3">
      <w:pPr>
        <w:pStyle w:val="2"/>
        <w:spacing w:line="396" w:lineRule="auto"/>
        <w:rPr>
          <w:color w:val="auto"/>
          <w:highlight w:val="none"/>
        </w:rPr>
      </w:pPr>
    </w:p>
    <w:p w14:paraId="1DD32891">
      <w:pPr>
        <w:spacing w:before="102" w:line="226" w:lineRule="auto"/>
        <w:ind w:left="11"/>
        <w:outlineLvl w:val="2"/>
        <w:rPr>
          <w:rFonts w:ascii="宋体" w:hAnsi="宋体" w:eastAsia="宋体" w:cs="宋体"/>
          <w:color w:val="auto"/>
          <w:sz w:val="31"/>
          <w:szCs w:val="31"/>
          <w:highlight w:val="none"/>
        </w:rPr>
      </w:pPr>
      <w:bookmarkStart w:id="67" w:name="_Toc5622"/>
      <w:r>
        <w:rPr>
          <w:rFonts w:ascii="宋体" w:hAnsi="宋体" w:eastAsia="宋体" w:cs="宋体"/>
          <w:b/>
          <w:bCs/>
          <w:color w:val="auto"/>
          <w:spacing w:val="5"/>
          <w:sz w:val="31"/>
          <w:szCs w:val="31"/>
          <w:highlight w:val="none"/>
        </w:rPr>
        <w:t>4.1</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监理人的一般规定</w:t>
      </w:r>
      <w:bookmarkEnd w:id="67"/>
    </w:p>
    <w:p w14:paraId="34A92744">
      <w:pPr>
        <w:pStyle w:val="2"/>
        <w:spacing w:line="412" w:lineRule="auto"/>
        <w:rPr>
          <w:color w:val="auto"/>
          <w:highlight w:val="none"/>
        </w:rPr>
      </w:pPr>
    </w:p>
    <w:p w14:paraId="77980358">
      <w:pPr>
        <w:spacing w:before="65"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关于监理人的监理内容：</w:t>
      </w:r>
      <w:r>
        <w:rPr>
          <w:rFonts w:ascii="宋体" w:hAnsi="宋体" w:eastAsia="宋体" w:cs="宋体"/>
          <w:color w:val="auto"/>
          <w:spacing w:val="9"/>
          <w:sz w:val="20"/>
          <w:szCs w:val="20"/>
          <w:highlight w:val="none"/>
          <w:u w:val="single" w:color="auto"/>
        </w:rPr>
        <w:t>按本工程的监理合同中的有关条款</w:t>
      </w:r>
      <w:r>
        <w:rPr>
          <w:rFonts w:ascii="宋体" w:hAnsi="宋体" w:eastAsia="宋体" w:cs="宋体"/>
          <w:color w:val="auto"/>
          <w:spacing w:val="9"/>
          <w:sz w:val="20"/>
          <w:szCs w:val="20"/>
          <w:highlight w:val="none"/>
        </w:rPr>
        <w:t>。</w:t>
      </w:r>
    </w:p>
    <w:p w14:paraId="4AD9E659">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关于监理人的监理权限：</w:t>
      </w:r>
      <w:r>
        <w:rPr>
          <w:rFonts w:ascii="宋体" w:hAnsi="宋体" w:eastAsia="宋体" w:cs="宋体"/>
          <w:color w:val="auto"/>
          <w:spacing w:val="9"/>
          <w:sz w:val="20"/>
          <w:szCs w:val="20"/>
          <w:highlight w:val="none"/>
          <w:u w:val="single" w:color="auto"/>
        </w:rPr>
        <w:t>按本工程的监理合同中的有关条款</w:t>
      </w:r>
      <w:r>
        <w:rPr>
          <w:rFonts w:ascii="宋体" w:hAnsi="宋体" w:eastAsia="宋体" w:cs="宋体"/>
          <w:color w:val="auto"/>
          <w:spacing w:val="9"/>
          <w:sz w:val="20"/>
          <w:szCs w:val="20"/>
          <w:highlight w:val="none"/>
        </w:rPr>
        <w:t>。</w:t>
      </w:r>
    </w:p>
    <w:p w14:paraId="2A545EF5">
      <w:pPr>
        <w:spacing w:before="222" w:line="433" w:lineRule="auto"/>
        <w:ind w:left="10" w:right="2" w:firstLine="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关于监理人在施工现场的办公场所、生活场所的提供和费用承担的约定：</w:t>
      </w:r>
      <w:r>
        <w:rPr>
          <w:rFonts w:ascii="宋体" w:hAnsi="宋体" w:eastAsia="宋体" w:cs="宋体"/>
          <w:color w:val="auto"/>
          <w:spacing w:val="10"/>
          <w:sz w:val="20"/>
          <w:szCs w:val="20"/>
          <w:highlight w:val="none"/>
          <w:u w:val="single" w:color="auto"/>
        </w:rPr>
        <w:t>按本工程的监理合同中的有关</w:t>
      </w:r>
      <w:r>
        <w:rPr>
          <w:rFonts w:ascii="宋体" w:hAnsi="宋体" w:eastAsia="宋体" w:cs="宋体"/>
          <w:color w:val="auto"/>
          <w:spacing w:val="3"/>
          <w:sz w:val="20"/>
          <w:szCs w:val="20"/>
          <w:highlight w:val="none"/>
        </w:rPr>
        <w:t xml:space="preserve"> </w:t>
      </w:r>
      <w:r>
        <w:rPr>
          <w:rFonts w:ascii="宋体" w:hAnsi="宋体" w:eastAsia="宋体" w:cs="宋体"/>
          <w:color w:val="auto"/>
          <w:spacing w:val="2"/>
          <w:sz w:val="20"/>
          <w:szCs w:val="20"/>
          <w:highlight w:val="none"/>
          <w:u w:val="single" w:color="auto"/>
        </w:rPr>
        <w:t>条款</w:t>
      </w:r>
      <w:r>
        <w:rPr>
          <w:rFonts w:ascii="宋体" w:hAnsi="宋体" w:eastAsia="宋体" w:cs="宋体"/>
          <w:color w:val="auto"/>
          <w:spacing w:val="2"/>
          <w:sz w:val="20"/>
          <w:szCs w:val="20"/>
          <w:highlight w:val="none"/>
        </w:rPr>
        <w:t>。</w:t>
      </w:r>
    </w:p>
    <w:p w14:paraId="108B5B13">
      <w:pPr>
        <w:spacing w:before="282" w:line="226" w:lineRule="auto"/>
        <w:ind w:left="11"/>
        <w:outlineLvl w:val="2"/>
        <w:rPr>
          <w:rFonts w:ascii="宋体" w:hAnsi="宋体" w:eastAsia="宋体" w:cs="宋体"/>
          <w:color w:val="auto"/>
          <w:sz w:val="31"/>
          <w:szCs w:val="31"/>
          <w:highlight w:val="none"/>
        </w:rPr>
      </w:pPr>
      <w:bookmarkStart w:id="68" w:name="_Toc7766"/>
      <w:r>
        <w:rPr>
          <w:rFonts w:ascii="宋体" w:hAnsi="宋体" w:eastAsia="宋体" w:cs="宋体"/>
          <w:b/>
          <w:bCs/>
          <w:color w:val="auto"/>
          <w:spacing w:val="5"/>
          <w:sz w:val="31"/>
          <w:szCs w:val="31"/>
          <w:highlight w:val="none"/>
        </w:rPr>
        <w:t>4.2</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监理人员(发包人通知到位)</w:t>
      </w:r>
      <w:bookmarkEnd w:id="68"/>
    </w:p>
    <w:p w14:paraId="2C5B3E47">
      <w:pPr>
        <w:pStyle w:val="2"/>
        <w:spacing w:line="413" w:lineRule="auto"/>
        <w:rPr>
          <w:color w:val="auto"/>
          <w:highlight w:val="none"/>
        </w:rPr>
      </w:pPr>
    </w:p>
    <w:p w14:paraId="4EA42522">
      <w:pPr>
        <w:spacing w:before="65"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总监理工程师：</w:t>
      </w:r>
    </w:p>
    <w:p w14:paraId="0E5A8B7A">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姓    名：</w:t>
      </w:r>
      <w:r>
        <w:rPr>
          <w:rFonts w:ascii="宋体" w:hAnsi="宋体" w:eastAsia="宋体" w:cs="宋体"/>
          <w:color w:val="auto"/>
          <w:spacing w:val="6"/>
          <w:sz w:val="20"/>
          <w:szCs w:val="20"/>
          <w:highlight w:val="none"/>
          <w:u w:val="single" w:color="auto"/>
        </w:rPr>
        <w:t>详见监理合同</w:t>
      </w:r>
      <w:r>
        <w:rPr>
          <w:rFonts w:ascii="宋体" w:hAnsi="宋体" w:eastAsia="宋体" w:cs="宋体"/>
          <w:color w:val="auto"/>
          <w:spacing w:val="6"/>
          <w:sz w:val="20"/>
          <w:szCs w:val="20"/>
          <w:highlight w:val="none"/>
        </w:rPr>
        <w:t>；</w:t>
      </w:r>
    </w:p>
    <w:p w14:paraId="2E7C50D8">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职    务：</w:t>
      </w:r>
      <w:r>
        <w:rPr>
          <w:rFonts w:ascii="宋体" w:hAnsi="宋体" w:eastAsia="宋体" w:cs="宋体"/>
          <w:color w:val="auto"/>
          <w:spacing w:val="6"/>
          <w:sz w:val="20"/>
          <w:szCs w:val="20"/>
          <w:highlight w:val="none"/>
          <w:u w:val="single" w:color="auto"/>
        </w:rPr>
        <w:t>详见监理合同</w:t>
      </w:r>
      <w:r>
        <w:rPr>
          <w:rFonts w:ascii="宋体" w:hAnsi="宋体" w:eastAsia="宋体" w:cs="宋体"/>
          <w:color w:val="auto"/>
          <w:spacing w:val="6"/>
          <w:sz w:val="20"/>
          <w:szCs w:val="20"/>
          <w:highlight w:val="none"/>
        </w:rPr>
        <w:t>；</w:t>
      </w:r>
    </w:p>
    <w:p w14:paraId="5B882A02">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监理工程师注册证书号：</w:t>
      </w:r>
      <w:r>
        <w:rPr>
          <w:rFonts w:ascii="宋体" w:hAnsi="宋体" w:eastAsia="宋体" w:cs="宋体"/>
          <w:color w:val="auto"/>
          <w:spacing w:val="8"/>
          <w:sz w:val="20"/>
          <w:szCs w:val="20"/>
          <w:highlight w:val="none"/>
          <w:u w:val="single" w:color="auto"/>
        </w:rPr>
        <w:t>详见监理合同</w:t>
      </w:r>
      <w:r>
        <w:rPr>
          <w:rFonts w:ascii="宋体" w:hAnsi="宋体" w:eastAsia="宋体" w:cs="宋体"/>
          <w:color w:val="auto"/>
          <w:spacing w:val="8"/>
          <w:sz w:val="20"/>
          <w:szCs w:val="20"/>
          <w:highlight w:val="none"/>
        </w:rPr>
        <w:t>；</w:t>
      </w:r>
    </w:p>
    <w:p w14:paraId="6DA37E01">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联系电话：</w:t>
      </w:r>
      <w:r>
        <w:rPr>
          <w:rFonts w:ascii="宋体" w:hAnsi="宋体" w:eastAsia="宋体" w:cs="宋体"/>
          <w:color w:val="auto"/>
          <w:spacing w:val="7"/>
          <w:sz w:val="20"/>
          <w:szCs w:val="20"/>
          <w:highlight w:val="none"/>
          <w:u w:val="single" w:color="auto"/>
        </w:rPr>
        <w:t>详见监理合同</w:t>
      </w:r>
      <w:r>
        <w:rPr>
          <w:rFonts w:ascii="宋体" w:hAnsi="宋体" w:eastAsia="宋体" w:cs="宋体"/>
          <w:color w:val="auto"/>
          <w:spacing w:val="7"/>
          <w:sz w:val="20"/>
          <w:szCs w:val="20"/>
          <w:highlight w:val="none"/>
        </w:rPr>
        <w:t>；</w:t>
      </w:r>
    </w:p>
    <w:p w14:paraId="6DB8A381">
      <w:pPr>
        <w:spacing w:before="221" w:line="228" w:lineRule="auto"/>
        <w:ind w:left="45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电子信箱：</w:t>
      </w:r>
      <w:r>
        <w:rPr>
          <w:rFonts w:ascii="宋体" w:hAnsi="宋体" w:eastAsia="宋体" w:cs="宋体"/>
          <w:color w:val="auto"/>
          <w:spacing w:val="5"/>
          <w:sz w:val="20"/>
          <w:szCs w:val="20"/>
          <w:highlight w:val="none"/>
          <w:u w:val="single" w:color="auto"/>
        </w:rPr>
        <w:t>详见监理合同</w:t>
      </w:r>
      <w:r>
        <w:rPr>
          <w:rFonts w:ascii="宋体" w:hAnsi="宋体" w:eastAsia="宋体" w:cs="宋体"/>
          <w:color w:val="auto"/>
          <w:spacing w:val="5"/>
          <w:sz w:val="20"/>
          <w:szCs w:val="20"/>
          <w:highlight w:val="none"/>
        </w:rPr>
        <w:t>；</w:t>
      </w:r>
    </w:p>
    <w:p w14:paraId="19F6126A">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通信地址：</w:t>
      </w:r>
      <w:r>
        <w:rPr>
          <w:rFonts w:ascii="宋体" w:hAnsi="宋体" w:eastAsia="宋体" w:cs="宋体"/>
          <w:color w:val="auto"/>
          <w:spacing w:val="7"/>
          <w:sz w:val="20"/>
          <w:szCs w:val="20"/>
          <w:highlight w:val="none"/>
          <w:u w:val="single" w:color="auto"/>
        </w:rPr>
        <w:t>详见监理合同</w:t>
      </w:r>
      <w:r>
        <w:rPr>
          <w:rFonts w:ascii="宋体" w:hAnsi="宋体" w:eastAsia="宋体" w:cs="宋体"/>
          <w:color w:val="auto"/>
          <w:spacing w:val="7"/>
          <w:sz w:val="20"/>
          <w:szCs w:val="20"/>
          <w:highlight w:val="none"/>
        </w:rPr>
        <w:t>；</w:t>
      </w:r>
    </w:p>
    <w:p w14:paraId="5D5D8A92">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关于监理人的其他约定：</w:t>
      </w:r>
      <w:r>
        <w:rPr>
          <w:rFonts w:ascii="宋体" w:hAnsi="宋体" w:eastAsia="宋体" w:cs="宋体"/>
          <w:color w:val="auto"/>
          <w:spacing w:val="8"/>
          <w:sz w:val="20"/>
          <w:szCs w:val="20"/>
          <w:highlight w:val="none"/>
          <w:u w:val="single" w:color="auto"/>
        </w:rPr>
        <w:t>详见监理合同</w:t>
      </w:r>
      <w:r>
        <w:rPr>
          <w:rFonts w:ascii="宋体" w:hAnsi="宋体" w:eastAsia="宋体" w:cs="宋体"/>
          <w:color w:val="auto"/>
          <w:spacing w:val="8"/>
          <w:sz w:val="20"/>
          <w:szCs w:val="20"/>
          <w:highlight w:val="none"/>
        </w:rPr>
        <w:t>。</w:t>
      </w:r>
    </w:p>
    <w:p w14:paraId="4079FDAF">
      <w:pPr>
        <w:spacing w:line="228" w:lineRule="auto"/>
        <w:rPr>
          <w:rFonts w:ascii="宋体" w:hAnsi="宋体" w:eastAsia="宋体" w:cs="宋体"/>
          <w:color w:val="auto"/>
          <w:sz w:val="20"/>
          <w:szCs w:val="20"/>
          <w:highlight w:val="none"/>
        </w:rPr>
        <w:sectPr>
          <w:headerReference r:id="rId202" w:type="default"/>
          <w:footerReference r:id="rId203" w:type="default"/>
          <w:pgSz w:w="11906" w:h="16839"/>
          <w:pgMar w:top="1091" w:right="1219" w:bottom="1158" w:left="1219" w:header="1076" w:footer="922" w:gutter="0"/>
          <w:cols w:space="720" w:num="1"/>
        </w:sectPr>
      </w:pPr>
    </w:p>
    <w:p w14:paraId="744700BE">
      <w:pPr>
        <w:spacing w:before="97"/>
        <w:rPr>
          <w:color w:val="auto"/>
          <w:highlight w:val="none"/>
        </w:rPr>
      </w:pPr>
    </w:p>
    <w:p w14:paraId="3F250DA8">
      <w:pPr>
        <w:spacing w:before="97"/>
        <w:rPr>
          <w:color w:val="auto"/>
          <w:highlight w:val="none"/>
        </w:rPr>
      </w:pPr>
    </w:p>
    <w:tbl>
      <w:tblPr>
        <w:tblStyle w:val="8"/>
        <w:tblW w:w="946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467"/>
      </w:tblGrid>
      <w:tr w14:paraId="1C7CC8E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953" w:hRule="atLeast"/>
        </w:trPr>
        <w:tc>
          <w:tcPr>
            <w:tcW w:w="9467" w:type="dxa"/>
            <w:tcBorders>
              <w:top w:val="single" w:color="000000" w:sz="4" w:space="0"/>
              <w:bottom w:val="single" w:color="000000" w:sz="2" w:space="0"/>
            </w:tcBorders>
            <w:vAlign w:val="top"/>
          </w:tcPr>
          <w:p w14:paraId="6AB9FEBF">
            <w:pPr>
              <w:pStyle w:val="9"/>
              <w:spacing w:before="286" w:line="226" w:lineRule="auto"/>
              <w:ind w:left="11"/>
              <w:outlineLvl w:val="2"/>
              <w:rPr>
                <w:color w:val="auto"/>
                <w:sz w:val="31"/>
                <w:szCs w:val="31"/>
                <w:highlight w:val="none"/>
              </w:rPr>
            </w:pPr>
            <w:bookmarkStart w:id="69" w:name="_Toc27517"/>
            <w:r>
              <w:rPr>
                <w:b/>
                <w:bCs/>
                <w:color w:val="auto"/>
                <w:spacing w:val="1"/>
                <w:sz w:val="31"/>
                <w:szCs w:val="31"/>
                <w:highlight w:val="none"/>
              </w:rPr>
              <w:t>4.4</w:t>
            </w:r>
            <w:r>
              <w:rPr>
                <w:color w:val="auto"/>
                <w:spacing w:val="29"/>
                <w:sz w:val="31"/>
                <w:szCs w:val="31"/>
                <w:highlight w:val="none"/>
              </w:rPr>
              <w:t xml:space="preserve"> </w:t>
            </w:r>
            <w:r>
              <w:rPr>
                <w:b/>
                <w:bCs/>
                <w:color w:val="auto"/>
                <w:spacing w:val="1"/>
                <w:sz w:val="31"/>
                <w:szCs w:val="31"/>
                <w:highlight w:val="none"/>
              </w:rPr>
              <w:t>商定或确定</w:t>
            </w:r>
            <w:bookmarkEnd w:id="69"/>
          </w:p>
          <w:p w14:paraId="616E955C">
            <w:pPr>
              <w:spacing w:line="413" w:lineRule="auto"/>
              <w:rPr>
                <w:rFonts w:ascii="Arial"/>
                <w:color w:val="auto"/>
                <w:sz w:val="21"/>
                <w:highlight w:val="none"/>
              </w:rPr>
            </w:pPr>
          </w:p>
          <w:p w14:paraId="1DE6D676">
            <w:pPr>
              <w:pStyle w:val="9"/>
              <w:spacing w:before="65" w:line="228" w:lineRule="auto"/>
              <w:ind w:left="427"/>
              <w:rPr>
                <w:color w:val="auto"/>
                <w:highlight w:val="none"/>
              </w:rPr>
            </w:pPr>
            <w:r>
              <w:rPr>
                <w:color w:val="auto"/>
                <w:spacing w:val="10"/>
                <w:highlight w:val="none"/>
              </w:rPr>
              <w:t>在发包人和承包人不能通过协商达成一致意见</w:t>
            </w:r>
            <w:r>
              <w:rPr>
                <w:color w:val="auto"/>
                <w:spacing w:val="9"/>
                <w:highlight w:val="none"/>
              </w:rPr>
              <w:t>时，发包人授权监理人对以下事项进行确定：</w:t>
            </w:r>
          </w:p>
          <w:p w14:paraId="3B1DA5C4">
            <w:pPr>
              <w:pStyle w:val="9"/>
              <w:spacing w:before="220" w:line="229" w:lineRule="auto"/>
              <w:ind w:left="438"/>
              <w:rPr>
                <w:color w:val="auto"/>
                <w:highlight w:val="none"/>
              </w:rPr>
            </w:pPr>
            <w:r>
              <w:rPr>
                <w:color w:val="auto"/>
                <w:spacing w:val="3"/>
                <w:highlight w:val="none"/>
              </w:rPr>
              <w:t>（1）</w:t>
            </w:r>
            <w:r>
              <w:rPr>
                <w:color w:val="auto"/>
                <w:spacing w:val="3"/>
                <w:highlight w:val="none"/>
                <w:u w:val="single" w:color="auto"/>
              </w:rPr>
              <w:t>无</w:t>
            </w:r>
            <w:r>
              <w:rPr>
                <w:color w:val="auto"/>
                <w:spacing w:val="3"/>
                <w:highlight w:val="none"/>
              </w:rPr>
              <w:t>；</w:t>
            </w:r>
          </w:p>
          <w:p w14:paraId="3881DF86">
            <w:pPr>
              <w:pStyle w:val="9"/>
              <w:spacing w:before="219" w:line="229" w:lineRule="auto"/>
              <w:ind w:left="438"/>
              <w:rPr>
                <w:color w:val="auto"/>
                <w:highlight w:val="none"/>
              </w:rPr>
            </w:pPr>
            <w:r>
              <w:rPr>
                <w:color w:val="auto"/>
                <w:spacing w:val="3"/>
                <w:highlight w:val="none"/>
              </w:rPr>
              <w:t>（2）</w:t>
            </w:r>
            <w:r>
              <w:rPr>
                <w:color w:val="auto"/>
                <w:spacing w:val="3"/>
                <w:highlight w:val="none"/>
                <w:u w:val="single" w:color="auto"/>
              </w:rPr>
              <w:t>无</w:t>
            </w:r>
            <w:r>
              <w:rPr>
                <w:color w:val="auto"/>
                <w:spacing w:val="3"/>
                <w:highlight w:val="none"/>
              </w:rPr>
              <w:t>；</w:t>
            </w:r>
          </w:p>
          <w:p w14:paraId="1277973F">
            <w:pPr>
              <w:pStyle w:val="9"/>
              <w:spacing w:before="220" w:line="229" w:lineRule="auto"/>
              <w:ind w:left="438"/>
              <w:rPr>
                <w:color w:val="auto"/>
                <w:highlight w:val="none"/>
              </w:rPr>
            </w:pPr>
            <w:r>
              <w:rPr>
                <w:color w:val="auto"/>
                <w:spacing w:val="3"/>
                <w:highlight w:val="none"/>
              </w:rPr>
              <w:t>（3）</w:t>
            </w:r>
            <w:r>
              <w:rPr>
                <w:color w:val="auto"/>
                <w:spacing w:val="3"/>
                <w:highlight w:val="none"/>
                <w:u w:val="single" w:color="auto"/>
              </w:rPr>
              <w:t>无</w:t>
            </w:r>
            <w:r>
              <w:rPr>
                <w:color w:val="auto"/>
                <w:spacing w:val="3"/>
                <w:highlight w:val="none"/>
              </w:rPr>
              <w:t>。</w:t>
            </w:r>
          </w:p>
          <w:p w14:paraId="28DE36A9">
            <w:pPr>
              <w:spacing w:line="399" w:lineRule="auto"/>
              <w:rPr>
                <w:rFonts w:ascii="Arial"/>
                <w:color w:val="auto"/>
                <w:sz w:val="21"/>
                <w:highlight w:val="none"/>
              </w:rPr>
            </w:pPr>
          </w:p>
          <w:p w14:paraId="41FB29B8">
            <w:pPr>
              <w:pStyle w:val="9"/>
              <w:spacing w:before="101" w:line="226" w:lineRule="auto"/>
              <w:ind w:left="19"/>
              <w:outlineLvl w:val="1"/>
              <w:rPr>
                <w:color w:val="auto"/>
                <w:sz w:val="31"/>
                <w:szCs w:val="31"/>
                <w:highlight w:val="none"/>
              </w:rPr>
            </w:pPr>
            <w:bookmarkStart w:id="70" w:name="_Toc6882"/>
            <w:r>
              <w:rPr>
                <w:b/>
                <w:bCs/>
                <w:color w:val="auto"/>
                <w:sz w:val="31"/>
                <w:szCs w:val="31"/>
                <w:highlight w:val="none"/>
              </w:rPr>
              <w:t>5.</w:t>
            </w:r>
            <w:r>
              <w:rPr>
                <w:color w:val="auto"/>
                <w:spacing w:val="21"/>
                <w:sz w:val="31"/>
                <w:szCs w:val="31"/>
                <w:highlight w:val="none"/>
              </w:rPr>
              <w:t xml:space="preserve"> </w:t>
            </w:r>
            <w:r>
              <w:rPr>
                <w:b/>
                <w:bCs/>
                <w:color w:val="auto"/>
                <w:sz w:val="31"/>
                <w:szCs w:val="31"/>
                <w:highlight w:val="none"/>
              </w:rPr>
              <w:t>工程质量</w:t>
            </w:r>
            <w:bookmarkEnd w:id="70"/>
          </w:p>
          <w:p w14:paraId="36125621">
            <w:pPr>
              <w:spacing w:line="402" w:lineRule="auto"/>
              <w:rPr>
                <w:rFonts w:ascii="Arial"/>
                <w:color w:val="auto"/>
                <w:sz w:val="21"/>
                <w:highlight w:val="none"/>
              </w:rPr>
            </w:pPr>
          </w:p>
          <w:p w14:paraId="732DD2FE">
            <w:pPr>
              <w:pStyle w:val="9"/>
              <w:spacing w:before="101" w:line="226" w:lineRule="auto"/>
              <w:ind w:left="19"/>
              <w:outlineLvl w:val="2"/>
              <w:rPr>
                <w:color w:val="auto"/>
                <w:sz w:val="31"/>
                <w:szCs w:val="31"/>
                <w:highlight w:val="none"/>
              </w:rPr>
            </w:pPr>
            <w:bookmarkStart w:id="71" w:name="_Toc11024"/>
            <w:r>
              <w:rPr>
                <w:b/>
                <w:bCs/>
                <w:color w:val="auto"/>
                <w:spacing w:val="3"/>
                <w:sz w:val="31"/>
                <w:szCs w:val="31"/>
                <w:highlight w:val="none"/>
              </w:rPr>
              <w:t>5.1</w:t>
            </w:r>
            <w:r>
              <w:rPr>
                <w:color w:val="auto"/>
                <w:spacing w:val="3"/>
                <w:sz w:val="31"/>
                <w:szCs w:val="31"/>
                <w:highlight w:val="none"/>
              </w:rPr>
              <w:t xml:space="preserve"> </w:t>
            </w:r>
            <w:r>
              <w:rPr>
                <w:b/>
                <w:bCs/>
                <w:color w:val="auto"/>
                <w:spacing w:val="3"/>
                <w:sz w:val="31"/>
                <w:szCs w:val="31"/>
                <w:highlight w:val="none"/>
              </w:rPr>
              <w:t>质量要求</w:t>
            </w:r>
            <w:bookmarkEnd w:id="71"/>
          </w:p>
          <w:p w14:paraId="2F68B376">
            <w:pPr>
              <w:spacing w:line="413" w:lineRule="auto"/>
              <w:rPr>
                <w:rFonts w:ascii="Arial"/>
                <w:color w:val="auto"/>
                <w:sz w:val="21"/>
                <w:highlight w:val="none"/>
              </w:rPr>
            </w:pPr>
          </w:p>
          <w:p w14:paraId="2C0938D6">
            <w:pPr>
              <w:pStyle w:val="9"/>
              <w:spacing w:before="66" w:line="228" w:lineRule="auto"/>
              <w:ind w:left="12"/>
              <w:rPr>
                <w:color w:val="auto"/>
                <w:highlight w:val="none"/>
              </w:rPr>
            </w:pPr>
            <w:r>
              <w:rPr>
                <w:color w:val="auto"/>
                <w:spacing w:val="8"/>
                <w:highlight w:val="none"/>
              </w:rPr>
              <w:t>5.1.1 特殊质量标准和要求：</w:t>
            </w:r>
            <w:r>
              <w:rPr>
                <w:color w:val="auto"/>
                <w:spacing w:val="8"/>
                <w:highlight w:val="none"/>
                <w:u w:val="single" w:color="auto"/>
              </w:rPr>
              <w:t>达到国家施工验收规范合格工程标准</w:t>
            </w:r>
            <w:r>
              <w:rPr>
                <w:color w:val="auto"/>
                <w:spacing w:val="8"/>
                <w:highlight w:val="none"/>
              </w:rPr>
              <w:t>。</w:t>
            </w:r>
          </w:p>
          <w:p w14:paraId="427FE789">
            <w:pPr>
              <w:pStyle w:val="9"/>
              <w:spacing w:before="220" w:line="229" w:lineRule="auto"/>
              <w:ind w:left="431"/>
              <w:rPr>
                <w:color w:val="auto"/>
                <w:highlight w:val="none"/>
              </w:rPr>
            </w:pPr>
            <w:r>
              <w:rPr>
                <w:color w:val="auto"/>
                <w:spacing w:val="7"/>
                <w:highlight w:val="none"/>
              </w:rPr>
              <w:t>关于工程奖项的约定：</w:t>
            </w:r>
            <w:r>
              <w:rPr>
                <w:color w:val="auto"/>
                <w:spacing w:val="26"/>
                <w:highlight w:val="none"/>
              </w:rPr>
              <w:t xml:space="preserve"> </w:t>
            </w:r>
            <w:r>
              <w:rPr>
                <w:color w:val="auto"/>
                <w:spacing w:val="7"/>
                <w:highlight w:val="none"/>
              </w:rPr>
              <w:t>无</w:t>
            </w:r>
          </w:p>
          <w:p w14:paraId="1105F35B">
            <w:pPr>
              <w:pStyle w:val="9"/>
              <w:spacing w:before="221" w:line="228" w:lineRule="auto"/>
              <w:ind w:left="432"/>
              <w:rPr>
                <w:color w:val="auto"/>
                <w:highlight w:val="none"/>
              </w:rPr>
            </w:pPr>
            <w:r>
              <w:rPr>
                <w:color w:val="auto"/>
                <w:spacing w:val="4"/>
                <w:highlight w:val="none"/>
              </w:rPr>
              <w:t>5.3</w:t>
            </w:r>
            <w:r>
              <w:rPr>
                <w:color w:val="auto"/>
                <w:spacing w:val="28"/>
                <w:highlight w:val="none"/>
              </w:rPr>
              <w:t xml:space="preserve"> </w:t>
            </w:r>
            <w:r>
              <w:rPr>
                <w:color w:val="auto"/>
                <w:spacing w:val="4"/>
                <w:highlight w:val="none"/>
              </w:rPr>
              <w:t>隐蔽工程检查</w:t>
            </w:r>
          </w:p>
          <w:p w14:paraId="747AE31A">
            <w:pPr>
              <w:pStyle w:val="9"/>
              <w:spacing w:before="220" w:line="432" w:lineRule="auto"/>
              <w:ind w:left="8" w:right="1" w:firstLine="424"/>
              <w:jc w:val="both"/>
              <w:rPr>
                <w:color w:val="auto"/>
                <w:highlight w:val="none"/>
              </w:rPr>
            </w:pPr>
            <w:r>
              <w:rPr>
                <w:color w:val="auto"/>
                <w:spacing w:val="7"/>
                <w:highlight w:val="none"/>
              </w:rPr>
              <w:t>5.3.2</w:t>
            </w:r>
            <w:r>
              <w:rPr>
                <w:color w:val="auto"/>
                <w:spacing w:val="-34"/>
                <w:highlight w:val="none"/>
              </w:rPr>
              <w:t xml:space="preserve"> </w:t>
            </w:r>
            <w:r>
              <w:rPr>
                <w:color w:val="auto"/>
                <w:spacing w:val="7"/>
                <w:highlight w:val="none"/>
              </w:rPr>
              <w:t>承包人提前通知监理人隐蔽工程检查的期限的约定：工程隐蔽或中间验收前</w:t>
            </w:r>
            <w:r>
              <w:rPr>
                <w:color w:val="auto"/>
                <w:spacing w:val="-24"/>
                <w:highlight w:val="none"/>
              </w:rPr>
              <w:t xml:space="preserve"> </w:t>
            </w:r>
            <w:r>
              <w:rPr>
                <w:color w:val="auto"/>
                <w:spacing w:val="7"/>
                <w:highlight w:val="none"/>
              </w:rPr>
              <w:t>12</w:t>
            </w:r>
            <w:r>
              <w:rPr>
                <w:color w:val="auto"/>
                <w:spacing w:val="-32"/>
                <w:highlight w:val="none"/>
              </w:rPr>
              <w:t xml:space="preserve"> </w:t>
            </w:r>
            <w:r>
              <w:rPr>
                <w:color w:val="auto"/>
                <w:spacing w:val="7"/>
                <w:highlight w:val="none"/>
              </w:rPr>
              <w:t>小时以书面形</w:t>
            </w:r>
            <w:r>
              <w:rPr>
                <w:color w:val="auto"/>
                <w:highlight w:val="none"/>
              </w:rPr>
              <w:t xml:space="preserve"> </w:t>
            </w:r>
            <w:r>
              <w:rPr>
                <w:color w:val="auto"/>
                <w:spacing w:val="9"/>
                <w:highlight w:val="none"/>
              </w:rPr>
              <w:t>式通知发包人和监理工程师验收的内容、时间、地点，承包人准备验收记录单（</w:t>
            </w:r>
            <w:r>
              <w:rPr>
                <w:color w:val="auto"/>
                <w:spacing w:val="8"/>
                <w:highlight w:val="none"/>
              </w:rPr>
              <w:t>最好是印制的表格）</w:t>
            </w:r>
            <w:r>
              <w:rPr>
                <w:color w:val="auto"/>
                <w:spacing w:val="-56"/>
                <w:highlight w:val="none"/>
              </w:rPr>
              <w:t xml:space="preserve"> </w:t>
            </w:r>
            <w:r>
              <w:rPr>
                <w:color w:val="auto"/>
                <w:spacing w:val="8"/>
                <w:highlight w:val="none"/>
              </w:rPr>
              <w:t>由</w:t>
            </w:r>
            <w:r>
              <w:rPr>
                <w:color w:val="auto"/>
                <w:highlight w:val="none"/>
              </w:rPr>
              <w:t xml:space="preserve"> </w:t>
            </w:r>
            <w:r>
              <w:rPr>
                <w:color w:val="auto"/>
                <w:spacing w:val="10"/>
                <w:highlight w:val="none"/>
              </w:rPr>
              <w:t>双方签证。验收合格，承包人可进行隐蔽和继续施工；验收不合格，双方商订</w:t>
            </w:r>
            <w:r>
              <w:rPr>
                <w:color w:val="auto"/>
                <w:spacing w:val="9"/>
                <w:highlight w:val="none"/>
              </w:rPr>
              <w:t>时限内修改后按上述循序</w:t>
            </w:r>
            <w:r>
              <w:rPr>
                <w:color w:val="auto"/>
                <w:highlight w:val="none"/>
              </w:rPr>
              <w:t xml:space="preserve"> </w:t>
            </w:r>
            <w:r>
              <w:rPr>
                <w:color w:val="auto"/>
                <w:spacing w:val="5"/>
                <w:highlight w:val="none"/>
              </w:rPr>
              <w:t>重新验收。</w:t>
            </w:r>
          </w:p>
          <w:p w14:paraId="35C67E99">
            <w:pPr>
              <w:pStyle w:val="9"/>
              <w:spacing w:before="1" w:line="227" w:lineRule="auto"/>
              <w:ind w:left="429"/>
              <w:rPr>
                <w:color w:val="auto"/>
                <w:highlight w:val="none"/>
              </w:rPr>
            </w:pPr>
            <w:r>
              <w:rPr>
                <w:color w:val="auto"/>
                <w:spacing w:val="8"/>
                <w:highlight w:val="none"/>
              </w:rPr>
              <w:t>监理人不能按时进行检查时，应提前</w:t>
            </w:r>
            <w:r>
              <w:rPr>
                <w:color w:val="auto"/>
                <w:spacing w:val="-35"/>
                <w:highlight w:val="none"/>
              </w:rPr>
              <w:t xml:space="preserve"> </w:t>
            </w:r>
            <w:r>
              <w:rPr>
                <w:color w:val="auto"/>
                <w:spacing w:val="8"/>
                <w:highlight w:val="none"/>
                <w:u w:val="single" w:color="auto"/>
              </w:rPr>
              <w:t>24</w:t>
            </w:r>
            <w:r>
              <w:rPr>
                <w:color w:val="auto"/>
                <w:spacing w:val="-35"/>
                <w:highlight w:val="none"/>
                <w:u w:val="single" w:color="auto"/>
              </w:rPr>
              <w:t xml:space="preserve"> </w:t>
            </w:r>
            <w:r>
              <w:rPr>
                <w:color w:val="auto"/>
                <w:spacing w:val="8"/>
                <w:highlight w:val="none"/>
              </w:rPr>
              <w:t>小时提交书面延期要求。</w:t>
            </w:r>
          </w:p>
          <w:p w14:paraId="5092B74A">
            <w:pPr>
              <w:pStyle w:val="9"/>
              <w:spacing w:before="222" w:line="228" w:lineRule="auto"/>
              <w:ind w:left="431"/>
              <w:rPr>
                <w:color w:val="auto"/>
                <w:highlight w:val="none"/>
              </w:rPr>
            </w:pPr>
            <w:r>
              <w:rPr>
                <w:color w:val="auto"/>
                <w:spacing w:val="6"/>
                <w:highlight w:val="none"/>
              </w:rPr>
              <w:t>关于延期最长不得超过：</w:t>
            </w:r>
            <w:r>
              <w:rPr>
                <w:color w:val="auto"/>
                <w:spacing w:val="6"/>
                <w:highlight w:val="none"/>
                <w:u w:val="single" w:color="auto"/>
              </w:rPr>
              <w:t>48</w:t>
            </w:r>
            <w:r>
              <w:rPr>
                <w:color w:val="auto"/>
                <w:spacing w:val="-18"/>
                <w:highlight w:val="none"/>
                <w:u w:val="single" w:color="auto"/>
              </w:rPr>
              <w:t xml:space="preserve"> </w:t>
            </w:r>
            <w:r>
              <w:rPr>
                <w:color w:val="auto"/>
                <w:spacing w:val="6"/>
                <w:highlight w:val="none"/>
              </w:rPr>
              <w:t>小时。</w:t>
            </w:r>
          </w:p>
          <w:p w14:paraId="6327CB56">
            <w:pPr>
              <w:spacing w:line="400" w:lineRule="auto"/>
              <w:rPr>
                <w:rFonts w:ascii="Arial"/>
                <w:color w:val="auto"/>
                <w:sz w:val="21"/>
                <w:highlight w:val="none"/>
              </w:rPr>
            </w:pPr>
          </w:p>
          <w:p w14:paraId="71FA0CDD">
            <w:pPr>
              <w:pStyle w:val="9"/>
              <w:spacing w:before="101" w:line="225" w:lineRule="auto"/>
              <w:ind w:left="15"/>
              <w:outlineLvl w:val="1"/>
              <w:rPr>
                <w:color w:val="auto"/>
                <w:sz w:val="31"/>
                <w:szCs w:val="31"/>
                <w:highlight w:val="none"/>
              </w:rPr>
            </w:pPr>
            <w:bookmarkStart w:id="72" w:name="_Toc13988"/>
            <w:r>
              <w:rPr>
                <w:b/>
                <w:bCs/>
                <w:color w:val="auto"/>
                <w:spacing w:val="5"/>
                <w:sz w:val="31"/>
                <w:szCs w:val="31"/>
                <w:highlight w:val="none"/>
              </w:rPr>
              <w:t>6.</w:t>
            </w:r>
            <w:r>
              <w:rPr>
                <w:color w:val="auto"/>
                <w:spacing w:val="5"/>
                <w:sz w:val="31"/>
                <w:szCs w:val="31"/>
                <w:highlight w:val="none"/>
              </w:rPr>
              <w:t xml:space="preserve"> </w:t>
            </w:r>
            <w:r>
              <w:rPr>
                <w:b/>
                <w:bCs/>
                <w:color w:val="auto"/>
                <w:spacing w:val="5"/>
                <w:sz w:val="31"/>
                <w:szCs w:val="31"/>
                <w:highlight w:val="none"/>
              </w:rPr>
              <w:t>安全文明施工与环境保护</w:t>
            </w:r>
            <w:bookmarkEnd w:id="72"/>
          </w:p>
          <w:p w14:paraId="775986B3">
            <w:pPr>
              <w:spacing w:line="404" w:lineRule="auto"/>
              <w:rPr>
                <w:rFonts w:ascii="Arial"/>
                <w:color w:val="auto"/>
                <w:sz w:val="21"/>
                <w:highlight w:val="none"/>
              </w:rPr>
            </w:pPr>
          </w:p>
          <w:p w14:paraId="0E91B6D3">
            <w:pPr>
              <w:pStyle w:val="9"/>
              <w:spacing w:before="101" w:line="225" w:lineRule="auto"/>
              <w:ind w:left="15"/>
              <w:outlineLvl w:val="2"/>
              <w:rPr>
                <w:color w:val="auto"/>
                <w:sz w:val="31"/>
                <w:szCs w:val="31"/>
                <w:highlight w:val="none"/>
              </w:rPr>
            </w:pPr>
            <w:bookmarkStart w:id="73" w:name="_Toc23044"/>
            <w:r>
              <w:rPr>
                <w:b/>
                <w:bCs/>
                <w:color w:val="auto"/>
                <w:spacing w:val="4"/>
                <w:sz w:val="31"/>
                <w:szCs w:val="31"/>
                <w:highlight w:val="none"/>
              </w:rPr>
              <w:t>6.1</w:t>
            </w:r>
            <w:r>
              <w:rPr>
                <w:color w:val="auto"/>
                <w:spacing w:val="4"/>
                <w:sz w:val="31"/>
                <w:szCs w:val="31"/>
                <w:highlight w:val="none"/>
              </w:rPr>
              <w:t xml:space="preserve"> </w:t>
            </w:r>
            <w:r>
              <w:rPr>
                <w:b/>
                <w:bCs/>
                <w:color w:val="auto"/>
                <w:spacing w:val="4"/>
                <w:sz w:val="31"/>
                <w:szCs w:val="31"/>
                <w:highlight w:val="none"/>
              </w:rPr>
              <w:t>安全文明施工</w:t>
            </w:r>
            <w:bookmarkEnd w:id="73"/>
          </w:p>
          <w:p w14:paraId="7E17BCF1">
            <w:pPr>
              <w:spacing w:line="414" w:lineRule="auto"/>
              <w:rPr>
                <w:rFonts w:ascii="Arial"/>
                <w:color w:val="auto"/>
                <w:sz w:val="21"/>
                <w:highlight w:val="none"/>
              </w:rPr>
            </w:pPr>
          </w:p>
          <w:p w14:paraId="49BC02EE">
            <w:pPr>
              <w:pStyle w:val="9"/>
              <w:spacing w:before="65" w:line="303" w:lineRule="auto"/>
              <w:ind w:left="8" w:right="70" w:firstLine="421"/>
              <w:rPr>
                <w:color w:val="auto"/>
                <w:highlight w:val="none"/>
              </w:rPr>
            </w:pPr>
            <w:r>
              <w:rPr>
                <w:color w:val="auto"/>
                <w:spacing w:val="7"/>
                <w:highlight w:val="none"/>
              </w:rPr>
              <w:t>6.1.1 项目安全生产的达标目标及相应事项的约定：</w:t>
            </w:r>
            <w:r>
              <w:rPr>
                <w:color w:val="auto"/>
                <w:spacing w:val="7"/>
                <w:highlight w:val="none"/>
                <w:u w:val="single" w:color="auto"/>
              </w:rPr>
              <w:t>承包人应严格按桂建质</w:t>
            </w:r>
            <w:r>
              <w:rPr>
                <w:color w:val="auto"/>
                <w:spacing w:val="57"/>
                <w:highlight w:val="none"/>
                <w:u w:val="single" w:color="auto"/>
              </w:rPr>
              <w:t xml:space="preserve"> </w:t>
            </w:r>
            <w:r>
              <w:rPr>
                <w:color w:val="auto"/>
                <w:spacing w:val="7"/>
                <w:highlight w:val="none"/>
                <w:u w:val="single" w:color="auto"/>
              </w:rPr>
              <w:t>[2015]16</w:t>
            </w:r>
            <w:r>
              <w:rPr>
                <w:color w:val="auto"/>
                <w:spacing w:val="-35"/>
                <w:highlight w:val="none"/>
                <w:u w:val="single" w:color="auto"/>
              </w:rPr>
              <w:t xml:space="preserve"> </w:t>
            </w:r>
            <w:r>
              <w:rPr>
                <w:color w:val="auto"/>
                <w:spacing w:val="7"/>
                <w:highlight w:val="none"/>
                <w:u w:val="single" w:color="auto"/>
              </w:rPr>
              <w:t>号文《广西</w:t>
            </w:r>
            <w:r>
              <w:rPr>
                <w:color w:val="auto"/>
                <w:highlight w:val="none"/>
              </w:rPr>
              <w:t xml:space="preserve"> </w:t>
            </w:r>
            <w:r>
              <w:rPr>
                <w:color w:val="auto"/>
                <w:spacing w:val="8"/>
                <w:highlight w:val="none"/>
              </w:rPr>
              <w:t>壮族自治区建筑工程安全防护、文明施工措施费及管理细则》和南建质安</w:t>
            </w:r>
            <w:r>
              <w:rPr>
                <w:color w:val="auto"/>
                <w:spacing w:val="48"/>
                <w:highlight w:val="none"/>
              </w:rPr>
              <w:t xml:space="preserve"> </w:t>
            </w:r>
            <w:r>
              <w:rPr>
                <w:color w:val="auto"/>
                <w:spacing w:val="8"/>
                <w:highlight w:val="none"/>
              </w:rPr>
              <w:t>[20</w:t>
            </w:r>
            <w:r>
              <w:rPr>
                <w:color w:val="auto"/>
                <w:spacing w:val="7"/>
                <w:highlight w:val="none"/>
              </w:rPr>
              <w:t>13]22</w:t>
            </w:r>
            <w:r>
              <w:rPr>
                <w:color w:val="auto"/>
                <w:spacing w:val="-35"/>
                <w:highlight w:val="none"/>
              </w:rPr>
              <w:t xml:space="preserve"> </w:t>
            </w:r>
            <w:r>
              <w:rPr>
                <w:color w:val="auto"/>
                <w:spacing w:val="7"/>
                <w:highlight w:val="none"/>
              </w:rPr>
              <w:t>号文《关于印发南</w:t>
            </w:r>
          </w:p>
        </w:tc>
      </w:tr>
      <w:tr w14:paraId="2A74C9B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3" w:hRule="atLeast"/>
        </w:trPr>
        <w:tc>
          <w:tcPr>
            <w:tcW w:w="9467" w:type="dxa"/>
            <w:tcBorders>
              <w:top w:val="single" w:color="000000" w:sz="2" w:space="0"/>
              <w:bottom w:val="single" w:color="000000" w:sz="2" w:space="0"/>
            </w:tcBorders>
            <w:vAlign w:val="top"/>
          </w:tcPr>
          <w:p w14:paraId="11C5609C">
            <w:pPr>
              <w:pStyle w:val="9"/>
              <w:spacing w:before="264" w:line="174" w:lineRule="auto"/>
              <w:ind w:left="15"/>
              <w:rPr>
                <w:color w:val="auto"/>
                <w:highlight w:val="none"/>
              </w:rPr>
            </w:pPr>
            <w:r>
              <w:rPr>
                <w:color w:val="auto"/>
                <w:spacing w:val="9"/>
                <w:highlight w:val="none"/>
              </w:rPr>
              <w:t>宁市建设工程安全防护、文明施工措施费用管理规定的通知》等法律、法规采取安全措施、组织施工，</w:t>
            </w:r>
          </w:p>
        </w:tc>
      </w:tr>
      <w:tr w14:paraId="7C378A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73" w:hRule="atLeast"/>
        </w:trPr>
        <w:tc>
          <w:tcPr>
            <w:tcW w:w="9467" w:type="dxa"/>
            <w:tcBorders>
              <w:top w:val="single" w:color="000000" w:sz="2" w:space="0"/>
              <w:bottom w:val="single" w:color="000000" w:sz="2" w:space="0"/>
            </w:tcBorders>
            <w:vAlign w:val="top"/>
          </w:tcPr>
          <w:p w14:paraId="098A844D">
            <w:pPr>
              <w:pStyle w:val="9"/>
              <w:spacing w:before="264" w:line="228" w:lineRule="auto"/>
              <w:ind w:left="11"/>
              <w:rPr>
                <w:color w:val="auto"/>
                <w:highlight w:val="none"/>
              </w:rPr>
            </w:pPr>
            <w:r>
              <w:rPr>
                <w:color w:val="auto"/>
                <w:spacing w:val="9"/>
                <w:highlight w:val="none"/>
                <w:u w:val="single" w:color="auto"/>
              </w:rPr>
              <w:t>如发生事故、发生的一切责任与后果均由承包人承担</w:t>
            </w:r>
            <w:r>
              <w:rPr>
                <w:color w:val="auto"/>
                <w:spacing w:val="9"/>
                <w:highlight w:val="none"/>
              </w:rPr>
              <w:t>。</w:t>
            </w:r>
          </w:p>
          <w:p w14:paraId="4E90B46E">
            <w:pPr>
              <w:pStyle w:val="9"/>
              <w:spacing w:before="221" w:line="228" w:lineRule="auto"/>
              <w:ind w:left="431"/>
              <w:rPr>
                <w:color w:val="auto"/>
                <w:highlight w:val="none"/>
              </w:rPr>
            </w:pPr>
            <w:r>
              <w:rPr>
                <w:color w:val="auto"/>
                <w:spacing w:val="8"/>
                <w:highlight w:val="none"/>
              </w:rPr>
              <w:t>关于安全文明施工奖项的约定：</w:t>
            </w:r>
            <w:r>
              <w:rPr>
                <w:color w:val="auto"/>
                <w:spacing w:val="8"/>
                <w:highlight w:val="none"/>
                <w:u w:val="single" w:color="auto"/>
              </w:rPr>
              <w:t>无</w:t>
            </w:r>
            <w:r>
              <w:rPr>
                <w:color w:val="auto"/>
                <w:spacing w:val="8"/>
                <w:highlight w:val="none"/>
              </w:rPr>
              <w:t>。</w:t>
            </w:r>
          </w:p>
          <w:p w14:paraId="5067FB40">
            <w:pPr>
              <w:pStyle w:val="9"/>
              <w:spacing w:before="220" w:line="306" w:lineRule="auto"/>
              <w:ind w:left="10" w:right="18" w:firstLine="420"/>
              <w:rPr>
                <w:color w:val="auto"/>
                <w:highlight w:val="none"/>
              </w:rPr>
            </w:pPr>
            <w:r>
              <w:rPr>
                <w:color w:val="auto"/>
                <w:spacing w:val="9"/>
                <w:highlight w:val="none"/>
              </w:rPr>
              <w:t>6.1.4 关于治安保卫的特别约定：</w:t>
            </w:r>
            <w:r>
              <w:rPr>
                <w:color w:val="auto"/>
                <w:spacing w:val="9"/>
                <w:highlight w:val="none"/>
                <w:u w:val="single" w:color="auto"/>
              </w:rPr>
              <w:t>承包人应承担施工安全保卫工作及非夜间施工照明的责任，承包</w:t>
            </w:r>
            <w:r>
              <w:rPr>
                <w:color w:val="auto"/>
                <w:spacing w:val="1"/>
                <w:highlight w:val="none"/>
              </w:rPr>
              <w:t xml:space="preserve"> </w:t>
            </w:r>
            <w:r>
              <w:rPr>
                <w:color w:val="auto"/>
                <w:spacing w:val="10"/>
                <w:highlight w:val="none"/>
              </w:rPr>
              <w:t>人应采取一切合理的预防措施，防止人员伤亡、财产损失事故，费用由承</w:t>
            </w:r>
            <w:r>
              <w:rPr>
                <w:color w:val="auto"/>
                <w:spacing w:val="9"/>
                <w:highlight w:val="none"/>
              </w:rPr>
              <w:t>包人承担。承包人生活设施及</w:t>
            </w:r>
          </w:p>
        </w:tc>
      </w:tr>
    </w:tbl>
    <w:p w14:paraId="359BADAF">
      <w:pPr>
        <w:pStyle w:val="2"/>
        <w:rPr>
          <w:color w:val="auto"/>
          <w:highlight w:val="none"/>
        </w:rPr>
      </w:pPr>
    </w:p>
    <w:p w14:paraId="61FA4525">
      <w:pPr>
        <w:rPr>
          <w:color w:val="auto"/>
          <w:highlight w:val="none"/>
        </w:rPr>
        <w:sectPr>
          <w:headerReference r:id="rId204" w:type="default"/>
          <w:footerReference r:id="rId205" w:type="default"/>
          <w:pgSz w:w="11906" w:h="16839"/>
          <w:pgMar w:top="400" w:right="1219" w:bottom="1158" w:left="1219" w:header="0" w:footer="922" w:gutter="0"/>
          <w:cols w:space="720" w:num="1"/>
        </w:sectPr>
      </w:pPr>
    </w:p>
    <w:p w14:paraId="35AD812A">
      <w:pPr>
        <w:pStyle w:val="2"/>
        <w:spacing w:line="292" w:lineRule="auto"/>
        <w:rPr>
          <w:color w:val="auto"/>
          <w:highlight w:val="none"/>
        </w:rPr>
      </w:pPr>
    </w:p>
    <w:p w14:paraId="1FDC32E2">
      <w:pPr>
        <w:pStyle w:val="2"/>
        <w:spacing w:line="292" w:lineRule="auto"/>
        <w:rPr>
          <w:color w:val="auto"/>
          <w:highlight w:val="none"/>
        </w:rPr>
      </w:pPr>
    </w:p>
    <w:p w14:paraId="4897AD91">
      <w:pPr>
        <w:pStyle w:val="2"/>
        <w:spacing w:line="293" w:lineRule="auto"/>
        <w:rPr>
          <w:color w:val="auto"/>
          <w:highlight w:val="none"/>
        </w:rPr>
      </w:pPr>
      <w:r>
        <w:rPr>
          <w:color w:val="auto"/>
          <w:highlight w:val="none"/>
        </w:rPr>
        <w:pict>
          <v:shape id="_x0000_s1037" o:spid="_x0000_s1037" style="position:absolute;left:0pt;margin-left:0pt;margin-top:4.45pt;height:0.75pt;width:473.4pt;z-index:251687936;mso-width-relative:page;mso-height-relative:page;" fillcolor="#000000" filled="t" stroked="f" coordsize="9467,15" path="m0,0l9467,0,9467,14,0,14,0,0xe">
            <v:path/>
            <v:fill on="t" focussize="0,0"/>
            <v:stroke on="f"/>
            <v:imagedata o:title=""/>
            <o:lock v:ext="edit"/>
          </v:shape>
        </w:pict>
      </w:r>
    </w:p>
    <w:p w14:paraId="0DDBA1DB">
      <w:pPr>
        <w:spacing w:before="65" w:line="228" w:lineRule="auto"/>
        <w:ind w:left="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施工场应自费配备消防设备，防止火灾发生。</w:t>
      </w:r>
    </w:p>
    <w:p w14:paraId="615626B8">
      <w:pPr>
        <w:spacing w:before="220" w:line="432" w:lineRule="auto"/>
        <w:ind w:left="7" w:right="19" w:firstLine="42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关于编制施工场地治安管理计划的约定：</w:t>
      </w:r>
      <w:r>
        <w:rPr>
          <w:rFonts w:ascii="宋体" w:hAnsi="宋体" w:eastAsia="宋体" w:cs="宋体"/>
          <w:color w:val="auto"/>
          <w:spacing w:val="10"/>
          <w:sz w:val="20"/>
          <w:szCs w:val="20"/>
          <w:highlight w:val="none"/>
          <w:u w:val="single" w:color="auto"/>
        </w:rPr>
        <w:t>承包人应在开工前编制施</w:t>
      </w:r>
      <w:r>
        <w:rPr>
          <w:rFonts w:ascii="宋体" w:hAnsi="宋体" w:eastAsia="宋体" w:cs="宋体"/>
          <w:color w:val="auto"/>
          <w:spacing w:val="9"/>
          <w:sz w:val="20"/>
          <w:szCs w:val="20"/>
          <w:highlight w:val="none"/>
          <w:u w:val="single" w:color="auto"/>
        </w:rPr>
        <w:t>工场地治安管理计划，并制定应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对突发治安的紧急预案上报发包人</w:t>
      </w:r>
      <w:r>
        <w:rPr>
          <w:rFonts w:ascii="宋体" w:hAnsi="宋体" w:eastAsia="宋体" w:cs="宋体"/>
          <w:color w:val="auto"/>
          <w:spacing w:val="8"/>
          <w:sz w:val="20"/>
          <w:szCs w:val="20"/>
          <w:highlight w:val="none"/>
        </w:rPr>
        <w:t>。</w:t>
      </w:r>
    </w:p>
    <w:p w14:paraId="4FD41795">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6.1.5 文明施工</w:t>
      </w:r>
    </w:p>
    <w:p w14:paraId="70C28CDB">
      <w:pPr>
        <w:tabs>
          <w:tab w:val="left" w:pos="96"/>
        </w:tabs>
        <w:spacing w:before="142" w:line="289" w:lineRule="auto"/>
        <w:ind w:right="2" w:firstLine="429"/>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 xml:space="preserve">合同当事人对文明施工的要求： </w:t>
      </w:r>
      <w:r>
        <w:rPr>
          <w:rFonts w:ascii="宋体" w:hAnsi="宋体" w:eastAsia="宋体" w:cs="宋体"/>
          <w:color w:val="auto"/>
          <w:spacing w:val="-73"/>
          <w:sz w:val="20"/>
          <w:szCs w:val="20"/>
          <w:highlight w:val="none"/>
          <w:u w:val="single" w:color="auto"/>
        </w:rPr>
        <w:t xml:space="preserve"> </w:t>
      </w:r>
      <w:r>
        <w:rPr>
          <w:rFonts w:ascii="宋体" w:hAnsi="宋体" w:eastAsia="宋体" w:cs="宋体"/>
          <w:color w:val="auto"/>
          <w:spacing w:val="7"/>
          <w:sz w:val="20"/>
          <w:szCs w:val="20"/>
          <w:highlight w:val="none"/>
          <w:u w:val="single" w:color="auto"/>
        </w:rPr>
        <w:t>安全防护、文明施工设施须按南宁市城乡建委《南宁市建设工程质</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量安全管理标准化图集》（强制性行业标准，2013 年</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7"/>
          <w:sz w:val="20"/>
          <w:szCs w:val="20"/>
          <w:highlight w:val="none"/>
          <w:u w:val="single" w:color="auto"/>
        </w:rPr>
        <w:t>4</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7"/>
          <w:sz w:val="20"/>
          <w:szCs w:val="20"/>
          <w:highlight w:val="none"/>
          <w:u w:val="single" w:color="auto"/>
        </w:rPr>
        <w:t>月版）要求及《南宁市城乡建设委员会关于印发</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4"/>
          <w:sz w:val="20"/>
          <w:szCs w:val="20"/>
          <w:highlight w:val="none"/>
          <w:u w:val="single" w:color="auto"/>
        </w:rPr>
        <w:t>“美丽南宁</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4"/>
          <w:sz w:val="20"/>
          <w:szCs w:val="20"/>
          <w:highlight w:val="none"/>
          <w:u w:val="single" w:color="auto"/>
        </w:rPr>
        <w:t>·整洁畅通有序大行动</w:t>
      </w:r>
      <w:r>
        <w:rPr>
          <w:rFonts w:ascii="宋体" w:hAnsi="宋体" w:eastAsia="宋体" w:cs="宋体"/>
          <w:color w:val="auto"/>
          <w:spacing w:val="-72"/>
          <w:sz w:val="20"/>
          <w:szCs w:val="20"/>
          <w:highlight w:val="none"/>
          <w:u w:val="single" w:color="auto"/>
        </w:rPr>
        <w:t xml:space="preserve"> </w:t>
      </w:r>
      <w:r>
        <w:rPr>
          <w:rFonts w:ascii="宋体" w:hAnsi="宋体" w:eastAsia="宋体" w:cs="宋体"/>
          <w:color w:val="auto"/>
          <w:spacing w:val="4"/>
          <w:sz w:val="20"/>
          <w:szCs w:val="20"/>
          <w:highlight w:val="none"/>
          <w:u w:val="single" w:color="auto"/>
        </w:rPr>
        <w:t>”活动工地乱象整治工作方案的通知》（南</w:t>
      </w:r>
      <w:r>
        <w:rPr>
          <w:rFonts w:ascii="宋体" w:hAnsi="宋体" w:eastAsia="宋体" w:cs="宋体"/>
          <w:color w:val="auto"/>
          <w:spacing w:val="3"/>
          <w:sz w:val="20"/>
          <w:szCs w:val="20"/>
          <w:highlight w:val="none"/>
          <w:u w:val="single" w:color="auto"/>
        </w:rPr>
        <w:t>建质安</w:t>
      </w:r>
      <w:r>
        <w:rPr>
          <w:rFonts w:ascii="宋体" w:hAnsi="宋体" w:eastAsia="宋体" w:cs="宋体"/>
          <w:color w:val="auto"/>
          <w:spacing w:val="46"/>
          <w:sz w:val="20"/>
          <w:szCs w:val="20"/>
          <w:highlight w:val="none"/>
          <w:u w:val="single" w:color="auto"/>
        </w:rPr>
        <w:t xml:space="preserve"> </w:t>
      </w:r>
      <w:r>
        <w:rPr>
          <w:rFonts w:ascii="宋体" w:hAnsi="宋体" w:eastAsia="宋体" w:cs="宋体"/>
          <w:color w:val="auto"/>
          <w:spacing w:val="3"/>
          <w:sz w:val="20"/>
          <w:szCs w:val="20"/>
          <w:highlight w:val="none"/>
          <w:u w:val="single" w:color="auto"/>
        </w:rPr>
        <w:t>[2013]28</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3"/>
          <w:sz w:val="20"/>
          <w:szCs w:val="20"/>
          <w:highlight w:val="none"/>
          <w:u w:val="single" w:color="auto"/>
        </w:rPr>
        <w:t>号）有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关标准及制度执行</w:t>
      </w:r>
      <w:r>
        <w:rPr>
          <w:rFonts w:ascii="宋体" w:hAnsi="宋体" w:eastAsia="宋体" w:cs="宋体"/>
          <w:color w:val="auto"/>
          <w:spacing w:val="8"/>
          <w:sz w:val="20"/>
          <w:szCs w:val="20"/>
          <w:highlight w:val="none"/>
        </w:rPr>
        <w:t>。</w:t>
      </w:r>
    </w:p>
    <w:p w14:paraId="6A69A711">
      <w:pPr>
        <w:tabs>
          <w:tab w:val="left" w:pos="537"/>
        </w:tabs>
        <w:spacing w:before="74" w:line="432" w:lineRule="auto"/>
        <w:ind w:left="420" w:right="1" w:firstLine="10"/>
        <w:jc w:val="both"/>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6.1.6</w:t>
      </w:r>
      <w:r>
        <w:rPr>
          <w:rFonts w:ascii="宋体" w:hAnsi="宋体" w:eastAsia="宋体" w:cs="宋体"/>
          <w:color w:val="auto"/>
          <w:spacing w:val="-37"/>
          <w:sz w:val="20"/>
          <w:szCs w:val="20"/>
          <w:highlight w:val="none"/>
        </w:rPr>
        <w:t xml:space="preserve"> </w:t>
      </w:r>
      <w:r>
        <w:rPr>
          <w:rFonts w:ascii="宋体" w:hAnsi="宋体" w:eastAsia="宋体" w:cs="宋体"/>
          <w:color w:val="auto"/>
          <w:spacing w:val="2"/>
          <w:sz w:val="20"/>
          <w:szCs w:val="20"/>
          <w:highlight w:val="none"/>
        </w:rPr>
        <w:t>关于安全生产费总额、支付比例、支</w:t>
      </w:r>
      <w:r>
        <w:rPr>
          <w:rFonts w:ascii="宋体" w:hAnsi="宋体" w:eastAsia="宋体" w:cs="宋体"/>
          <w:color w:val="auto"/>
          <w:spacing w:val="1"/>
          <w:sz w:val="20"/>
          <w:szCs w:val="20"/>
          <w:highlight w:val="none"/>
        </w:rPr>
        <w:t>付期限、转入和结余收回的约定：</w:t>
      </w:r>
      <w:r>
        <w:rPr>
          <w:rFonts w:ascii="宋体" w:hAnsi="宋体" w:eastAsia="宋体" w:cs="宋体"/>
          <w:color w:val="auto"/>
          <w:spacing w:val="1"/>
          <w:sz w:val="20"/>
          <w:szCs w:val="20"/>
          <w:highlight w:val="none"/>
          <w:u w:val="single" w:color="auto"/>
        </w:rPr>
        <w:t>文明施工措施费 元</w:t>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7"/>
          <w:sz w:val="20"/>
          <w:szCs w:val="20"/>
          <w:highlight w:val="none"/>
          <w:u w:val="single" w:color="auto"/>
        </w:rPr>
        <w:t>（</w:t>
      </w:r>
      <w:r>
        <w:rPr>
          <w:rFonts w:hint="eastAsia" w:ascii="宋体" w:hAnsi="宋体" w:eastAsia="宋体" w:cs="宋体"/>
          <w:color w:val="auto"/>
          <w:spacing w:val="7"/>
          <w:sz w:val="20"/>
          <w:szCs w:val="20"/>
          <w:highlight w:val="none"/>
          <w:u w:val="single" w:color="auto"/>
          <w:lang w:eastAsia="zh-CN"/>
        </w:rPr>
        <w:t>投标</w:t>
      </w:r>
      <w:r>
        <w:rPr>
          <w:rFonts w:ascii="宋体" w:hAnsi="宋体" w:eastAsia="宋体" w:cs="宋体"/>
          <w:color w:val="auto"/>
          <w:spacing w:val="7"/>
          <w:sz w:val="20"/>
          <w:szCs w:val="20"/>
          <w:highlight w:val="none"/>
          <w:u w:val="single" w:color="auto"/>
        </w:rPr>
        <w:t>工程量清单总价措施费提到有关安全文明施工费之和</w:t>
      </w:r>
      <w:r>
        <w:rPr>
          <w:rFonts w:ascii="宋体" w:hAnsi="宋体" w:eastAsia="宋体" w:cs="宋体"/>
          <w:color w:val="auto"/>
          <w:spacing w:val="15"/>
          <w:sz w:val="20"/>
          <w:szCs w:val="20"/>
          <w:highlight w:val="none"/>
          <w:u w:val="single" w:color="auto"/>
        </w:rPr>
        <w:t>），</w:t>
      </w:r>
      <w:r>
        <w:rPr>
          <w:rFonts w:ascii="宋体" w:hAnsi="宋体" w:eastAsia="宋体" w:cs="宋体"/>
          <w:color w:val="auto"/>
          <w:spacing w:val="7"/>
          <w:sz w:val="20"/>
          <w:szCs w:val="20"/>
          <w:highlight w:val="none"/>
          <w:u w:val="single" w:color="auto"/>
        </w:rPr>
        <w:t>使用</w:t>
      </w:r>
      <w:r>
        <w:rPr>
          <w:rFonts w:ascii="宋体" w:hAnsi="宋体" w:eastAsia="宋体" w:cs="宋体"/>
          <w:color w:val="auto"/>
          <w:spacing w:val="6"/>
          <w:sz w:val="20"/>
          <w:szCs w:val="20"/>
          <w:highlight w:val="none"/>
          <w:u w:val="single" w:color="auto"/>
        </w:rPr>
        <w:t>要求：专款专用。具</w:t>
      </w:r>
      <w:r>
        <w:rPr>
          <w:rFonts w:ascii="宋体" w:hAnsi="宋体" w:eastAsia="宋体" w:cs="宋体"/>
          <w:color w:val="auto"/>
          <w:spacing w:val="1"/>
          <w:sz w:val="20"/>
          <w:szCs w:val="20"/>
          <w:highlight w:val="none"/>
        </w:rPr>
        <w:t xml:space="preserve"> </w:t>
      </w:r>
      <w:r>
        <w:rPr>
          <w:rFonts w:ascii="宋体" w:hAnsi="宋体" w:eastAsia="宋体" w:cs="宋体"/>
          <w:color w:val="auto"/>
          <w:spacing w:val="8"/>
          <w:sz w:val="20"/>
          <w:szCs w:val="20"/>
          <w:highlight w:val="none"/>
          <w:u w:val="single" w:color="auto"/>
        </w:rPr>
        <w:t>体按桂建质[2015]16</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8"/>
          <w:sz w:val="20"/>
          <w:szCs w:val="20"/>
          <w:highlight w:val="none"/>
          <w:u w:val="single" w:color="auto"/>
        </w:rPr>
        <w:t>号文《广西壮族自治区建筑工程安全防护、文明施工措施费及管理细则》和南</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建质安[2013]22</w:t>
      </w:r>
      <w:r>
        <w:rPr>
          <w:rFonts w:ascii="宋体" w:hAnsi="宋体" w:eastAsia="宋体" w:cs="宋体"/>
          <w:color w:val="auto"/>
          <w:spacing w:val="-31"/>
          <w:sz w:val="20"/>
          <w:szCs w:val="20"/>
          <w:highlight w:val="none"/>
          <w:u w:val="single" w:color="auto"/>
        </w:rPr>
        <w:t xml:space="preserve"> </w:t>
      </w:r>
      <w:r>
        <w:rPr>
          <w:rFonts w:ascii="宋体" w:hAnsi="宋体" w:eastAsia="宋体" w:cs="宋体"/>
          <w:color w:val="auto"/>
          <w:spacing w:val="8"/>
          <w:sz w:val="20"/>
          <w:szCs w:val="20"/>
          <w:highlight w:val="none"/>
          <w:u w:val="single" w:color="auto"/>
        </w:rPr>
        <w:t>号文《关于印发南宁市建设工程安全防护、文明施工措施费用管理规定的通知》要</w:t>
      </w:r>
    </w:p>
    <w:p w14:paraId="6F1EA4D8">
      <w:pPr>
        <w:spacing w:before="3" w:line="431" w:lineRule="auto"/>
        <w:ind w:left="429" w:right="2"/>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求执行。发包人应在开工后</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28</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天内预付安全</w:t>
      </w:r>
      <w:r>
        <w:rPr>
          <w:rFonts w:ascii="宋体" w:hAnsi="宋体" w:eastAsia="宋体" w:cs="宋体"/>
          <w:color w:val="auto"/>
          <w:spacing w:val="7"/>
          <w:sz w:val="20"/>
          <w:szCs w:val="20"/>
          <w:highlight w:val="none"/>
          <w:u w:val="single" w:color="auto"/>
        </w:rPr>
        <w:t>文明施工费总额的</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7"/>
          <w:sz w:val="20"/>
          <w:szCs w:val="20"/>
          <w:highlight w:val="none"/>
          <w:u w:val="single" w:color="auto"/>
        </w:rPr>
        <w:t>50%元以上，其余部分与进度款同期</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支付</w:t>
      </w:r>
      <w:r>
        <w:rPr>
          <w:rFonts w:ascii="宋体" w:hAnsi="宋体" w:eastAsia="宋体" w:cs="宋体"/>
          <w:color w:val="auto"/>
          <w:spacing w:val="10"/>
          <w:sz w:val="20"/>
          <w:szCs w:val="20"/>
          <w:highlight w:val="none"/>
        </w:rPr>
        <w:t>。</w:t>
      </w:r>
      <w:r>
        <w:rPr>
          <w:rFonts w:ascii="宋体" w:hAnsi="宋体" w:eastAsia="宋体" w:cs="宋体"/>
          <w:color w:val="auto"/>
          <w:spacing w:val="10"/>
          <w:sz w:val="20"/>
          <w:szCs w:val="20"/>
          <w:highlight w:val="none"/>
          <w:u w:val="single" w:color="auto"/>
        </w:rPr>
        <w:t>费用由承包人提出申请，发包人再根据横州市政府投资项目</w:t>
      </w:r>
      <w:r>
        <w:rPr>
          <w:rFonts w:ascii="宋体" w:hAnsi="宋体" w:eastAsia="宋体" w:cs="宋体"/>
          <w:color w:val="auto"/>
          <w:spacing w:val="9"/>
          <w:sz w:val="20"/>
          <w:szCs w:val="20"/>
          <w:highlight w:val="none"/>
          <w:u w:val="single" w:color="auto"/>
        </w:rPr>
        <w:t>请款流程及时办理请款。若承包</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人未按文件规定落实安全文明施工各项工作，发包人有权利在扣减相应金额的安全生产费用。</w:t>
      </w:r>
    </w:p>
    <w:p w14:paraId="64EB2EF8">
      <w:pPr>
        <w:spacing w:line="228" w:lineRule="auto"/>
        <w:ind w:left="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6.1.9.2 承包人的安全责任</w:t>
      </w:r>
    </w:p>
    <w:p w14:paraId="56936465">
      <w:pPr>
        <w:spacing w:before="222" w:line="433" w:lineRule="auto"/>
        <w:ind w:left="8" w:right="19"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承包人必须文明、安全施工，在施工期间内由于承包人原因造成的一切人</w:t>
      </w:r>
      <w:r>
        <w:rPr>
          <w:rFonts w:ascii="宋体" w:hAnsi="宋体" w:eastAsia="宋体" w:cs="宋体"/>
          <w:color w:val="auto"/>
          <w:spacing w:val="9"/>
          <w:sz w:val="20"/>
          <w:szCs w:val="20"/>
          <w:highlight w:val="none"/>
          <w:u w:val="single" w:color="auto"/>
        </w:rPr>
        <w:t>员伤亡和财产损失等责任</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事故和所发生的一切费用一概由承包人承担</w:t>
      </w:r>
      <w:r>
        <w:rPr>
          <w:rFonts w:ascii="宋体" w:hAnsi="宋体" w:eastAsia="宋体" w:cs="宋体"/>
          <w:color w:val="auto"/>
          <w:spacing w:val="9"/>
          <w:sz w:val="20"/>
          <w:szCs w:val="20"/>
          <w:highlight w:val="none"/>
        </w:rPr>
        <w:t>。</w:t>
      </w:r>
    </w:p>
    <w:p w14:paraId="2E376541">
      <w:pPr>
        <w:spacing w:before="294" w:line="229" w:lineRule="auto"/>
        <w:ind w:left="430"/>
        <w:outlineLvl w:val="2"/>
        <w:rPr>
          <w:rFonts w:ascii="宋体" w:hAnsi="宋体" w:eastAsia="宋体" w:cs="宋体"/>
          <w:color w:val="auto"/>
          <w:sz w:val="20"/>
          <w:szCs w:val="20"/>
          <w:highlight w:val="none"/>
        </w:rPr>
      </w:pPr>
      <w:bookmarkStart w:id="74" w:name="_Toc28223"/>
      <w:r>
        <w:rPr>
          <w:rFonts w:ascii="宋体" w:hAnsi="宋体" w:eastAsia="宋体" w:cs="宋体"/>
          <w:color w:val="auto"/>
          <w:spacing w:val="5"/>
          <w:sz w:val="20"/>
          <w:szCs w:val="20"/>
          <w:highlight w:val="none"/>
        </w:rPr>
        <w:t>6.3 环境保护</w:t>
      </w:r>
      <w:bookmarkEnd w:id="74"/>
    </w:p>
    <w:p w14:paraId="054F2588">
      <w:pPr>
        <w:pStyle w:val="2"/>
        <w:spacing w:line="447" w:lineRule="auto"/>
        <w:rPr>
          <w:color w:val="auto"/>
          <w:highlight w:val="none"/>
        </w:rPr>
      </w:pPr>
    </w:p>
    <w:p w14:paraId="3FE68F95">
      <w:pPr>
        <w:spacing w:before="66" w:line="432" w:lineRule="auto"/>
        <w:ind w:left="33" w:right="19" w:firstLine="41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因施工需要，经发包人批准，由承包人办理有关施工场地交通、环卫和施工噪音管理等手续，费用</w:t>
      </w:r>
      <w:r>
        <w:rPr>
          <w:rFonts w:ascii="宋体" w:hAnsi="宋体" w:eastAsia="宋体" w:cs="宋体"/>
          <w:color w:val="auto"/>
          <w:spacing w:val="16"/>
          <w:sz w:val="20"/>
          <w:szCs w:val="20"/>
          <w:highlight w:val="none"/>
        </w:rPr>
        <w:t xml:space="preserve"> </w:t>
      </w:r>
      <w:r>
        <w:rPr>
          <w:rFonts w:ascii="宋体" w:hAnsi="宋体" w:eastAsia="宋体" w:cs="宋体"/>
          <w:color w:val="auto"/>
          <w:spacing w:val="7"/>
          <w:sz w:val="20"/>
          <w:szCs w:val="20"/>
          <w:highlight w:val="none"/>
          <w:u w:val="single" w:color="auto"/>
        </w:rPr>
        <w:t>由承包人负责。</w:t>
      </w:r>
    </w:p>
    <w:p w14:paraId="6E75393F">
      <w:pPr>
        <w:spacing w:line="433" w:lineRule="auto"/>
        <w:ind w:left="10" w:right="19"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经过城市道路的施工车辆，必须按交警、城管、运输等部门相关规定</w:t>
      </w:r>
      <w:r>
        <w:rPr>
          <w:rFonts w:ascii="宋体" w:hAnsi="宋体" w:eastAsia="宋体" w:cs="宋体"/>
          <w:color w:val="auto"/>
          <w:spacing w:val="9"/>
          <w:sz w:val="20"/>
          <w:szCs w:val="20"/>
          <w:highlight w:val="none"/>
          <w:u w:val="single" w:color="auto"/>
        </w:rPr>
        <w:t>执行。由于施工车辆造成的道</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路、环境等污染，其责任和费用均由承包人承担。</w:t>
      </w:r>
    </w:p>
    <w:p w14:paraId="76FB3EC7">
      <w:pPr>
        <w:spacing w:before="282" w:line="226" w:lineRule="auto"/>
        <w:ind w:left="20"/>
        <w:outlineLvl w:val="1"/>
        <w:rPr>
          <w:rFonts w:ascii="宋体" w:hAnsi="宋体" w:eastAsia="宋体" w:cs="宋体"/>
          <w:color w:val="auto"/>
          <w:sz w:val="31"/>
          <w:szCs w:val="31"/>
          <w:highlight w:val="none"/>
        </w:rPr>
      </w:pPr>
      <w:bookmarkStart w:id="75" w:name="_Toc1134"/>
      <w:r>
        <w:rPr>
          <w:rFonts w:ascii="宋体" w:hAnsi="宋体" w:eastAsia="宋体" w:cs="宋体"/>
          <w:b/>
          <w:bCs/>
          <w:color w:val="auto"/>
          <w:sz w:val="31"/>
          <w:szCs w:val="31"/>
          <w:highlight w:val="none"/>
        </w:rPr>
        <w:t>7.</w:t>
      </w:r>
      <w:r>
        <w:rPr>
          <w:rFonts w:ascii="宋体" w:hAnsi="宋体" w:eastAsia="宋体" w:cs="宋体"/>
          <w:color w:val="auto"/>
          <w:spacing w:val="26"/>
          <w:sz w:val="31"/>
          <w:szCs w:val="31"/>
          <w:highlight w:val="none"/>
        </w:rPr>
        <w:t xml:space="preserve"> </w:t>
      </w:r>
      <w:r>
        <w:rPr>
          <w:rFonts w:ascii="宋体" w:hAnsi="宋体" w:eastAsia="宋体" w:cs="宋体"/>
          <w:b/>
          <w:bCs/>
          <w:color w:val="auto"/>
          <w:sz w:val="31"/>
          <w:szCs w:val="31"/>
          <w:highlight w:val="none"/>
        </w:rPr>
        <w:t>工期和进度</w:t>
      </w:r>
      <w:bookmarkEnd w:id="75"/>
    </w:p>
    <w:p w14:paraId="25AC1F26">
      <w:pPr>
        <w:pStyle w:val="2"/>
        <w:spacing w:line="400" w:lineRule="auto"/>
        <w:rPr>
          <w:color w:val="auto"/>
          <w:highlight w:val="none"/>
        </w:rPr>
      </w:pPr>
    </w:p>
    <w:p w14:paraId="10DCF4D8">
      <w:pPr>
        <w:spacing w:before="101" w:line="227" w:lineRule="auto"/>
        <w:ind w:left="20"/>
        <w:outlineLvl w:val="2"/>
        <w:rPr>
          <w:rFonts w:ascii="宋体" w:hAnsi="宋体" w:eastAsia="宋体" w:cs="宋体"/>
          <w:color w:val="auto"/>
          <w:sz w:val="31"/>
          <w:szCs w:val="31"/>
          <w:highlight w:val="none"/>
        </w:rPr>
      </w:pPr>
      <w:bookmarkStart w:id="76" w:name="_Toc8048"/>
      <w:r>
        <w:rPr>
          <w:rFonts w:ascii="宋体" w:hAnsi="宋体" w:eastAsia="宋体" w:cs="宋体"/>
          <w:b/>
          <w:bCs/>
          <w:color w:val="auto"/>
          <w:spacing w:val="3"/>
          <w:sz w:val="31"/>
          <w:szCs w:val="31"/>
          <w:highlight w:val="none"/>
        </w:rPr>
        <w:t>7.1</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施工组织设计</w:t>
      </w:r>
      <w:bookmarkEnd w:id="76"/>
    </w:p>
    <w:p w14:paraId="4577DE13">
      <w:pPr>
        <w:pStyle w:val="2"/>
        <w:spacing w:line="411" w:lineRule="auto"/>
        <w:rPr>
          <w:color w:val="auto"/>
          <w:highlight w:val="none"/>
        </w:rPr>
      </w:pPr>
    </w:p>
    <w:p w14:paraId="4AB56165">
      <w:pPr>
        <w:spacing w:before="66" w:line="330" w:lineRule="auto"/>
        <w:ind w:left="8" w:right="18" w:firstLine="42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7.1.1 合同当事人约定的施工组织设计应包括的其他内容：</w:t>
      </w:r>
      <w:r>
        <w:rPr>
          <w:rFonts w:ascii="宋体" w:hAnsi="宋体" w:eastAsia="宋体" w:cs="宋体"/>
          <w:color w:val="auto"/>
          <w:spacing w:val="9"/>
          <w:sz w:val="20"/>
          <w:szCs w:val="20"/>
          <w:highlight w:val="none"/>
          <w:u w:val="single" w:color="auto"/>
        </w:rPr>
        <w:t>按招标文件约定，招标文件无约定的按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通用条款或双方另行约定</w:t>
      </w:r>
      <w:r>
        <w:rPr>
          <w:rFonts w:ascii="宋体" w:hAnsi="宋体" w:eastAsia="宋体" w:cs="宋体"/>
          <w:color w:val="auto"/>
          <w:spacing w:val="8"/>
          <w:sz w:val="20"/>
          <w:szCs w:val="20"/>
          <w:highlight w:val="none"/>
        </w:rPr>
        <w:t>。</w:t>
      </w:r>
    </w:p>
    <w:p w14:paraId="161488FB">
      <w:pPr>
        <w:spacing w:before="221"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7.1.2 施工组织设计的提交和修改</w:t>
      </w:r>
    </w:p>
    <w:p w14:paraId="11EA61A3">
      <w:pPr>
        <w:spacing w:line="228" w:lineRule="auto"/>
        <w:rPr>
          <w:rFonts w:ascii="宋体" w:hAnsi="宋体" w:eastAsia="宋体" w:cs="宋体"/>
          <w:color w:val="auto"/>
          <w:sz w:val="20"/>
          <w:szCs w:val="20"/>
          <w:highlight w:val="none"/>
        </w:rPr>
        <w:sectPr>
          <w:footerReference r:id="rId206" w:type="default"/>
          <w:pgSz w:w="11906" w:h="16839"/>
          <w:pgMar w:top="400" w:right="1219" w:bottom="1158" w:left="1219" w:header="0" w:footer="922" w:gutter="0"/>
          <w:cols w:space="720" w:num="1"/>
        </w:sectPr>
      </w:pPr>
    </w:p>
    <w:p w14:paraId="25623C70">
      <w:pPr>
        <w:pStyle w:val="2"/>
        <w:spacing w:line="292" w:lineRule="auto"/>
        <w:rPr>
          <w:color w:val="auto"/>
          <w:highlight w:val="none"/>
        </w:rPr>
      </w:pPr>
    </w:p>
    <w:p w14:paraId="6B0D9C46">
      <w:pPr>
        <w:pStyle w:val="2"/>
        <w:spacing w:line="292" w:lineRule="auto"/>
        <w:rPr>
          <w:color w:val="auto"/>
          <w:highlight w:val="none"/>
        </w:rPr>
      </w:pPr>
    </w:p>
    <w:p w14:paraId="77012B0E">
      <w:pPr>
        <w:pStyle w:val="2"/>
        <w:spacing w:line="293" w:lineRule="auto"/>
        <w:rPr>
          <w:color w:val="auto"/>
          <w:highlight w:val="none"/>
        </w:rPr>
      </w:pPr>
      <w:r>
        <w:rPr>
          <w:color w:val="auto"/>
          <w:highlight w:val="none"/>
        </w:rPr>
        <w:pict>
          <v:shape id="_x0000_s1038" o:spid="_x0000_s1038" style="position:absolute;left:0pt;margin-left:0pt;margin-top:4.45pt;height:0.75pt;width:473.4pt;z-index:251688960;mso-width-relative:page;mso-height-relative:page;" fillcolor="#000000" filled="t" stroked="f" coordsize="9467,15" path="m0,0l9467,0,9467,14,0,14,0,0xe">
            <v:path/>
            <v:fill on="t" focussize="0,0"/>
            <v:stroke on="f"/>
            <v:imagedata o:title=""/>
            <o:lock v:ext="edit"/>
          </v:shape>
        </w:pict>
      </w:r>
    </w:p>
    <w:p w14:paraId="71EF7EA1">
      <w:pPr>
        <w:spacing w:before="65"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承包人提交详细施工组织设计的期限的约定：</w:t>
      </w:r>
      <w:r>
        <w:rPr>
          <w:rFonts w:ascii="宋体" w:hAnsi="宋体" w:eastAsia="宋体" w:cs="宋体"/>
          <w:color w:val="auto"/>
          <w:spacing w:val="9"/>
          <w:sz w:val="20"/>
          <w:szCs w:val="20"/>
          <w:highlight w:val="none"/>
          <w:u w:val="single" w:color="auto"/>
        </w:rPr>
        <w:t>开工前7天内</w:t>
      </w:r>
      <w:r>
        <w:rPr>
          <w:rFonts w:ascii="宋体" w:hAnsi="宋体" w:eastAsia="宋体" w:cs="宋体"/>
          <w:color w:val="auto"/>
          <w:spacing w:val="9"/>
          <w:sz w:val="20"/>
          <w:szCs w:val="20"/>
          <w:highlight w:val="none"/>
        </w:rPr>
        <w:t>。</w:t>
      </w:r>
    </w:p>
    <w:p w14:paraId="48A93BC2">
      <w:pPr>
        <w:spacing w:before="221" w:line="433" w:lineRule="auto"/>
        <w:ind w:left="10" w:right="66" w:firstLine="42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发包人和监理人在收到详细的施工组织设计后确认或提出修改意见的期限：</w:t>
      </w:r>
      <w:r>
        <w:rPr>
          <w:rFonts w:ascii="宋体" w:hAnsi="宋体" w:eastAsia="宋体" w:cs="宋体"/>
          <w:color w:val="auto"/>
          <w:spacing w:val="-33"/>
          <w:sz w:val="20"/>
          <w:szCs w:val="20"/>
          <w:highlight w:val="none"/>
        </w:rPr>
        <w:t xml:space="preserve"> </w:t>
      </w:r>
      <w:r>
        <w:rPr>
          <w:rFonts w:ascii="宋体" w:hAnsi="宋体" w:eastAsia="宋体" w:cs="宋体"/>
          <w:color w:val="auto"/>
          <w:spacing w:val="7"/>
          <w:sz w:val="20"/>
          <w:szCs w:val="20"/>
          <w:highlight w:val="none"/>
          <w:u w:val="single" w:color="auto"/>
        </w:rPr>
        <w:t>自收到承包人报送的施</w:t>
      </w:r>
      <w:r>
        <w:rPr>
          <w:rFonts w:ascii="宋体" w:hAnsi="宋体" w:eastAsia="宋体" w:cs="宋体"/>
          <w:color w:val="auto"/>
          <w:sz w:val="20"/>
          <w:szCs w:val="20"/>
          <w:highlight w:val="none"/>
        </w:rPr>
        <w:t xml:space="preserve"> </w:t>
      </w:r>
      <w:r>
        <w:rPr>
          <w:rFonts w:ascii="宋体" w:hAnsi="宋体" w:eastAsia="宋体" w:cs="宋体"/>
          <w:color w:val="auto"/>
          <w:spacing w:val="-1"/>
          <w:sz w:val="20"/>
          <w:szCs w:val="20"/>
          <w:highlight w:val="none"/>
          <w:u w:val="single" w:color="auto"/>
        </w:rPr>
        <w:t>工组织设计后 7</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1"/>
          <w:sz w:val="20"/>
          <w:szCs w:val="20"/>
          <w:highlight w:val="none"/>
          <w:u w:val="single" w:color="auto"/>
        </w:rPr>
        <w:t>天内</w:t>
      </w:r>
      <w:r>
        <w:rPr>
          <w:rFonts w:ascii="宋体" w:hAnsi="宋体" w:eastAsia="宋体" w:cs="宋体"/>
          <w:color w:val="auto"/>
          <w:spacing w:val="-1"/>
          <w:sz w:val="20"/>
          <w:szCs w:val="20"/>
          <w:highlight w:val="none"/>
        </w:rPr>
        <w:t>。</w:t>
      </w:r>
    </w:p>
    <w:p w14:paraId="09A303AB">
      <w:pPr>
        <w:spacing w:before="282" w:line="226" w:lineRule="auto"/>
        <w:ind w:left="20"/>
        <w:outlineLvl w:val="2"/>
        <w:rPr>
          <w:rFonts w:ascii="宋体" w:hAnsi="宋体" w:eastAsia="宋体" w:cs="宋体"/>
          <w:color w:val="auto"/>
          <w:sz w:val="31"/>
          <w:szCs w:val="31"/>
          <w:highlight w:val="none"/>
        </w:rPr>
      </w:pPr>
      <w:bookmarkStart w:id="77" w:name="_Toc29481"/>
      <w:r>
        <w:rPr>
          <w:rFonts w:ascii="宋体" w:hAnsi="宋体" w:eastAsia="宋体" w:cs="宋体"/>
          <w:b/>
          <w:bCs/>
          <w:color w:val="auto"/>
          <w:spacing w:val="3"/>
          <w:sz w:val="31"/>
          <w:szCs w:val="31"/>
          <w:highlight w:val="none"/>
        </w:rPr>
        <w:t>7.2</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施工进度计划</w:t>
      </w:r>
      <w:bookmarkEnd w:id="77"/>
    </w:p>
    <w:p w14:paraId="00E95B23">
      <w:pPr>
        <w:pStyle w:val="2"/>
        <w:spacing w:line="413" w:lineRule="auto"/>
        <w:rPr>
          <w:color w:val="auto"/>
          <w:highlight w:val="none"/>
        </w:rPr>
      </w:pPr>
    </w:p>
    <w:p w14:paraId="26A094B0">
      <w:pPr>
        <w:spacing w:before="65" w:line="228" w:lineRule="auto"/>
        <w:ind w:left="43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7.2.2 施工进度计划的修订</w:t>
      </w:r>
    </w:p>
    <w:p w14:paraId="03E90629">
      <w:pPr>
        <w:spacing w:before="220"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发包人和监理人在收到修订的施工进度计划后确认或提出修改意见的期限：</w:t>
      </w:r>
      <w:r>
        <w:rPr>
          <w:rFonts w:ascii="宋体" w:hAnsi="宋体" w:eastAsia="宋体" w:cs="宋体"/>
          <w:color w:val="auto"/>
          <w:spacing w:val="9"/>
          <w:sz w:val="20"/>
          <w:szCs w:val="20"/>
          <w:highlight w:val="none"/>
          <w:u w:val="single" w:color="auto"/>
        </w:rPr>
        <w:t>双方协商</w:t>
      </w:r>
      <w:r>
        <w:rPr>
          <w:rFonts w:ascii="宋体" w:hAnsi="宋体" w:eastAsia="宋体" w:cs="宋体"/>
          <w:color w:val="auto"/>
          <w:spacing w:val="9"/>
          <w:sz w:val="20"/>
          <w:szCs w:val="20"/>
          <w:highlight w:val="none"/>
        </w:rPr>
        <w:t>。</w:t>
      </w:r>
    </w:p>
    <w:p w14:paraId="57B23DCB">
      <w:pPr>
        <w:pStyle w:val="2"/>
        <w:spacing w:line="401" w:lineRule="auto"/>
        <w:rPr>
          <w:color w:val="auto"/>
          <w:highlight w:val="none"/>
        </w:rPr>
      </w:pPr>
    </w:p>
    <w:p w14:paraId="357870D4">
      <w:pPr>
        <w:spacing w:before="102" w:line="227" w:lineRule="auto"/>
        <w:ind w:left="20"/>
        <w:outlineLvl w:val="2"/>
        <w:rPr>
          <w:rFonts w:ascii="宋体" w:hAnsi="宋体" w:eastAsia="宋体" w:cs="宋体"/>
          <w:color w:val="auto"/>
          <w:sz w:val="31"/>
          <w:szCs w:val="31"/>
          <w:highlight w:val="none"/>
        </w:rPr>
      </w:pPr>
      <w:bookmarkStart w:id="78" w:name="_Toc4468"/>
      <w:r>
        <w:rPr>
          <w:rFonts w:ascii="宋体" w:hAnsi="宋体" w:eastAsia="宋体" w:cs="宋体"/>
          <w:b/>
          <w:bCs/>
          <w:color w:val="auto"/>
          <w:spacing w:val="-3"/>
          <w:sz w:val="31"/>
          <w:szCs w:val="31"/>
          <w:highlight w:val="none"/>
        </w:rPr>
        <w:t>7.3</w:t>
      </w:r>
      <w:r>
        <w:rPr>
          <w:rFonts w:ascii="宋体" w:hAnsi="宋体" w:eastAsia="宋体" w:cs="宋体"/>
          <w:color w:val="auto"/>
          <w:spacing w:val="21"/>
          <w:sz w:val="31"/>
          <w:szCs w:val="31"/>
          <w:highlight w:val="none"/>
        </w:rPr>
        <w:t xml:space="preserve"> </w:t>
      </w:r>
      <w:r>
        <w:rPr>
          <w:rFonts w:ascii="宋体" w:hAnsi="宋体" w:eastAsia="宋体" w:cs="宋体"/>
          <w:b/>
          <w:bCs/>
          <w:color w:val="auto"/>
          <w:spacing w:val="-3"/>
          <w:sz w:val="31"/>
          <w:szCs w:val="31"/>
          <w:highlight w:val="none"/>
        </w:rPr>
        <w:t>开工</w:t>
      </w:r>
      <w:bookmarkEnd w:id="78"/>
    </w:p>
    <w:p w14:paraId="3C7C3811">
      <w:pPr>
        <w:pStyle w:val="2"/>
        <w:spacing w:line="411" w:lineRule="auto"/>
        <w:rPr>
          <w:color w:val="auto"/>
          <w:highlight w:val="none"/>
        </w:rPr>
      </w:pPr>
    </w:p>
    <w:p w14:paraId="13BA16FB">
      <w:pPr>
        <w:spacing w:before="65" w:line="230"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7.3.1 开工准备</w:t>
      </w:r>
    </w:p>
    <w:p w14:paraId="392A5000">
      <w:pPr>
        <w:spacing w:before="219" w:line="228" w:lineRule="auto"/>
        <w:ind w:left="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关于承包人提交工程开工报审表的期限：</w:t>
      </w:r>
      <w:r>
        <w:rPr>
          <w:rFonts w:ascii="宋体" w:hAnsi="宋体" w:eastAsia="宋体" w:cs="宋体"/>
          <w:color w:val="auto"/>
          <w:spacing w:val="9"/>
          <w:sz w:val="20"/>
          <w:szCs w:val="20"/>
          <w:highlight w:val="none"/>
          <w:u w:val="single" w:color="auto"/>
        </w:rPr>
        <w:t>合同签订后，开工</w:t>
      </w:r>
      <w:r>
        <w:rPr>
          <w:rFonts w:ascii="宋体" w:hAnsi="宋体" w:eastAsia="宋体" w:cs="宋体"/>
          <w:color w:val="auto"/>
          <w:spacing w:val="8"/>
          <w:sz w:val="20"/>
          <w:szCs w:val="20"/>
          <w:highlight w:val="none"/>
          <w:u w:val="single" w:color="auto"/>
        </w:rPr>
        <w:t>前 7 天</w:t>
      </w:r>
      <w:r>
        <w:rPr>
          <w:rFonts w:ascii="宋体" w:hAnsi="宋体" w:eastAsia="宋体" w:cs="宋体"/>
          <w:color w:val="auto"/>
          <w:spacing w:val="8"/>
          <w:sz w:val="20"/>
          <w:szCs w:val="20"/>
          <w:highlight w:val="none"/>
        </w:rPr>
        <w:t>。</w:t>
      </w:r>
    </w:p>
    <w:p w14:paraId="3E8473E9">
      <w:pPr>
        <w:spacing w:before="221" w:line="228" w:lineRule="auto"/>
        <w:ind w:left="436"/>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关于发包人应完成的其他开工准备工作及期</w:t>
      </w:r>
      <w:r>
        <w:rPr>
          <w:rFonts w:ascii="宋体" w:hAnsi="宋体" w:eastAsia="宋体" w:cs="宋体"/>
          <w:color w:val="auto"/>
          <w:spacing w:val="8"/>
          <w:sz w:val="20"/>
          <w:szCs w:val="20"/>
          <w:highlight w:val="none"/>
        </w:rPr>
        <w:t>限：</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8"/>
          <w:sz w:val="20"/>
          <w:szCs w:val="20"/>
          <w:highlight w:val="none"/>
        </w:rPr>
        <w:t>。</w:t>
      </w:r>
    </w:p>
    <w:p w14:paraId="1A2712A2">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关于承包人应完成的其他开工准备工作及期限：</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8"/>
          <w:sz w:val="20"/>
          <w:szCs w:val="20"/>
          <w:highlight w:val="none"/>
        </w:rPr>
        <w:t>。</w:t>
      </w:r>
    </w:p>
    <w:p w14:paraId="5F87ABE7">
      <w:pPr>
        <w:spacing w:before="221" w:line="230" w:lineRule="auto"/>
        <w:ind w:left="43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7.3.2 开工通知</w:t>
      </w:r>
    </w:p>
    <w:p w14:paraId="0282A8C1">
      <w:pPr>
        <w:spacing w:before="220" w:line="433" w:lineRule="auto"/>
        <w:ind w:left="8" w:right="2" w:firstLine="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因发包人原因造成监理人未能在计划开工日期之日起</w:t>
      </w:r>
      <w:r>
        <w:rPr>
          <w:rFonts w:ascii="宋体" w:hAnsi="宋体" w:eastAsia="宋体" w:cs="宋体"/>
          <w:color w:val="auto"/>
          <w:spacing w:val="7"/>
          <w:sz w:val="20"/>
          <w:szCs w:val="20"/>
          <w:highlight w:val="none"/>
          <w:u w:val="single" w:color="auto"/>
        </w:rPr>
        <w:t xml:space="preserve">  /  </w:t>
      </w:r>
      <w:r>
        <w:rPr>
          <w:rFonts w:ascii="宋体" w:hAnsi="宋体" w:eastAsia="宋体" w:cs="宋体"/>
          <w:color w:val="auto"/>
          <w:spacing w:val="-87"/>
          <w:sz w:val="20"/>
          <w:szCs w:val="20"/>
          <w:highlight w:val="none"/>
        </w:rPr>
        <w:t xml:space="preserve"> </w:t>
      </w:r>
      <w:r>
        <w:rPr>
          <w:rFonts w:ascii="宋体" w:hAnsi="宋体" w:eastAsia="宋体" w:cs="宋体"/>
          <w:color w:val="auto"/>
          <w:spacing w:val="7"/>
          <w:sz w:val="20"/>
          <w:szCs w:val="20"/>
          <w:highlight w:val="none"/>
        </w:rPr>
        <w:t>天内发</w:t>
      </w:r>
      <w:r>
        <w:rPr>
          <w:rFonts w:ascii="宋体" w:hAnsi="宋体" w:eastAsia="宋体" w:cs="宋体"/>
          <w:color w:val="auto"/>
          <w:spacing w:val="6"/>
          <w:sz w:val="20"/>
          <w:szCs w:val="20"/>
          <w:highlight w:val="none"/>
        </w:rPr>
        <w:t>出开工通知的，承包人有权提出价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格调整要求，或者解除合同。</w:t>
      </w:r>
    </w:p>
    <w:p w14:paraId="7F177B4A">
      <w:pPr>
        <w:spacing w:before="279" w:line="226" w:lineRule="auto"/>
        <w:ind w:left="20"/>
        <w:outlineLvl w:val="2"/>
        <w:rPr>
          <w:rFonts w:ascii="宋体" w:hAnsi="宋体" w:eastAsia="宋体" w:cs="宋体"/>
          <w:color w:val="auto"/>
          <w:sz w:val="31"/>
          <w:szCs w:val="31"/>
          <w:highlight w:val="none"/>
        </w:rPr>
      </w:pPr>
      <w:bookmarkStart w:id="79" w:name="_Toc4896"/>
      <w:r>
        <w:rPr>
          <w:rFonts w:ascii="宋体" w:hAnsi="宋体" w:eastAsia="宋体" w:cs="宋体"/>
          <w:b/>
          <w:bCs/>
          <w:color w:val="auto"/>
          <w:spacing w:val="3"/>
          <w:sz w:val="31"/>
          <w:szCs w:val="31"/>
          <w:highlight w:val="none"/>
        </w:rPr>
        <w:t>7.4</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测量放线</w:t>
      </w:r>
      <w:bookmarkEnd w:id="79"/>
    </w:p>
    <w:p w14:paraId="222365C9">
      <w:pPr>
        <w:pStyle w:val="2"/>
        <w:spacing w:line="412" w:lineRule="auto"/>
        <w:rPr>
          <w:color w:val="auto"/>
          <w:highlight w:val="none"/>
        </w:rPr>
      </w:pPr>
    </w:p>
    <w:p w14:paraId="2975D2B0">
      <w:pPr>
        <w:spacing w:before="65" w:line="434" w:lineRule="auto"/>
        <w:ind w:left="10" w:right="71" w:firstLine="42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7.4.1</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发包人通过监理人向承包人提供测量基准点、基准线和水准点及其书面资料</w:t>
      </w:r>
      <w:r>
        <w:rPr>
          <w:rFonts w:ascii="宋体" w:hAnsi="宋体" w:eastAsia="宋体" w:cs="宋体"/>
          <w:color w:val="auto"/>
          <w:spacing w:val="8"/>
          <w:sz w:val="20"/>
          <w:szCs w:val="20"/>
          <w:highlight w:val="none"/>
        </w:rPr>
        <w:t>的期限：</w:t>
      </w:r>
      <w:r>
        <w:rPr>
          <w:rFonts w:ascii="宋体" w:hAnsi="宋体" w:eastAsia="宋体" w:cs="宋体"/>
          <w:color w:val="auto"/>
          <w:spacing w:val="8"/>
          <w:sz w:val="20"/>
          <w:szCs w:val="20"/>
          <w:highlight w:val="none"/>
          <w:u w:val="single" w:color="auto"/>
        </w:rPr>
        <w:t>合同签</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u w:val="single" w:color="auto"/>
        </w:rPr>
        <w:t>订后，开工前</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5"/>
          <w:sz w:val="20"/>
          <w:szCs w:val="20"/>
          <w:highlight w:val="none"/>
          <w:u w:val="single" w:color="auto"/>
        </w:rPr>
        <w:t>7 天</w:t>
      </w:r>
      <w:r>
        <w:rPr>
          <w:rFonts w:ascii="宋体" w:hAnsi="宋体" w:eastAsia="宋体" w:cs="宋体"/>
          <w:color w:val="auto"/>
          <w:spacing w:val="5"/>
          <w:sz w:val="20"/>
          <w:szCs w:val="20"/>
          <w:highlight w:val="none"/>
        </w:rPr>
        <w:t>。</w:t>
      </w:r>
    </w:p>
    <w:p w14:paraId="67ABA32E">
      <w:pPr>
        <w:spacing w:before="282" w:line="226" w:lineRule="auto"/>
        <w:ind w:left="20"/>
        <w:outlineLvl w:val="2"/>
        <w:rPr>
          <w:rFonts w:ascii="宋体" w:hAnsi="宋体" w:eastAsia="宋体" w:cs="宋体"/>
          <w:color w:val="auto"/>
          <w:sz w:val="31"/>
          <w:szCs w:val="31"/>
          <w:highlight w:val="none"/>
        </w:rPr>
      </w:pPr>
      <w:bookmarkStart w:id="80" w:name="_Toc15774"/>
      <w:r>
        <w:rPr>
          <w:rFonts w:ascii="宋体" w:hAnsi="宋体" w:eastAsia="宋体" w:cs="宋体"/>
          <w:b/>
          <w:bCs/>
          <w:color w:val="auto"/>
          <w:sz w:val="31"/>
          <w:szCs w:val="31"/>
          <w:highlight w:val="none"/>
        </w:rPr>
        <w:t>7.5</w:t>
      </w:r>
      <w:r>
        <w:rPr>
          <w:rFonts w:ascii="宋体" w:hAnsi="宋体" w:eastAsia="宋体" w:cs="宋体"/>
          <w:color w:val="auto"/>
          <w:spacing w:val="23"/>
          <w:sz w:val="31"/>
          <w:szCs w:val="31"/>
          <w:highlight w:val="none"/>
        </w:rPr>
        <w:t xml:space="preserve"> </w:t>
      </w:r>
      <w:r>
        <w:rPr>
          <w:rFonts w:ascii="宋体" w:hAnsi="宋体" w:eastAsia="宋体" w:cs="宋体"/>
          <w:b/>
          <w:bCs/>
          <w:color w:val="auto"/>
          <w:sz w:val="31"/>
          <w:szCs w:val="31"/>
          <w:highlight w:val="none"/>
        </w:rPr>
        <w:t>工期延误</w:t>
      </w:r>
      <w:bookmarkEnd w:id="80"/>
    </w:p>
    <w:p w14:paraId="35D7424F">
      <w:pPr>
        <w:pStyle w:val="2"/>
        <w:spacing w:line="412" w:lineRule="auto"/>
        <w:rPr>
          <w:color w:val="auto"/>
          <w:highlight w:val="none"/>
        </w:rPr>
      </w:pPr>
    </w:p>
    <w:p w14:paraId="76396C8F">
      <w:pPr>
        <w:spacing w:before="66" w:line="229"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7.5.1 因发包人原因导致工期延误</w:t>
      </w:r>
    </w:p>
    <w:p w14:paraId="7A1ACBFE">
      <w:pPr>
        <w:spacing w:before="219" w:line="432" w:lineRule="auto"/>
        <w:ind w:left="11" w:right="2" w:firstLine="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（7）因发包人原因导致工期延误的其他情形：</w:t>
      </w:r>
      <w:r>
        <w:rPr>
          <w:rFonts w:ascii="宋体" w:hAnsi="宋体" w:eastAsia="宋体" w:cs="宋体"/>
          <w:color w:val="auto"/>
          <w:spacing w:val="7"/>
          <w:sz w:val="20"/>
          <w:szCs w:val="20"/>
          <w:highlight w:val="none"/>
          <w:u w:val="single" w:color="auto"/>
        </w:rPr>
        <w:t>①重大图纸变更影响关健线路工序施工；②施工期间</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u w:val="single" w:color="auto"/>
        </w:rPr>
        <w:t>如因停电、停水连续8</w:t>
      </w:r>
      <w:r>
        <w:rPr>
          <w:rFonts w:ascii="宋体" w:hAnsi="宋体" w:eastAsia="宋体" w:cs="宋体"/>
          <w:color w:val="auto"/>
          <w:spacing w:val="-30"/>
          <w:sz w:val="20"/>
          <w:szCs w:val="20"/>
          <w:highlight w:val="none"/>
          <w:u w:val="single" w:color="auto"/>
        </w:rPr>
        <w:t xml:space="preserve"> </w:t>
      </w:r>
      <w:r>
        <w:rPr>
          <w:rFonts w:ascii="宋体" w:hAnsi="宋体" w:eastAsia="宋体" w:cs="宋体"/>
          <w:color w:val="auto"/>
          <w:spacing w:val="9"/>
          <w:sz w:val="20"/>
          <w:szCs w:val="20"/>
          <w:highlight w:val="none"/>
          <w:u w:val="single" w:color="auto"/>
        </w:rPr>
        <w:t>小时以上或一周内间歇性停水、停电累计</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9"/>
          <w:sz w:val="20"/>
          <w:szCs w:val="20"/>
          <w:highlight w:val="none"/>
          <w:u w:val="single" w:color="auto"/>
        </w:rPr>
        <w:t>8</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9"/>
          <w:sz w:val="20"/>
          <w:szCs w:val="20"/>
          <w:highlight w:val="none"/>
          <w:u w:val="single" w:color="auto"/>
        </w:rPr>
        <w:t>小时（含</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9"/>
          <w:sz w:val="20"/>
          <w:szCs w:val="20"/>
          <w:highlight w:val="none"/>
          <w:u w:val="single" w:color="auto"/>
        </w:rPr>
        <w:t>8</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9"/>
          <w:sz w:val="20"/>
          <w:szCs w:val="20"/>
          <w:highlight w:val="none"/>
          <w:u w:val="single" w:color="auto"/>
        </w:rPr>
        <w:t>小时）影响正常施工的。</w:t>
      </w:r>
    </w:p>
    <w:p w14:paraId="7D748D42">
      <w:pPr>
        <w:spacing w:before="1" w:line="329" w:lineRule="auto"/>
        <w:ind w:left="15" w:right="18" w:hanging="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③政府指令性停工。④在施工过程中遇到地下障碍物、溶洞、岩石、文物或地下管</w:t>
      </w:r>
      <w:r>
        <w:rPr>
          <w:rFonts w:ascii="宋体" w:hAnsi="宋体" w:eastAsia="宋体" w:cs="宋体"/>
          <w:color w:val="auto"/>
          <w:spacing w:val="9"/>
          <w:sz w:val="20"/>
          <w:szCs w:val="20"/>
          <w:highlight w:val="none"/>
          <w:u w:val="single" w:color="auto"/>
        </w:rPr>
        <w:t>线的。⑤因发包人未</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能及时确认变更价格或甲供材料提供延误的。⑥非承包人的责任造成的工期延误其他情形</w:t>
      </w:r>
      <w:r>
        <w:rPr>
          <w:rFonts w:ascii="宋体" w:hAnsi="宋体" w:eastAsia="宋体" w:cs="宋体"/>
          <w:color w:val="auto"/>
          <w:spacing w:val="9"/>
          <w:sz w:val="20"/>
          <w:szCs w:val="20"/>
          <w:highlight w:val="none"/>
        </w:rPr>
        <w:t xml:space="preserve"> 。</w:t>
      </w:r>
    </w:p>
    <w:p w14:paraId="561C9EC1">
      <w:pPr>
        <w:spacing w:before="223"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7.5.2 因承包人原因导致工期延误</w:t>
      </w:r>
    </w:p>
    <w:p w14:paraId="1024599B">
      <w:pPr>
        <w:spacing w:before="221" w:line="228" w:lineRule="auto"/>
        <w:ind w:right="1"/>
        <w:jc w:val="right"/>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双方约定经监理工程师确认，工期相应顺延的情况：</w:t>
      </w:r>
      <w:r>
        <w:rPr>
          <w:rFonts w:ascii="宋体" w:hAnsi="宋体" w:eastAsia="宋体" w:cs="宋体"/>
          <w:color w:val="auto"/>
          <w:spacing w:val="-42"/>
          <w:sz w:val="20"/>
          <w:szCs w:val="20"/>
          <w:highlight w:val="none"/>
        </w:rPr>
        <w:t xml:space="preserve"> </w:t>
      </w:r>
      <w:r>
        <w:rPr>
          <w:rFonts w:ascii="宋体" w:hAnsi="宋体" w:eastAsia="宋体" w:cs="宋体"/>
          <w:color w:val="auto"/>
          <w:spacing w:val="3"/>
          <w:sz w:val="20"/>
          <w:szCs w:val="20"/>
          <w:highlight w:val="none"/>
          <w:u w:val="single" w:color="auto"/>
        </w:rPr>
        <w:t>由于发包人延误，</w:t>
      </w:r>
      <w:r>
        <w:rPr>
          <w:rFonts w:ascii="宋体" w:hAnsi="宋体" w:eastAsia="宋体" w:cs="宋体"/>
          <w:color w:val="auto"/>
          <w:spacing w:val="-53"/>
          <w:sz w:val="20"/>
          <w:szCs w:val="20"/>
          <w:highlight w:val="none"/>
          <w:u w:val="single" w:color="auto"/>
        </w:rPr>
        <w:t xml:space="preserve"> </w:t>
      </w:r>
      <w:r>
        <w:rPr>
          <w:rFonts w:ascii="宋体" w:hAnsi="宋体" w:eastAsia="宋体" w:cs="宋体"/>
          <w:color w:val="auto"/>
          <w:spacing w:val="3"/>
          <w:sz w:val="20"/>
          <w:szCs w:val="20"/>
          <w:highlight w:val="none"/>
          <w:u w:val="single" w:color="auto"/>
        </w:rPr>
        <w:t>工期顺延（须得到发包人代表</w:t>
      </w:r>
    </w:p>
    <w:p w14:paraId="74FE3BE6">
      <w:pPr>
        <w:spacing w:line="228" w:lineRule="auto"/>
        <w:rPr>
          <w:rFonts w:ascii="宋体" w:hAnsi="宋体" w:eastAsia="宋体" w:cs="宋体"/>
          <w:color w:val="auto"/>
          <w:sz w:val="20"/>
          <w:szCs w:val="20"/>
          <w:highlight w:val="none"/>
        </w:rPr>
        <w:sectPr>
          <w:footerReference r:id="rId207" w:type="default"/>
          <w:pgSz w:w="11906" w:h="16839"/>
          <w:pgMar w:top="400" w:right="1219" w:bottom="1158" w:left="1219" w:header="0" w:footer="922" w:gutter="0"/>
          <w:cols w:space="720" w:num="1"/>
        </w:sectPr>
      </w:pPr>
    </w:p>
    <w:p w14:paraId="2927EC8A">
      <w:pPr>
        <w:spacing w:before="256" w:line="228" w:lineRule="auto"/>
        <w:ind w:left="2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u w:val="single" w:color="auto"/>
        </w:rPr>
        <w:t>的书面签字认可，承包人同意发包人原因的工期顺延，承包人不予索赔）</w:t>
      </w:r>
      <w:r>
        <w:rPr>
          <w:rFonts w:ascii="宋体" w:hAnsi="宋体" w:eastAsia="宋体" w:cs="宋体"/>
          <w:color w:val="auto"/>
          <w:spacing w:val="-1"/>
          <w:sz w:val="20"/>
          <w:szCs w:val="20"/>
          <w:highlight w:val="none"/>
        </w:rPr>
        <w:t>。</w:t>
      </w:r>
    </w:p>
    <w:p w14:paraId="028713AD">
      <w:pPr>
        <w:spacing w:before="221" w:line="228" w:lineRule="auto"/>
        <w:ind w:left="44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因承包人原因造成工期延误，逾期竣工违约金</w:t>
      </w:r>
      <w:r>
        <w:rPr>
          <w:rFonts w:ascii="宋体" w:hAnsi="宋体" w:eastAsia="宋体" w:cs="宋体"/>
          <w:color w:val="auto"/>
          <w:spacing w:val="8"/>
          <w:sz w:val="20"/>
          <w:szCs w:val="20"/>
          <w:highlight w:val="none"/>
        </w:rPr>
        <w:t>的计算方法为：</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598D6C07">
      <w:pPr>
        <w:pStyle w:val="2"/>
        <w:spacing w:line="402" w:lineRule="auto"/>
        <w:rPr>
          <w:color w:val="auto"/>
          <w:highlight w:val="none"/>
        </w:rPr>
      </w:pPr>
    </w:p>
    <w:p w14:paraId="5233A8E2">
      <w:pPr>
        <w:spacing w:before="101" w:line="225" w:lineRule="auto"/>
        <w:ind w:left="20"/>
        <w:outlineLvl w:val="2"/>
        <w:rPr>
          <w:rFonts w:ascii="宋体" w:hAnsi="宋体" w:eastAsia="宋体" w:cs="宋体"/>
          <w:color w:val="auto"/>
          <w:sz w:val="31"/>
          <w:szCs w:val="31"/>
          <w:highlight w:val="none"/>
        </w:rPr>
      </w:pPr>
      <w:bookmarkStart w:id="81" w:name="_Toc8209"/>
      <w:r>
        <w:rPr>
          <w:rFonts w:ascii="宋体" w:hAnsi="宋体" w:eastAsia="宋体" w:cs="宋体"/>
          <w:b/>
          <w:bCs/>
          <w:color w:val="auto"/>
          <w:spacing w:val="3"/>
          <w:sz w:val="31"/>
          <w:szCs w:val="31"/>
          <w:highlight w:val="none"/>
        </w:rPr>
        <w:t>7.6</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不利物质条件</w:t>
      </w:r>
      <w:bookmarkEnd w:id="81"/>
    </w:p>
    <w:p w14:paraId="0C239345">
      <w:pPr>
        <w:pStyle w:val="2"/>
        <w:spacing w:line="414" w:lineRule="auto"/>
        <w:rPr>
          <w:color w:val="auto"/>
          <w:highlight w:val="none"/>
        </w:rPr>
      </w:pPr>
    </w:p>
    <w:p w14:paraId="0246C9F1">
      <w:pPr>
        <w:spacing w:before="65" w:line="433" w:lineRule="auto"/>
        <w:ind w:left="8" w:firstLine="423"/>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不利物质条件的其他情形和有关约定：</w:t>
      </w:r>
      <w:r>
        <w:rPr>
          <w:rFonts w:ascii="宋体" w:hAnsi="宋体" w:eastAsia="宋体" w:cs="宋体"/>
          <w:color w:val="auto"/>
          <w:spacing w:val="8"/>
          <w:sz w:val="20"/>
          <w:szCs w:val="20"/>
          <w:highlight w:val="none"/>
          <w:u w:val="single" w:color="auto"/>
        </w:rPr>
        <w:t>雨雪、冰雹、台风</w:t>
      </w:r>
      <w:r>
        <w:rPr>
          <w:rFonts w:ascii="宋体" w:hAnsi="宋体" w:eastAsia="宋体" w:cs="宋体"/>
          <w:color w:val="auto"/>
          <w:spacing w:val="7"/>
          <w:sz w:val="20"/>
          <w:szCs w:val="20"/>
          <w:highlight w:val="none"/>
          <w:u w:val="single" w:color="auto"/>
        </w:rPr>
        <w:t>、高温天气、低温天气、停水、 停电、节</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假日、扰民和民扰、市政影响等不利因素等在总</w:t>
      </w:r>
      <w:r>
        <w:rPr>
          <w:rFonts w:ascii="宋体" w:hAnsi="宋体" w:eastAsia="宋体" w:cs="宋体"/>
          <w:color w:val="auto"/>
          <w:spacing w:val="7"/>
          <w:sz w:val="20"/>
          <w:szCs w:val="20"/>
          <w:highlight w:val="none"/>
          <w:u w:val="single" w:color="auto"/>
        </w:rPr>
        <w:t>工期内，不另外考虑。如遇国家和政府要求短期（临时）</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停工的，双方协商处理</w:t>
      </w:r>
      <w:r>
        <w:rPr>
          <w:rFonts w:ascii="宋体" w:hAnsi="宋体" w:eastAsia="宋体" w:cs="宋体"/>
          <w:color w:val="auto"/>
          <w:spacing w:val="8"/>
          <w:sz w:val="20"/>
          <w:szCs w:val="20"/>
          <w:highlight w:val="none"/>
        </w:rPr>
        <w:t>。</w:t>
      </w:r>
    </w:p>
    <w:p w14:paraId="0AB548EF">
      <w:pPr>
        <w:spacing w:before="281" w:line="225" w:lineRule="auto"/>
        <w:ind w:left="20"/>
        <w:outlineLvl w:val="2"/>
        <w:rPr>
          <w:rFonts w:ascii="宋体" w:hAnsi="宋体" w:eastAsia="宋体" w:cs="宋体"/>
          <w:color w:val="auto"/>
          <w:sz w:val="31"/>
          <w:szCs w:val="31"/>
          <w:highlight w:val="none"/>
        </w:rPr>
      </w:pPr>
      <w:bookmarkStart w:id="82" w:name="_Toc16805"/>
      <w:r>
        <w:rPr>
          <w:rFonts w:ascii="宋体" w:hAnsi="宋体" w:eastAsia="宋体" w:cs="宋体"/>
          <w:b/>
          <w:bCs/>
          <w:color w:val="auto"/>
          <w:spacing w:val="4"/>
          <w:sz w:val="31"/>
          <w:szCs w:val="31"/>
          <w:highlight w:val="none"/>
        </w:rPr>
        <w:t>7.7</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异常恶劣的气候条件</w:t>
      </w:r>
      <w:bookmarkEnd w:id="82"/>
    </w:p>
    <w:p w14:paraId="0EF9D96F">
      <w:pPr>
        <w:pStyle w:val="2"/>
        <w:spacing w:line="414" w:lineRule="auto"/>
        <w:rPr>
          <w:color w:val="auto"/>
          <w:highlight w:val="none"/>
        </w:rPr>
      </w:pPr>
    </w:p>
    <w:p w14:paraId="096DE5FE">
      <w:pPr>
        <w:spacing w:before="66"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发包人和承包人同意以下情形视为异常恶劣的气候条件：</w:t>
      </w:r>
    </w:p>
    <w:p w14:paraId="7FA6D40A">
      <w:pPr>
        <w:spacing w:before="221" w:line="228" w:lineRule="auto"/>
        <w:ind w:left="46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(1)持续高温</w:t>
      </w:r>
      <w:r>
        <w:rPr>
          <w:rFonts w:ascii="宋体" w:hAnsi="宋体" w:eastAsia="宋体" w:cs="宋体"/>
          <w:color w:val="auto"/>
          <w:spacing w:val="-44"/>
          <w:sz w:val="20"/>
          <w:szCs w:val="20"/>
          <w:highlight w:val="none"/>
        </w:rPr>
        <w:t xml:space="preserve"> </w:t>
      </w:r>
      <w:r>
        <w:rPr>
          <w:rFonts w:ascii="宋体" w:hAnsi="宋体" w:eastAsia="宋体" w:cs="宋体"/>
          <w:color w:val="auto"/>
          <w:spacing w:val="3"/>
          <w:sz w:val="20"/>
          <w:szCs w:val="20"/>
          <w:highlight w:val="none"/>
        </w:rPr>
        <w:t>: 连续三日最高温气温</w:t>
      </w:r>
      <w:r>
        <w:rPr>
          <w:rFonts w:ascii="宋体" w:hAnsi="宋体" w:eastAsia="宋体" w:cs="宋体"/>
          <w:color w:val="auto"/>
          <w:spacing w:val="-35"/>
          <w:sz w:val="20"/>
          <w:szCs w:val="20"/>
          <w:highlight w:val="none"/>
        </w:rPr>
        <w:t xml:space="preserve"> </w:t>
      </w:r>
      <w:r>
        <w:rPr>
          <w:rFonts w:ascii="宋体" w:hAnsi="宋体" w:eastAsia="宋体" w:cs="宋体"/>
          <w:color w:val="auto"/>
          <w:spacing w:val="3"/>
          <w:sz w:val="20"/>
          <w:szCs w:val="20"/>
          <w:highlight w:val="none"/>
        </w:rPr>
        <w:t>38</w:t>
      </w:r>
      <w:r>
        <w:rPr>
          <w:rFonts w:ascii="宋体" w:hAnsi="宋体" w:eastAsia="宋体" w:cs="宋体"/>
          <w:color w:val="auto"/>
          <w:spacing w:val="-42"/>
          <w:sz w:val="20"/>
          <w:szCs w:val="20"/>
          <w:highlight w:val="none"/>
        </w:rPr>
        <w:t xml:space="preserve"> </w:t>
      </w:r>
      <w:r>
        <w:rPr>
          <w:rFonts w:ascii="宋体" w:hAnsi="宋体" w:eastAsia="宋体" w:cs="宋体"/>
          <w:color w:val="auto"/>
          <w:spacing w:val="3"/>
          <w:sz w:val="20"/>
          <w:szCs w:val="20"/>
          <w:highlight w:val="none"/>
        </w:rPr>
        <w:t>度以上；</w:t>
      </w:r>
    </w:p>
    <w:p w14:paraId="6C3BBC92">
      <w:pPr>
        <w:spacing w:before="221" w:line="228" w:lineRule="auto"/>
        <w:ind w:left="46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(2)连续低温:连续三日最低气温-20</w:t>
      </w:r>
      <w:r>
        <w:rPr>
          <w:rFonts w:ascii="宋体" w:hAnsi="宋体" w:eastAsia="宋体" w:cs="宋体"/>
          <w:color w:val="auto"/>
          <w:spacing w:val="-25"/>
          <w:sz w:val="20"/>
          <w:szCs w:val="20"/>
          <w:highlight w:val="none"/>
        </w:rPr>
        <w:t xml:space="preserve"> </w:t>
      </w:r>
      <w:r>
        <w:rPr>
          <w:rFonts w:ascii="宋体" w:hAnsi="宋体" w:eastAsia="宋体" w:cs="宋体"/>
          <w:color w:val="auto"/>
          <w:spacing w:val="5"/>
          <w:sz w:val="20"/>
          <w:szCs w:val="20"/>
          <w:highlight w:val="none"/>
        </w:rPr>
        <w:t>度以上；</w:t>
      </w:r>
    </w:p>
    <w:p w14:paraId="2A39773B">
      <w:pPr>
        <w:spacing w:before="221" w:line="228" w:lineRule="auto"/>
        <w:ind w:left="46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(3)大风天气：施工水域日风力在6</w:t>
      </w:r>
      <w:r>
        <w:rPr>
          <w:rFonts w:ascii="宋体" w:hAnsi="宋体" w:eastAsia="宋体" w:cs="宋体"/>
          <w:color w:val="auto"/>
          <w:spacing w:val="-29"/>
          <w:sz w:val="20"/>
          <w:szCs w:val="20"/>
          <w:highlight w:val="none"/>
        </w:rPr>
        <w:t xml:space="preserve"> </w:t>
      </w:r>
      <w:r>
        <w:rPr>
          <w:rFonts w:ascii="宋体" w:hAnsi="宋体" w:eastAsia="宋体" w:cs="宋体"/>
          <w:color w:val="auto"/>
          <w:spacing w:val="9"/>
          <w:sz w:val="20"/>
          <w:szCs w:val="20"/>
          <w:highlight w:val="none"/>
        </w:rPr>
        <w:t>级以上且持续时间不少于4</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小时，或阵风大于</w:t>
      </w:r>
      <w:r>
        <w:rPr>
          <w:rFonts w:ascii="宋体" w:hAnsi="宋体" w:eastAsia="宋体" w:cs="宋体"/>
          <w:color w:val="auto"/>
          <w:spacing w:val="-36"/>
          <w:sz w:val="20"/>
          <w:szCs w:val="20"/>
          <w:highlight w:val="none"/>
        </w:rPr>
        <w:t xml:space="preserve"> </w:t>
      </w:r>
      <w:r>
        <w:rPr>
          <w:rFonts w:ascii="宋体" w:hAnsi="宋体" w:eastAsia="宋体" w:cs="宋体"/>
          <w:color w:val="auto"/>
          <w:spacing w:val="9"/>
          <w:sz w:val="20"/>
          <w:szCs w:val="20"/>
          <w:highlight w:val="none"/>
        </w:rPr>
        <w:t>8</w:t>
      </w:r>
      <w:r>
        <w:rPr>
          <w:rFonts w:ascii="宋体" w:hAnsi="宋体" w:eastAsia="宋体" w:cs="宋体"/>
          <w:color w:val="auto"/>
          <w:spacing w:val="-35"/>
          <w:sz w:val="20"/>
          <w:szCs w:val="20"/>
          <w:highlight w:val="none"/>
        </w:rPr>
        <w:t xml:space="preserve"> </w:t>
      </w:r>
      <w:r>
        <w:rPr>
          <w:rFonts w:ascii="宋体" w:hAnsi="宋体" w:eastAsia="宋体" w:cs="宋体"/>
          <w:color w:val="auto"/>
          <w:spacing w:val="9"/>
          <w:sz w:val="20"/>
          <w:szCs w:val="20"/>
          <w:highlight w:val="none"/>
        </w:rPr>
        <w:t>级；</w:t>
      </w:r>
    </w:p>
    <w:p w14:paraId="30291539">
      <w:pPr>
        <w:spacing w:before="220" w:line="226" w:lineRule="auto"/>
        <w:ind w:left="46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(4)暴雨天气：</w:t>
      </w:r>
      <w:r>
        <w:rPr>
          <w:rFonts w:ascii="宋体" w:hAnsi="宋体" w:eastAsia="宋体" w:cs="宋体"/>
          <w:color w:val="auto"/>
          <w:spacing w:val="-36"/>
          <w:sz w:val="20"/>
          <w:szCs w:val="20"/>
          <w:highlight w:val="none"/>
        </w:rPr>
        <w:t xml:space="preserve"> </w:t>
      </w:r>
      <w:r>
        <w:rPr>
          <w:rFonts w:ascii="宋体" w:hAnsi="宋体" w:eastAsia="宋体" w:cs="宋体"/>
          <w:color w:val="auto"/>
          <w:spacing w:val="4"/>
          <w:sz w:val="20"/>
          <w:szCs w:val="20"/>
          <w:highlight w:val="none"/>
        </w:rPr>
        <w:t>日降雨量 50</w:t>
      </w:r>
      <w:r>
        <w:rPr>
          <w:rFonts w:ascii="宋体" w:hAnsi="宋体" w:eastAsia="宋体" w:cs="宋体"/>
          <w:color w:val="auto"/>
          <w:sz w:val="20"/>
          <w:szCs w:val="20"/>
          <w:highlight w:val="none"/>
        </w:rPr>
        <w:t>mm</w:t>
      </w:r>
      <w:r>
        <w:rPr>
          <w:rFonts w:ascii="宋体" w:hAnsi="宋体" w:eastAsia="宋体" w:cs="宋体"/>
          <w:color w:val="auto"/>
          <w:spacing w:val="36"/>
          <w:sz w:val="20"/>
          <w:szCs w:val="20"/>
          <w:highlight w:val="none"/>
        </w:rPr>
        <w:t xml:space="preserve"> </w:t>
      </w:r>
      <w:r>
        <w:rPr>
          <w:rFonts w:ascii="宋体" w:hAnsi="宋体" w:eastAsia="宋体" w:cs="宋体"/>
          <w:color w:val="auto"/>
          <w:spacing w:val="4"/>
          <w:sz w:val="20"/>
          <w:szCs w:val="20"/>
          <w:highlight w:val="none"/>
        </w:rPr>
        <w:t>以上,或将与强度大于 20</w:t>
      </w:r>
      <w:r>
        <w:rPr>
          <w:rFonts w:ascii="宋体" w:hAnsi="宋体" w:eastAsia="宋体" w:cs="宋体"/>
          <w:color w:val="auto"/>
          <w:sz w:val="20"/>
          <w:szCs w:val="20"/>
          <w:highlight w:val="none"/>
        </w:rPr>
        <w:t>mm</w:t>
      </w:r>
      <w:r>
        <w:rPr>
          <w:rFonts w:ascii="宋体" w:hAnsi="宋体" w:eastAsia="宋体" w:cs="宋体"/>
          <w:color w:val="auto"/>
          <w:spacing w:val="4"/>
          <w:sz w:val="20"/>
          <w:szCs w:val="20"/>
          <w:highlight w:val="none"/>
        </w:rPr>
        <w:t>∕h；</w:t>
      </w:r>
    </w:p>
    <w:p w14:paraId="7A47D217">
      <w:pPr>
        <w:spacing w:before="223" w:line="228" w:lineRule="auto"/>
        <w:ind w:left="465"/>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(5)暴雪天气日降雪量</w:t>
      </w:r>
      <w:r>
        <w:rPr>
          <w:rFonts w:ascii="宋体" w:hAnsi="宋体" w:eastAsia="宋体" w:cs="宋体"/>
          <w:color w:val="auto"/>
          <w:spacing w:val="45"/>
          <w:sz w:val="20"/>
          <w:szCs w:val="20"/>
          <w:highlight w:val="none"/>
        </w:rPr>
        <w:t xml:space="preserve"> </w:t>
      </w:r>
      <w:r>
        <w:rPr>
          <w:rFonts w:ascii="宋体" w:hAnsi="宋体" w:eastAsia="宋体" w:cs="宋体"/>
          <w:color w:val="auto"/>
          <w:spacing w:val="1"/>
          <w:sz w:val="20"/>
          <w:szCs w:val="20"/>
          <w:highlight w:val="none"/>
        </w:rPr>
        <w:t>10</w:t>
      </w:r>
      <w:r>
        <w:rPr>
          <w:rFonts w:ascii="宋体" w:hAnsi="宋体" w:eastAsia="宋体" w:cs="宋体"/>
          <w:color w:val="auto"/>
          <w:sz w:val="20"/>
          <w:szCs w:val="20"/>
          <w:highlight w:val="none"/>
        </w:rPr>
        <w:t>mm</w:t>
      </w:r>
      <w:r>
        <w:rPr>
          <w:rFonts w:ascii="宋体" w:hAnsi="宋体" w:eastAsia="宋体" w:cs="宋体"/>
          <w:color w:val="auto"/>
          <w:spacing w:val="36"/>
          <w:sz w:val="20"/>
          <w:szCs w:val="20"/>
          <w:highlight w:val="none"/>
        </w:rPr>
        <w:t xml:space="preserve"> </w:t>
      </w:r>
      <w:r>
        <w:rPr>
          <w:rFonts w:ascii="宋体" w:hAnsi="宋体" w:eastAsia="宋体" w:cs="宋体"/>
          <w:color w:val="auto"/>
          <w:spacing w:val="1"/>
          <w:sz w:val="20"/>
          <w:szCs w:val="20"/>
          <w:highlight w:val="none"/>
        </w:rPr>
        <w:t>以上；</w:t>
      </w:r>
    </w:p>
    <w:p w14:paraId="5D678819">
      <w:pPr>
        <w:spacing w:before="222" w:line="228" w:lineRule="auto"/>
        <w:ind w:left="465"/>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(6)流速或波浪：</w:t>
      </w:r>
      <w:r>
        <w:rPr>
          <w:rFonts w:ascii="宋体" w:hAnsi="宋体" w:eastAsia="宋体" w:cs="宋体"/>
          <w:color w:val="auto"/>
          <w:spacing w:val="-52"/>
          <w:sz w:val="20"/>
          <w:szCs w:val="20"/>
          <w:highlight w:val="none"/>
        </w:rPr>
        <w:t xml:space="preserve"> </w:t>
      </w:r>
      <w:r>
        <w:rPr>
          <w:rFonts w:ascii="宋体" w:hAnsi="宋体" w:eastAsia="宋体" w:cs="宋体"/>
          <w:color w:val="auto"/>
          <w:spacing w:val="5"/>
          <w:sz w:val="20"/>
          <w:szCs w:val="20"/>
          <w:highlight w:val="none"/>
        </w:rPr>
        <w:t>内河</w:t>
      </w:r>
      <w:r>
        <w:rPr>
          <w:rFonts w:ascii="宋体" w:hAnsi="宋体" w:eastAsia="宋体" w:cs="宋体"/>
          <w:color w:val="auto"/>
          <w:spacing w:val="-32"/>
          <w:sz w:val="20"/>
          <w:szCs w:val="20"/>
          <w:highlight w:val="none"/>
        </w:rPr>
        <w:t xml:space="preserve"> </w:t>
      </w:r>
      <w:r>
        <w:rPr>
          <w:rFonts w:ascii="宋体" w:hAnsi="宋体" w:eastAsia="宋体" w:cs="宋体"/>
          <w:color w:val="auto"/>
          <w:spacing w:val="5"/>
          <w:sz w:val="20"/>
          <w:szCs w:val="20"/>
          <w:highlight w:val="none"/>
        </w:rPr>
        <w:t>3.5</w:t>
      </w:r>
      <w:r>
        <w:rPr>
          <w:rFonts w:ascii="宋体" w:hAnsi="宋体" w:eastAsia="宋体" w:cs="宋体"/>
          <w:color w:val="auto"/>
          <w:spacing w:val="-41"/>
          <w:sz w:val="20"/>
          <w:szCs w:val="20"/>
          <w:highlight w:val="none"/>
        </w:rPr>
        <w:t xml:space="preserve"> </w:t>
      </w:r>
      <w:r>
        <w:rPr>
          <w:rFonts w:ascii="宋体" w:hAnsi="宋体" w:eastAsia="宋体" w:cs="宋体"/>
          <w:color w:val="auto"/>
          <w:spacing w:val="5"/>
          <w:sz w:val="20"/>
          <w:szCs w:val="20"/>
          <w:highlight w:val="none"/>
        </w:rPr>
        <w:t>米∕秒以上的流速，海上</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5"/>
          <w:sz w:val="20"/>
          <w:szCs w:val="20"/>
          <w:highlight w:val="none"/>
        </w:rPr>
        <w:t>米及以上的大浪和强浪；</w:t>
      </w:r>
    </w:p>
    <w:p w14:paraId="53B7FEC7">
      <w:pPr>
        <w:spacing w:before="221" w:line="228" w:lineRule="auto"/>
        <w:ind w:left="46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(7)水淹：施工场地大部分或全部被潮水、洪水</w:t>
      </w:r>
      <w:r>
        <w:rPr>
          <w:rFonts w:ascii="宋体" w:hAnsi="宋体" w:eastAsia="宋体" w:cs="宋体"/>
          <w:color w:val="auto"/>
          <w:spacing w:val="7"/>
          <w:sz w:val="20"/>
          <w:szCs w:val="20"/>
          <w:highlight w:val="none"/>
        </w:rPr>
        <w:t>或雨水淹没超过一天；</w:t>
      </w:r>
    </w:p>
    <w:p w14:paraId="1D771119">
      <w:pPr>
        <w:spacing w:before="221" w:line="228" w:lineRule="auto"/>
        <w:ind w:left="465"/>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(8)大雾：能见度小于</w:t>
      </w:r>
      <w:r>
        <w:rPr>
          <w:rFonts w:ascii="宋体" w:hAnsi="宋体" w:eastAsia="宋体" w:cs="宋体"/>
          <w:color w:val="auto"/>
          <w:spacing w:val="-28"/>
          <w:sz w:val="20"/>
          <w:szCs w:val="20"/>
          <w:highlight w:val="none"/>
        </w:rPr>
        <w:t xml:space="preserve"> </w:t>
      </w:r>
      <w:r>
        <w:rPr>
          <w:rFonts w:ascii="宋体" w:hAnsi="宋体" w:eastAsia="宋体" w:cs="宋体"/>
          <w:color w:val="auto"/>
          <w:spacing w:val="3"/>
          <w:sz w:val="20"/>
          <w:szCs w:val="20"/>
          <w:highlight w:val="none"/>
        </w:rPr>
        <w:t>50</w:t>
      </w:r>
      <w:r>
        <w:rPr>
          <w:rFonts w:ascii="宋体" w:hAnsi="宋体" w:eastAsia="宋体" w:cs="宋体"/>
          <w:color w:val="auto"/>
          <w:spacing w:val="-40"/>
          <w:sz w:val="20"/>
          <w:szCs w:val="20"/>
          <w:highlight w:val="none"/>
        </w:rPr>
        <w:t xml:space="preserve"> </w:t>
      </w:r>
      <w:r>
        <w:rPr>
          <w:rFonts w:ascii="宋体" w:hAnsi="宋体" w:eastAsia="宋体" w:cs="宋体"/>
          <w:color w:val="auto"/>
          <w:spacing w:val="3"/>
          <w:sz w:val="20"/>
          <w:szCs w:val="20"/>
          <w:highlight w:val="none"/>
        </w:rPr>
        <w:t>米的雾天超过</w:t>
      </w:r>
      <w:r>
        <w:rPr>
          <w:rFonts w:ascii="宋体" w:hAnsi="宋体" w:eastAsia="宋体" w:cs="宋体"/>
          <w:color w:val="auto"/>
          <w:spacing w:val="-22"/>
          <w:sz w:val="20"/>
          <w:szCs w:val="20"/>
          <w:highlight w:val="none"/>
        </w:rPr>
        <w:t xml:space="preserve"> </w:t>
      </w:r>
      <w:r>
        <w:rPr>
          <w:rFonts w:ascii="宋体" w:hAnsi="宋体" w:eastAsia="宋体" w:cs="宋体"/>
          <w:color w:val="auto"/>
          <w:spacing w:val="3"/>
          <w:sz w:val="20"/>
          <w:szCs w:val="20"/>
          <w:highlight w:val="none"/>
        </w:rPr>
        <w:t>1</w:t>
      </w:r>
      <w:r>
        <w:rPr>
          <w:rFonts w:ascii="宋体" w:hAnsi="宋体" w:eastAsia="宋体" w:cs="宋体"/>
          <w:color w:val="auto"/>
          <w:spacing w:val="-33"/>
          <w:sz w:val="20"/>
          <w:szCs w:val="20"/>
          <w:highlight w:val="none"/>
        </w:rPr>
        <w:t xml:space="preserve"> </w:t>
      </w:r>
      <w:r>
        <w:rPr>
          <w:rFonts w:ascii="宋体" w:hAnsi="宋体" w:eastAsia="宋体" w:cs="宋体"/>
          <w:color w:val="auto"/>
          <w:spacing w:val="3"/>
          <w:sz w:val="20"/>
          <w:szCs w:val="20"/>
          <w:highlight w:val="none"/>
        </w:rPr>
        <w:t>天。</w:t>
      </w:r>
    </w:p>
    <w:p w14:paraId="31BDA587">
      <w:pPr>
        <w:pStyle w:val="2"/>
        <w:spacing w:line="400" w:lineRule="auto"/>
        <w:rPr>
          <w:color w:val="auto"/>
          <w:highlight w:val="none"/>
        </w:rPr>
      </w:pPr>
    </w:p>
    <w:p w14:paraId="0B152EE9">
      <w:pPr>
        <w:spacing w:before="101" w:line="225" w:lineRule="auto"/>
        <w:ind w:left="20"/>
        <w:outlineLvl w:val="2"/>
        <w:rPr>
          <w:rFonts w:ascii="宋体" w:hAnsi="宋体" w:eastAsia="宋体" w:cs="宋体"/>
          <w:color w:val="auto"/>
          <w:sz w:val="31"/>
          <w:szCs w:val="31"/>
          <w:highlight w:val="none"/>
        </w:rPr>
      </w:pPr>
      <w:bookmarkStart w:id="83" w:name="_Toc30226"/>
      <w:r>
        <w:rPr>
          <w:rFonts w:ascii="宋体" w:hAnsi="宋体" w:eastAsia="宋体" w:cs="宋体"/>
          <w:b/>
          <w:bCs/>
          <w:color w:val="auto"/>
          <w:spacing w:val="3"/>
          <w:sz w:val="31"/>
          <w:szCs w:val="31"/>
          <w:highlight w:val="none"/>
        </w:rPr>
        <w:t>7.9</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提前竣工</w:t>
      </w:r>
      <w:bookmarkEnd w:id="83"/>
    </w:p>
    <w:p w14:paraId="332807AC">
      <w:pPr>
        <w:pStyle w:val="2"/>
        <w:spacing w:line="414" w:lineRule="auto"/>
        <w:rPr>
          <w:color w:val="auto"/>
          <w:highlight w:val="none"/>
        </w:rPr>
      </w:pPr>
    </w:p>
    <w:p w14:paraId="77F61609">
      <w:pPr>
        <w:spacing w:before="65" w:line="228" w:lineRule="auto"/>
        <w:ind w:left="43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7.9.2</w:t>
      </w:r>
      <w:r>
        <w:rPr>
          <w:rFonts w:ascii="宋体" w:hAnsi="宋体" w:eastAsia="宋体" w:cs="宋体"/>
          <w:color w:val="auto"/>
          <w:spacing w:val="-26"/>
          <w:sz w:val="20"/>
          <w:szCs w:val="20"/>
          <w:highlight w:val="none"/>
        </w:rPr>
        <w:t xml:space="preserve"> </w:t>
      </w:r>
      <w:r>
        <w:rPr>
          <w:rFonts w:ascii="宋体" w:hAnsi="宋体" w:eastAsia="宋体" w:cs="宋体"/>
          <w:color w:val="auto"/>
          <w:spacing w:val="7"/>
          <w:sz w:val="20"/>
          <w:szCs w:val="20"/>
          <w:highlight w:val="none"/>
        </w:rPr>
        <w:t>提前竣工（赶工）增加费的计算方法：</w:t>
      </w:r>
      <w:r>
        <w:rPr>
          <w:rFonts w:ascii="宋体" w:hAnsi="宋体" w:eastAsia="宋体" w:cs="宋体"/>
          <w:color w:val="auto"/>
          <w:spacing w:val="7"/>
          <w:sz w:val="20"/>
          <w:szCs w:val="20"/>
          <w:highlight w:val="none"/>
          <w:u w:val="single" w:color="auto"/>
        </w:rPr>
        <w:t>无</w:t>
      </w:r>
      <w:r>
        <w:rPr>
          <w:rFonts w:ascii="宋体" w:hAnsi="宋体" w:eastAsia="宋体" w:cs="宋体"/>
          <w:color w:val="auto"/>
          <w:spacing w:val="7"/>
          <w:sz w:val="20"/>
          <w:szCs w:val="20"/>
          <w:highlight w:val="none"/>
        </w:rPr>
        <w:t>。</w:t>
      </w:r>
    </w:p>
    <w:p w14:paraId="4D030FCD">
      <w:pPr>
        <w:pStyle w:val="2"/>
        <w:spacing w:line="401" w:lineRule="auto"/>
        <w:rPr>
          <w:color w:val="auto"/>
          <w:highlight w:val="none"/>
        </w:rPr>
      </w:pPr>
    </w:p>
    <w:p w14:paraId="72A79453">
      <w:pPr>
        <w:spacing w:before="102" w:line="225" w:lineRule="auto"/>
        <w:ind w:left="13"/>
        <w:outlineLvl w:val="1"/>
        <w:rPr>
          <w:rFonts w:ascii="宋体" w:hAnsi="宋体" w:eastAsia="宋体" w:cs="宋体"/>
          <w:color w:val="auto"/>
          <w:sz w:val="31"/>
          <w:szCs w:val="31"/>
          <w:highlight w:val="none"/>
        </w:rPr>
      </w:pPr>
      <w:bookmarkStart w:id="84" w:name="_Toc29050"/>
      <w:r>
        <w:rPr>
          <w:rFonts w:ascii="宋体" w:hAnsi="宋体" w:eastAsia="宋体" w:cs="宋体"/>
          <w:b/>
          <w:bCs/>
          <w:color w:val="auto"/>
          <w:spacing w:val="4"/>
          <w:sz w:val="31"/>
          <w:szCs w:val="31"/>
          <w:highlight w:val="none"/>
        </w:rPr>
        <w:t>8.</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材料与设备</w:t>
      </w:r>
      <w:bookmarkEnd w:id="84"/>
    </w:p>
    <w:p w14:paraId="54832EE1">
      <w:pPr>
        <w:pStyle w:val="2"/>
        <w:spacing w:line="402" w:lineRule="auto"/>
        <w:rPr>
          <w:color w:val="auto"/>
          <w:highlight w:val="none"/>
        </w:rPr>
      </w:pPr>
    </w:p>
    <w:p w14:paraId="784A6121">
      <w:pPr>
        <w:spacing w:before="101" w:line="225" w:lineRule="auto"/>
        <w:ind w:left="13"/>
        <w:outlineLvl w:val="2"/>
        <w:rPr>
          <w:rFonts w:ascii="宋体" w:hAnsi="宋体" w:eastAsia="宋体" w:cs="宋体"/>
          <w:color w:val="auto"/>
          <w:sz w:val="31"/>
          <w:szCs w:val="31"/>
          <w:highlight w:val="none"/>
        </w:rPr>
      </w:pPr>
      <w:bookmarkStart w:id="85" w:name="_Toc18600"/>
      <w:r>
        <w:rPr>
          <w:rFonts w:ascii="宋体" w:hAnsi="宋体" w:eastAsia="宋体" w:cs="宋体"/>
          <w:b/>
          <w:bCs/>
          <w:color w:val="auto"/>
          <w:spacing w:val="5"/>
          <w:sz w:val="31"/>
          <w:szCs w:val="31"/>
          <w:highlight w:val="none"/>
        </w:rPr>
        <w:t>8.2</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承包人采购材料与工程设备</w:t>
      </w:r>
      <w:bookmarkEnd w:id="85"/>
    </w:p>
    <w:p w14:paraId="001F03F3">
      <w:pPr>
        <w:pStyle w:val="2"/>
        <w:spacing w:line="415" w:lineRule="auto"/>
        <w:rPr>
          <w:color w:val="auto"/>
          <w:highlight w:val="none"/>
        </w:rPr>
      </w:pPr>
    </w:p>
    <w:p w14:paraId="3DEDA301">
      <w:pPr>
        <w:spacing w:before="65" w:line="432" w:lineRule="auto"/>
        <w:ind w:left="12" w:right="87"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除已标价工程量清单《发包人提供主要材料和工程设备一览表》（表-21）中明确的材料、工程设备</w:t>
      </w:r>
      <w:r>
        <w:rPr>
          <w:rFonts w:ascii="宋体" w:hAnsi="宋体" w:eastAsia="宋体" w:cs="宋体"/>
          <w:color w:val="auto"/>
          <w:spacing w:val="9"/>
          <w:sz w:val="20"/>
          <w:szCs w:val="20"/>
          <w:highlight w:val="none"/>
        </w:rPr>
        <w:t xml:space="preserve"> </w:t>
      </w:r>
      <w:r>
        <w:rPr>
          <w:rFonts w:ascii="宋体" w:hAnsi="宋体" w:eastAsia="宋体" w:cs="宋体"/>
          <w:color w:val="auto"/>
          <w:spacing w:val="7"/>
          <w:sz w:val="20"/>
          <w:szCs w:val="20"/>
          <w:highlight w:val="none"/>
        </w:rPr>
        <w:t>外，</w:t>
      </w:r>
      <w:r>
        <w:rPr>
          <w:rFonts w:ascii="宋体" w:hAnsi="宋体" w:eastAsia="宋体" w:cs="宋体"/>
          <w:color w:val="auto"/>
          <w:spacing w:val="-51"/>
          <w:sz w:val="20"/>
          <w:szCs w:val="20"/>
          <w:highlight w:val="none"/>
        </w:rPr>
        <w:t xml:space="preserve"> </w:t>
      </w:r>
      <w:r>
        <w:rPr>
          <w:rFonts w:ascii="宋体" w:hAnsi="宋体" w:eastAsia="宋体" w:cs="宋体"/>
          <w:color w:val="auto"/>
          <w:spacing w:val="7"/>
          <w:sz w:val="20"/>
          <w:szCs w:val="20"/>
          <w:highlight w:val="none"/>
        </w:rPr>
        <w:t>由承包人负责材料和工程设备的采购、运输和保管。</w:t>
      </w:r>
    </w:p>
    <w:p w14:paraId="2D6D3D55">
      <w:pPr>
        <w:spacing w:before="1" w:line="417" w:lineRule="auto"/>
        <w:ind w:left="18" w:right="104" w:firstLine="40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对发包人在提供的招标控制价时有“参照或相当于**品牌、级别</w:t>
      </w:r>
      <w:r>
        <w:rPr>
          <w:rFonts w:ascii="宋体" w:hAnsi="宋体" w:eastAsia="宋体" w:cs="宋体"/>
          <w:color w:val="auto"/>
          <w:spacing w:val="-70"/>
          <w:sz w:val="20"/>
          <w:szCs w:val="20"/>
          <w:highlight w:val="none"/>
        </w:rPr>
        <w:t xml:space="preserve"> </w:t>
      </w:r>
      <w:r>
        <w:rPr>
          <w:rFonts w:ascii="宋体" w:hAnsi="宋体" w:eastAsia="宋体" w:cs="宋体"/>
          <w:color w:val="auto"/>
          <w:spacing w:val="9"/>
          <w:sz w:val="20"/>
          <w:szCs w:val="20"/>
          <w:highlight w:val="none"/>
        </w:rPr>
        <w:t>”约定的材料或</w:t>
      </w:r>
      <w:r>
        <w:rPr>
          <w:rFonts w:ascii="宋体" w:hAnsi="宋体" w:eastAsia="宋体" w:cs="宋体"/>
          <w:color w:val="auto"/>
          <w:spacing w:val="8"/>
          <w:sz w:val="20"/>
          <w:szCs w:val="20"/>
          <w:highlight w:val="none"/>
        </w:rPr>
        <w:t>设备，承包人采购</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时必须按类似于或优于所约定品牌、等级进行采购，施</w:t>
      </w:r>
      <w:r>
        <w:rPr>
          <w:rFonts w:ascii="宋体" w:hAnsi="宋体" w:eastAsia="宋体" w:cs="宋体"/>
          <w:color w:val="auto"/>
          <w:spacing w:val="9"/>
          <w:sz w:val="20"/>
          <w:szCs w:val="20"/>
          <w:highlight w:val="none"/>
        </w:rPr>
        <w:t>工期间该部分材料或设备如未超过招标约定的风</w:t>
      </w:r>
    </w:p>
    <w:p w14:paraId="3D935B42">
      <w:pPr>
        <w:spacing w:line="417" w:lineRule="auto"/>
        <w:rPr>
          <w:rFonts w:ascii="宋体" w:hAnsi="宋体" w:eastAsia="宋体" w:cs="宋体"/>
          <w:color w:val="auto"/>
          <w:sz w:val="20"/>
          <w:szCs w:val="20"/>
          <w:highlight w:val="none"/>
        </w:rPr>
        <w:sectPr>
          <w:headerReference r:id="rId208" w:type="default"/>
          <w:footerReference r:id="rId209" w:type="default"/>
          <w:pgSz w:w="11906" w:h="16839"/>
          <w:pgMar w:top="1091" w:right="1133" w:bottom="1158" w:left="1219" w:header="1076" w:footer="922" w:gutter="0"/>
          <w:cols w:space="720" w:num="1"/>
        </w:sectPr>
      </w:pPr>
    </w:p>
    <w:p w14:paraId="73FA3A8B">
      <w:pPr>
        <w:spacing w:before="256" w:line="227" w:lineRule="auto"/>
        <w:ind w:left="1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险幅度的，结算时按招标控制价单价支付，不得调整。</w:t>
      </w:r>
    </w:p>
    <w:p w14:paraId="2987E6D1">
      <w:pPr>
        <w:spacing w:before="222" w:line="432" w:lineRule="auto"/>
        <w:ind w:left="10" w:right="66" w:firstLine="417"/>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满足南宁市城乡建设委员会南宁市工业和信息化委员会关于重新印发《南</w:t>
      </w:r>
      <w:r>
        <w:rPr>
          <w:rFonts w:ascii="宋体" w:hAnsi="宋体" w:eastAsia="宋体" w:cs="宋体"/>
          <w:color w:val="auto"/>
          <w:spacing w:val="9"/>
          <w:sz w:val="20"/>
          <w:szCs w:val="20"/>
          <w:highlight w:val="none"/>
        </w:rPr>
        <w:t>宁市城乡建设委员会和南</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宁市工业和信息化委员会关于推广应用高性能混凝土的通知》的通知（南建规【2016】1号）要求的，本</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工程如需使用，必须使用高性能混凝土。</w:t>
      </w:r>
    </w:p>
    <w:p w14:paraId="0681E256">
      <w:pPr>
        <w:spacing w:line="432" w:lineRule="auto"/>
        <w:ind w:left="23" w:firstLine="40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满足南宁市人民政府印发的《南宁市人民政府关于推广使用预</w:t>
      </w:r>
      <w:r>
        <w:rPr>
          <w:rFonts w:ascii="宋体" w:hAnsi="宋体" w:eastAsia="宋体" w:cs="宋体"/>
          <w:color w:val="auto"/>
          <w:spacing w:val="6"/>
          <w:sz w:val="20"/>
          <w:szCs w:val="20"/>
          <w:highlight w:val="none"/>
        </w:rPr>
        <w:t>拌砂浆的实施意见》（南府规〔2016〕</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12 号）要求的，本工程如需使用，必须使用预拌砂浆。</w:t>
      </w:r>
    </w:p>
    <w:p w14:paraId="75F368BB">
      <w:pPr>
        <w:spacing w:before="3" w:line="431" w:lineRule="auto"/>
        <w:ind w:left="9" w:right="66" w:firstLine="419"/>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禁止使用松木、松木包装材料设备、种子、苗木、花卉及繁殖材料。除已</w:t>
      </w:r>
      <w:r>
        <w:rPr>
          <w:rFonts w:ascii="宋体" w:hAnsi="宋体" w:eastAsia="宋体" w:cs="宋体"/>
          <w:color w:val="auto"/>
          <w:spacing w:val="9"/>
          <w:sz w:val="20"/>
          <w:szCs w:val="20"/>
          <w:highlight w:val="none"/>
        </w:rPr>
        <w:t>标价工程量清单《发包人</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提供主要材料和工程设备一览表》（表-21）中明确的材</w:t>
      </w:r>
      <w:r>
        <w:rPr>
          <w:rFonts w:ascii="宋体" w:hAnsi="宋体" w:eastAsia="宋体" w:cs="宋体"/>
          <w:color w:val="auto"/>
          <w:spacing w:val="7"/>
          <w:sz w:val="20"/>
          <w:szCs w:val="20"/>
          <w:highlight w:val="none"/>
        </w:rPr>
        <w:t>料、工程设备外，由承包人负责材料和工程设备</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的采购、运输和保管。</w:t>
      </w:r>
    </w:p>
    <w:p w14:paraId="4335EA4F">
      <w:pPr>
        <w:spacing w:before="3" w:line="380" w:lineRule="auto"/>
        <w:ind w:left="7" w:right="66" w:firstLine="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8.2.1 凡属承包范围内的所有材料、设备均由承包人自行采购，承包人应按合同（图纸） 规定的品</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牌、规格、数量、产地、技术参数等组织采购，但采购前需要携带本材料、设备</w:t>
      </w:r>
      <w:r>
        <w:rPr>
          <w:rFonts w:ascii="宋体" w:hAnsi="宋体" w:eastAsia="宋体" w:cs="宋体"/>
          <w:color w:val="auto"/>
          <w:spacing w:val="7"/>
          <w:sz w:val="20"/>
          <w:szCs w:val="20"/>
          <w:highlight w:val="none"/>
        </w:rPr>
        <w:t>的原产地 证明、出厂检</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验报告及产品合格证书提前报监理工程师审核，发包人确认方可采购；承包人若</w:t>
      </w:r>
      <w:r>
        <w:rPr>
          <w:rFonts w:ascii="宋体" w:hAnsi="宋体" w:eastAsia="宋体" w:cs="宋体"/>
          <w:color w:val="auto"/>
          <w:spacing w:val="9"/>
          <w:sz w:val="20"/>
          <w:szCs w:val="20"/>
          <w:highlight w:val="none"/>
        </w:rPr>
        <w:t>未经监理工程师及发包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人确认， 所采购的材料、设备，发包人有权让</w:t>
      </w:r>
      <w:r>
        <w:rPr>
          <w:rFonts w:ascii="宋体" w:hAnsi="宋体" w:eastAsia="宋体" w:cs="宋体"/>
          <w:color w:val="auto"/>
          <w:spacing w:val="8"/>
          <w:sz w:val="20"/>
          <w:szCs w:val="20"/>
          <w:highlight w:val="none"/>
        </w:rPr>
        <w:t>承包人更换，</w:t>
      </w:r>
      <w:r>
        <w:rPr>
          <w:rFonts w:ascii="宋体" w:hAnsi="宋体" w:eastAsia="宋体" w:cs="宋体"/>
          <w:color w:val="auto"/>
          <w:spacing w:val="44"/>
          <w:sz w:val="20"/>
          <w:szCs w:val="20"/>
          <w:highlight w:val="none"/>
        </w:rPr>
        <w:t xml:space="preserve"> </w:t>
      </w:r>
      <w:r>
        <w:rPr>
          <w:rFonts w:ascii="宋体" w:hAnsi="宋体" w:eastAsia="宋体" w:cs="宋体"/>
          <w:color w:val="auto"/>
          <w:spacing w:val="8"/>
          <w:sz w:val="20"/>
          <w:szCs w:val="20"/>
          <w:highlight w:val="none"/>
        </w:rPr>
        <w:t>由此产生的一切损失由承包人承担；</w:t>
      </w:r>
    </w:p>
    <w:p w14:paraId="596C0DE1">
      <w:pPr>
        <w:spacing w:before="221" w:line="364" w:lineRule="auto"/>
        <w:ind w:left="7" w:right="66" w:firstLine="421"/>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8.2.2 承包人采购供应的材料、设备，在开箱验收前 24 小时内，向</w:t>
      </w:r>
      <w:r>
        <w:rPr>
          <w:rFonts w:ascii="宋体" w:hAnsi="宋体" w:eastAsia="宋体" w:cs="宋体"/>
          <w:color w:val="auto"/>
          <w:spacing w:val="2"/>
          <w:sz w:val="20"/>
          <w:szCs w:val="20"/>
          <w:highlight w:val="none"/>
        </w:rPr>
        <w:t>发包人和监理工程师提出开箱 检</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验请求，经发包人和监理工程师验收合格并签署意见后方可</w:t>
      </w:r>
      <w:r>
        <w:rPr>
          <w:rFonts w:ascii="宋体" w:hAnsi="宋体" w:eastAsia="宋体" w:cs="宋体"/>
          <w:color w:val="auto"/>
          <w:spacing w:val="9"/>
          <w:sz w:val="20"/>
          <w:szCs w:val="20"/>
          <w:highlight w:val="none"/>
        </w:rPr>
        <w:t xml:space="preserve"> 使用， 经开箱验收的材料、设备并不等同</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于最终的质量合格；</w:t>
      </w:r>
    </w:p>
    <w:p w14:paraId="6CD14DEE">
      <w:pPr>
        <w:spacing w:before="221" w:line="381" w:lineRule="auto"/>
        <w:ind w:left="10" w:right="83"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8.2.3 若发现承包人以伪劣产品充抵或与发包人确认的材料设备不符、与设计或标准的材料设备不</w:t>
      </w:r>
      <w:r>
        <w:rPr>
          <w:rFonts w:ascii="宋体" w:hAnsi="宋体" w:eastAsia="宋体" w:cs="宋体"/>
          <w:color w:val="auto"/>
          <w:spacing w:val="2"/>
          <w:sz w:val="20"/>
          <w:szCs w:val="20"/>
          <w:highlight w:val="none"/>
        </w:rPr>
        <w:t xml:space="preserve"> </w:t>
      </w:r>
      <w:r>
        <w:rPr>
          <w:rFonts w:ascii="宋体" w:hAnsi="宋体" w:eastAsia="宋体" w:cs="宋体"/>
          <w:color w:val="auto"/>
          <w:spacing w:val="10"/>
          <w:sz w:val="20"/>
          <w:szCs w:val="20"/>
          <w:highlight w:val="none"/>
        </w:rPr>
        <w:t>符，发包人有权让承包人更换直到发包人和监理工程师确认验收合格，并</w:t>
      </w:r>
      <w:r>
        <w:rPr>
          <w:rFonts w:ascii="宋体" w:hAnsi="宋体" w:eastAsia="宋体" w:cs="宋体"/>
          <w:color w:val="auto"/>
          <w:spacing w:val="9"/>
          <w:sz w:val="20"/>
          <w:szCs w:val="20"/>
          <w:highlight w:val="none"/>
        </w:rPr>
        <w:t>按该批材料、设备价格总额的</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10% 对承包人进行罚款，由发包人从进度款中直接扣抵，经验收后及在施工过程中发生设备、材料丢失</w:t>
      </w:r>
      <w:r>
        <w:rPr>
          <w:rFonts w:ascii="宋体" w:hAnsi="宋体" w:eastAsia="宋体" w:cs="宋体"/>
          <w:color w:val="auto"/>
          <w:spacing w:val="14"/>
          <w:sz w:val="20"/>
          <w:szCs w:val="20"/>
          <w:highlight w:val="none"/>
        </w:rPr>
        <w:t xml:space="preserve"> </w:t>
      </w:r>
      <w:r>
        <w:rPr>
          <w:rFonts w:ascii="宋体" w:hAnsi="宋体" w:eastAsia="宋体" w:cs="宋体"/>
          <w:color w:val="auto"/>
          <w:spacing w:val="8"/>
          <w:sz w:val="20"/>
          <w:szCs w:val="20"/>
          <w:highlight w:val="none"/>
        </w:rPr>
        <w:t>或损坏，均由承包人自负；</w:t>
      </w:r>
    </w:p>
    <w:p w14:paraId="41790DC1">
      <w:pPr>
        <w:spacing w:before="220" w:line="331" w:lineRule="auto"/>
        <w:ind w:left="10" w:right="295"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8.2.4 承包人提供的材料设备产品的质量必须符合设计要求及国家建材行业和机电行业等标准要</w:t>
      </w:r>
      <w:r>
        <w:rPr>
          <w:rFonts w:ascii="宋体" w:hAnsi="宋体" w:eastAsia="宋体" w:cs="宋体"/>
          <w:color w:val="auto"/>
          <w:spacing w:val="2"/>
          <w:sz w:val="20"/>
          <w:szCs w:val="20"/>
          <w:highlight w:val="none"/>
        </w:rPr>
        <w:t xml:space="preserve"> </w:t>
      </w:r>
      <w:r>
        <w:rPr>
          <w:rFonts w:ascii="宋体" w:hAnsi="宋体" w:eastAsia="宋体" w:cs="宋体"/>
          <w:color w:val="auto"/>
          <w:spacing w:val="-1"/>
          <w:sz w:val="20"/>
          <w:szCs w:val="20"/>
          <w:highlight w:val="none"/>
        </w:rPr>
        <w:t>求；</w:t>
      </w:r>
    </w:p>
    <w:p w14:paraId="7674EA66">
      <w:pPr>
        <w:spacing w:before="220" w:line="364" w:lineRule="auto"/>
        <w:ind w:left="6" w:right="66" w:firstLine="42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8.2.5 因承包人资金投入不足，直接影响工程质量和工期，且无视监 理工程师的多次警告而不做改</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进，从而引起工程的质量、进度和材料设备准备严重滞后时，发包人有权采取相关</w:t>
      </w:r>
      <w:r>
        <w:rPr>
          <w:rFonts w:ascii="宋体" w:hAnsi="宋体" w:eastAsia="宋体" w:cs="宋体"/>
          <w:color w:val="auto"/>
          <w:spacing w:val="9"/>
          <w:sz w:val="20"/>
          <w:szCs w:val="20"/>
          <w:highlight w:val="none"/>
        </w:rPr>
        <w:t>措施进行补救，相关</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措施的费用由承包人承担。</w:t>
      </w:r>
    </w:p>
    <w:p w14:paraId="61F022C8">
      <w:pPr>
        <w:pStyle w:val="2"/>
        <w:spacing w:line="401" w:lineRule="auto"/>
        <w:rPr>
          <w:color w:val="auto"/>
          <w:highlight w:val="none"/>
        </w:rPr>
      </w:pPr>
    </w:p>
    <w:p w14:paraId="189FC507">
      <w:pPr>
        <w:spacing w:before="101" w:line="225" w:lineRule="auto"/>
        <w:ind w:left="13"/>
        <w:outlineLvl w:val="2"/>
        <w:rPr>
          <w:rFonts w:ascii="宋体" w:hAnsi="宋体" w:eastAsia="宋体" w:cs="宋体"/>
          <w:color w:val="auto"/>
          <w:sz w:val="31"/>
          <w:szCs w:val="31"/>
          <w:highlight w:val="none"/>
        </w:rPr>
      </w:pPr>
      <w:bookmarkStart w:id="86" w:name="_Toc27805"/>
      <w:r>
        <w:rPr>
          <w:rFonts w:ascii="宋体" w:hAnsi="宋体" w:eastAsia="宋体" w:cs="宋体"/>
          <w:b/>
          <w:bCs/>
          <w:color w:val="auto"/>
          <w:spacing w:val="5"/>
          <w:sz w:val="31"/>
          <w:szCs w:val="31"/>
          <w:highlight w:val="none"/>
        </w:rPr>
        <w:t>8.4</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材料与工程设备的保管与使用</w:t>
      </w:r>
      <w:bookmarkEnd w:id="86"/>
    </w:p>
    <w:p w14:paraId="2D7A0FB4">
      <w:pPr>
        <w:pStyle w:val="2"/>
        <w:spacing w:line="415" w:lineRule="auto"/>
        <w:rPr>
          <w:color w:val="auto"/>
          <w:highlight w:val="none"/>
        </w:rPr>
      </w:pPr>
    </w:p>
    <w:p w14:paraId="5A9DD058">
      <w:pPr>
        <w:spacing w:before="65" w:line="227"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8.4.1</w:t>
      </w:r>
      <w:r>
        <w:rPr>
          <w:rFonts w:ascii="宋体" w:hAnsi="宋体" w:eastAsia="宋体" w:cs="宋体"/>
          <w:color w:val="auto"/>
          <w:spacing w:val="-27"/>
          <w:sz w:val="20"/>
          <w:szCs w:val="20"/>
          <w:highlight w:val="none"/>
        </w:rPr>
        <w:t xml:space="preserve"> </w:t>
      </w:r>
      <w:r>
        <w:rPr>
          <w:rFonts w:ascii="宋体" w:hAnsi="宋体" w:eastAsia="宋体" w:cs="宋体"/>
          <w:color w:val="auto"/>
          <w:spacing w:val="7"/>
          <w:sz w:val="20"/>
          <w:szCs w:val="20"/>
          <w:highlight w:val="none"/>
        </w:rPr>
        <w:t>发包人供应的材料设备的保管费用的承担：</w:t>
      </w:r>
      <w:r>
        <w:rPr>
          <w:rFonts w:ascii="宋体" w:hAnsi="宋体" w:eastAsia="宋体" w:cs="宋体"/>
          <w:color w:val="auto"/>
          <w:spacing w:val="-53"/>
          <w:sz w:val="20"/>
          <w:szCs w:val="20"/>
          <w:highlight w:val="none"/>
        </w:rPr>
        <w:t xml:space="preserve"> </w:t>
      </w:r>
      <w:r>
        <w:rPr>
          <w:rFonts w:ascii="宋体" w:hAnsi="宋体" w:eastAsia="宋体" w:cs="宋体"/>
          <w:color w:val="auto"/>
          <w:spacing w:val="7"/>
          <w:sz w:val="20"/>
          <w:szCs w:val="20"/>
          <w:highlight w:val="none"/>
          <w:u w:val="single" w:color="auto"/>
        </w:rPr>
        <w:t>由承包人承担，含在合同价中</w:t>
      </w:r>
      <w:r>
        <w:rPr>
          <w:rFonts w:ascii="宋体" w:hAnsi="宋体" w:eastAsia="宋体" w:cs="宋体"/>
          <w:color w:val="auto"/>
          <w:spacing w:val="7"/>
          <w:sz w:val="20"/>
          <w:szCs w:val="20"/>
          <w:highlight w:val="none"/>
        </w:rPr>
        <w:t>。</w:t>
      </w:r>
    </w:p>
    <w:p w14:paraId="31AF138B">
      <w:pPr>
        <w:spacing w:line="227" w:lineRule="auto"/>
        <w:rPr>
          <w:rFonts w:ascii="宋体" w:hAnsi="宋体" w:eastAsia="宋体" w:cs="宋体"/>
          <w:color w:val="auto"/>
          <w:sz w:val="20"/>
          <w:szCs w:val="20"/>
          <w:highlight w:val="none"/>
        </w:rPr>
        <w:sectPr>
          <w:headerReference r:id="rId210" w:type="default"/>
          <w:footerReference r:id="rId211" w:type="default"/>
          <w:pgSz w:w="11906" w:h="16839"/>
          <w:pgMar w:top="1091" w:right="1154" w:bottom="1158" w:left="1219" w:header="1076" w:footer="922" w:gutter="0"/>
          <w:cols w:space="720" w:num="1"/>
        </w:sectPr>
      </w:pPr>
    </w:p>
    <w:p w14:paraId="2E3C3149">
      <w:pPr>
        <w:pStyle w:val="2"/>
        <w:spacing w:line="289" w:lineRule="auto"/>
        <w:rPr>
          <w:color w:val="auto"/>
          <w:highlight w:val="none"/>
        </w:rPr>
      </w:pPr>
    </w:p>
    <w:p w14:paraId="2C7706B1">
      <w:pPr>
        <w:pStyle w:val="2"/>
        <w:spacing w:line="289" w:lineRule="auto"/>
        <w:rPr>
          <w:color w:val="auto"/>
          <w:highlight w:val="none"/>
        </w:rPr>
      </w:pPr>
    </w:p>
    <w:p w14:paraId="2F018174">
      <w:pPr>
        <w:pStyle w:val="2"/>
        <w:spacing w:line="290" w:lineRule="auto"/>
        <w:rPr>
          <w:color w:val="auto"/>
          <w:highlight w:val="none"/>
        </w:rPr>
      </w:pPr>
      <w:r>
        <w:rPr>
          <w:color w:val="auto"/>
          <w:highlight w:val="none"/>
        </w:rPr>
        <w:pict>
          <v:shape id="_x0000_s1039" o:spid="_x0000_s1039" style="position:absolute;left:0pt;margin-left:0pt;margin-top:4.8pt;height:0.75pt;width:473.4pt;z-index:251691008;mso-width-relative:page;mso-height-relative:page;" fillcolor="#000000" filled="t" stroked="f" coordsize="9467,15" path="m0,0l9467,0,9467,14,0,14,0,0xe">
            <v:path/>
            <v:fill on="t" focussize="0,0"/>
            <v:stroke on="f"/>
            <v:imagedata o:title=""/>
            <o:lock v:ext="edit"/>
          </v:shape>
        </w:pict>
      </w:r>
    </w:p>
    <w:p w14:paraId="015BDC90">
      <w:pPr>
        <w:spacing w:before="100" w:line="225" w:lineRule="auto"/>
        <w:ind w:left="13"/>
        <w:outlineLvl w:val="2"/>
        <w:rPr>
          <w:rFonts w:ascii="宋体" w:hAnsi="宋体" w:eastAsia="宋体" w:cs="宋体"/>
          <w:color w:val="auto"/>
          <w:sz w:val="31"/>
          <w:szCs w:val="31"/>
          <w:highlight w:val="none"/>
        </w:rPr>
      </w:pPr>
      <w:bookmarkStart w:id="87" w:name="_Toc13105"/>
      <w:r>
        <w:rPr>
          <w:rFonts w:ascii="宋体" w:hAnsi="宋体" w:eastAsia="宋体" w:cs="宋体"/>
          <w:b/>
          <w:bCs/>
          <w:color w:val="auto"/>
          <w:spacing w:val="-1"/>
          <w:sz w:val="31"/>
          <w:szCs w:val="31"/>
          <w:highlight w:val="none"/>
        </w:rPr>
        <w:t>8.6</w:t>
      </w:r>
      <w:r>
        <w:rPr>
          <w:rFonts w:ascii="宋体" w:hAnsi="宋体" w:eastAsia="宋体" w:cs="宋体"/>
          <w:color w:val="auto"/>
          <w:spacing w:val="17"/>
          <w:sz w:val="31"/>
          <w:szCs w:val="31"/>
          <w:highlight w:val="none"/>
        </w:rPr>
        <w:t xml:space="preserve"> </w:t>
      </w:r>
      <w:r>
        <w:rPr>
          <w:rFonts w:ascii="宋体" w:hAnsi="宋体" w:eastAsia="宋体" w:cs="宋体"/>
          <w:b/>
          <w:bCs/>
          <w:color w:val="auto"/>
          <w:spacing w:val="-1"/>
          <w:sz w:val="31"/>
          <w:szCs w:val="31"/>
          <w:highlight w:val="none"/>
        </w:rPr>
        <w:t>样品</w:t>
      </w:r>
      <w:bookmarkEnd w:id="87"/>
    </w:p>
    <w:p w14:paraId="6B659E26">
      <w:pPr>
        <w:pStyle w:val="2"/>
        <w:spacing w:line="414" w:lineRule="auto"/>
        <w:rPr>
          <w:color w:val="auto"/>
          <w:highlight w:val="none"/>
        </w:rPr>
      </w:pPr>
    </w:p>
    <w:p w14:paraId="59391AF5">
      <w:pPr>
        <w:spacing w:before="65" w:line="228"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8.6.1 样品的报送与封存</w:t>
      </w:r>
    </w:p>
    <w:p w14:paraId="018CF0D3">
      <w:pPr>
        <w:spacing w:before="220" w:line="433" w:lineRule="auto"/>
        <w:ind w:left="9"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需要承包人报送样品的材料或工程设备，样品的种类、名称、规格、数量要</w:t>
      </w:r>
      <w:r>
        <w:rPr>
          <w:rFonts w:ascii="宋体" w:hAnsi="宋体" w:eastAsia="宋体" w:cs="宋体"/>
          <w:color w:val="auto"/>
          <w:spacing w:val="6"/>
          <w:sz w:val="20"/>
          <w:szCs w:val="20"/>
          <w:highlight w:val="none"/>
        </w:rPr>
        <w:t>求：</w:t>
      </w:r>
      <w:r>
        <w:rPr>
          <w:rFonts w:ascii="宋体" w:hAnsi="宋体" w:eastAsia="宋体" w:cs="宋体"/>
          <w:color w:val="auto"/>
          <w:spacing w:val="6"/>
          <w:sz w:val="20"/>
          <w:szCs w:val="20"/>
          <w:highlight w:val="none"/>
          <w:u w:val="single" w:color="auto"/>
        </w:rPr>
        <w:t>主要材料涉及品种、</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款式、颜色等方面内容的，承包人应提交准备合格的材料样品送发包人选定。</w:t>
      </w:r>
    </w:p>
    <w:p w14:paraId="590685B5">
      <w:pPr>
        <w:spacing w:before="280" w:line="225" w:lineRule="auto"/>
        <w:ind w:left="13"/>
        <w:outlineLvl w:val="2"/>
        <w:rPr>
          <w:rFonts w:ascii="宋体" w:hAnsi="宋体" w:eastAsia="宋体" w:cs="宋体"/>
          <w:color w:val="auto"/>
          <w:sz w:val="31"/>
          <w:szCs w:val="31"/>
          <w:highlight w:val="none"/>
        </w:rPr>
      </w:pPr>
      <w:bookmarkStart w:id="88" w:name="_Toc31564"/>
      <w:r>
        <w:rPr>
          <w:rFonts w:ascii="宋体" w:hAnsi="宋体" w:eastAsia="宋体" w:cs="宋体"/>
          <w:b/>
          <w:bCs/>
          <w:color w:val="auto"/>
          <w:spacing w:val="5"/>
          <w:sz w:val="31"/>
          <w:szCs w:val="31"/>
          <w:highlight w:val="none"/>
        </w:rPr>
        <w:t>8.8</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施工设备和临时设施</w:t>
      </w:r>
      <w:bookmarkEnd w:id="88"/>
    </w:p>
    <w:p w14:paraId="5FA04A33">
      <w:pPr>
        <w:pStyle w:val="2"/>
        <w:spacing w:line="413" w:lineRule="auto"/>
        <w:rPr>
          <w:color w:val="auto"/>
          <w:highlight w:val="none"/>
        </w:rPr>
      </w:pPr>
    </w:p>
    <w:p w14:paraId="12B94D5D">
      <w:pPr>
        <w:spacing w:before="66"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8.8.1 承包人提供的施工设备和临时设施</w:t>
      </w:r>
    </w:p>
    <w:p w14:paraId="6E97389A">
      <w:pPr>
        <w:spacing w:before="221" w:line="432" w:lineRule="auto"/>
        <w:ind w:left="10" w:right="87" w:firstLine="42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除专用合同条款另有约定的其他独立承包人和</w:t>
      </w:r>
      <w:r>
        <w:rPr>
          <w:rFonts w:ascii="宋体" w:hAnsi="宋体" w:eastAsia="宋体" w:cs="宋体"/>
          <w:color w:val="auto"/>
          <w:spacing w:val="9"/>
          <w:sz w:val="20"/>
          <w:szCs w:val="20"/>
          <w:highlight w:val="none"/>
        </w:rPr>
        <w:t>监理人指示的他人提供条件外，承包人运入施工场地</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的所有施工设备以及在施工场地建设的临时设施仅限于用于合同工程。承</w:t>
      </w:r>
      <w:r>
        <w:rPr>
          <w:rFonts w:ascii="宋体" w:hAnsi="宋体" w:eastAsia="宋体" w:cs="宋体"/>
          <w:color w:val="auto"/>
          <w:spacing w:val="9"/>
          <w:sz w:val="20"/>
          <w:szCs w:val="20"/>
          <w:highlight w:val="none"/>
        </w:rPr>
        <w:t>包人用于本工程的主要机械设</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备清单见合同附件3。</w:t>
      </w:r>
    </w:p>
    <w:p w14:paraId="4BE54FD9">
      <w:pPr>
        <w:spacing w:before="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关于修建临时设施费用承担的约定：</w:t>
      </w:r>
    </w:p>
    <w:p w14:paraId="13DB1D67">
      <w:pPr>
        <w:spacing w:before="221" w:line="329" w:lineRule="auto"/>
        <w:ind w:left="8" w:right="90"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①承包人的临时用地（含项目部驻地等）租用费（含拆迁补偿）、临</w:t>
      </w:r>
      <w:r>
        <w:rPr>
          <w:rFonts w:ascii="宋体" w:hAnsi="宋体" w:eastAsia="宋体" w:cs="宋体"/>
          <w:color w:val="auto"/>
          <w:spacing w:val="9"/>
          <w:sz w:val="20"/>
          <w:szCs w:val="20"/>
          <w:highlight w:val="none"/>
          <w:u w:val="single" w:color="auto"/>
        </w:rPr>
        <w:t>时用地的环保、恢复、临时用</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地的青苗补偿及地面附着物拆除等费用均由承包人负责，以上费用在合同价中综合考虑。</w:t>
      </w:r>
    </w:p>
    <w:p w14:paraId="7B74E318">
      <w:pPr>
        <w:spacing w:before="223" w:line="330" w:lineRule="auto"/>
        <w:ind w:left="8" w:right="90" w:firstLine="41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②承包人负责合同实施期间其合同段内临时交通道路（含场内外连接公</w:t>
      </w:r>
      <w:r>
        <w:rPr>
          <w:rFonts w:ascii="宋体" w:hAnsi="宋体" w:eastAsia="宋体" w:cs="宋体"/>
          <w:color w:val="auto"/>
          <w:spacing w:val="9"/>
          <w:sz w:val="20"/>
          <w:szCs w:val="20"/>
          <w:highlight w:val="none"/>
          <w:u w:val="single" w:color="auto"/>
        </w:rPr>
        <w:t>共交通道路）和交通设施的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修建、维修、养护和交通管理工作，并承担一切费用。</w:t>
      </w:r>
    </w:p>
    <w:p w14:paraId="1B0E2E93">
      <w:pPr>
        <w:spacing w:before="221" w:line="364" w:lineRule="auto"/>
        <w:ind w:left="10" w:right="87" w:firstLine="41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③承包人修建的临时道路和交通设施，应免费提供给发包人、监理工程</w:t>
      </w:r>
      <w:r>
        <w:rPr>
          <w:rFonts w:ascii="宋体" w:hAnsi="宋体" w:eastAsia="宋体" w:cs="宋体"/>
          <w:color w:val="auto"/>
          <w:spacing w:val="9"/>
          <w:sz w:val="20"/>
          <w:szCs w:val="20"/>
          <w:highlight w:val="none"/>
          <w:u w:val="single" w:color="auto"/>
        </w:rPr>
        <w:t>师和其他合同段的承包人使</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用，如共同使用的路基损坏严重，发包人或监理工程师将负责通知有关承</w:t>
      </w:r>
      <w:r>
        <w:rPr>
          <w:rFonts w:ascii="宋体" w:hAnsi="宋体" w:eastAsia="宋体" w:cs="宋体"/>
          <w:color w:val="auto"/>
          <w:spacing w:val="9"/>
          <w:sz w:val="20"/>
          <w:szCs w:val="20"/>
          <w:highlight w:val="none"/>
          <w:u w:val="single" w:color="auto"/>
        </w:rPr>
        <w:t>包人共同出资修复，若使用频</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率相差悬殊，则按比例分摊。</w:t>
      </w:r>
    </w:p>
    <w:p w14:paraId="1E418430">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8.8.2 发包人提供的施工设备和临时设施</w:t>
      </w:r>
    </w:p>
    <w:p w14:paraId="41CAB8D0">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发包人提供的施工设备和临时设施：</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1A98F77C">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发包人提供的施工设备和临时设施的运行、维护、拆除、清运费用的承担人：</w:t>
      </w:r>
      <w:r>
        <w:rPr>
          <w:rFonts w:ascii="宋体" w:hAnsi="宋体" w:eastAsia="宋体" w:cs="宋体"/>
          <w:color w:val="auto"/>
          <w:spacing w:val="9"/>
          <w:sz w:val="20"/>
          <w:szCs w:val="20"/>
          <w:highlight w:val="none"/>
          <w:u w:val="single" w:color="auto"/>
        </w:rPr>
        <w:t>无</w:t>
      </w:r>
      <w:r>
        <w:rPr>
          <w:rFonts w:ascii="宋体" w:hAnsi="宋体" w:eastAsia="宋体" w:cs="宋体"/>
          <w:color w:val="auto"/>
          <w:spacing w:val="9"/>
          <w:sz w:val="20"/>
          <w:szCs w:val="20"/>
          <w:highlight w:val="none"/>
        </w:rPr>
        <w:t>。</w:t>
      </w:r>
    </w:p>
    <w:p w14:paraId="71F6ABB6">
      <w:pPr>
        <w:pStyle w:val="2"/>
        <w:spacing w:line="403" w:lineRule="auto"/>
        <w:rPr>
          <w:color w:val="auto"/>
          <w:highlight w:val="none"/>
        </w:rPr>
      </w:pPr>
    </w:p>
    <w:p w14:paraId="2112BC47">
      <w:pPr>
        <w:spacing w:before="101" w:line="225" w:lineRule="auto"/>
        <w:ind w:left="13"/>
        <w:outlineLvl w:val="1"/>
        <w:rPr>
          <w:rFonts w:ascii="宋体" w:hAnsi="宋体" w:eastAsia="宋体" w:cs="宋体"/>
          <w:color w:val="auto"/>
          <w:sz w:val="31"/>
          <w:szCs w:val="31"/>
          <w:highlight w:val="none"/>
        </w:rPr>
      </w:pPr>
      <w:bookmarkStart w:id="89" w:name="_Toc30182"/>
      <w:r>
        <w:rPr>
          <w:rFonts w:ascii="宋体" w:hAnsi="宋体" w:eastAsia="宋体" w:cs="宋体"/>
          <w:b/>
          <w:bCs/>
          <w:color w:val="auto"/>
          <w:spacing w:val="4"/>
          <w:sz w:val="31"/>
          <w:szCs w:val="31"/>
          <w:highlight w:val="none"/>
        </w:rPr>
        <w:t>9.</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试验与检验</w:t>
      </w:r>
      <w:bookmarkEnd w:id="89"/>
    </w:p>
    <w:p w14:paraId="4714E942">
      <w:pPr>
        <w:pStyle w:val="2"/>
        <w:spacing w:line="401" w:lineRule="auto"/>
        <w:rPr>
          <w:color w:val="auto"/>
          <w:highlight w:val="none"/>
        </w:rPr>
      </w:pPr>
    </w:p>
    <w:p w14:paraId="1CFA1D69">
      <w:pPr>
        <w:spacing w:before="101" w:line="227" w:lineRule="auto"/>
        <w:ind w:left="13"/>
        <w:outlineLvl w:val="2"/>
        <w:rPr>
          <w:rFonts w:ascii="宋体" w:hAnsi="宋体" w:eastAsia="宋体" w:cs="宋体"/>
          <w:color w:val="auto"/>
          <w:sz w:val="31"/>
          <w:szCs w:val="31"/>
          <w:highlight w:val="none"/>
        </w:rPr>
      </w:pPr>
      <w:bookmarkStart w:id="90" w:name="_Toc23045"/>
      <w:r>
        <w:rPr>
          <w:rFonts w:ascii="宋体" w:hAnsi="宋体" w:eastAsia="宋体" w:cs="宋体"/>
          <w:b/>
          <w:bCs/>
          <w:color w:val="auto"/>
          <w:spacing w:val="5"/>
          <w:sz w:val="31"/>
          <w:szCs w:val="31"/>
          <w:highlight w:val="none"/>
        </w:rPr>
        <w:t>9.1</w:t>
      </w:r>
      <w:r>
        <w:rPr>
          <w:rFonts w:ascii="宋体" w:hAnsi="宋体" w:eastAsia="宋体" w:cs="宋体"/>
          <w:color w:val="auto"/>
          <w:spacing w:val="5"/>
          <w:sz w:val="31"/>
          <w:szCs w:val="31"/>
          <w:highlight w:val="none"/>
        </w:rPr>
        <w:t xml:space="preserve"> </w:t>
      </w:r>
      <w:r>
        <w:rPr>
          <w:rFonts w:ascii="宋体" w:hAnsi="宋体" w:eastAsia="宋体" w:cs="宋体"/>
          <w:b/>
          <w:bCs/>
          <w:color w:val="auto"/>
          <w:spacing w:val="5"/>
          <w:sz w:val="31"/>
          <w:szCs w:val="31"/>
          <w:highlight w:val="none"/>
        </w:rPr>
        <w:t>试验设备与试验人员</w:t>
      </w:r>
      <w:bookmarkEnd w:id="90"/>
    </w:p>
    <w:p w14:paraId="3E38EADC">
      <w:pPr>
        <w:pStyle w:val="2"/>
        <w:spacing w:line="411" w:lineRule="auto"/>
        <w:rPr>
          <w:color w:val="auto"/>
          <w:highlight w:val="none"/>
        </w:rPr>
      </w:pPr>
    </w:p>
    <w:p w14:paraId="39A98593">
      <w:pPr>
        <w:spacing w:before="66" w:line="230" w:lineRule="auto"/>
        <w:ind w:left="42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9.1.2 试验设备</w:t>
      </w:r>
    </w:p>
    <w:p w14:paraId="34B2F458">
      <w:pPr>
        <w:spacing w:before="219" w:line="228" w:lineRule="auto"/>
        <w:ind w:left="427"/>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施工现场需要配置的试验场所：</w:t>
      </w:r>
      <w:r>
        <w:rPr>
          <w:rFonts w:ascii="宋体" w:hAnsi="宋体" w:eastAsia="宋体" w:cs="宋体"/>
          <w:color w:val="auto"/>
          <w:spacing w:val="-43"/>
          <w:sz w:val="20"/>
          <w:szCs w:val="20"/>
          <w:highlight w:val="none"/>
        </w:rPr>
        <w:t xml:space="preserve"> </w:t>
      </w:r>
      <w:r>
        <w:rPr>
          <w:rFonts w:ascii="宋体" w:hAnsi="宋体" w:eastAsia="宋体" w:cs="宋体"/>
          <w:color w:val="auto"/>
          <w:spacing w:val="3"/>
          <w:sz w:val="20"/>
          <w:szCs w:val="20"/>
          <w:highlight w:val="none"/>
          <w:u w:val="single" w:color="auto"/>
        </w:rPr>
        <w:t>由承包人根据工程情况自行设置建设</w:t>
      </w:r>
      <w:r>
        <w:rPr>
          <w:rFonts w:ascii="宋体" w:hAnsi="宋体" w:eastAsia="宋体" w:cs="宋体"/>
          <w:color w:val="auto"/>
          <w:spacing w:val="3"/>
          <w:sz w:val="20"/>
          <w:szCs w:val="20"/>
          <w:highlight w:val="none"/>
        </w:rPr>
        <w:t>。</w:t>
      </w:r>
    </w:p>
    <w:p w14:paraId="3BD00977">
      <w:pPr>
        <w:spacing w:before="221" w:line="227" w:lineRule="auto"/>
        <w:ind w:left="42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施工现场需要配备的试验设备：</w:t>
      </w:r>
      <w:r>
        <w:rPr>
          <w:rFonts w:ascii="宋体" w:hAnsi="宋体" w:eastAsia="宋体" w:cs="宋体"/>
          <w:color w:val="auto"/>
          <w:spacing w:val="-55"/>
          <w:sz w:val="20"/>
          <w:szCs w:val="20"/>
          <w:highlight w:val="none"/>
        </w:rPr>
        <w:t xml:space="preserve"> </w:t>
      </w:r>
      <w:r>
        <w:rPr>
          <w:rFonts w:ascii="宋体" w:hAnsi="宋体" w:eastAsia="宋体" w:cs="宋体"/>
          <w:color w:val="auto"/>
          <w:spacing w:val="4"/>
          <w:sz w:val="20"/>
          <w:szCs w:val="20"/>
          <w:highlight w:val="none"/>
          <w:u w:val="single" w:color="auto"/>
        </w:rPr>
        <w:t>由承包人自</w:t>
      </w:r>
      <w:r>
        <w:rPr>
          <w:rFonts w:ascii="宋体" w:hAnsi="宋体" w:eastAsia="宋体" w:cs="宋体"/>
          <w:color w:val="auto"/>
          <w:spacing w:val="3"/>
          <w:sz w:val="20"/>
          <w:szCs w:val="20"/>
          <w:highlight w:val="none"/>
          <w:u w:val="single" w:color="auto"/>
        </w:rPr>
        <w:t>行承担，并包含在合同总价内</w:t>
      </w:r>
      <w:r>
        <w:rPr>
          <w:rFonts w:ascii="宋体" w:hAnsi="宋体" w:eastAsia="宋体" w:cs="宋体"/>
          <w:color w:val="auto"/>
          <w:spacing w:val="3"/>
          <w:sz w:val="20"/>
          <w:szCs w:val="20"/>
          <w:highlight w:val="none"/>
        </w:rPr>
        <w:t>。</w:t>
      </w:r>
    </w:p>
    <w:p w14:paraId="765C90A5">
      <w:pPr>
        <w:spacing w:before="222" w:line="227" w:lineRule="auto"/>
        <w:ind w:left="427"/>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施工现场需要具备的其他试验条件：</w:t>
      </w:r>
      <w:r>
        <w:rPr>
          <w:rFonts w:ascii="宋体" w:hAnsi="宋体" w:eastAsia="宋体" w:cs="宋体"/>
          <w:color w:val="auto"/>
          <w:spacing w:val="-55"/>
          <w:sz w:val="20"/>
          <w:szCs w:val="20"/>
          <w:highlight w:val="none"/>
        </w:rPr>
        <w:t xml:space="preserve"> </w:t>
      </w:r>
      <w:r>
        <w:rPr>
          <w:rFonts w:ascii="宋体" w:hAnsi="宋体" w:eastAsia="宋体" w:cs="宋体"/>
          <w:color w:val="auto"/>
          <w:spacing w:val="4"/>
          <w:sz w:val="20"/>
          <w:szCs w:val="20"/>
          <w:highlight w:val="none"/>
          <w:u w:val="single" w:color="auto"/>
        </w:rPr>
        <w:t>由承包人自行承担，并包含在合同总价</w:t>
      </w:r>
      <w:r>
        <w:rPr>
          <w:rFonts w:ascii="宋体" w:hAnsi="宋体" w:eastAsia="宋体" w:cs="宋体"/>
          <w:color w:val="auto"/>
          <w:spacing w:val="3"/>
          <w:sz w:val="20"/>
          <w:szCs w:val="20"/>
          <w:highlight w:val="none"/>
          <w:u w:val="single" w:color="auto"/>
        </w:rPr>
        <w:t>内</w:t>
      </w:r>
      <w:r>
        <w:rPr>
          <w:rFonts w:ascii="宋体" w:hAnsi="宋体" w:eastAsia="宋体" w:cs="宋体"/>
          <w:color w:val="auto"/>
          <w:spacing w:val="3"/>
          <w:sz w:val="20"/>
          <w:szCs w:val="20"/>
          <w:highlight w:val="none"/>
        </w:rPr>
        <w:t>。</w:t>
      </w:r>
    </w:p>
    <w:p w14:paraId="72D60863">
      <w:pPr>
        <w:spacing w:line="227" w:lineRule="auto"/>
        <w:rPr>
          <w:rFonts w:ascii="宋体" w:hAnsi="宋体" w:eastAsia="宋体" w:cs="宋体"/>
          <w:color w:val="auto"/>
          <w:sz w:val="20"/>
          <w:szCs w:val="20"/>
          <w:highlight w:val="none"/>
        </w:rPr>
        <w:sectPr>
          <w:headerReference r:id="rId212" w:type="default"/>
          <w:footerReference r:id="rId213" w:type="default"/>
          <w:pgSz w:w="11906" w:h="16839"/>
          <w:pgMar w:top="400" w:right="1150" w:bottom="1158" w:left="1219" w:header="0" w:footer="922" w:gutter="0"/>
          <w:cols w:space="720" w:num="1"/>
        </w:sectPr>
      </w:pPr>
    </w:p>
    <w:p w14:paraId="18944225">
      <w:pPr>
        <w:spacing w:before="282" w:line="226" w:lineRule="auto"/>
        <w:ind w:left="13"/>
        <w:outlineLvl w:val="2"/>
        <w:rPr>
          <w:rFonts w:ascii="宋体" w:hAnsi="宋体" w:eastAsia="宋体" w:cs="宋体"/>
          <w:color w:val="auto"/>
          <w:sz w:val="31"/>
          <w:szCs w:val="31"/>
          <w:highlight w:val="none"/>
        </w:rPr>
      </w:pPr>
      <w:bookmarkStart w:id="91" w:name="_Toc3023"/>
      <w:r>
        <w:rPr>
          <w:rFonts w:ascii="宋体" w:hAnsi="宋体" w:eastAsia="宋体" w:cs="宋体"/>
          <w:b/>
          <w:bCs/>
          <w:color w:val="auto"/>
          <w:spacing w:val="4"/>
          <w:sz w:val="31"/>
          <w:szCs w:val="31"/>
          <w:highlight w:val="none"/>
        </w:rPr>
        <w:t>9.4</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现场工艺试验</w:t>
      </w:r>
      <w:bookmarkEnd w:id="91"/>
    </w:p>
    <w:p w14:paraId="522B0E00">
      <w:pPr>
        <w:pStyle w:val="2"/>
        <w:spacing w:line="413" w:lineRule="auto"/>
        <w:rPr>
          <w:color w:val="auto"/>
          <w:highlight w:val="none"/>
        </w:rPr>
      </w:pPr>
    </w:p>
    <w:p w14:paraId="7061164C">
      <w:pPr>
        <w:spacing w:before="65"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现场工艺试验的有关约定：</w:t>
      </w:r>
      <w:r>
        <w:rPr>
          <w:rFonts w:ascii="宋体" w:hAnsi="宋体" w:eastAsia="宋体" w:cs="宋体"/>
          <w:color w:val="auto"/>
          <w:spacing w:val="8"/>
          <w:sz w:val="20"/>
          <w:szCs w:val="20"/>
          <w:highlight w:val="none"/>
          <w:u w:val="single" w:color="auto"/>
        </w:rPr>
        <w:t>按有关规定执行</w:t>
      </w:r>
      <w:r>
        <w:rPr>
          <w:rFonts w:ascii="宋体" w:hAnsi="宋体" w:eastAsia="宋体" w:cs="宋体"/>
          <w:color w:val="auto"/>
          <w:spacing w:val="8"/>
          <w:sz w:val="20"/>
          <w:szCs w:val="20"/>
          <w:highlight w:val="none"/>
        </w:rPr>
        <w:t>。</w:t>
      </w:r>
    </w:p>
    <w:p w14:paraId="5F4D4B48">
      <w:pPr>
        <w:pStyle w:val="2"/>
        <w:spacing w:line="400" w:lineRule="auto"/>
        <w:rPr>
          <w:color w:val="auto"/>
          <w:highlight w:val="none"/>
        </w:rPr>
      </w:pPr>
    </w:p>
    <w:p w14:paraId="20BE1765">
      <w:pPr>
        <w:spacing w:before="101" w:line="225" w:lineRule="auto"/>
        <w:ind w:left="13"/>
        <w:outlineLvl w:val="2"/>
        <w:rPr>
          <w:rFonts w:ascii="宋体" w:hAnsi="宋体" w:eastAsia="宋体" w:cs="宋体"/>
          <w:color w:val="auto"/>
          <w:sz w:val="31"/>
          <w:szCs w:val="31"/>
          <w:highlight w:val="none"/>
        </w:rPr>
      </w:pPr>
      <w:bookmarkStart w:id="92" w:name="_Toc3629"/>
      <w:r>
        <w:rPr>
          <w:rFonts w:ascii="宋体" w:hAnsi="宋体" w:eastAsia="宋体" w:cs="宋体"/>
          <w:b/>
          <w:bCs/>
          <w:color w:val="auto"/>
          <w:spacing w:val="3"/>
          <w:sz w:val="31"/>
          <w:szCs w:val="31"/>
          <w:highlight w:val="none"/>
        </w:rPr>
        <w:t>9.5</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检验费用</w:t>
      </w:r>
      <w:bookmarkEnd w:id="92"/>
    </w:p>
    <w:p w14:paraId="51535C03">
      <w:pPr>
        <w:pStyle w:val="2"/>
        <w:spacing w:line="415" w:lineRule="auto"/>
        <w:rPr>
          <w:color w:val="auto"/>
          <w:highlight w:val="none"/>
        </w:rPr>
      </w:pPr>
    </w:p>
    <w:p w14:paraId="07D1DB37">
      <w:pPr>
        <w:spacing w:before="65" w:line="432" w:lineRule="auto"/>
        <w:ind w:left="9" w:right="2" w:firstLine="411"/>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根据《建设工程质量检测管理办法》（建设部令第</w:t>
      </w:r>
      <w:r>
        <w:rPr>
          <w:rFonts w:ascii="宋体" w:hAnsi="宋体" w:eastAsia="宋体" w:cs="宋体"/>
          <w:color w:val="auto"/>
          <w:spacing w:val="-19"/>
          <w:sz w:val="20"/>
          <w:szCs w:val="20"/>
          <w:highlight w:val="none"/>
        </w:rPr>
        <w:t xml:space="preserve"> </w:t>
      </w:r>
      <w:r>
        <w:rPr>
          <w:rFonts w:ascii="宋体" w:hAnsi="宋体" w:eastAsia="宋体" w:cs="宋体"/>
          <w:color w:val="auto"/>
          <w:spacing w:val="8"/>
          <w:sz w:val="20"/>
          <w:szCs w:val="20"/>
          <w:highlight w:val="none"/>
        </w:rPr>
        <w:t>141</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号）</w:t>
      </w:r>
      <w:r>
        <w:rPr>
          <w:rFonts w:ascii="宋体" w:hAnsi="宋体" w:eastAsia="宋体" w:cs="宋体"/>
          <w:color w:val="auto"/>
          <w:spacing w:val="-55"/>
          <w:sz w:val="20"/>
          <w:szCs w:val="20"/>
          <w:highlight w:val="none"/>
        </w:rPr>
        <w:t xml:space="preserve"> </w:t>
      </w:r>
      <w:r>
        <w:rPr>
          <w:rFonts w:ascii="宋体" w:hAnsi="宋体" w:eastAsia="宋体" w:cs="宋体"/>
          <w:color w:val="auto"/>
          <w:spacing w:val="8"/>
          <w:sz w:val="20"/>
          <w:szCs w:val="20"/>
          <w:highlight w:val="none"/>
        </w:rPr>
        <w:t>以及《广西壮族自治区建设工程质量检</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测管理规定》（桂建管〔2013〕11</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号）规定，工程质量检测业务由发包人委托有相应资质的检测机构检</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测。费用从发包人的项目建设经费中支出并直接支付给检测机构，不计入合同价款内。</w:t>
      </w:r>
    </w:p>
    <w:p w14:paraId="4C0E806F">
      <w:pPr>
        <w:spacing w:before="283" w:line="227" w:lineRule="auto"/>
        <w:ind w:left="36"/>
        <w:outlineLvl w:val="1"/>
        <w:rPr>
          <w:rFonts w:ascii="宋体" w:hAnsi="宋体" w:eastAsia="宋体" w:cs="宋体"/>
          <w:color w:val="auto"/>
          <w:sz w:val="31"/>
          <w:szCs w:val="31"/>
          <w:highlight w:val="none"/>
        </w:rPr>
      </w:pPr>
      <w:bookmarkStart w:id="93" w:name="_Toc26962"/>
      <w:r>
        <w:rPr>
          <w:rFonts w:ascii="宋体" w:hAnsi="宋体" w:eastAsia="宋体" w:cs="宋体"/>
          <w:b/>
          <w:bCs/>
          <w:color w:val="auto"/>
          <w:spacing w:val="-6"/>
          <w:sz w:val="31"/>
          <w:szCs w:val="31"/>
          <w:highlight w:val="none"/>
        </w:rPr>
        <w:t>10.</w:t>
      </w:r>
      <w:r>
        <w:rPr>
          <w:rFonts w:ascii="宋体" w:hAnsi="宋体" w:eastAsia="宋体" w:cs="宋体"/>
          <w:color w:val="auto"/>
          <w:spacing w:val="20"/>
          <w:sz w:val="31"/>
          <w:szCs w:val="31"/>
          <w:highlight w:val="none"/>
        </w:rPr>
        <w:t xml:space="preserve"> </w:t>
      </w:r>
      <w:r>
        <w:rPr>
          <w:rFonts w:ascii="宋体" w:hAnsi="宋体" w:eastAsia="宋体" w:cs="宋体"/>
          <w:b/>
          <w:bCs/>
          <w:color w:val="auto"/>
          <w:spacing w:val="-6"/>
          <w:sz w:val="31"/>
          <w:szCs w:val="31"/>
          <w:highlight w:val="none"/>
        </w:rPr>
        <w:t>变更</w:t>
      </w:r>
      <w:bookmarkEnd w:id="93"/>
    </w:p>
    <w:p w14:paraId="4599F75C">
      <w:pPr>
        <w:pStyle w:val="2"/>
        <w:spacing w:line="399" w:lineRule="auto"/>
        <w:rPr>
          <w:color w:val="auto"/>
          <w:highlight w:val="none"/>
        </w:rPr>
      </w:pPr>
    </w:p>
    <w:p w14:paraId="1C9EAE00">
      <w:pPr>
        <w:spacing w:before="101" w:line="226" w:lineRule="auto"/>
        <w:ind w:left="36"/>
        <w:outlineLvl w:val="2"/>
        <w:rPr>
          <w:rFonts w:ascii="宋体" w:hAnsi="宋体" w:eastAsia="宋体" w:cs="宋体"/>
          <w:color w:val="auto"/>
          <w:sz w:val="31"/>
          <w:szCs w:val="31"/>
          <w:highlight w:val="none"/>
        </w:rPr>
      </w:pPr>
      <w:bookmarkStart w:id="94" w:name="_Toc29914"/>
      <w:r>
        <w:rPr>
          <w:rFonts w:ascii="宋体" w:hAnsi="宋体" w:eastAsia="宋体" w:cs="宋体"/>
          <w:b/>
          <w:bCs/>
          <w:color w:val="auto"/>
          <w:spacing w:val="1"/>
          <w:sz w:val="31"/>
          <w:szCs w:val="31"/>
          <w:highlight w:val="none"/>
        </w:rPr>
        <w:t>10.1</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变更的范围</w:t>
      </w:r>
      <w:bookmarkEnd w:id="94"/>
    </w:p>
    <w:p w14:paraId="7A05D4B0">
      <w:pPr>
        <w:pStyle w:val="2"/>
        <w:spacing w:line="412" w:lineRule="auto"/>
        <w:rPr>
          <w:color w:val="auto"/>
          <w:highlight w:val="none"/>
        </w:rPr>
      </w:pPr>
    </w:p>
    <w:p w14:paraId="022568F5">
      <w:pPr>
        <w:spacing w:before="65" w:line="229" w:lineRule="auto"/>
        <w:ind w:left="43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关于变更的范围的约定：</w:t>
      </w:r>
    </w:p>
    <w:p w14:paraId="0C648356">
      <w:pPr>
        <w:spacing w:before="220" w:line="330" w:lineRule="auto"/>
        <w:ind w:left="11" w:right="48" w:firstLine="436"/>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1.承包人不得随意更改设计，因承包人自身原因导致的工期变更，承包人无权要求追加合同价款。</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设计变更、签证资料必须及时发包人确认，隐蔽工程变更签证在五日内办理完。</w:t>
      </w:r>
    </w:p>
    <w:p w14:paraId="695D5C72">
      <w:pPr>
        <w:spacing w:before="220" w:line="330" w:lineRule="auto"/>
        <w:ind w:left="8" w:right="2" w:firstLine="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w:t>
      </w:r>
      <w:r>
        <w:rPr>
          <w:rFonts w:ascii="宋体" w:hAnsi="宋体" w:eastAsia="宋体" w:cs="宋体"/>
          <w:color w:val="auto"/>
          <w:spacing w:val="-23"/>
          <w:sz w:val="20"/>
          <w:szCs w:val="20"/>
          <w:highlight w:val="none"/>
        </w:rPr>
        <w:t xml:space="preserve"> </w:t>
      </w:r>
      <w:r>
        <w:rPr>
          <w:rFonts w:ascii="宋体" w:hAnsi="宋体" w:eastAsia="宋体" w:cs="宋体"/>
          <w:color w:val="auto"/>
          <w:spacing w:val="8"/>
          <w:sz w:val="20"/>
          <w:szCs w:val="20"/>
          <w:highlight w:val="none"/>
        </w:rPr>
        <w:t>.特急变更签证的实施以发包人代表签字为依据，承包人可事先就计价方式或价格与发包方协商一</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致。但实施后</w:t>
      </w:r>
      <w:r>
        <w:rPr>
          <w:rFonts w:ascii="宋体" w:hAnsi="宋体" w:eastAsia="宋体" w:cs="宋体"/>
          <w:color w:val="auto"/>
          <w:spacing w:val="-22"/>
          <w:sz w:val="20"/>
          <w:szCs w:val="20"/>
          <w:highlight w:val="none"/>
        </w:rPr>
        <w:t xml:space="preserve"> </w:t>
      </w:r>
      <w:r>
        <w:rPr>
          <w:rFonts w:ascii="宋体" w:hAnsi="宋体" w:eastAsia="宋体" w:cs="宋体"/>
          <w:color w:val="auto"/>
          <w:spacing w:val="7"/>
          <w:sz w:val="20"/>
          <w:szCs w:val="20"/>
          <w:highlight w:val="none"/>
        </w:rPr>
        <w:t>14 日内，双方必须办理相关</w:t>
      </w:r>
      <w:r>
        <w:rPr>
          <w:rFonts w:ascii="宋体" w:hAnsi="宋体" w:eastAsia="宋体" w:cs="宋体"/>
          <w:color w:val="auto"/>
          <w:spacing w:val="6"/>
          <w:sz w:val="20"/>
          <w:szCs w:val="20"/>
          <w:highlight w:val="none"/>
        </w:rPr>
        <w:t>的手续，方可作为结算的依据。</w:t>
      </w:r>
    </w:p>
    <w:p w14:paraId="714B9D96">
      <w:pPr>
        <w:spacing w:before="220" w:line="381" w:lineRule="auto"/>
        <w:ind w:left="8" w:right="2" w:firstLine="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w:t>
      </w:r>
      <w:r>
        <w:rPr>
          <w:rFonts w:ascii="宋体" w:hAnsi="宋体" w:eastAsia="宋体" w:cs="宋体"/>
          <w:color w:val="auto"/>
          <w:spacing w:val="-17"/>
          <w:sz w:val="20"/>
          <w:szCs w:val="20"/>
          <w:highlight w:val="none"/>
        </w:rPr>
        <w:t xml:space="preserve"> </w:t>
      </w:r>
      <w:r>
        <w:rPr>
          <w:rFonts w:ascii="宋体" w:hAnsi="宋体" w:eastAsia="宋体" w:cs="宋体"/>
          <w:color w:val="auto"/>
          <w:spacing w:val="6"/>
          <w:sz w:val="20"/>
          <w:szCs w:val="20"/>
          <w:highlight w:val="none"/>
        </w:rPr>
        <w:t>.当变更、签证的工作内容完成以后，承包人要及时督促监理和发包人代表在完工后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14</w:t>
      </w:r>
      <w:r>
        <w:rPr>
          <w:rFonts w:ascii="宋体" w:hAnsi="宋体" w:eastAsia="宋体" w:cs="宋体"/>
          <w:color w:val="auto"/>
          <w:spacing w:val="48"/>
          <w:sz w:val="20"/>
          <w:szCs w:val="20"/>
          <w:highlight w:val="none"/>
        </w:rPr>
        <w:t xml:space="preserve"> </w:t>
      </w:r>
      <w:r>
        <w:rPr>
          <w:rFonts w:ascii="宋体" w:hAnsi="宋体" w:eastAsia="宋体" w:cs="宋体"/>
          <w:color w:val="auto"/>
          <w:spacing w:val="6"/>
          <w:sz w:val="20"/>
          <w:szCs w:val="20"/>
          <w:highlight w:val="none"/>
        </w:rPr>
        <w:t>日内签字</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确认，否则发包人可以不予支付费用。对于隐蔽工程和事后无法计算工程量的</w:t>
      </w:r>
      <w:r>
        <w:rPr>
          <w:rFonts w:ascii="宋体" w:hAnsi="宋体" w:eastAsia="宋体" w:cs="宋体"/>
          <w:color w:val="auto"/>
          <w:spacing w:val="9"/>
          <w:sz w:val="20"/>
          <w:szCs w:val="20"/>
          <w:highlight w:val="none"/>
        </w:rPr>
        <w:t>变更和签证，必须在覆盖</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或拆除前，会同监理、发包人代表、工程部负责人共同完成工程量的确认和费</w:t>
      </w:r>
      <w:r>
        <w:rPr>
          <w:rFonts w:ascii="宋体" w:hAnsi="宋体" w:eastAsia="宋体" w:cs="宋体"/>
          <w:color w:val="auto"/>
          <w:spacing w:val="9"/>
          <w:sz w:val="20"/>
          <w:szCs w:val="20"/>
          <w:highlight w:val="none"/>
        </w:rPr>
        <w:t>用的谈判，否则发包人可</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以不计价款。</w:t>
      </w:r>
    </w:p>
    <w:p w14:paraId="01FFEA29">
      <w:pPr>
        <w:spacing w:before="224" w:line="364" w:lineRule="auto"/>
        <w:ind w:left="12" w:right="14" w:firstLine="419"/>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4.合同履约中，双方填制的变更、签证通知单以及办</w:t>
      </w:r>
      <w:r>
        <w:rPr>
          <w:rFonts w:ascii="宋体" w:hAnsi="宋体" w:eastAsia="宋体" w:cs="宋体"/>
          <w:color w:val="auto"/>
          <w:spacing w:val="9"/>
          <w:sz w:val="20"/>
          <w:szCs w:val="20"/>
          <w:highlight w:val="none"/>
        </w:rPr>
        <w:t>理相关手续，都应严格按照发包人的内部工作</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管理制度执行，按顺序进行统一分类编号，并附有相应的真实图片及</w:t>
      </w:r>
      <w:r>
        <w:rPr>
          <w:rFonts w:ascii="宋体" w:hAnsi="宋体" w:eastAsia="宋体" w:cs="宋体"/>
          <w:color w:val="auto"/>
          <w:spacing w:val="9"/>
          <w:sz w:val="20"/>
          <w:szCs w:val="20"/>
          <w:highlight w:val="none"/>
        </w:rPr>
        <w:t>发生的费用，否则发包人可以不予</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审核费用。</w:t>
      </w:r>
    </w:p>
    <w:p w14:paraId="49D46B54">
      <w:pPr>
        <w:spacing w:before="220" w:line="381" w:lineRule="auto"/>
        <w:ind w:left="8" w:right="14" w:firstLine="42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5.承包人作为有经验的承包商，对工程技</w:t>
      </w:r>
      <w:r>
        <w:rPr>
          <w:rFonts w:ascii="宋体" w:hAnsi="宋体" w:eastAsia="宋体" w:cs="宋体"/>
          <w:color w:val="auto"/>
          <w:spacing w:val="9"/>
          <w:sz w:val="20"/>
          <w:szCs w:val="20"/>
          <w:highlight w:val="none"/>
        </w:rPr>
        <w:t>术及施工图纸中的问题应提前发现，并在图纸会审时或按</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照技术核定单的形式及时的提出；如果承包人由于各种原因不提出或未及时提</w:t>
      </w:r>
      <w:r>
        <w:rPr>
          <w:rFonts w:ascii="宋体" w:hAnsi="宋体" w:eastAsia="宋体" w:cs="宋体"/>
          <w:color w:val="auto"/>
          <w:spacing w:val="9"/>
          <w:sz w:val="20"/>
          <w:szCs w:val="20"/>
          <w:highlight w:val="none"/>
        </w:rPr>
        <w:t>出、或提出后发包人明确</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否定更改方案而承包人继续施工的，</w:t>
      </w:r>
      <w:r>
        <w:rPr>
          <w:rFonts w:ascii="宋体" w:hAnsi="宋体" w:eastAsia="宋体" w:cs="宋体"/>
          <w:color w:val="auto"/>
          <w:spacing w:val="44"/>
          <w:sz w:val="20"/>
          <w:szCs w:val="20"/>
          <w:highlight w:val="none"/>
        </w:rPr>
        <w:t xml:space="preserve"> </w:t>
      </w:r>
      <w:r>
        <w:rPr>
          <w:rFonts w:ascii="宋体" w:hAnsi="宋体" w:eastAsia="宋体" w:cs="宋体"/>
          <w:color w:val="auto"/>
          <w:spacing w:val="9"/>
          <w:sz w:val="20"/>
          <w:szCs w:val="20"/>
          <w:highlight w:val="none"/>
        </w:rPr>
        <w:t>以上导致工程产生的质量、进度、安全、成</w:t>
      </w:r>
      <w:r>
        <w:rPr>
          <w:rFonts w:ascii="宋体" w:hAnsi="宋体" w:eastAsia="宋体" w:cs="宋体"/>
          <w:color w:val="auto"/>
          <w:spacing w:val="8"/>
          <w:sz w:val="20"/>
          <w:szCs w:val="20"/>
          <w:highlight w:val="none"/>
        </w:rPr>
        <w:t>本等问题及后果， 承</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包人承担一切的责任。</w:t>
      </w:r>
    </w:p>
    <w:p w14:paraId="645A51CC">
      <w:pPr>
        <w:spacing w:before="221" w:line="330" w:lineRule="auto"/>
        <w:ind w:left="25" w:right="2" w:firstLine="40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6．承包人作为有经验的承包商，对工程量清单与</w:t>
      </w:r>
      <w:r>
        <w:rPr>
          <w:rFonts w:ascii="宋体" w:hAnsi="宋体" w:eastAsia="宋体" w:cs="宋体"/>
          <w:color w:val="auto"/>
          <w:spacing w:val="7"/>
          <w:sz w:val="20"/>
          <w:szCs w:val="20"/>
          <w:highlight w:val="none"/>
        </w:rPr>
        <w:t>图纸不相符的问题应提前发现，并按照技术核定单</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的形式及时的提出；如果承包人由于各种原因不提出或未及时提出、或提出后发包人明确否定更改方案</w:t>
      </w:r>
    </w:p>
    <w:p w14:paraId="7281D8B7">
      <w:pPr>
        <w:spacing w:line="330" w:lineRule="auto"/>
        <w:rPr>
          <w:rFonts w:ascii="宋体" w:hAnsi="宋体" w:eastAsia="宋体" w:cs="宋体"/>
          <w:color w:val="auto"/>
          <w:sz w:val="20"/>
          <w:szCs w:val="20"/>
          <w:highlight w:val="none"/>
        </w:rPr>
        <w:sectPr>
          <w:headerReference r:id="rId214" w:type="default"/>
          <w:footerReference r:id="rId215" w:type="default"/>
          <w:pgSz w:w="11906" w:h="16839"/>
          <w:pgMar w:top="1091" w:right="1219" w:bottom="1158" w:left="1219" w:header="1076" w:footer="922" w:gutter="0"/>
          <w:cols w:space="720" w:num="1"/>
        </w:sectPr>
      </w:pPr>
    </w:p>
    <w:p w14:paraId="40307FC0">
      <w:pPr>
        <w:spacing w:before="97"/>
        <w:rPr>
          <w:color w:val="auto"/>
          <w:highlight w:val="none"/>
        </w:rPr>
      </w:pPr>
    </w:p>
    <w:p w14:paraId="053A6A64">
      <w:pPr>
        <w:spacing w:before="97"/>
        <w:rPr>
          <w:color w:val="auto"/>
          <w:highlight w:val="none"/>
        </w:rPr>
      </w:pPr>
    </w:p>
    <w:tbl>
      <w:tblPr>
        <w:tblStyle w:val="8"/>
        <w:tblW w:w="946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469"/>
      </w:tblGrid>
      <w:tr w14:paraId="631F085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980" w:hRule="atLeast"/>
        </w:trPr>
        <w:tc>
          <w:tcPr>
            <w:tcW w:w="9469" w:type="dxa"/>
            <w:tcBorders>
              <w:top w:val="single" w:color="000000" w:sz="4" w:space="0"/>
              <w:bottom w:val="single" w:color="000000" w:sz="2" w:space="0"/>
            </w:tcBorders>
            <w:vAlign w:val="top"/>
          </w:tcPr>
          <w:p w14:paraId="3EE19211">
            <w:pPr>
              <w:pStyle w:val="9"/>
              <w:spacing w:before="260" w:line="432" w:lineRule="auto"/>
              <w:ind w:left="10" w:right="20" w:hanging="1"/>
              <w:rPr>
                <w:color w:val="auto"/>
                <w:highlight w:val="none"/>
              </w:rPr>
            </w:pPr>
            <w:r>
              <w:rPr>
                <w:color w:val="auto"/>
                <w:spacing w:val="10"/>
                <w:highlight w:val="none"/>
              </w:rPr>
              <w:t>而承包人继续施工的，以上导致工程产生的成本增加等问题及后果，承包人</w:t>
            </w:r>
            <w:r>
              <w:rPr>
                <w:color w:val="auto"/>
                <w:spacing w:val="9"/>
                <w:highlight w:val="none"/>
              </w:rPr>
              <w:t>承担一切的责任，结算时按</w:t>
            </w:r>
            <w:r>
              <w:rPr>
                <w:color w:val="auto"/>
                <w:highlight w:val="none"/>
              </w:rPr>
              <w:t xml:space="preserve"> </w:t>
            </w:r>
            <w:r>
              <w:rPr>
                <w:color w:val="auto"/>
                <w:spacing w:val="8"/>
                <w:highlight w:val="none"/>
              </w:rPr>
              <w:t>工程量清单进行，而不是按图纸进行结算。</w:t>
            </w:r>
          </w:p>
          <w:p w14:paraId="463D95B9">
            <w:pPr>
              <w:pStyle w:val="9"/>
              <w:spacing w:line="227" w:lineRule="auto"/>
              <w:jc w:val="right"/>
              <w:rPr>
                <w:color w:val="auto"/>
                <w:highlight w:val="none"/>
              </w:rPr>
            </w:pPr>
            <w:r>
              <w:rPr>
                <w:color w:val="auto"/>
                <w:spacing w:val="5"/>
                <w:highlight w:val="none"/>
              </w:rPr>
              <w:t>特别说明：凡是学校擅自提出增加施工内容且不经发包人批准同意施工的，承包人承担一切的责任。</w:t>
            </w:r>
          </w:p>
          <w:p w14:paraId="4B174948">
            <w:pPr>
              <w:pStyle w:val="9"/>
              <w:spacing w:before="221" w:line="228" w:lineRule="auto"/>
              <w:jc w:val="right"/>
              <w:rPr>
                <w:color w:val="auto"/>
                <w:highlight w:val="none"/>
              </w:rPr>
            </w:pPr>
            <w:r>
              <w:rPr>
                <w:color w:val="auto"/>
                <w:spacing w:val="3"/>
                <w:highlight w:val="none"/>
              </w:rPr>
              <w:t>7.工程结算时，承包人需将完整的变更签证资料装订成册作为结算书一部分，变更</w:t>
            </w:r>
            <w:r>
              <w:rPr>
                <w:color w:val="auto"/>
                <w:spacing w:val="2"/>
                <w:highlight w:val="none"/>
              </w:rPr>
              <w:t>签证资料应包括 ：</w:t>
            </w:r>
          </w:p>
          <w:p w14:paraId="700E0A6E">
            <w:pPr>
              <w:pStyle w:val="9"/>
              <w:spacing w:before="220" w:line="433" w:lineRule="auto"/>
              <w:ind w:left="8" w:right="3" w:firstLine="434"/>
              <w:rPr>
                <w:color w:val="auto"/>
                <w:highlight w:val="none"/>
              </w:rPr>
            </w:pPr>
            <w:r>
              <w:rPr>
                <w:color w:val="auto"/>
                <w:spacing w:val="9"/>
                <w:highlight w:val="none"/>
              </w:rPr>
              <w:t>（1）双方确认的联系单/联系函</w:t>
            </w:r>
            <w:r>
              <w:rPr>
                <w:color w:val="auto"/>
                <w:spacing w:val="-15"/>
                <w:highlight w:val="none"/>
              </w:rPr>
              <w:t>；（</w:t>
            </w:r>
            <w:r>
              <w:rPr>
                <w:color w:val="auto"/>
                <w:spacing w:val="9"/>
                <w:highlight w:val="none"/>
              </w:rPr>
              <w:t>2）变更签证单</w:t>
            </w:r>
            <w:r>
              <w:rPr>
                <w:color w:val="auto"/>
                <w:spacing w:val="-15"/>
                <w:highlight w:val="none"/>
              </w:rPr>
              <w:t>；（</w:t>
            </w:r>
            <w:r>
              <w:rPr>
                <w:color w:val="auto"/>
                <w:spacing w:val="9"/>
                <w:highlight w:val="none"/>
              </w:rPr>
              <w:t>3）申报的变更签证预算书（4）变更签证单</w:t>
            </w:r>
            <w:r>
              <w:rPr>
                <w:color w:val="auto"/>
                <w:spacing w:val="3"/>
                <w:highlight w:val="none"/>
              </w:rPr>
              <w:t xml:space="preserve"> </w:t>
            </w:r>
            <w:r>
              <w:rPr>
                <w:color w:val="auto"/>
                <w:spacing w:val="10"/>
                <w:highlight w:val="none"/>
              </w:rPr>
              <w:t>所有相关的往来函件、其他需要说明的与造价有关的问题</w:t>
            </w:r>
            <w:r>
              <w:rPr>
                <w:color w:val="auto"/>
                <w:spacing w:val="-4"/>
                <w:highlight w:val="none"/>
              </w:rPr>
              <w:t>；（</w:t>
            </w:r>
            <w:r>
              <w:rPr>
                <w:color w:val="auto"/>
                <w:spacing w:val="10"/>
                <w:highlight w:val="none"/>
              </w:rPr>
              <w:t>5）相应的真实图片。</w:t>
            </w:r>
          </w:p>
          <w:p w14:paraId="7F5710FD">
            <w:pPr>
              <w:pStyle w:val="9"/>
              <w:spacing w:before="283" w:line="226" w:lineRule="auto"/>
              <w:ind w:left="36"/>
              <w:outlineLvl w:val="2"/>
              <w:rPr>
                <w:color w:val="auto"/>
                <w:sz w:val="31"/>
                <w:szCs w:val="31"/>
                <w:highlight w:val="none"/>
              </w:rPr>
            </w:pPr>
            <w:bookmarkStart w:id="95" w:name="_Toc28745"/>
            <w:r>
              <w:rPr>
                <w:b/>
                <w:bCs/>
                <w:color w:val="auto"/>
                <w:spacing w:val="1"/>
                <w:sz w:val="31"/>
                <w:szCs w:val="31"/>
                <w:highlight w:val="none"/>
              </w:rPr>
              <w:t>10.3</w:t>
            </w:r>
            <w:r>
              <w:rPr>
                <w:color w:val="auto"/>
                <w:spacing w:val="1"/>
                <w:sz w:val="31"/>
                <w:szCs w:val="31"/>
                <w:highlight w:val="none"/>
              </w:rPr>
              <w:t xml:space="preserve"> </w:t>
            </w:r>
            <w:r>
              <w:rPr>
                <w:b/>
                <w:bCs/>
                <w:color w:val="auto"/>
                <w:spacing w:val="1"/>
                <w:sz w:val="31"/>
                <w:szCs w:val="31"/>
                <w:highlight w:val="none"/>
              </w:rPr>
              <w:t>变更程序</w:t>
            </w:r>
            <w:bookmarkEnd w:id="95"/>
          </w:p>
          <w:p w14:paraId="06A5DF92">
            <w:pPr>
              <w:spacing w:line="412" w:lineRule="auto"/>
              <w:rPr>
                <w:rFonts w:ascii="Arial"/>
                <w:color w:val="auto"/>
                <w:sz w:val="21"/>
                <w:highlight w:val="none"/>
              </w:rPr>
            </w:pPr>
          </w:p>
          <w:p w14:paraId="1CC63EF9">
            <w:pPr>
              <w:pStyle w:val="9"/>
              <w:spacing w:before="66" w:line="432" w:lineRule="auto"/>
              <w:ind w:left="10" w:firstLine="436"/>
              <w:jc w:val="both"/>
              <w:rPr>
                <w:color w:val="auto"/>
                <w:highlight w:val="none"/>
              </w:rPr>
            </w:pPr>
            <w:r>
              <w:rPr>
                <w:color w:val="auto"/>
                <w:spacing w:val="10"/>
                <w:highlight w:val="none"/>
              </w:rPr>
              <w:t>⑴设计变更和工程签证，按《关于加强南宁市政府投资项目初步设计、施工图设计管理的 通知》</w:t>
            </w:r>
            <w:r>
              <w:rPr>
                <w:color w:val="auto"/>
                <w:spacing w:val="4"/>
                <w:highlight w:val="none"/>
              </w:rPr>
              <w:t xml:space="preserve">  </w:t>
            </w:r>
            <w:r>
              <w:rPr>
                <w:color w:val="auto"/>
                <w:spacing w:val="1"/>
                <w:highlight w:val="none"/>
              </w:rPr>
              <w:t>（南建项目</w:t>
            </w:r>
            <w:r>
              <w:rPr>
                <w:color w:val="auto"/>
                <w:spacing w:val="56"/>
                <w:highlight w:val="none"/>
              </w:rPr>
              <w:t xml:space="preserve"> </w:t>
            </w:r>
            <w:r>
              <w:rPr>
                <w:color w:val="auto"/>
                <w:spacing w:val="1"/>
                <w:highlight w:val="none"/>
              </w:rPr>
              <w:t>[2004]3 号）及《关于改进政府投资项目财政监管的通知》（南财投审</w:t>
            </w:r>
            <w:r>
              <w:rPr>
                <w:color w:val="auto"/>
                <w:spacing w:val="47"/>
                <w:highlight w:val="none"/>
              </w:rPr>
              <w:t xml:space="preserve"> </w:t>
            </w:r>
            <w:r>
              <w:rPr>
                <w:color w:val="auto"/>
                <w:spacing w:val="1"/>
                <w:highlight w:val="none"/>
              </w:rPr>
              <w:t>[2007]66 号）办理。</w:t>
            </w:r>
            <w:r>
              <w:rPr>
                <w:color w:val="auto"/>
                <w:highlight w:val="none"/>
              </w:rPr>
              <w:t xml:space="preserve"> </w:t>
            </w:r>
            <w:r>
              <w:rPr>
                <w:color w:val="auto"/>
                <w:spacing w:val="8"/>
                <w:highlight w:val="none"/>
              </w:rPr>
              <w:t>属不可抗力（自然灾害、突发事件等） 造成变更的，按特事特</w:t>
            </w:r>
            <w:r>
              <w:rPr>
                <w:color w:val="auto"/>
                <w:spacing w:val="7"/>
                <w:highlight w:val="none"/>
              </w:rPr>
              <w:t>办原则予以办理。</w:t>
            </w:r>
          </w:p>
          <w:p w14:paraId="7B53BA9D">
            <w:pPr>
              <w:pStyle w:val="9"/>
              <w:spacing w:before="2" w:line="431" w:lineRule="auto"/>
              <w:ind w:left="10" w:right="37" w:firstLine="439"/>
              <w:rPr>
                <w:color w:val="auto"/>
                <w:highlight w:val="none"/>
              </w:rPr>
            </w:pPr>
            <w:r>
              <w:rPr>
                <w:color w:val="auto"/>
                <w:spacing w:val="10"/>
                <w:highlight w:val="none"/>
              </w:rPr>
              <w:t>⑵工程设计变更和签证工程发生后 20 个工作日内，</w:t>
            </w:r>
            <w:r>
              <w:rPr>
                <w:color w:val="auto"/>
                <w:spacing w:val="-59"/>
                <w:highlight w:val="none"/>
              </w:rPr>
              <w:t xml:space="preserve"> </w:t>
            </w:r>
            <w:r>
              <w:rPr>
                <w:color w:val="auto"/>
                <w:spacing w:val="10"/>
                <w:highlight w:val="none"/>
              </w:rPr>
              <w:t>由承包人将有关变更</w:t>
            </w:r>
            <w:r>
              <w:rPr>
                <w:color w:val="auto"/>
                <w:spacing w:val="9"/>
                <w:highlight w:val="none"/>
              </w:rPr>
              <w:t>文件、签证单审 批件、</w:t>
            </w:r>
            <w:r>
              <w:rPr>
                <w:color w:val="auto"/>
                <w:highlight w:val="none"/>
              </w:rPr>
              <w:t xml:space="preserve"> </w:t>
            </w:r>
            <w:r>
              <w:rPr>
                <w:color w:val="auto"/>
                <w:spacing w:val="9"/>
                <w:highlight w:val="none"/>
              </w:rPr>
              <w:t>工程联系单、预算书等工程资料做好备案，并作为进度款支付、事后抽 查和工程结算的主要依据。</w:t>
            </w:r>
          </w:p>
          <w:p w14:paraId="0D78D24F">
            <w:pPr>
              <w:pStyle w:val="9"/>
              <w:spacing w:line="432" w:lineRule="auto"/>
              <w:ind w:left="8" w:firstLine="439"/>
              <w:rPr>
                <w:color w:val="auto"/>
                <w:highlight w:val="none"/>
              </w:rPr>
            </w:pPr>
            <w:r>
              <w:rPr>
                <w:color w:val="auto"/>
                <w:spacing w:val="9"/>
                <w:highlight w:val="none"/>
              </w:rPr>
              <w:t xml:space="preserve">⑶承包人在实施项目过程中，若发生隐蔽工程或工程量发生增减变动， </w:t>
            </w:r>
            <w:r>
              <w:rPr>
                <w:color w:val="auto"/>
                <w:spacing w:val="8"/>
                <w:highlight w:val="none"/>
              </w:rPr>
              <w:t>必须经建设单位、 施工、</w:t>
            </w:r>
            <w:r>
              <w:rPr>
                <w:color w:val="auto"/>
                <w:highlight w:val="none"/>
              </w:rPr>
              <w:t xml:space="preserve"> </w:t>
            </w:r>
            <w:r>
              <w:rPr>
                <w:color w:val="auto"/>
                <w:spacing w:val="9"/>
                <w:highlight w:val="none"/>
              </w:rPr>
              <w:t>监理等有关单位现场签字确认后，方可作为工程结算依据。若现场验收没有以上相关人员参加核实</w:t>
            </w:r>
            <w:r>
              <w:rPr>
                <w:color w:val="auto"/>
                <w:spacing w:val="8"/>
                <w:highlight w:val="none"/>
              </w:rPr>
              <w:t>，过</w:t>
            </w:r>
            <w:r>
              <w:rPr>
                <w:color w:val="auto"/>
                <w:highlight w:val="none"/>
              </w:rPr>
              <w:t xml:space="preserve"> </w:t>
            </w:r>
            <w:r>
              <w:rPr>
                <w:color w:val="auto"/>
                <w:spacing w:val="6"/>
                <w:highlight w:val="none"/>
              </w:rPr>
              <w:t>后不能以提供相片或视频形式作为签证的理由，承包人承担一切的</w:t>
            </w:r>
            <w:r>
              <w:rPr>
                <w:color w:val="auto"/>
                <w:spacing w:val="5"/>
                <w:highlight w:val="none"/>
              </w:rPr>
              <w:t>责任若人为挖超深，发包人不予签证，</w:t>
            </w:r>
            <w:r>
              <w:rPr>
                <w:color w:val="auto"/>
                <w:highlight w:val="none"/>
              </w:rPr>
              <w:t xml:space="preserve"> </w:t>
            </w:r>
            <w:r>
              <w:rPr>
                <w:color w:val="auto"/>
                <w:spacing w:val="6"/>
                <w:highlight w:val="none"/>
              </w:rPr>
              <w:t>承包人将承担。</w:t>
            </w:r>
          </w:p>
          <w:p w14:paraId="1C4345F6">
            <w:pPr>
              <w:pStyle w:val="9"/>
              <w:spacing w:before="2" w:line="431" w:lineRule="auto"/>
              <w:ind w:left="8" w:right="3" w:firstLine="441"/>
              <w:rPr>
                <w:color w:val="auto"/>
                <w:highlight w:val="none"/>
              </w:rPr>
            </w:pPr>
            <w:r>
              <w:rPr>
                <w:color w:val="auto"/>
                <w:spacing w:val="10"/>
                <w:highlight w:val="none"/>
              </w:rPr>
              <w:t>⑷承包人在工程设计变更和工程签证过程中必须认真负责、实事</w:t>
            </w:r>
            <w:r>
              <w:rPr>
                <w:color w:val="auto"/>
                <w:spacing w:val="9"/>
                <w:highlight w:val="none"/>
              </w:rPr>
              <w:t>求是，不得弄虚作假，凡因上述问</w:t>
            </w:r>
            <w:r>
              <w:rPr>
                <w:color w:val="auto"/>
                <w:highlight w:val="none"/>
              </w:rPr>
              <w:t xml:space="preserve"> </w:t>
            </w:r>
            <w:r>
              <w:rPr>
                <w:color w:val="auto"/>
                <w:spacing w:val="9"/>
                <w:highlight w:val="none"/>
              </w:rPr>
              <w:t>题所造成的损失，相应等额扣除承包人项目管理费或其他财政拨款。</w:t>
            </w:r>
          </w:p>
          <w:p w14:paraId="69849924">
            <w:pPr>
              <w:pStyle w:val="9"/>
              <w:spacing w:before="4" w:line="431" w:lineRule="auto"/>
              <w:ind w:left="11" w:firstLine="435"/>
              <w:jc w:val="both"/>
              <w:rPr>
                <w:color w:val="auto"/>
                <w:highlight w:val="none"/>
              </w:rPr>
            </w:pPr>
            <w:r>
              <w:rPr>
                <w:color w:val="auto"/>
                <w:spacing w:val="7"/>
                <w:highlight w:val="none"/>
              </w:rPr>
              <w:t>⑸承包人应当在合同规定的调整情况发生后</w:t>
            </w:r>
            <w:r>
              <w:rPr>
                <w:color w:val="auto"/>
                <w:spacing w:val="31"/>
                <w:highlight w:val="none"/>
              </w:rPr>
              <w:t xml:space="preserve"> </w:t>
            </w:r>
            <w:r>
              <w:rPr>
                <w:color w:val="auto"/>
                <w:spacing w:val="6"/>
                <w:highlight w:val="none"/>
              </w:rPr>
              <w:t>14 天内，将调整原因，金额以书面形式通知 发包人，</w:t>
            </w:r>
            <w:r>
              <w:rPr>
                <w:color w:val="auto"/>
                <w:highlight w:val="none"/>
              </w:rPr>
              <w:t xml:space="preserve"> </w:t>
            </w:r>
            <w:r>
              <w:rPr>
                <w:color w:val="auto"/>
                <w:spacing w:val="6"/>
                <w:highlight w:val="none"/>
              </w:rPr>
              <w:t>发包人按第⑴</w:t>
            </w:r>
            <w:r>
              <w:rPr>
                <w:color w:val="auto"/>
                <w:spacing w:val="-68"/>
                <w:highlight w:val="none"/>
              </w:rPr>
              <w:t xml:space="preserve"> </w:t>
            </w:r>
            <w:r>
              <w:rPr>
                <w:color w:val="auto"/>
                <w:spacing w:val="6"/>
                <w:highlight w:val="none"/>
              </w:rPr>
              <w:t>、⑵</w:t>
            </w:r>
            <w:r>
              <w:rPr>
                <w:color w:val="auto"/>
                <w:spacing w:val="-75"/>
                <w:highlight w:val="none"/>
              </w:rPr>
              <w:t xml:space="preserve"> </w:t>
            </w:r>
            <w:r>
              <w:rPr>
                <w:color w:val="auto"/>
                <w:spacing w:val="6"/>
                <w:highlight w:val="none"/>
              </w:rPr>
              <w:t>、⑶、⑷、⑸条款的要求初步确认调整金额后将其作为追加合同价款， 按不高于</w:t>
            </w:r>
            <w:r>
              <w:rPr>
                <w:color w:val="auto"/>
                <w:spacing w:val="-36"/>
                <w:highlight w:val="none"/>
              </w:rPr>
              <w:t xml:space="preserve"> </w:t>
            </w:r>
            <w:r>
              <w:rPr>
                <w:color w:val="auto"/>
                <w:spacing w:val="6"/>
                <w:highlight w:val="none"/>
              </w:rPr>
              <w:t>60%</w:t>
            </w:r>
            <w:r>
              <w:rPr>
                <w:color w:val="auto"/>
                <w:highlight w:val="none"/>
              </w:rPr>
              <w:t xml:space="preserve"> </w:t>
            </w:r>
            <w:r>
              <w:rPr>
                <w:color w:val="auto"/>
                <w:spacing w:val="8"/>
                <w:highlight w:val="none"/>
              </w:rPr>
              <w:t>的比例与工程进度款同期支付，调整金额待工程单项结算或结算时，由发包方审计部门最终审定。</w:t>
            </w:r>
          </w:p>
          <w:p w14:paraId="6A0A3B34">
            <w:pPr>
              <w:pStyle w:val="9"/>
              <w:spacing w:before="1" w:line="432" w:lineRule="auto"/>
              <w:ind w:left="9" w:right="3" w:firstLine="440"/>
              <w:rPr>
                <w:color w:val="auto"/>
                <w:highlight w:val="none"/>
              </w:rPr>
            </w:pPr>
            <w:r>
              <w:rPr>
                <w:color w:val="auto"/>
                <w:spacing w:val="12"/>
                <w:highlight w:val="none"/>
              </w:rPr>
              <w:t>⑹当合同规定的调整合同价款的调整情况发生后，承包人未在规定时间内通知发包人，或 者未在</w:t>
            </w:r>
            <w:r>
              <w:rPr>
                <w:color w:val="auto"/>
                <w:highlight w:val="none"/>
              </w:rPr>
              <w:t xml:space="preserve"> </w:t>
            </w:r>
            <w:r>
              <w:rPr>
                <w:color w:val="auto"/>
                <w:spacing w:val="9"/>
                <w:highlight w:val="none"/>
              </w:rPr>
              <w:t>规定时间内提出调整报告，发包人可以根据有关资料，决定是否调整和调整。</w:t>
            </w:r>
          </w:p>
          <w:p w14:paraId="426C3354">
            <w:pPr>
              <w:pStyle w:val="9"/>
              <w:spacing w:before="283" w:line="224" w:lineRule="auto"/>
              <w:ind w:left="36"/>
              <w:outlineLvl w:val="2"/>
              <w:rPr>
                <w:color w:val="auto"/>
                <w:sz w:val="31"/>
                <w:szCs w:val="31"/>
                <w:highlight w:val="none"/>
              </w:rPr>
            </w:pPr>
            <w:bookmarkStart w:id="96" w:name="_Toc1304"/>
            <w:r>
              <w:rPr>
                <w:b/>
                <w:bCs/>
                <w:color w:val="auto"/>
                <w:spacing w:val="1"/>
                <w:sz w:val="31"/>
                <w:szCs w:val="31"/>
                <w:highlight w:val="none"/>
              </w:rPr>
              <w:t>10.4</w:t>
            </w:r>
            <w:r>
              <w:rPr>
                <w:color w:val="auto"/>
                <w:spacing w:val="1"/>
                <w:sz w:val="31"/>
                <w:szCs w:val="31"/>
                <w:highlight w:val="none"/>
              </w:rPr>
              <w:t xml:space="preserve"> </w:t>
            </w:r>
            <w:r>
              <w:rPr>
                <w:b/>
                <w:bCs/>
                <w:color w:val="auto"/>
                <w:spacing w:val="1"/>
                <w:sz w:val="31"/>
                <w:szCs w:val="31"/>
                <w:highlight w:val="none"/>
              </w:rPr>
              <w:t>变更估价</w:t>
            </w:r>
            <w:bookmarkEnd w:id="96"/>
          </w:p>
          <w:p w14:paraId="294DA69F">
            <w:pPr>
              <w:spacing w:line="416" w:lineRule="auto"/>
              <w:rPr>
                <w:rFonts w:ascii="Arial"/>
                <w:color w:val="auto"/>
                <w:sz w:val="21"/>
                <w:highlight w:val="none"/>
              </w:rPr>
            </w:pPr>
          </w:p>
          <w:p w14:paraId="78D3BE1B">
            <w:pPr>
              <w:pStyle w:val="9"/>
              <w:spacing w:before="66" w:line="227" w:lineRule="auto"/>
              <w:ind w:left="443"/>
              <w:rPr>
                <w:color w:val="auto"/>
                <w:highlight w:val="none"/>
              </w:rPr>
            </w:pPr>
            <w:r>
              <w:rPr>
                <w:color w:val="auto"/>
                <w:spacing w:val="5"/>
                <w:highlight w:val="none"/>
              </w:rPr>
              <w:t>10.4.1 变更估价原则</w:t>
            </w:r>
          </w:p>
          <w:p w14:paraId="38338757">
            <w:pPr>
              <w:pStyle w:val="9"/>
              <w:spacing w:before="221" w:line="303" w:lineRule="auto"/>
              <w:ind w:left="14" w:firstLine="414"/>
              <w:rPr>
                <w:color w:val="auto"/>
                <w:highlight w:val="none"/>
              </w:rPr>
            </w:pPr>
            <w:r>
              <w:rPr>
                <w:color w:val="auto"/>
                <w:spacing w:val="8"/>
                <w:highlight w:val="none"/>
              </w:rPr>
              <w:t>关于变更估价的约定:</w:t>
            </w:r>
            <w:r>
              <w:rPr>
                <w:color w:val="auto"/>
                <w:spacing w:val="30"/>
                <w:highlight w:val="none"/>
              </w:rPr>
              <w:t xml:space="preserve"> </w:t>
            </w:r>
            <w:r>
              <w:rPr>
                <w:color w:val="auto"/>
                <w:spacing w:val="8"/>
                <w:highlight w:val="none"/>
                <w:u w:val="single" w:color="auto"/>
              </w:rPr>
              <w:t>因设计变更、相关签证引起工程项目、工程量任何变化</w:t>
            </w:r>
            <w:r>
              <w:rPr>
                <w:color w:val="auto"/>
                <w:spacing w:val="7"/>
                <w:highlight w:val="none"/>
                <w:u w:val="single" w:color="auto"/>
              </w:rPr>
              <w:t>的，变更合同价款按</w:t>
            </w:r>
            <w:r>
              <w:rPr>
                <w:color w:val="auto"/>
                <w:highlight w:val="none"/>
              </w:rPr>
              <w:t xml:space="preserve"> </w:t>
            </w:r>
            <w:r>
              <w:rPr>
                <w:color w:val="auto"/>
                <w:spacing w:val="7"/>
                <w:highlight w:val="none"/>
              </w:rPr>
              <w:t>下列方法进行</w:t>
            </w:r>
            <w:r>
              <w:rPr>
                <w:color w:val="auto"/>
                <w:spacing w:val="-21"/>
                <w:highlight w:val="none"/>
              </w:rPr>
              <w:t>：（</w:t>
            </w:r>
            <w:r>
              <w:rPr>
                <w:color w:val="auto"/>
                <w:spacing w:val="7"/>
                <w:highlight w:val="none"/>
              </w:rPr>
              <w:t>1）合同中已有相同子目的，按合同该子</w:t>
            </w:r>
            <w:r>
              <w:rPr>
                <w:color w:val="auto"/>
                <w:spacing w:val="6"/>
                <w:highlight w:val="none"/>
              </w:rPr>
              <w:t>目价格进行计算（2）合同中只有类似子目的，</w:t>
            </w:r>
          </w:p>
        </w:tc>
      </w:tr>
      <w:tr w14:paraId="25A5ABE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9469" w:type="dxa"/>
            <w:tcBorders>
              <w:top w:val="single" w:color="000000" w:sz="2" w:space="0"/>
              <w:bottom w:val="single" w:color="000000" w:sz="2" w:space="0"/>
            </w:tcBorders>
            <w:vAlign w:val="top"/>
          </w:tcPr>
          <w:p w14:paraId="6411EB64">
            <w:pPr>
              <w:pStyle w:val="9"/>
              <w:spacing w:before="265" w:line="180" w:lineRule="auto"/>
              <w:ind w:left="10"/>
              <w:rPr>
                <w:color w:val="auto"/>
                <w:highlight w:val="none"/>
              </w:rPr>
            </w:pPr>
            <w:r>
              <w:rPr>
                <w:color w:val="auto"/>
                <w:spacing w:val="9"/>
                <w:highlight w:val="none"/>
              </w:rPr>
              <w:t>参照该类似子目价格进行计算</w:t>
            </w:r>
            <w:r>
              <w:rPr>
                <w:color w:val="auto"/>
                <w:spacing w:val="-21"/>
                <w:highlight w:val="none"/>
              </w:rPr>
              <w:t>；（</w:t>
            </w:r>
            <w:r>
              <w:rPr>
                <w:color w:val="auto"/>
                <w:spacing w:val="9"/>
                <w:highlight w:val="none"/>
              </w:rPr>
              <w:t>3）合同中没有适用或类似子目的价格计算方法：有定额的套定额（土</w:t>
            </w:r>
          </w:p>
        </w:tc>
      </w:tr>
    </w:tbl>
    <w:p w14:paraId="7DF648F0">
      <w:pPr>
        <w:pStyle w:val="2"/>
        <w:spacing w:line="122" w:lineRule="exact"/>
        <w:rPr>
          <w:color w:val="auto"/>
          <w:sz w:val="10"/>
          <w:highlight w:val="none"/>
        </w:rPr>
      </w:pPr>
    </w:p>
    <w:p w14:paraId="3F4800A1">
      <w:pPr>
        <w:spacing w:line="122" w:lineRule="exact"/>
        <w:rPr>
          <w:color w:val="auto"/>
          <w:sz w:val="10"/>
          <w:szCs w:val="10"/>
          <w:highlight w:val="none"/>
        </w:rPr>
        <w:sectPr>
          <w:headerReference r:id="rId216" w:type="default"/>
          <w:footerReference r:id="rId217" w:type="default"/>
          <w:pgSz w:w="11906" w:h="16839"/>
          <w:pgMar w:top="400" w:right="1217" w:bottom="1158" w:left="1219" w:header="0" w:footer="922" w:gutter="0"/>
          <w:cols w:space="720" w:num="1"/>
        </w:sectPr>
      </w:pPr>
    </w:p>
    <w:p w14:paraId="67B1AF6B">
      <w:pPr>
        <w:pStyle w:val="2"/>
        <w:spacing w:line="292" w:lineRule="auto"/>
        <w:rPr>
          <w:color w:val="auto"/>
          <w:highlight w:val="none"/>
        </w:rPr>
      </w:pPr>
    </w:p>
    <w:p w14:paraId="767C3F95">
      <w:pPr>
        <w:pStyle w:val="2"/>
        <w:spacing w:line="293" w:lineRule="auto"/>
        <w:rPr>
          <w:color w:val="auto"/>
          <w:highlight w:val="none"/>
        </w:rPr>
      </w:pPr>
    </w:p>
    <w:p w14:paraId="58348B1A">
      <w:pPr>
        <w:pStyle w:val="2"/>
        <w:spacing w:line="293" w:lineRule="auto"/>
        <w:rPr>
          <w:color w:val="auto"/>
          <w:highlight w:val="none"/>
        </w:rPr>
      </w:pPr>
      <w:r>
        <w:rPr>
          <w:color w:val="auto"/>
          <w:highlight w:val="none"/>
        </w:rPr>
        <w:pict>
          <v:shape id="_x0000_s1040" o:spid="_x0000_s1040" style="position:absolute;left:0pt;margin-left:0pt;margin-top:4.45pt;height:0.75pt;width:473.4pt;z-index:251692032;mso-width-relative:page;mso-height-relative:page;" fillcolor="#000000" filled="t" stroked="f" coordsize="9467,15" path="m0,0l9467,0,9467,14,0,14,0,0xe">
            <v:path/>
            <v:fill on="t" focussize="0,0"/>
            <v:stroke on="f"/>
            <v:imagedata o:title=""/>
            <o:lock v:ext="edit"/>
          </v:shape>
        </w:pict>
      </w:r>
    </w:p>
    <w:p w14:paraId="73E81E3A">
      <w:pPr>
        <w:tabs>
          <w:tab w:val="left" w:pos="113"/>
          <w:tab w:val="left" w:pos="9449"/>
        </w:tabs>
        <w:spacing w:before="65" w:line="432" w:lineRule="auto"/>
        <w:ind w:right="18" w:firstLine="9"/>
        <w:jc w:val="both"/>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u w:val="single" w:color="auto"/>
        </w:rPr>
        <w:t>石方工程除外）计算，其中材料价格按施工期间的《南宁建设工程造价信息》相应价格信息进行计算；</w:t>
      </w:r>
      <w:r>
        <w:rPr>
          <w:rFonts w:ascii="宋体" w:hAnsi="宋体" w:eastAsia="宋体" w:cs="宋体"/>
          <w:color w:val="auto"/>
          <w:sz w:val="20"/>
          <w:szCs w:val="20"/>
          <w:highlight w:val="none"/>
          <w:u w:val="single" w:color="auto"/>
        </w:rPr>
        <w:tab/>
      </w:r>
      <w:r>
        <w:rPr>
          <w:rFonts w:ascii="宋体" w:hAnsi="宋体" w:eastAsia="宋体" w:cs="宋体"/>
          <w:color w:val="auto"/>
          <w:sz w:val="20"/>
          <w:szCs w:val="20"/>
          <w:highlight w:val="none"/>
        </w:rPr>
        <w:t xml:space="preserve"> </w:t>
      </w:r>
      <w:r>
        <w:rPr>
          <w:rFonts w:ascii="宋体" w:hAnsi="宋体" w:eastAsia="宋体" w:cs="宋体"/>
          <w:color w:val="auto"/>
          <w:sz w:val="20"/>
          <w:szCs w:val="20"/>
          <w:highlight w:val="none"/>
          <w:u w:val="single" w:color="auto"/>
        </w:rPr>
        <w:tab/>
      </w:r>
      <w:r>
        <w:rPr>
          <w:rFonts w:ascii="宋体" w:hAnsi="宋体" w:eastAsia="宋体" w:cs="宋体"/>
          <w:color w:val="auto"/>
          <w:spacing w:val="8"/>
          <w:sz w:val="20"/>
          <w:szCs w:val="20"/>
          <w:highlight w:val="none"/>
          <w:u w:val="single" w:color="auto"/>
        </w:rPr>
        <w:t>《南宁建设工程造价信息》没有相应价格信</w:t>
      </w:r>
      <w:r>
        <w:rPr>
          <w:rFonts w:ascii="宋体" w:hAnsi="宋体" w:eastAsia="宋体" w:cs="宋体"/>
          <w:color w:val="auto"/>
          <w:spacing w:val="7"/>
          <w:sz w:val="20"/>
          <w:szCs w:val="20"/>
          <w:highlight w:val="none"/>
          <w:u w:val="single" w:color="auto"/>
        </w:rPr>
        <w:t>息的按市场价计算；无定额可套的，根据市场价格协商确定</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综合价格；新增项目的单价必须经市财政局投评中心或者有资质的审核单位审定。</w:t>
      </w:r>
    </w:p>
    <w:p w14:paraId="3DD579E0">
      <w:pPr>
        <w:spacing w:before="284" w:line="225" w:lineRule="auto"/>
        <w:ind w:left="36"/>
        <w:outlineLvl w:val="2"/>
        <w:rPr>
          <w:rFonts w:ascii="宋体" w:hAnsi="宋体" w:eastAsia="宋体" w:cs="宋体"/>
          <w:color w:val="auto"/>
          <w:sz w:val="31"/>
          <w:szCs w:val="31"/>
          <w:highlight w:val="none"/>
        </w:rPr>
      </w:pPr>
      <w:bookmarkStart w:id="97" w:name="_Toc19909"/>
      <w:r>
        <w:rPr>
          <w:rFonts w:ascii="宋体" w:hAnsi="宋体" w:eastAsia="宋体" w:cs="宋体"/>
          <w:b/>
          <w:bCs/>
          <w:color w:val="auto"/>
          <w:spacing w:val="3"/>
          <w:sz w:val="31"/>
          <w:szCs w:val="31"/>
          <w:highlight w:val="none"/>
        </w:rPr>
        <w:t>10.5</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承包人的合理化建议</w:t>
      </w:r>
      <w:bookmarkEnd w:id="97"/>
    </w:p>
    <w:p w14:paraId="0AE345DD">
      <w:pPr>
        <w:pStyle w:val="2"/>
        <w:spacing w:line="414" w:lineRule="auto"/>
        <w:rPr>
          <w:color w:val="auto"/>
          <w:highlight w:val="none"/>
        </w:rPr>
      </w:pPr>
    </w:p>
    <w:p w14:paraId="11490DBD">
      <w:pPr>
        <w:spacing w:before="65"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监理人审查承包人合理化建议的期限：</w:t>
      </w:r>
      <w:r>
        <w:rPr>
          <w:rFonts w:ascii="宋体" w:hAnsi="宋体" w:eastAsia="宋体" w:cs="宋体"/>
          <w:color w:val="auto"/>
          <w:spacing w:val="7"/>
          <w:sz w:val="20"/>
          <w:szCs w:val="20"/>
          <w:highlight w:val="none"/>
          <w:u w:val="single" w:color="auto"/>
        </w:rPr>
        <w:t>收到后</w:t>
      </w:r>
      <w:r>
        <w:rPr>
          <w:rFonts w:ascii="宋体" w:hAnsi="宋体" w:eastAsia="宋体" w:cs="宋体"/>
          <w:color w:val="auto"/>
          <w:spacing w:val="-16"/>
          <w:sz w:val="20"/>
          <w:szCs w:val="20"/>
          <w:highlight w:val="none"/>
          <w:u w:val="single" w:color="auto"/>
        </w:rPr>
        <w:t xml:space="preserve"> </w:t>
      </w:r>
      <w:r>
        <w:rPr>
          <w:rFonts w:ascii="宋体" w:hAnsi="宋体" w:eastAsia="宋体" w:cs="宋体"/>
          <w:color w:val="auto"/>
          <w:spacing w:val="7"/>
          <w:sz w:val="20"/>
          <w:szCs w:val="20"/>
          <w:highlight w:val="none"/>
          <w:u w:val="single" w:color="auto"/>
        </w:rPr>
        <w:t>7</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w:t>
      </w:r>
      <w:r>
        <w:rPr>
          <w:rFonts w:ascii="宋体" w:hAnsi="宋体" w:eastAsia="宋体" w:cs="宋体"/>
          <w:color w:val="auto"/>
          <w:spacing w:val="7"/>
          <w:sz w:val="20"/>
          <w:szCs w:val="20"/>
          <w:highlight w:val="none"/>
        </w:rPr>
        <w:t>。</w:t>
      </w:r>
    </w:p>
    <w:p w14:paraId="2C233BBB">
      <w:pPr>
        <w:spacing w:before="220"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发包人审批承包人合理化建议的期限：</w:t>
      </w:r>
      <w:r>
        <w:rPr>
          <w:rFonts w:ascii="宋体" w:hAnsi="宋体" w:eastAsia="宋体" w:cs="宋体"/>
          <w:color w:val="auto"/>
          <w:spacing w:val="7"/>
          <w:sz w:val="20"/>
          <w:szCs w:val="20"/>
          <w:highlight w:val="none"/>
          <w:u w:val="single" w:color="auto"/>
        </w:rPr>
        <w:t>收到后</w:t>
      </w:r>
      <w:r>
        <w:rPr>
          <w:rFonts w:ascii="宋体" w:hAnsi="宋体" w:eastAsia="宋体" w:cs="宋体"/>
          <w:color w:val="auto"/>
          <w:spacing w:val="-20"/>
          <w:sz w:val="20"/>
          <w:szCs w:val="20"/>
          <w:highlight w:val="none"/>
          <w:u w:val="single" w:color="auto"/>
        </w:rPr>
        <w:t xml:space="preserve"> </w:t>
      </w:r>
      <w:r>
        <w:rPr>
          <w:rFonts w:ascii="宋体" w:hAnsi="宋体" w:eastAsia="宋体" w:cs="宋体"/>
          <w:color w:val="auto"/>
          <w:spacing w:val="7"/>
          <w:sz w:val="20"/>
          <w:szCs w:val="20"/>
          <w:highlight w:val="none"/>
          <w:u w:val="single" w:color="auto"/>
        </w:rPr>
        <w:t>10</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w:t>
      </w:r>
      <w:r>
        <w:rPr>
          <w:rFonts w:ascii="宋体" w:hAnsi="宋体" w:eastAsia="宋体" w:cs="宋体"/>
          <w:color w:val="auto"/>
          <w:spacing w:val="7"/>
          <w:sz w:val="20"/>
          <w:szCs w:val="20"/>
          <w:highlight w:val="none"/>
        </w:rPr>
        <w:t>。</w:t>
      </w:r>
    </w:p>
    <w:p w14:paraId="21CDBDC6">
      <w:pPr>
        <w:spacing w:before="220" w:line="434" w:lineRule="auto"/>
        <w:ind w:left="12" w:right="18" w:firstLine="41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承包人提出的合理化建议降低了合同价格或者提高了工程经济效益的奖励</w:t>
      </w:r>
      <w:r>
        <w:rPr>
          <w:rFonts w:ascii="宋体" w:hAnsi="宋体" w:eastAsia="宋体" w:cs="宋体"/>
          <w:color w:val="auto"/>
          <w:spacing w:val="9"/>
          <w:sz w:val="20"/>
          <w:szCs w:val="20"/>
          <w:highlight w:val="none"/>
        </w:rPr>
        <w:t>的方法和金额为：</w:t>
      </w:r>
      <w:r>
        <w:rPr>
          <w:rFonts w:ascii="宋体" w:hAnsi="宋体" w:eastAsia="宋体" w:cs="宋体"/>
          <w:color w:val="auto"/>
          <w:spacing w:val="9"/>
          <w:sz w:val="20"/>
          <w:szCs w:val="20"/>
          <w:highlight w:val="none"/>
          <w:u w:val="single" w:color="auto"/>
        </w:rPr>
        <w:t>另行协</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u w:val="single" w:color="auto"/>
        </w:rPr>
        <w:t>商</w:t>
      </w:r>
      <w:r>
        <w:rPr>
          <w:rFonts w:ascii="宋体" w:hAnsi="宋体" w:eastAsia="宋体" w:cs="宋体"/>
          <w:color w:val="auto"/>
          <w:spacing w:val="-2"/>
          <w:sz w:val="20"/>
          <w:szCs w:val="20"/>
          <w:highlight w:val="none"/>
        </w:rPr>
        <w:t>。</w:t>
      </w:r>
    </w:p>
    <w:p w14:paraId="6F533446">
      <w:pPr>
        <w:spacing w:before="281" w:line="224" w:lineRule="auto"/>
        <w:ind w:left="36"/>
        <w:outlineLvl w:val="2"/>
        <w:rPr>
          <w:rFonts w:ascii="宋体" w:hAnsi="宋体" w:eastAsia="宋体" w:cs="宋体"/>
          <w:color w:val="auto"/>
          <w:sz w:val="31"/>
          <w:szCs w:val="31"/>
          <w:highlight w:val="none"/>
        </w:rPr>
      </w:pPr>
      <w:bookmarkStart w:id="98" w:name="_Toc18718"/>
      <w:r>
        <w:rPr>
          <w:rFonts w:ascii="宋体" w:hAnsi="宋体" w:eastAsia="宋体" w:cs="宋体"/>
          <w:b/>
          <w:bCs/>
          <w:color w:val="auto"/>
          <w:spacing w:val="-4"/>
          <w:sz w:val="31"/>
          <w:szCs w:val="31"/>
          <w:highlight w:val="none"/>
        </w:rPr>
        <w:t>10.7</w:t>
      </w:r>
      <w:r>
        <w:rPr>
          <w:rFonts w:ascii="宋体" w:hAnsi="宋体" w:eastAsia="宋体" w:cs="宋体"/>
          <w:color w:val="auto"/>
          <w:spacing w:val="29"/>
          <w:sz w:val="31"/>
          <w:szCs w:val="31"/>
          <w:highlight w:val="none"/>
        </w:rPr>
        <w:t xml:space="preserve"> </w:t>
      </w:r>
      <w:r>
        <w:rPr>
          <w:rFonts w:ascii="宋体" w:hAnsi="宋体" w:eastAsia="宋体" w:cs="宋体"/>
          <w:b/>
          <w:bCs/>
          <w:color w:val="auto"/>
          <w:spacing w:val="-4"/>
          <w:sz w:val="31"/>
          <w:szCs w:val="31"/>
          <w:highlight w:val="none"/>
        </w:rPr>
        <w:t>暂估价</w:t>
      </w:r>
      <w:bookmarkEnd w:id="98"/>
    </w:p>
    <w:p w14:paraId="5D9A174A">
      <w:pPr>
        <w:pStyle w:val="2"/>
        <w:spacing w:line="416" w:lineRule="auto"/>
        <w:rPr>
          <w:color w:val="auto"/>
          <w:highlight w:val="none"/>
        </w:rPr>
      </w:pPr>
    </w:p>
    <w:p w14:paraId="6892E55A">
      <w:pPr>
        <w:spacing w:before="65" w:line="432" w:lineRule="auto"/>
        <w:ind w:left="23" w:right="18" w:firstLine="41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暂估价材料和工程设备的明细详见已标价工程量清单《材料</w:t>
      </w:r>
      <w:r>
        <w:rPr>
          <w:rFonts w:ascii="宋体" w:hAnsi="宋体" w:eastAsia="宋体" w:cs="宋体"/>
          <w:color w:val="auto"/>
          <w:spacing w:val="9"/>
          <w:sz w:val="20"/>
          <w:szCs w:val="20"/>
          <w:highlight w:val="none"/>
        </w:rPr>
        <w:t>（工程设备）暂估价格及调整表》（表</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12-2）和《专业工程暂估价表》（表</w:t>
      </w:r>
      <w:r>
        <w:rPr>
          <w:rFonts w:ascii="宋体" w:hAnsi="宋体" w:eastAsia="宋体" w:cs="宋体"/>
          <w:color w:val="auto"/>
          <w:spacing w:val="-13"/>
          <w:sz w:val="20"/>
          <w:szCs w:val="20"/>
          <w:highlight w:val="none"/>
        </w:rPr>
        <w:t xml:space="preserve"> </w:t>
      </w:r>
      <w:r>
        <w:rPr>
          <w:rFonts w:ascii="宋体" w:hAnsi="宋体" w:eastAsia="宋体" w:cs="宋体"/>
          <w:color w:val="auto"/>
          <w:spacing w:val="5"/>
          <w:sz w:val="20"/>
          <w:szCs w:val="20"/>
          <w:highlight w:val="none"/>
        </w:rPr>
        <w:t>12-3）。</w:t>
      </w:r>
    </w:p>
    <w:p w14:paraId="535B2EE4">
      <w:pPr>
        <w:spacing w:before="1" w:line="226"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10.7.1 依法必须招标的暂估价项目</w:t>
      </w:r>
    </w:p>
    <w:p w14:paraId="71E21736">
      <w:pPr>
        <w:spacing w:before="222" w:line="227"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对于依法必须招标的暂估价项目的确认和批准采取第</w:t>
      </w:r>
      <w:r>
        <w:rPr>
          <w:rFonts w:ascii="宋体" w:hAnsi="宋体" w:eastAsia="宋体" w:cs="宋体"/>
          <w:color w:val="auto"/>
          <w:spacing w:val="8"/>
          <w:sz w:val="20"/>
          <w:szCs w:val="20"/>
          <w:highlight w:val="none"/>
          <w:u w:val="single" w:color="000000"/>
        </w:rPr>
        <w:t xml:space="preserve">   </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8"/>
          <w:sz w:val="20"/>
          <w:szCs w:val="20"/>
          <w:highlight w:val="none"/>
          <w:u w:val="single" w:color="000000"/>
        </w:rPr>
        <w:t xml:space="preserve">  </w:t>
      </w:r>
      <w:r>
        <w:rPr>
          <w:rFonts w:ascii="宋体" w:hAnsi="宋体" w:eastAsia="宋体" w:cs="宋体"/>
          <w:color w:val="auto"/>
          <w:spacing w:val="-80"/>
          <w:sz w:val="20"/>
          <w:szCs w:val="20"/>
          <w:highlight w:val="none"/>
        </w:rPr>
        <w:t xml:space="preserve"> </w:t>
      </w:r>
      <w:r>
        <w:rPr>
          <w:rFonts w:ascii="宋体" w:hAnsi="宋体" w:eastAsia="宋体" w:cs="宋体"/>
          <w:color w:val="auto"/>
          <w:spacing w:val="8"/>
          <w:sz w:val="20"/>
          <w:szCs w:val="20"/>
          <w:highlight w:val="none"/>
        </w:rPr>
        <w:t>种方式确定。</w:t>
      </w:r>
    </w:p>
    <w:p w14:paraId="7CEFA152">
      <w:pPr>
        <w:spacing w:before="222" w:line="227"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第 1 种方式：对于依法必须招标的暂估价项目，由承包人招标，对该暂估价项目的确认和批准。</w:t>
      </w:r>
    </w:p>
    <w:p w14:paraId="40A1F8B8">
      <w:pPr>
        <w:spacing w:before="223"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按照以下约定执行：</w:t>
      </w:r>
    </w:p>
    <w:p w14:paraId="629AE0B9">
      <w:pPr>
        <w:spacing w:before="222" w:line="364" w:lineRule="auto"/>
        <w:ind w:left="10" w:right="2"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（1）承包人应当根据施工进度计划，在招标工作启动</w:t>
      </w:r>
      <w:r>
        <w:rPr>
          <w:rFonts w:ascii="宋体" w:hAnsi="宋体" w:eastAsia="宋体" w:cs="宋体"/>
          <w:color w:val="auto"/>
          <w:spacing w:val="6"/>
          <w:sz w:val="20"/>
          <w:szCs w:val="20"/>
          <w:highlight w:val="none"/>
        </w:rPr>
        <w:t>前</w:t>
      </w:r>
      <w:r>
        <w:rPr>
          <w:rFonts w:ascii="宋体" w:hAnsi="宋体" w:eastAsia="宋体" w:cs="宋体"/>
          <w:color w:val="auto"/>
          <w:spacing w:val="32"/>
          <w:sz w:val="20"/>
          <w:szCs w:val="20"/>
          <w:highlight w:val="none"/>
        </w:rPr>
        <w:t xml:space="preserve"> </w:t>
      </w:r>
      <w:r>
        <w:rPr>
          <w:rFonts w:ascii="宋体" w:hAnsi="宋体" w:eastAsia="宋体" w:cs="宋体"/>
          <w:color w:val="auto"/>
          <w:spacing w:val="6"/>
          <w:sz w:val="20"/>
          <w:szCs w:val="20"/>
          <w:highlight w:val="none"/>
        </w:rPr>
        <w:t>14 天将招标方案通过监理人报送发包人审</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查，发包人应当在收到承包人报送的招标方案后 7 天</w:t>
      </w:r>
      <w:r>
        <w:rPr>
          <w:rFonts w:ascii="宋体" w:hAnsi="宋体" w:eastAsia="宋体" w:cs="宋体"/>
          <w:color w:val="auto"/>
          <w:spacing w:val="7"/>
          <w:sz w:val="20"/>
          <w:szCs w:val="20"/>
          <w:highlight w:val="none"/>
        </w:rPr>
        <w:t>内批准或提出修改意见。承包人应当按照经过发包</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人批准的招标方案开展招标工作；</w:t>
      </w:r>
    </w:p>
    <w:p w14:paraId="2834203F">
      <w:pPr>
        <w:spacing w:before="220" w:line="364" w:lineRule="auto"/>
        <w:ind w:left="8" w:right="2"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（2）承包人应当根据施工进度计划，提前</w:t>
      </w:r>
      <w:r>
        <w:rPr>
          <w:rFonts w:ascii="宋体" w:hAnsi="宋体" w:eastAsia="宋体" w:cs="宋体"/>
          <w:color w:val="auto"/>
          <w:spacing w:val="31"/>
          <w:sz w:val="20"/>
          <w:szCs w:val="20"/>
          <w:highlight w:val="none"/>
        </w:rPr>
        <w:t xml:space="preserve"> </w:t>
      </w:r>
      <w:r>
        <w:rPr>
          <w:rFonts w:ascii="宋体" w:hAnsi="宋体" w:eastAsia="宋体" w:cs="宋体"/>
          <w:color w:val="auto"/>
          <w:spacing w:val="7"/>
          <w:sz w:val="20"/>
          <w:szCs w:val="20"/>
          <w:highlight w:val="none"/>
        </w:rPr>
        <w:t>14 天将招</w:t>
      </w:r>
      <w:r>
        <w:rPr>
          <w:rFonts w:ascii="宋体" w:hAnsi="宋体" w:eastAsia="宋体" w:cs="宋体"/>
          <w:color w:val="auto"/>
          <w:spacing w:val="6"/>
          <w:sz w:val="20"/>
          <w:szCs w:val="20"/>
          <w:highlight w:val="none"/>
        </w:rPr>
        <w:t>标文件通过监理人报送发包人审批，发包人应</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当在收到承包人报送的相关文件后 7</w:t>
      </w:r>
      <w:r>
        <w:rPr>
          <w:rFonts w:ascii="宋体" w:hAnsi="宋体" w:eastAsia="宋体" w:cs="宋体"/>
          <w:color w:val="auto"/>
          <w:spacing w:val="40"/>
          <w:sz w:val="20"/>
          <w:szCs w:val="20"/>
          <w:highlight w:val="none"/>
        </w:rPr>
        <w:t xml:space="preserve"> </w:t>
      </w:r>
      <w:r>
        <w:rPr>
          <w:rFonts w:ascii="宋体" w:hAnsi="宋体" w:eastAsia="宋体" w:cs="宋体"/>
          <w:color w:val="auto"/>
          <w:spacing w:val="7"/>
          <w:sz w:val="20"/>
          <w:szCs w:val="20"/>
          <w:highlight w:val="none"/>
        </w:rPr>
        <w:t>内完成审批或提出修改意见；发包人有权确定招标控</w:t>
      </w:r>
      <w:r>
        <w:rPr>
          <w:rFonts w:ascii="宋体" w:hAnsi="宋体" w:eastAsia="宋体" w:cs="宋体"/>
          <w:color w:val="auto"/>
          <w:spacing w:val="6"/>
          <w:sz w:val="20"/>
          <w:szCs w:val="20"/>
          <w:highlight w:val="none"/>
        </w:rPr>
        <w:t>制价并按照法</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律规定参加评标；</w:t>
      </w:r>
    </w:p>
    <w:p w14:paraId="6C89373C">
      <w:pPr>
        <w:spacing w:before="219" w:line="364" w:lineRule="auto"/>
        <w:ind w:left="7" w:right="2"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（3）承包人与供应商、分包人在签订暂估价合同前，应当提前 7 天将确定的中标候选供应商或中</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 xml:space="preserve">标候选分包人的资料报送发包人，发包人应在收到资料后 3 </w:t>
      </w:r>
      <w:r>
        <w:rPr>
          <w:rFonts w:ascii="宋体" w:hAnsi="宋体" w:eastAsia="宋体" w:cs="宋体"/>
          <w:color w:val="auto"/>
          <w:spacing w:val="7"/>
          <w:sz w:val="20"/>
          <w:szCs w:val="20"/>
          <w:highlight w:val="none"/>
        </w:rPr>
        <w:t>天内与承包人共同确定中标人；承包人应当</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在签订合同后 7 天内，将暂估价合同副</w:t>
      </w:r>
      <w:r>
        <w:rPr>
          <w:rFonts w:ascii="宋体" w:hAnsi="宋体" w:eastAsia="宋体" w:cs="宋体"/>
          <w:color w:val="auto"/>
          <w:spacing w:val="8"/>
          <w:sz w:val="20"/>
          <w:szCs w:val="20"/>
          <w:highlight w:val="none"/>
        </w:rPr>
        <w:t>本报送发包人留存。</w:t>
      </w:r>
    </w:p>
    <w:p w14:paraId="19536BB6">
      <w:pPr>
        <w:spacing w:before="222" w:line="227"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10.7.2 不属于依法必须招标的暂估价项目</w:t>
      </w:r>
    </w:p>
    <w:p w14:paraId="15236455">
      <w:pPr>
        <w:spacing w:before="223" w:line="227" w:lineRule="auto"/>
        <w:ind w:left="42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对于不属于依法必须招标的暂估价项目的确认和批准采取第</w:t>
      </w:r>
      <w:r>
        <w:rPr>
          <w:rFonts w:ascii="宋体" w:hAnsi="宋体" w:eastAsia="宋体" w:cs="宋体"/>
          <w:color w:val="auto"/>
          <w:spacing w:val="9"/>
          <w:sz w:val="20"/>
          <w:szCs w:val="20"/>
          <w:highlight w:val="none"/>
          <w:u w:val="single" w:color="auto"/>
        </w:rPr>
        <w:t xml:space="preserve"> 3 </w:t>
      </w:r>
      <w:r>
        <w:rPr>
          <w:rFonts w:ascii="宋体" w:hAnsi="宋体" w:eastAsia="宋体" w:cs="宋体"/>
          <w:color w:val="auto"/>
          <w:spacing w:val="9"/>
          <w:sz w:val="20"/>
          <w:szCs w:val="20"/>
          <w:highlight w:val="none"/>
        </w:rPr>
        <w:t xml:space="preserve"> 种方</w:t>
      </w:r>
      <w:r>
        <w:rPr>
          <w:rFonts w:ascii="宋体" w:hAnsi="宋体" w:eastAsia="宋体" w:cs="宋体"/>
          <w:color w:val="auto"/>
          <w:spacing w:val="8"/>
          <w:sz w:val="20"/>
          <w:szCs w:val="20"/>
          <w:highlight w:val="none"/>
        </w:rPr>
        <w:t>式确定。</w:t>
      </w:r>
    </w:p>
    <w:p w14:paraId="768F24F3">
      <w:pPr>
        <w:spacing w:before="222" w:line="227"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第 1 种方式：对于不属于依法必须招标的暂估价项目，按本项约定确认和批准：</w:t>
      </w:r>
    </w:p>
    <w:p w14:paraId="4193DE3D">
      <w:pPr>
        <w:spacing w:before="222" w:line="227" w:lineRule="auto"/>
        <w:ind w:right="2"/>
        <w:jc w:val="right"/>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（1）承包人应根据施工进度计划，在签订暂估价项目的采购合同、分包合同前</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28 天向监理人提出</w:t>
      </w:r>
    </w:p>
    <w:p w14:paraId="43F76AA4">
      <w:pPr>
        <w:spacing w:line="227" w:lineRule="auto"/>
        <w:rPr>
          <w:rFonts w:ascii="宋体" w:hAnsi="宋体" w:eastAsia="宋体" w:cs="宋体"/>
          <w:color w:val="auto"/>
          <w:sz w:val="20"/>
          <w:szCs w:val="20"/>
          <w:highlight w:val="none"/>
        </w:rPr>
        <w:sectPr>
          <w:footerReference r:id="rId218" w:type="default"/>
          <w:pgSz w:w="11906" w:h="16839"/>
          <w:pgMar w:top="400" w:right="1219" w:bottom="1158" w:left="1219" w:header="0" w:footer="922" w:gutter="0"/>
          <w:cols w:space="720" w:num="1"/>
        </w:sectPr>
      </w:pPr>
    </w:p>
    <w:p w14:paraId="23DF2C47">
      <w:pPr>
        <w:spacing w:before="256" w:line="432" w:lineRule="auto"/>
        <w:ind w:left="9" w:right="2" w:firstLine="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书面申请。监理人应当在收到申请后 3 天内报送发包人，发包人应当在收到申请后 14 天内给予批准或</w:t>
      </w:r>
      <w:r>
        <w:rPr>
          <w:rFonts w:ascii="宋体" w:hAnsi="宋体" w:eastAsia="宋体" w:cs="宋体"/>
          <w:color w:val="auto"/>
          <w:spacing w:val="9"/>
          <w:sz w:val="20"/>
          <w:szCs w:val="20"/>
          <w:highlight w:val="none"/>
        </w:rPr>
        <w:t xml:space="preserve"> 提出修改意见，发包人逾期未予批准或提出修改意见的，视为该书面申请已获得同意；</w:t>
      </w:r>
    </w:p>
    <w:p w14:paraId="17A52AE8">
      <w:pPr>
        <w:spacing w:before="1" w:line="329" w:lineRule="auto"/>
        <w:ind w:left="8" w:right="2"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（2）发包人认为承包人确定的供应商、分包人无法满足工程质量或合同要求的，发包人可以要求承</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包人重新确定暂估价项目的供应商、分包人；</w:t>
      </w:r>
    </w:p>
    <w:p w14:paraId="5B84B073">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（3）承包人应当在签订暂估价合同后 7 天内，将暂估</w:t>
      </w:r>
      <w:r>
        <w:rPr>
          <w:rFonts w:ascii="宋体" w:hAnsi="宋体" w:eastAsia="宋体" w:cs="宋体"/>
          <w:color w:val="auto"/>
          <w:spacing w:val="8"/>
          <w:sz w:val="20"/>
          <w:szCs w:val="20"/>
          <w:highlight w:val="none"/>
        </w:rPr>
        <w:t>价合同副本报送发包人留存。</w:t>
      </w:r>
    </w:p>
    <w:p w14:paraId="5D7E8CFC">
      <w:pPr>
        <w:spacing w:before="222" w:line="432" w:lineRule="auto"/>
        <w:ind w:left="8" w:right="21"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第 2 种方式：承包人按照第 10.7.1 项〔依法必须招标的暂估价项目〕约定的第</w:t>
      </w:r>
      <w:r>
        <w:rPr>
          <w:rFonts w:ascii="宋体" w:hAnsi="宋体" w:eastAsia="宋体" w:cs="宋体"/>
          <w:color w:val="auto"/>
          <w:spacing w:val="29"/>
          <w:sz w:val="20"/>
          <w:szCs w:val="20"/>
          <w:highlight w:val="none"/>
        </w:rPr>
        <w:t xml:space="preserve"> </w:t>
      </w:r>
      <w:r>
        <w:rPr>
          <w:rFonts w:ascii="宋体" w:hAnsi="宋体" w:eastAsia="宋体" w:cs="宋体"/>
          <w:color w:val="auto"/>
          <w:spacing w:val="8"/>
          <w:sz w:val="20"/>
          <w:szCs w:val="20"/>
          <w:highlight w:val="none"/>
        </w:rPr>
        <w:t>1 种方</w:t>
      </w:r>
      <w:r>
        <w:rPr>
          <w:rFonts w:ascii="宋体" w:hAnsi="宋体" w:eastAsia="宋体" w:cs="宋体"/>
          <w:color w:val="auto"/>
          <w:spacing w:val="7"/>
          <w:sz w:val="20"/>
          <w:szCs w:val="20"/>
          <w:highlight w:val="none"/>
        </w:rPr>
        <w:t>式确定暂</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估价项目。</w:t>
      </w:r>
    </w:p>
    <w:p w14:paraId="2F3281FD">
      <w:pPr>
        <w:spacing w:before="1" w:line="226"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8"/>
          <w:sz w:val="20"/>
          <w:szCs w:val="20"/>
          <w:highlight w:val="none"/>
        </w:rPr>
        <w:t>种方式：承包人直接实施的暂估价项目</w:t>
      </w:r>
    </w:p>
    <w:p w14:paraId="0B15F3CC">
      <w:pPr>
        <w:spacing w:before="222" w:line="227"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承包人直接实施的暂估价项目的约定：</w:t>
      </w:r>
      <w:r>
        <w:rPr>
          <w:rFonts w:ascii="宋体" w:hAnsi="宋体" w:eastAsia="宋体" w:cs="宋体"/>
          <w:color w:val="auto"/>
          <w:spacing w:val="9"/>
          <w:sz w:val="20"/>
          <w:szCs w:val="20"/>
          <w:highlight w:val="none"/>
          <w:u w:val="single" w:color="auto"/>
        </w:rPr>
        <w:t>如有，则以发包人要求为准；详见工程量清单</w:t>
      </w:r>
      <w:r>
        <w:rPr>
          <w:rFonts w:ascii="宋体" w:hAnsi="宋体" w:eastAsia="宋体" w:cs="宋体"/>
          <w:color w:val="auto"/>
          <w:spacing w:val="9"/>
          <w:sz w:val="20"/>
          <w:szCs w:val="20"/>
          <w:highlight w:val="none"/>
        </w:rPr>
        <w:t>。</w:t>
      </w:r>
    </w:p>
    <w:p w14:paraId="5A34C91D">
      <w:pPr>
        <w:pStyle w:val="2"/>
        <w:spacing w:line="404" w:lineRule="auto"/>
        <w:rPr>
          <w:color w:val="auto"/>
          <w:highlight w:val="none"/>
        </w:rPr>
      </w:pPr>
    </w:p>
    <w:p w14:paraId="61E8D6A1">
      <w:pPr>
        <w:spacing w:before="101" w:line="225" w:lineRule="auto"/>
        <w:ind w:left="36"/>
        <w:outlineLvl w:val="2"/>
        <w:rPr>
          <w:rFonts w:ascii="宋体" w:hAnsi="宋体" w:eastAsia="宋体" w:cs="宋体"/>
          <w:color w:val="auto"/>
          <w:sz w:val="31"/>
          <w:szCs w:val="31"/>
          <w:highlight w:val="none"/>
        </w:rPr>
      </w:pPr>
      <w:bookmarkStart w:id="99" w:name="_Toc22247"/>
      <w:r>
        <w:rPr>
          <w:rFonts w:ascii="宋体" w:hAnsi="宋体" w:eastAsia="宋体" w:cs="宋体"/>
          <w:b/>
          <w:bCs/>
          <w:color w:val="auto"/>
          <w:spacing w:val="-3"/>
          <w:sz w:val="31"/>
          <w:szCs w:val="31"/>
          <w:highlight w:val="none"/>
        </w:rPr>
        <w:t>10.8</w:t>
      </w:r>
      <w:r>
        <w:rPr>
          <w:rFonts w:ascii="宋体" w:hAnsi="宋体" w:eastAsia="宋体" w:cs="宋体"/>
          <w:color w:val="auto"/>
          <w:spacing w:val="33"/>
          <w:sz w:val="31"/>
          <w:szCs w:val="31"/>
          <w:highlight w:val="none"/>
        </w:rPr>
        <w:t xml:space="preserve"> </w:t>
      </w:r>
      <w:r>
        <w:rPr>
          <w:rFonts w:ascii="宋体" w:hAnsi="宋体" w:eastAsia="宋体" w:cs="宋体"/>
          <w:b/>
          <w:bCs/>
          <w:color w:val="auto"/>
          <w:spacing w:val="-3"/>
          <w:sz w:val="31"/>
          <w:szCs w:val="31"/>
          <w:highlight w:val="none"/>
        </w:rPr>
        <w:t>暂列金额</w:t>
      </w:r>
      <w:bookmarkEnd w:id="99"/>
    </w:p>
    <w:p w14:paraId="60A2739A">
      <w:pPr>
        <w:pStyle w:val="2"/>
        <w:spacing w:line="414" w:lineRule="auto"/>
        <w:rPr>
          <w:color w:val="auto"/>
          <w:highlight w:val="none"/>
        </w:rPr>
      </w:pPr>
    </w:p>
    <w:p w14:paraId="081EC70E">
      <w:pPr>
        <w:spacing w:before="65"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合同当事人关于暂列金额使用的约定：</w:t>
      </w:r>
      <w:r>
        <w:rPr>
          <w:rFonts w:ascii="宋体" w:hAnsi="宋体" w:eastAsia="宋体" w:cs="宋体"/>
          <w:color w:val="auto"/>
          <w:spacing w:val="9"/>
          <w:sz w:val="20"/>
          <w:szCs w:val="20"/>
          <w:highlight w:val="none"/>
          <w:u w:val="single" w:color="auto"/>
        </w:rPr>
        <w:t>如有，则以发包人要求为准；详见工程量清单</w:t>
      </w:r>
      <w:r>
        <w:rPr>
          <w:rFonts w:ascii="宋体" w:hAnsi="宋体" w:eastAsia="宋体" w:cs="宋体"/>
          <w:color w:val="auto"/>
          <w:spacing w:val="9"/>
          <w:sz w:val="20"/>
          <w:szCs w:val="20"/>
          <w:highlight w:val="none"/>
        </w:rPr>
        <w:t>。</w:t>
      </w:r>
    </w:p>
    <w:p w14:paraId="1DC7C279">
      <w:pPr>
        <w:pStyle w:val="2"/>
        <w:spacing w:line="402" w:lineRule="auto"/>
        <w:rPr>
          <w:color w:val="auto"/>
          <w:highlight w:val="none"/>
        </w:rPr>
      </w:pPr>
    </w:p>
    <w:p w14:paraId="2F956DB6">
      <w:pPr>
        <w:spacing w:before="100" w:line="224" w:lineRule="auto"/>
        <w:ind w:left="36"/>
        <w:outlineLvl w:val="1"/>
        <w:rPr>
          <w:rFonts w:ascii="宋体" w:hAnsi="宋体" w:eastAsia="宋体" w:cs="宋体"/>
          <w:color w:val="auto"/>
          <w:sz w:val="31"/>
          <w:szCs w:val="31"/>
          <w:highlight w:val="none"/>
        </w:rPr>
      </w:pPr>
      <w:bookmarkStart w:id="100" w:name="_Toc28228"/>
      <w:r>
        <w:rPr>
          <w:rFonts w:ascii="宋体" w:hAnsi="宋体" w:eastAsia="宋体" w:cs="宋体"/>
          <w:b/>
          <w:bCs/>
          <w:color w:val="auto"/>
          <w:spacing w:val="-2"/>
          <w:sz w:val="31"/>
          <w:szCs w:val="31"/>
          <w:highlight w:val="none"/>
        </w:rPr>
        <w:t>11.</w:t>
      </w:r>
      <w:r>
        <w:rPr>
          <w:rFonts w:ascii="宋体" w:hAnsi="宋体" w:eastAsia="宋体" w:cs="宋体"/>
          <w:color w:val="auto"/>
          <w:spacing w:val="21"/>
          <w:sz w:val="31"/>
          <w:szCs w:val="31"/>
          <w:highlight w:val="none"/>
        </w:rPr>
        <w:t xml:space="preserve"> </w:t>
      </w:r>
      <w:r>
        <w:rPr>
          <w:rFonts w:ascii="宋体" w:hAnsi="宋体" w:eastAsia="宋体" w:cs="宋体"/>
          <w:b/>
          <w:bCs/>
          <w:color w:val="auto"/>
          <w:spacing w:val="-2"/>
          <w:sz w:val="31"/>
          <w:szCs w:val="31"/>
          <w:highlight w:val="none"/>
        </w:rPr>
        <w:t>价格调整</w:t>
      </w:r>
      <w:bookmarkEnd w:id="100"/>
    </w:p>
    <w:p w14:paraId="1581D482">
      <w:pPr>
        <w:pStyle w:val="2"/>
        <w:spacing w:line="403" w:lineRule="auto"/>
        <w:rPr>
          <w:color w:val="auto"/>
          <w:highlight w:val="none"/>
        </w:rPr>
      </w:pPr>
    </w:p>
    <w:p w14:paraId="2C775562">
      <w:pPr>
        <w:spacing w:before="101" w:line="224" w:lineRule="auto"/>
        <w:ind w:left="36"/>
        <w:outlineLvl w:val="2"/>
        <w:rPr>
          <w:rFonts w:ascii="宋体" w:hAnsi="宋体" w:eastAsia="宋体" w:cs="宋体"/>
          <w:color w:val="auto"/>
          <w:sz w:val="31"/>
          <w:szCs w:val="31"/>
          <w:highlight w:val="none"/>
        </w:rPr>
      </w:pPr>
      <w:bookmarkStart w:id="101" w:name="_Toc25969"/>
      <w:r>
        <w:rPr>
          <w:rFonts w:ascii="宋体" w:hAnsi="宋体" w:eastAsia="宋体" w:cs="宋体"/>
          <w:b/>
          <w:bCs/>
          <w:color w:val="auto"/>
          <w:spacing w:val="4"/>
          <w:sz w:val="31"/>
          <w:szCs w:val="31"/>
          <w:highlight w:val="none"/>
        </w:rPr>
        <w:t>11.1</w:t>
      </w:r>
      <w:r>
        <w:rPr>
          <w:rFonts w:ascii="宋体" w:hAnsi="宋体" w:eastAsia="宋体" w:cs="宋体"/>
          <w:color w:val="auto"/>
          <w:spacing w:val="4"/>
          <w:sz w:val="31"/>
          <w:szCs w:val="31"/>
          <w:highlight w:val="none"/>
        </w:rPr>
        <w:t xml:space="preserve"> </w:t>
      </w:r>
      <w:r>
        <w:rPr>
          <w:rFonts w:ascii="宋体" w:hAnsi="宋体" w:eastAsia="宋体" w:cs="宋体"/>
          <w:b/>
          <w:bCs/>
          <w:color w:val="auto"/>
          <w:spacing w:val="4"/>
          <w:sz w:val="31"/>
          <w:szCs w:val="31"/>
          <w:highlight w:val="none"/>
        </w:rPr>
        <w:t>市场价格波动引起的调整</w:t>
      </w:r>
      <w:bookmarkEnd w:id="101"/>
    </w:p>
    <w:p w14:paraId="798B4840">
      <w:pPr>
        <w:pStyle w:val="2"/>
        <w:spacing w:line="416" w:lineRule="auto"/>
        <w:rPr>
          <w:color w:val="auto"/>
          <w:highlight w:val="none"/>
        </w:rPr>
      </w:pPr>
    </w:p>
    <w:p w14:paraId="7732FAA7">
      <w:pPr>
        <w:spacing w:before="66" w:line="227" w:lineRule="auto"/>
        <w:ind w:left="43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市场价格波动是否调整合同价格的约定：</w:t>
      </w:r>
      <w:r>
        <w:rPr>
          <w:rFonts w:ascii="宋体" w:hAnsi="宋体" w:eastAsia="宋体" w:cs="宋体"/>
          <w:color w:val="auto"/>
          <w:spacing w:val="8"/>
          <w:sz w:val="20"/>
          <w:szCs w:val="20"/>
          <w:highlight w:val="none"/>
          <w:u w:val="single" w:color="auto"/>
        </w:rPr>
        <w:t xml:space="preserve">调整 </w:t>
      </w:r>
      <w:r>
        <w:rPr>
          <w:rFonts w:ascii="宋体" w:hAnsi="宋体" w:eastAsia="宋体" w:cs="宋体"/>
          <w:color w:val="auto"/>
          <w:spacing w:val="8"/>
          <w:sz w:val="20"/>
          <w:szCs w:val="20"/>
          <w:highlight w:val="none"/>
        </w:rPr>
        <w:t>。</w:t>
      </w:r>
    </w:p>
    <w:p w14:paraId="7B227B8E">
      <w:pPr>
        <w:spacing w:before="222" w:line="227" w:lineRule="auto"/>
        <w:ind w:left="4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因市场价格波动调整合同价格，采用以下第</w:t>
      </w:r>
      <w:r>
        <w:rPr>
          <w:rFonts w:ascii="宋体" w:hAnsi="宋体" w:eastAsia="宋体" w:cs="宋体"/>
          <w:color w:val="auto"/>
          <w:spacing w:val="8"/>
          <w:sz w:val="20"/>
          <w:szCs w:val="20"/>
          <w:highlight w:val="none"/>
          <w:u w:val="single" w:color="auto"/>
        </w:rPr>
        <w:t xml:space="preserve">  3  </w:t>
      </w:r>
      <w:r>
        <w:rPr>
          <w:rFonts w:ascii="宋体" w:hAnsi="宋体" w:eastAsia="宋体" w:cs="宋体"/>
          <w:color w:val="auto"/>
          <w:spacing w:val="-90"/>
          <w:sz w:val="20"/>
          <w:szCs w:val="20"/>
          <w:highlight w:val="none"/>
        </w:rPr>
        <w:t xml:space="preserve"> </w:t>
      </w:r>
      <w:r>
        <w:rPr>
          <w:rFonts w:ascii="宋体" w:hAnsi="宋体" w:eastAsia="宋体" w:cs="宋体"/>
          <w:color w:val="auto"/>
          <w:spacing w:val="8"/>
          <w:sz w:val="20"/>
          <w:szCs w:val="20"/>
          <w:highlight w:val="none"/>
        </w:rPr>
        <w:t>种方式对合同价格进行调整：</w:t>
      </w:r>
    </w:p>
    <w:p w14:paraId="74768FF0">
      <w:pPr>
        <w:spacing w:before="222" w:line="227"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第</w:t>
      </w:r>
      <w:r>
        <w:rPr>
          <w:rFonts w:ascii="宋体" w:hAnsi="宋体" w:eastAsia="宋体" w:cs="宋体"/>
          <w:color w:val="auto"/>
          <w:spacing w:val="-8"/>
          <w:sz w:val="20"/>
          <w:szCs w:val="20"/>
          <w:highlight w:val="none"/>
        </w:rPr>
        <w:t xml:space="preserve"> </w:t>
      </w:r>
      <w:r>
        <w:rPr>
          <w:rFonts w:ascii="宋体" w:hAnsi="宋体" w:eastAsia="宋体" w:cs="宋体"/>
          <w:color w:val="auto"/>
          <w:spacing w:val="6"/>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种方式：采用价格指数进行价格调整。</w:t>
      </w:r>
    </w:p>
    <w:p w14:paraId="18919AD3">
      <w:pPr>
        <w:spacing w:before="222" w:line="227"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关于各可调因子、定值和变值权重，以及基本价格指数及其来源的约定：</w:t>
      </w:r>
      <w:r>
        <w:rPr>
          <w:rFonts w:ascii="宋体" w:hAnsi="宋体" w:eastAsia="宋体" w:cs="宋体"/>
          <w:color w:val="auto"/>
          <w:spacing w:val="9"/>
          <w:sz w:val="20"/>
          <w:szCs w:val="20"/>
          <w:highlight w:val="none"/>
          <w:u w:val="single" w:color="auto"/>
        </w:rPr>
        <w:t>/</w:t>
      </w:r>
      <w:r>
        <w:rPr>
          <w:rFonts w:ascii="宋体" w:hAnsi="宋体" w:eastAsia="宋体" w:cs="宋体"/>
          <w:color w:val="auto"/>
          <w:spacing w:val="9"/>
          <w:sz w:val="20"/>
          <w:szCs w:val="20"/>
          <w:highlight w:val="none"/>
        </w:rPr>
        <w:t>；</w:t>
      </w:r>
    </w:p>
    <w:p w14:paraId="269637B2">
      <w:pPr>
        <w:spacing w:before="222" w:line="227"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w:t>
      </w:r>
      <w:r>
        <w:rPr>
          <w:rFonts w:ascii="宋体" w:hAnsi="宋体" w:eastAsia="宋体" w:cs="宋体"/>
          <w:color w:val="auto"/>
          <w:spacing w:val="-27"/>
          <w:sz w:val="20"/>
          <w:szCs w:val="20"/>
          <w:highlight w:val="none"/>
        </w:rPr>
        <w:t xml:space="preserve"> </w:t>
      </w:r>
      <w:r>
        <w:rPr>
          <w:rFonts w:ascii="宋体" w:hAnsi="宋体" w:eastAsia="宋体" w:cs="宋体"/>
          <w:color w:val="auto"/>
          <w:spacing w:val="7"/>
          <w:sz w:val="20"/>
          <w:szCs w:val="20"/>
          <w:highlight w:val="none"/>
        </w:rPr>
        <w:t>2</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种方式：采用造价信息进行价格调整。</w:t>
      </w:r>
    </w:p>
    <w:p w14:paraId="7F546CB9">
      <w:pPr>
        <w:spacing w:before="223" w:line="364" w:lineRule="auto"/>
        <w:ind w:left="7" w:right="1"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（1）允许调整主要材料和工程设备、基期价格、风险系数、投标报价详见《允许调整主要材料和工</w:t>
      </w:r>
      <w:r>
        <w:rPr>
          <w:rFonts w:ascii="宋体" w:hAnsi="宋体" w:eastAsia="宋体" w:cs="宋体"/>
          <w:color w:val="auto"/>
          <w:spacing w:val="18"/>
          <w:sz w:val="20"/>
          <w:szCs w:val="20"/>
          <w:highlight w:val="none"/>
        </w:rPr>
        <w:t xml:space="preserve"> </w:t>
      </w:r>
      <w:r>
        <w:rPr>
          <w:rFonts w:ascii="宋体" w:hAnsi="宋体" w:eastAsia="宋体" w:cs="宋体"/>
          <w:color w:val="auto"/>
          <w:spacing w:val="9"/>
          <w:sz w:val="20"/>
          <w:szCs w:val="20"/>
          <w:highlight w:val="none"/>
        </w:rPr>
        <w:t>程设备一览表》</w:t>
      </w:r>
      <w:r>
        <w:rPr>
          <w:rFonts w:ascii="宋体" w:hAnsi="宋体" w:eastAsia="宋体" w:cs="宋体"/>
          <w:color w:val="auto"/>
          <w:spacing w:val="9"/>
          <w:sz w:val="19"/>
          <w:szCs w:val="19"/>
          <w:highlight w:val="none"/>
        </w:rPr>
        <w:t>（表-22）</w:t>
      </w:r>
      <w:r>
        <w:rPr>
          <w:rFonts w:ascii="宋体" w:hAnsi="宋体" w:eastAsia="宋体" w:cs="宋体"/>
          <w:color w:val="auto"/>
          <w:spacing w:val="9"/>
          <w:sz w:val="20"/>
          <w:szCs w:val="20"/>
          <w:highlight w:val="none"/>
        </w:rPr>
        <w:t>,价差调整部分仅计算税金，除此表列明的材料、设备外，其余材料设备价差</w:t>
      </w:r>
      <w:r>
        <w:rPr>
          <w:rFonts w:ascii="宋体" w:hAnsi="宋体" w:eastAsia="宋体" w:cs="宋体"/>
          <w:color w:val="auto"/>
          <w:spacing w:val="16"/>
          <w:sz w:val="20"/>
          <w:szCs w:val="20"/>
          <w:highlight w:val="none"/>
        </w:rPr>
        <w:t xml:space="preserve"> </w:t>
      </w:r>
      <w:r>
        <w:rPr>
          <w:rFonts w:ascii="宋体" w:hAnsi="宋体" w:eastAsia="宋体" w:cs="宋体"/>
          <w:color w:val="auto"/>
          <w:spacing w:val="7"/>
          <w:sz w:val="20"/>
          <w:szCs w:val="20"/>
          <w:highlight w:val="none"/>
        </w:rPr>
        <w:t>原则上不予调整。</w:t>
      </w:r>
    </w:p>
    <w:p w14:paraId="07CBE8D7">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（2）主要材料和工程设备确认价：</w:t>
      </w:r>
    </w:p>
    <w:p w14:paraId="484073DC">
      <w:pPr>
        <w:spacing w:before="222" w:line="432" w:lineRule="auto"/>
        <w:ind w:left="9" w:right="19"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按施工期间《</w:t>
      </w:r>
      <w:r>
        <w:rPr>
          <w:rFonts w:ascii="宋体" w:hAnsi="宋体" w:eastAsia="宋体" w:cs="宋体"/>
          <w:color w:val="auto"/>
          <w:spacing w:val="-77"/>
          <w:sz w:val="20"/>
          <w:szCs w:val="20"/>
          <w:highlight w:val="none"/>
        </w:rPr>
        <w:t xml:space="preserve"> </w:t>
      </w:r>
      <w:r>
        <w:rPr>
          <w:rFonts w:ascii="宋体" w:hAnsi="宋体" w:eastAsia="宋体" w:cs="宋体"/>
          <w:color w:val="auto"/>
          <w:spacing w:val="-90"/>
          <w:sz w:val="20"/>
          <w:szCs w:val="20"/>
          <w:highlight w:val="none"/>
          <w:u w:val="single" w:color="auto"/>
        </w:rPr>
        <w:t xml:space="preserve"> </w:t>
      </w:r>
      <w:r>
        <w:rPr>
          <w:rFonts w:ascii="宋体" w:hAnsi="宋体" w:eastAsia="宋体" w:cs="宋体"/>
          <w:color w:val="auto"/>
          <w:spacing w:val="9"/>
          <w:sz w:val="20"/>
          <w:szCs w:val="20"/>
          <w:highlight w:val="none"/>
          <w:u w:val="single" w:color="auto"/>
        </w:rPr>
        <w:t>南宁</w:t>
      </w:r>
      <w:r>
        <w:rPr>
          <w:rFonts w:ascii="宋体" w:hAnsi="宋体" w:eastAsia="宋体" w:cs="宋体"/>
          <w:color w:val="auto"/>
          <w:spacing w:val="9"/>
          <w:sz w:val="20"/>
          <w:szCs w:val="20"/>
          <w:highlight w:val="none"/>
        </w:rPr>
        <w:t>市建设工程造价信息》材料信息价的加权平均价计算，信息价没有的按通</w:t>
      </w:r>
      <w:r>
        <w:rPr>
          <w:rFonts w:ascii="宋体" w:hAnsi="宋体" w:eastAsia="宋体" w:cs="宋体"/>
          <w:color w:val="auto"/>
          <w:spacing w:val="8"/>
          <w:sz w:val="20"/>
          <w:szCs w:val="20"/>
          <w:highlight w:val="none"/>
        </w:rPr>
        <w:t>用条款</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规定确定。</w:t>
      </w:r>
    </w:p>
    <w:p w14:paraId="0F441847">
      <w:pPr>
        <w:spacing w:before="1" w:line="226"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（3）价差计算方法：</w:t>
      </w:r>
    </w:p>
    <w:p w14:paraId="79E97FB0">
      <w:pPr>
        <w:spacing w:before="223" w:line="329" w:lineRule="auto"/>
        <w:ind w:left="11" w:right="19" w:firstLine="41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①《允许调整主要材料和工程设备一览表》中载明的材料和设备投标报价低</w:t>
      </w:r>
      <w:r>
        <w:rPr>
          <w:rFonts w:ascii="宋体" w:hAnsi="宋体" w:eastAsia="宋体" w:cs="宋体"/>
          <w:color w:val="auto"/>
          <w:spacing w:val="9"/>
          <w:sz w:val="20"/>
          <w:szCs w:val="20"/>
          <w:highlight w:val="none"/>
        </w:rPr>
        <w:t>于基准价格的：合同履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行期间材料和设备单价涨幅以基准价格为基础超过约定的风险范围时，</w:t>
      </w:r>
      <w:r>
        <w:rPr>
          <w:rFonts w:ascii="宋体" w:hAnsi="宋体" w:eastAsia="宋体" w:cs="宋体"/>
          <w:color w:val="auto"/>
          <w:spacing w:val="9"/>
          <w:sz w:val="20"/>
          <w:szCs w:val="20"/>
          <w:highlight w:val="none"/>
        </w:rPr>
        <w:t>或材料和设备单价跌幅以投标报</w:t>
      </w:r>
    </w:p>
    <w:p w14:paraId="4A07715E">
      <w:pPr>
        <w:spacing w:line="329" w:lineRule="auto"/>
        <w:rPr>
          <w:rFonts w:ascii="宋体" w:hAnsi="宋体" w:eastAsia="宋体" w:cs="宋体"/>
          <w:color w:val="auto"/>
          <w:sz w:val="20"/>
          <w:szCs w:val="20"/>
          <w:highlight w:val="none"/>
        </w:rPr>
        <w:sectPr>
          <w:headerReference r:id="rId219" w:type="default"/>
          <w:footerReference r:id="rId220" w:type="default"/>
          <w:pgSz w:w="11906" w:h="16839"/>
          <w:pgMar w:top="1091" w:right="1219" w:bottom="1158" w:left="1219" w:header="1076" w:footer="922" w:gutter="0"/>
          <w:cols w:space="720" w:num="1"/>
        </w:sectPr>
      </w:pPr>
    </w:p>
    <w:p w14:paraId="57CF5684">
      <w:pPr>
        <w:pStyle w:val="2"/>
        <w:spacing w:line="292" w:lineRule="auto"/>
        <w:rPr>
          <w:color w:val="auto"/>
          <w:highlight w:val="none"/>
        </w:rPr>
      </w:pPr>
    </w:p>
    <w:p w14:paraId="6D2056A6">
      <w:pPr>
        <w:pStyle w:val="2"/>
        <w:spacing w:line="292" w:lineRule="auto"/>
        <w:rPr>
          <w:color w:val="auto"/>
          <w:highlight w:val="none"/>
        </w:rPr>
      </w:pPr>
    </w:p>
    <w:p w14:paraId="77293355">
      <w:pPr>
        <w:pStyle w:val="2"/>
        <w:spacing w:line="293" w:lineRule="auto"/>
        <w:rPr>
          <w:color w:val="auto"/>
          <w:highlight w:val="none"/>
        </w:rPr>
      </w:pPr>
      <w:r>
        <w:rPr>
          <w:color w:val="auto"/>
          <w:highlight w:val="none"/>
        </w:rPr>
        <w:pict>
          <v:shape id="_x0000_s1041" o:spid="_x0000_s1041" style="position:absolute;left:0pt;margin-left:0pt;margin-top:4.45pt;height:0.75pt;width:473.4pt;z-index:251694080;mso-width-relative:page;mso-height-relative:page;" fillcolor="#000000" filled="t" stroked="f" coordsize="9467,15" path="m0,0l9467,0,9467,14,0,14,0,0xe">
            <v:path/>
            <v:fill on="t" focussize="0,0"/>
            <v:stroke on="f"/>
            <v:imagedata o:title=""/>
            <o:lock v:ext="edit"/>
          </v:shape>
        </w:pict>
      </w:r>
    </w:p>
    <w:p w14:paraId="1D79F367">
      <w:pPr>
        <w:spacing w:before="65" w:line="432" w:lineRule="auto"/>
        <w:ind w:left="8" w:right="68"/>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价为基础超过约定的风险范围时，对其超过部分进行价差调</w:t>
      </w:r>
      <w:r>
        <w:rPr>
          <w:rFonts w:ascii="宋体" w:hAnsi="宋体" w:eastAsia="宋体" w:cs="宋体"/>
          <w:color w:val="auto"/>
          <w:spacing w:val="9"/>
          <w:sz w:val="20"/>
          <w:szCs w:val="20"/>
          <w:highlight w:val="none"/>
        </w:rPr>
        <w:t>整，价差计算公式：价格上涨价差=确认价-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基准价*（1+风险系数</w:t>
      </w:r>
      <w:r>
        <w:rPr>
          <w:rFonts w:ascii="宋体" w:hAnsi="宋体" w:eastAsia="宋体" w:cs="宋体"/>
          <w:color w:val="auto"/>
          <w:spacing w:val="15"/>
          <w:sz w:val="20"/>
          <w:szCs w:val="20"/>
          <w:highlight w:val="none"/>
        </w:rPr>
        <w:t>），</w:t>
      </w:r>
      <w:r>
        <w:rPr>
          <w:rFonts w:ascii="宋体" w:hAnsi="宋体" w:eastAsia="宋体" w:cs="宋体"/>
          <w:color w:val="auto"/>
          <w:spacing w:val="8"/>
          <w:sz w:val="20"/>
          <w:szCs w:val="20"/>
          <w:highlight w:val="none"/>
        </w:rPr>
        <w:t>价格下跌价差=确认价-投标报</w:t>
      </w:r>
      <w:r>
        <w:rPr>
          <w:rFonts w:ascii="宋体" w:hAnsi="宋体" w:eastAsia="宋体" w:cs="宋体"/>
          <w:color w:val="auto"/>
          <w:spacing w:val="7"/>
          <w:sz w:val="20"/>
          <w:szCs w:val="20"/>
          <w:highlight w:val="none"/>
        </w:rPr>
        <w:t>价*（1+风险系数）。</w:t>
      </w:r>
    </w:p>
    <w:p w14:paraId="275551D7">
      <w:pPr>
        <w:spacing w:before="3" w:line="380" w:lineRule="auto"/>
        <w:ind w:left="8" w:firstLine="41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②承包人在《允许调整主要材料和工程设备一览表》中载明的</w:t>
      </w:r>
      <w:r>
        <w:rPr>
          <w:rFonts w:ascii="宋体" w:hAnsi="宋体" w:eastAsia="宋体" w:cs="宋体"/>
          <w:color w:val="auto"/>
          <w:spacing w:val="6"/>
          <w:sz w:val="20"/>
          <w:szCs w:val="20"/>
          <w:highlight w:val="none"/>
        </w:rPr>
        <w:t>材料和设备投标报价高于基准价格的：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合同履行期间材料和设备单价跌幅以基准价格为基础超过约定的风险范围时，</w:t>
      </w:r>
      <w:r>
        <w:rPr>
          <w:rFonts w:ascii="宋体" w:hAnsi="宋体" w:eastAsia="宋体" w:cs="宋体"/>
          <w:color w:val="auto"/>
          <w:spacing w:val="9"/>
          <w:sz w:val="20"/>
          <w:szCs w:val="20"/>
          <w:highlight w:val="none"/>
        </w:rPr>
        <w:t>或材料和设备单价涨幅以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投标报价为基础超过约定的风险范围时，对其超过部分进行价差调整</w:t>
      </w:r>
      <w:r>
        <w:rPr>
          <w:rFonts w:ascii="宋体" w:hAnsi="宋体" w:eastAsia="宋体" w:cs="宋体"/>
          <w:color w:val="auto"/>
          <w:spacing w:val="9"/>
          <w:sz w:val="20"/>
          <w:szCs w:val="20"/>
          <w:highlight w:val="none"/>
        </w:rPr>
        <w:t>。价差计算公式：价格上涨价差=</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确认价-投标报价*（1+风险系数</w:t>
      </w:r>
      <w:r>
        <w:rPr>
          <w:rFonts w:ascii="宋体" w:hAnsi="宋体" w:eastAsia="宋体" w:cs="宋体"/>
          <w:color w:val="auto"/>
          <w:spacing w:val="15"/>
          <w:sz w:val="20"/>
          <w:szCs w:val="20"/>
          <w:highlight w:val="none"/>
        </w:rPr>
        <w:t>），</w:t>
      </w:r>
      <w:r>
        <w:rPr>
          <w:rFonts w:ascii="宋体" w:hAnsi="宋体" w:eastAsia="宋体" w:cs="宋体"/>
          <w:color w:val="auto"/>
          <w:spacing w:val="8"/>
          <w:sz w:val="20"/>
          <w:szCs w:val="20"/>
          <w:highlight w:val="none"/>
        </w:rPr>
        <w:t>价格下跌价差=确认价-基准价*（1+风险系数</w:t>
      </w:r>
      <w:r>
        <w:rPr>
          <w:rFonts w:ascii="宋体" w:hAnsi="宋体" w:eastAsia="宋体" w:cs="宋体"/>
          <w:color w:val="auto"/>
          <w:spacing w:val="7"/>
          <w:sz w:val="20"/>
          <w:szCs w:val="20"/>
          <w:highlight w:val="none"/>
        </w:rPr>
        <w:t>。）</w:t>
      </w:r>
    </w:p>
    <w:p w14:paraId="5AE9780B">
      <w:pPr>
        <w:spacing w:before="220" w:line="364" w:lineRule="auto"/>
        <w:ind w:left="9" w:right="70" w:firstLine="41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③承包人在《允许调整主要材料和工程设备一览表》中载明的材料和设备单价</w:t>
      </w:r>
      <w:r>
        <w:rPr>
          <w:rFonts w:ascii="宋体" w:hAnsi="宋体" w:eastAsia="宋体" w:cs="宋体"/>
          <w:color w:val="auto"/>
          <w:spacing w:val="9"/>
          <w:sz w:val="20"/>
          <w:szCs w:val="20"/>
          <w:highlight w:val="none"/>
        </w:rPr>
        <w:t>等于基准单价的：合</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同履行期间材料和设备单价涨跌幅以基准单价为基础超过约定的风险范围时</w:t>
      </w:r>
      <w:r>
        <w:rPr>
          <w:rFonts w:ascii="宋体" w:hAnsi="宋体" w:eastAsia="宋体" w:cs="宋体"/>
          <w:color w:val="auto"/>
          <w:spacing w:val="9"/>
          <w:sz w:val="20"/>
          <w:szCs w:val="20"/>
          <w:highlight w:val="none"/>
        </w:rPr>
        <w:t>，对其超过部分进行价差调</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整。价差计算公式：上涨或下跌价差=确认价-基准单价*（1+</w:t>
      </w:r>
      <w:r>
        <w:rPr>
          <w:rFonts w:ascii="宋体" w:hAnsi="宋体" w:eastAsia="宋体" w:cs="宋体"/>
          <w:color w:val="auto"/>
          <w:spacing w:val="8"/>
          <w:sz w:val="20"/>
          <w:szCs w:val="20"/>
          <w:highlight w:val="none"/>
        </w:rPr>
        <w:t>风险系数</w:t>
      </w:r>
      <w:r>
        <w:rPr>
          <w:rFonts w:ascii="宋体" w:hAnsi="宋体" w:eastAsia="宋体" w:cs="宋体"/>
          <w:color w:val="auto"/>
          <w:spacing w:val="1"/>
          <w:sz w:val="20"/>
          <w:szCs w:val="20"/>
          <w:highlight w:val="none"/>
        </w:rPr>
        <w:t>））</w:t>
      </w:r>
    </w:p>
    <w:p w14:paraId="0993911F">
      <w:pPr>
        <w:spacing w:before="224" w:line="432" w:lineRule="auto"/>
        <w:ind w:left="8" w:right="53" w:firstLine="645"/>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第</w:t>
      </w:r>
      <w:r>
        <w:rPr>
          <w:rFonts w:ascii="宋体" w:hAnsi="宋体" w:eastAsia="宋体" w:cs="宋体"/>
          <w:color w:val="auto"/>
          <w:spacing w:val="-30"/>
          <w:sz w:val="20"/>
          <w:szCs w:val="20"/>
          <w:highlight w:val="none"/>
        </w:rPr>
        <w:t xml:space="preserve"> </w:t>
      </w:r>
      <w:r>
        <w:rPr>
          <w:rFonts w:ascii="宋体" w:hAnsi="宋体" w:eastAsia="宋体" w:cs="宋体"/>
          <w:color w:val="auto"/>
          <w:spacing w:val="7"/>
          <w:sz w:val="20"/>
          <w:szCs w:val="20"/>
          <w:highlight w:val="none"/>
        </w:rPr>
        <w:t>3</w:t>
      </w:r>
      <w:r>
        <w:rPr>
          <w:rFonts w:ascii="宋体" w:hAnsi="宋体" w:eastAsia="宋体" w:cs="宋体"/>
          <w:color w:val="auto"/>
          <w:spacing w:val="-38"/>
          <w:sz w:val="20"/>
          <w:szCs w:val="20"/>
          <w:highlight w:val="none"/>
        </w:rPr>
        <w:t xml:space="preserve"> </w:t>
      </w:r>
      <w:r>
        <w:rPr>
          <w:rFonts w:ascii="宋体" w:hAnsi="宋体" w:eastAsia="宋体" w:cs="宋体"/>
          <w:color w:val="auto"/>
          <w:spacing w:val="7"/>
          <w:sz w:val="20"/>
          <w:szCs w:val="20"/>
          <w:highlight w:val="none"/>
        </w:rPr>
        <w:t>种方式：</w:t>
      </w:r>
      <w:r>
        <w:rPr>
          <w:rFonts w:ascii="宋体" w:hAnsi="宋体" w:eastAsia="宋体" w:cs="宋体"/>
          <w:color w:val="auto"/>
          <w:spacing w:val="-37"/>
          <w:sz w:val="20"/>
          <w:szCs w:val="20"/>
          <w:highlight w:val="none"/>
        </w:rPr>
        <w:t xml:space="preserve"> </w:t>
      </w:r>
      <w:r>
        <w:rPr>
          <w:rFonts w:ascii="宋体" w:hAnsi="宋体" w:eastAsia="宋体" w:cs="宋体"/>
          <w:color w:val="auto"/>
          <w:spacing w:val="-79"/>
          <w:sz w:val="20"/>
          <w:szCs w:val="20"/>
          <w:highlight w:val="none"/>
          <w:u w:val="single" w:color="auto"/>
        </w:rPr>
        <w:t xml:space="preserve"> </w:t>
      </w:r>
      <w:r>
        <w:rPr>
          <w:rFonts w:ascii="宋体" w:hAnsi="宋体" w:eastAsia="宋体" w:cs="宋体"/>
          <w:color w:val="auto"/>
          <w:spacing w:val="7"/>
          <w:sz w:val="20"/>
          <w:szCs w:val="20"/>
          <w:highlight w:val="none"/>
          <w:u w:val="single" w:color="auto"/>
        </w:rPr>
        <w:t>除合同约定可以调整的主要材料外，其他材料单价在合同实施期间不因市场价格变</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化因素而变动，主要材料涨跌的调整幅度按《南宁市建设工程造价信息》发布</w:t>
      </w:r>
      <w:r>
        <w:rPr>
          <w:rFonts w:ascii="宋体" w:hAnsi="宋体" w:eastAsia="宋体" w:cs="宋体"/>
          <w:color w:val="auto"/>
          <w:spacing w:val="9"/>
          <w:sz w:val="20"/>
          <w:szCs w:val="20"/>
          <w:highlight w:val="none"/>
          <w:u w:val="single" w:color="auto"/>
        </w:rPr>
        <w:t>的主要建筑材料的平均价</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较发包时招标控制价工程量清单对应材料的单价发生变动时，</w:t>
      </w:r>
      <w:r>
        <w:rPr>
          <w:rFonts w:ascii="宋体" w:hAnsi="宋体" w:eastAsia="宋体" w:cs="宋体"/>
          <w:color w:val="auto"/>
          <w:spacing w:val="7"/>
          <w:sz w:val="20"/>
          <w:szCs w:val="20"/>
          <w:highlight w:val="none"/>
          <w:u w:val="single" w:color="auto"/>
        </w:rPr>
        <w:t>变动幅度在±10%以上的部分，承包人可以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提出申请调整主要材料价格。调整日期范围是指合同规定的施工工期或允许调</w:t>
      </w:r>
      <w:r>
        <w:rPr>
          <w:rFonts w:ascii="宋体" w:hAnsi="宋体" w:eastAsia="宋体" w:cs="宋体"/>
          <w:color w:val="auto"/>
          <w:spacing w:val="9"/>
          <w:sz w:val="20"/>
          <w:szCs w:val="20"/>
          <w:highlight w:val="none"/>
          <w:u w:val="single" w:color="auto"/>
        </w:rPr>
        <w:t>整的合理工期，若超过合</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同规定的施工日期或允许调整的合理工期，发包人将不予调整。若不按时间要</w:t>
      </w:r>
      <w:r>
        <w:rPr>
          <w:rFonts w:ascii="宋体" w:hAnsi="宋体" w:eastAsia="宋体" w:cs="宋体"/>
          <w:color w:val="auto"/>
          <w:spacing w:val="9"/>
          <w:sz w:val="20"/>
          <w:szCs w:val="20"/>
          <w:highlight w:val="none"/>
          <w:u w:val="single" w:color="auto"/>
        </w:rPr>
        <w:t>求及时提出或承包人送审</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结算资料时才提出，发包人将不予调整</w:t>
      </w:r>
      <w:r>
        <w:rPr>
          <w:rFonts w:ascii="宋体" w:hAnsi="宋体" w:eastAsia="宋体" w:cs="宋体"/>
          <w:color w:val="auto"/>
          <w:spacing w:val="8"/>
          <w:sz w:val="20"/>
          <w:szCs w:val="20"/>
          <w:highlight w:val="none"/>
        </w:rPr>
        <w:t>。</w:t>
      </w:r>
    </w:p>
    <w:p w14:paraId="628A2AD2">
      <w:pPr>
        <w:spacing w:before="282" w:line="224" w:lineRule="auto"/>
        <w:ind w:left="36"/>
        <w:outlineLvl w:val="1"/>
        <w:rPr>
          <w:rFonts w:ascii="宋体" w:hAnsi="宋体" w:eastAsia="宋体" w:cs="宋体"/>
          <w:color w:val="auto"/>
          <w:sz w:val="31"/>
          <w:szCs w:val="31"/>
          <w:highlight w:val="none"/>
        </w:rPr>
      </w:pPr>
      <w:bookmarkStart w:id="102" w:name="_Toc2509"/>
      <w:r>
        <w:rPr>
          <w:rFonts w:ascii="宋体" w:hAnsi="宋体" w:eastAsia="宋体" w:cs="宋体"/>
          <w:b/>
          <w:bCs/>
          <w:color w:val="auto"/>
          <w:spacing w:val="3"/>
          <w:sz w:val="31"/>
          <w:szCs w:val="31"/>
          <w:highlight w:val="none"/>
        </w:rPr>
        <w:t>12.</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合同价格、计量与支付</w:t>
      </w:r>
      <w:bookmarkEnd w:id="102"/>
    </w:p>
    <w:p w14:paraId="78AD1463">
      <w:pPr>
        <w:pStyle w:val="2"/>
        <w:spacing w:line="403" w:lineRule="auto"/>
        <w:rPr>
          <w:color w:val="auto"/>
          <w:highlight w:val="none"/>
        </w:rPr>
      </w:pPr>
    </w:p>
    <w:p w14:paraId="1DF5E4BE">
      <w:pPr>
        <w:spacing w:before="102" w:line="224" w:lineRule="auto"/>
        <w:ind w:left="36"/>
        <w:outlineLvl w:val="2"/>
        <w:rPr>
          <w:rFonts w:ascii="宋体" w:hAnsi="宋体" w:eastAsia="宋体" w:cs="宋体"/>
          <w:color w:val="auto"/>
          <w:sz w:val="31"/>
          <w:szCs w:val="31"/>
          <w:highlight w:val="none"/>
        </w:rPr>
      </w:pPr>
      <w:bookmarkStart w:id="103" w:name="_Toc31235"/>
      <w:r>
        <w:rPr>
          <w:rFonts w:ascii="宋体" w:hAnsi="宋体" w:eastAsia="宋体" w:cs="宋体"/>
          <w:b/>
          <w:bCs/>
          <w:color w:val="auto"/>
          <w:spacing w:val="2"/>
          <w:sz w:val="31"/>
          <w:szCs w:val="31"/>
          <w:highlight w:val="none"/>
        </w:rPr>
        <w:t>12.1</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合同价格形式</w:t>
      </w:r>
      <w:bookmarkEnd w:id="103"/>
    </w:p>
    <w:p w14:paraId="31E3CF90">
      <w:pPr>
        <w:pStyle w:val="2"/>
        <w:spacing w:line="416" w:lineRule="auto"/>
        <w:rPr>
          <w:color w:val="auto"/>
          <w:highlight w:val="none"/>
        </w:rPr>
      </w:pPr>
    </w:p>
    <w:p w14:paraId="38BE79AB">
      <w:pPr>
        <w:spacing w:before="65" w:line="504" w:lineRule="auto"/>
        <w:ind w:left="9" w:right="72" w:firstLine="4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本工程采用</w:t>
      </w:r>
      <w:r>
        <w:rPr>
          <w:rFonts w:ascii="宋体" w:hAnsi="宋体" w:eastAsia="宋体" w:cs="宋体"/>
          <w:color w:val="auto"/>
          <w:spacing w:val="9"/>
          <w:sz w:val="20"/>
          <w:szCs w:val="20"/>
          <w:highlight w:val="none"/>
          <w:u w:val="single" w:color="000000"/>
        </w:rPr>
        <w:t xml:space="preserve">   </w:t>
      </w:r>
      <w:r>
        <w:rPr>
          <w:rFonts w:ascii="宋体" w:hAnsi="宋体" w:eastAsia="宋体" w:cs="宋体"/>
          <w:color w:val="auto"/>
          <w:spacing w:val="9"/>
          <w:sz w:val="20"/>
          <w:szCs w:val="20"/>
          <w:highlight w:val="none"/>
          <w:u w:val="single" w:color="auto"/>
        </w:rPr>
        <w:t>（1）</w:t>
      </w:r>
      <w:r>
        <w:rPr>
          <w:rFonts w:ascii="宋体" w:hAnsi="宋体" w:eastAsia="宋体" w:cs="宋体"/>
          <w:color w:val="auto"/>
          <w:spacing w:val="9"/>
          <w:sz w:val="20"/>
          <w:szCs w:val="20"/>
          <w:highlight w:val="none"/>
          <w:u w:val="single" w:color="000000"/>
        </w:rPr>
        <w:t xml:space="preserve">    </w:t>
      </w:r>
      <w:r>
        <w:rPr>
          <w:rFonts w:ascii="宋体" w:hAnsi="宋体" w:eastAsia="宋体" w:cs="宋体"/>
          <w:color w:val="auto"/>
          <w:spacing w:val="-91"/>
          <w:sz w:val="20"/>
          <w:szCs w:val="20"/>
          <w:highlight w:val="none"/>
        </w:rPr>
        <w:t xml:space="preserve"> </w:t>
      </w:r>
      <w:r>
        <w:rPr>
          <w:rFonts w:ascii="宋体" w:hAnsi="宋体" w:eastAsia="宋体" w:cs="宋体"/>
          <w:color w:val="auto"/>
          <w:spacing w:val="9"/>
          <w:sz w:val="20"/>
          <w:szCs w:val="20"/>
          <w:highlight w:val="none"/>
        </w:rPr>
        <w:t>合同价格形式，合同价格包含增值税</w:t>
      </w:r>
      <w:r>
        <w:rPr>
          <w:rFonts w:ascii="宋体" w:hAnsi="宋体" w:eastAsia="宋体" w:cs="宋体"/>
          <w:color w:val="auto"/>
          <w:spacing w:val="8"/>
          <w:sz w:val="20"/>
          <w:szCs w:val="20"/>
          <w:highlight w:val="none"/>
        </w:rPr>
        <w:t>，本工程计价时采用的增值税计税方</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法为：</w:t>
      </w:r>
      <w:r>
        <w:rPr>
          <w:rFonts w:ascii="宋体" w:hAnsi="宋体" w:eastAsia="宋体" w:cs="宋体"/>
          <w:color w:val="auto"/>
          <w:spacing w:val="-73"/>
          <w:sz w:val="20"/>
          <w:szCs w:val="20"/>
          <w:highlight w:val="none"/>
        </w:rPr>
        <w:t xml:space="preserve"> </w:t>
      </w:r>
      <w:r>
        <w:rPr>
          <w:rFonts w:ascii="MS UI Gothic" w:hAnsi="MS UI Gothic" w:eastAsia="MS UI Gothic" w:cs="MS UI Gothic"/>
          <w:color w:val="auto"/>
          <w:spacing w:val="5"/>
          <w:sz w:val="20"/>
          <w:szCs w:val="20"/>
          <w:highlight w:val="none"/>
        </w:rPr>
        <w:t>☑</w:t>
      </w:r>
      <w:r>
        <w:rPr>
          <w:rFonts w:ascii="宋体" w:hAnsi="宋体" w:eastAsia="宋体" w:cs="宋体"/>
          <w:color w:val="auto"/>
          <w:spacing w:val="5"/>
          <w:sz w:val="20"/>
          <w:szCs w:val="20"/>
          <w:highlight w:val="none"/>
        </w:rPr>
        <w:t>一般计税法</w:t>
      </w:r>
      <w:r>
        <w:rPr>
          <w:rFonts w:ascii="宋体" w:hAnsi="宋体" w:eastAsia="宋体" w:cs="宋体"/>
          <w:color w:val="auto"/>
          <w:spacing w:val="15"/>
          <w:sz w:val="20"/>
          <w:szCs w:val="20"/>
          <w:highlight w:val="none"/>
        </w:rPr>
        <w:t xml:space="preserve">   </w:t>
      </w:r>
      <w:r>
        <w:rPr>
          <w:rFonts w:ascii="宋体" w:hAnsi="宋体" w:eastAsia="宋体" w:cs="宋体"/>
          <w:color w:val="auto"/>
          <w:spacing w:val="5"/>
          <w:sz w:val="20"/>
          <w:szCs w:val="20"/>
          <w:highlight w:val="none"/>
        </w:rPr>
        <w:t>□简易计税法。</w:t>
      </w:r>
    </w:p>
    <w:p w14:paraId="2CF51378">
      <w:pPr>
        <w:spacing w:before="1" w:line="226"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（1）单价合同。</w:t>
      </w:r>
    </w:p>
    <w:p w14:paraId="0820CF06">
      <w:pPr>
        <w:spacing w:before="222" w:line="227" w:lineRule="auto"/>
        <w:ind w:left="42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采用综合单价合同方式时，工程量按建设单位</w:t>
      </w:r>
      <w:r>
        <w:rPr>
          <w:rFonts w:ascii="宋体" w:hAnsi="宋体" w:eastAsia="宋体" w:cs="宋体"/>
          <w:color w:val="auto"/>
          <w:spacing w:val="9"/>
          <w:sz w:val="20"/>
          <w:szCs w:val="20"/>
          <w:highlight w:val="none"/>
        </w:rPr>
        <w:t>、监理单位、施工单位三方确认的竣工图结算。</w:t>
      </w:r>
    </w:p>
    <w:p w14:paraId="3C7CC7F6">
      <w:pPr>
        <w:spacing w:before="222" w:line="432" w:lineRule="auto"/>
        <w:ind w:left="9" w:right="53" w:firstLine="42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综合单价包含的风险范围：</w:t>
      </w:r>
      <w:r>
        <w:rPr>
          <w:rFonts w:ascii="宋体" w:hAnsi="宋体" w:eastAsia="宋体" w:cs="宋体"/>
          <w:color w:val="auto"/>
          <w:spacing w:val="10"/>
          <w:sz w:val="20"/>
          <w:szCs w:val="20"/>
          <w:highlight w:val="none"/>
          <w:u w:val="single" w:color="auto"/>
        </w:rPr>
        <w:t>除工程变更、项目特征不符、工程量清单缺项、工程量偏差、政策性调</w:t>
      </w:r>
      <w:r>
        <w:rPr>
          <w:rFonts w:ascii="宋体" w:hAnsi="宋体" w:eastAsia="宋体" w:cs="宋体"/>
          <w:color w:val="auto"/>
          <w:spacing w:val="3"/>
          <w:sz w:val="20"/>
          <w:szCs w:val="20"/>
          <w:highlight w:val="none"/>
        </w:rPr>
        <w:t xml:space="preserve"> </w:t>
      </w:r>
      <w:r>
        <w:rPr>
          <w:rFonts w:ascii="宋体" w:hAnsi="宋体" w:eastAsia="宋体" w:cs="宋体"/>
          <w:color w:val="auto"/>
          <w:spacing w:val="11"/>
          <w:sz w:val="20"/>
          <w:szCs w:val="20"/>
          <w:highlight w:val="none"/>
          <w:u w:val="single" w:color="auto"/>
        </w:rPr>
        <w:t>整、市场价格波动。</w:t>
      </w:r>
    </w:p>
    <w:p w14:paraId="39FE2FB1">
      <w:pPr>
        <w:spacing w:before="1" w:line="226"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风险范围以外合同价格的调整方法：</w:t>
      </w:r>
    </w:p>
    <w:p w14:paraId="3A09515F">
      <w:pPr>
        <w:spacing w:before="222" w:line="425" w:lineRule="auto"/>
        <w:ind w:left="8" w:right="50" w:firstLine="430"/>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（一）因分部分项工程量清单漏项、设计变更、相关签证引起工程项目、工程量任何变化</w:t>
      </w:r>
      <w:r>
        <w:rPr>
          <w:rFonts w:ascii="宋体" w:hAnsi="宋体" w:eastAsia="宋体" w:cs="宋体"/>
          <w:color w:val="auto"/>
          <w:spacing w:val="9"/>
          <w:sz w:val="20"/>
          <w:szCs w:val="20"/>
          <w:highlight w:val="none"/>
        </w:rPr>
        <w:t>的，变更</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合同价款按下列方法进行</w:t>
      </w:r>
      <w:r>
        <w:rPr>
          <w:rFonts w:ascii="宋体" w:hAnsi="宋体" w:eastAsia="宋体" w:cs="宋体"/>
          <w:color w:val="auto"/>
          <w:spacing w:val="-1"/>
          <w:sz w:val="20"/>
          <w:szCs w:val="20"/>
          <w:highlight w:val="none"/>
        </w:rPr>
        <w:t>：（</w:t>
      </w:r>
      <w:r>
        <w:rPr>
          <w:rFonts w:ascii="宋体" w:hAnsi="宋体" w:eastAsia="宋体" w:cs="宋体"/>
          <w:color w:val="auto"/>
          <w:spacing w:val="11"/>
          <w:sz w:val="20"/>
          <w:szCs w:val="20"/>
          <w:highlight w:val="none"/>
        </w:rPr>
        <w:t>1）合同中已有相同子目的，按合同该子目价格进行计算</w:t>
      </w:r>
      <w:r>
        <w:rPr>
          <w:rFonts w:ascii="宋体" w:hAnsi="宋体" w:eastAsia="宋体" w:cs="宋体"/>
          <w:color w:val="auto"/>
          <w:spacing w:val="-1"/>
          <w:sz w:val="20"/>
          <w:szCs w:val="20"/>
          <w:highlight w:val="none"/>
        </w:rPr>
        <w:t>；（</w:t>
      </w:r>
      <w:r>
        <w:rPr>
          <w:rFonts w:ascii="宋体" w:hAnsi="宋体" w:eastAsia="宋体" w:cs="宋体"/>
          <w:color w:val="auto"/>
          <w:spacing w:val="11"/>
          <w:sz w:val="20"/>
          <w:szCs w:val="20"/>
          <w:highlight w:val="none"/>
        </w:rPr>
        <w:t>2）合同中只</w:t>
      </w:r>
      <w:r>
        <w:rPr>
          <w:rFonts w:ascii="宋体" w:hAnsi="宋体" w:eastAsia="宋体" w:cs="宋体"/>
          <w:color w:val="auto"/>
          <w:spacing w:val="1"/>
          <w:sz w:val="20"/>
          <w:szCs w:val="20"/>
          <w:highlight w:val="none"/>
        </w:rPr>
        <w:t xml:space="preserve"> </w:t>
      </w:r>
      <w:r>
        <w:rPr>
          <w:rFonts w:ascii="宋体" w:hAnsi="宋体" w:eastAsia="宋体" w:cs="宋体"/>
          <w:color w:val="auto"/>
          <w:spacing w:val="9"/>
          <w:sz w:val="20"/>
          <w:szCs w:val="20"/>
          <w:highlight w:val="none"/>
        </w:rPr>
        <w:t>有类似子目的，参照该类似子目价格进行计算</w:t>
      </w:r>
      <w:r>
        <w:rPr>
          <w:rFonts w:ascii="宋体" w:hAnsi="宋体" w:eastAsia="宋体" w:cs="宋体"/>
          <w:color w:val="auto"/>
          <w:spacing w:val="-20"/>
          <w:sz w:val="20"/>
          <w:szCs w:val="20"/>
          <w:highlight w:val="none"/>
        </w:rPr>
        <w:t>；（</w:t>
      </w:r>
      <w:r>
        <w:rPr>
          <w:rFonts w:ascii="宋体" w:hAnsi="宋体" w:eastAsia="宋体" w:cs="宋体"/>
          <w:color w:val="auto"/>
          <w:spacing w:val="9"/>
          <w:sz w:val="20"/>
          <w:szCs w:val="20"/>
          <w:highlight w:val="none"/>
        </w:rPr>
        <w:t>3）合同中没有适用或类似子目的价格计算方法：有定</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额的套定额（土石方工程除外）计算，其中材料价格按施工期间的《南宁建设工程造价信息》相应价格</w:t>
      </w:r>
    </w:p>
    <w:p w14:paraId="2A415596">
      <w:pPr>
        <w:spacing w:line="425" w:lineRule="auto"/>
        <w:rPr>
          <w:rFonts w:ascii="宋体" w:hAnsi="宋体" w:eastAsia="宋体" w:cs="宋体"/>
          <w:color w:val="auto"/>
          <w:sz w:val="20"/>
          <w:szCs w:val="20"/>
          <w:highlight w:val="none"/>
        </w:rPr>
        <w:sectPr>
          <w:headerReference r:id="rId221" w:type="default"/>
          <w:footerReference r:id="rId222" w:type="default"/>
          <w:pgSz w:w="11906" w:h="16839"/>
          <w:pgMar w:top="400" w:right="1167" w:bottom="1158" w:left="1219" w:header="0" w:footer="922" w:gutter="0"/>
          <w:cols w:space="720" w:num="1"/>
        </w:sectPr>
      </w:pPr>
    </w:p>
    <w:p w14:paraId="6D08D496">
      <w:pPr>
        <w:pStyle w:val="2"/>
        <w:spacing w:line="292" w:lineRule="auto"/>
        <w:rPr>
          <w:color w:val="auto"/>
          <w:highlight w:val="none"/>
        </w:rPr>
      </w:pPr>
    </w:p>
    <w:p w14:paraId="001566A1">
      <w:pPr>
        <w:pStyle w:val="2"/>
        <w:spacing w:line="292" w:lineRule="auto"/>
        <w:rPr>
          <w:color w:val="auto"/>
          <w:highlight w:val="none"/>
        </w:rPr>
      </w:pPr>
    </w:p>
    <w:p w14:paraId="67412284">
      <w:pPr>
        <w:pStyle w:val="2"/>
        <w:spacing w:line="293" w:lineRule="auto"/>
        <w:rPr>
          <w:color w:val="auto"/>
          <w:highlight w:val="none"/>
        </w:rPr>
      </w:pPr>
      <w:r>
        <w:rPr>
          <w:color w:val="auto"/>
          <w:highlight w:val="none"/>
        </w:rPr>
        <w:pict>
          <v:shape id="_x0000_s1042" o:spid="_x0000_s1042" style="position:absolute;left:0pt;margin-left:0pt;margin-top:4.45pt;height:0.75pt;width:473.4pt;z-index:251695104;mso-width-relative:page;mso-height-relative:page;" fillcolor="#000000" filled="t" stroked="f" coordsize="9467,15" path="m0,0l9467,0,9467,14,0,14,0,0xe">
            <v:path/>
            <v:fill on="t" focussize="0,0"/>
            <v:stroke on="f"/>
            <v:imagedata o:title=""/>
            <o:lock v:ext="edit"/>
          </v:shape>
        </w:pict>
      </w:r>
    </w:p>
    <w:p w14:paraId="21A42930">
      <w:pPr>
        <w:spacing w:before="65" w:line="432" w:lineRule="auto"/>
        <w:ind w:left="7" w:right="8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信息进行计算；《南宁建设工程造价信息》没有相应价格信息的按市场价计算；无定额可套的，根据市</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rPr>
        <w:t>场价格协商确定综合价格；新增项目的单价必</w:t>
      </w:r>
      <w:r>
        <w:rPr>
          <w:rFonts w:ascii="宋体" w:hAnsi="宋体" w:eastAsia="宋体" w:cs="宋体"/>
          <w:color w:val="auto"/>
          <w:spacing w:val="9"/>
          <w:sz w:val="20"/>
          <w:szCs w:val="20"/>
          <w:highlight w:val="none"/>
        </w:rPr>
        <w:t>须经财政投评中心或者有资质的审核单位审定。</w:t>
      </w:r>
    </w:p>
    <w:p w14:paraId="08F844B7">
      <w:pPr>
        <w:spacing w:before="2" w:line="431" w:lineRule="auto"/>
        <w:ind w:left="10" w:right="83" w:firstLine="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（三）本工程可以调整的主要材料：</w:t>
      </w:r>
      <w:r>
        <w:rPr>
          <w:rFonts w:ascii="宋体" w:hAnsi="宋体" w:eastAsia="宋体" w:cs="宋体"/>
          <w:b/>
          <w:bCs/>
          <w:color w:val="auto"/>
          <w:spacing w:val="9"/>
          <w:sz w:val="20"/>
          <w:szCs w:val="20"/>
          <w:highlight w:val="none"/>
        </w:rPr>
        <w:t>钢筋、水泥、砌（砖</w:t>
      </w:r>
      <w:r>
        <w:rPr>
          <w:rFonts w:ascii="宋体" w:hAnsi="宋体" w:eastAsia="宋体" w:cs="宋体"/>
          <w:b/>
          <w:bCs/>
          <w:color w:val="auto"/>
          <w:spacing w:val="8"/>
          <w:sz w:val="20"/>
          <w:szCs w:val="20"/>
          <w:highlight w:val="none"/>
        </w:rPr>
        <w:t>）块、砂、碎石、混凝土。本工程最终结</w:t>
      </w:r>
      <w:r>
        <w:rPr>
          <w:rFonts w:ascii="宋体" w:hAnsi="宋体" w:eastAsia="宋体" w:cs="宋体"/>
          <w:color w:val="auto"/>
          <w:sz w:val="20"/>
          <w:szCs w:val="20"/>
          <w:highlight w:val="none"/>
        </w:rPr>
        <w:t xml:space="preserve"> </w:t>
      </w:r>
      <w:r>
        <w:rPr>
          <w:rFonts w:ascii="宋体" w:hAnsi="宋体" w:eastAsia="宋体" w:cs="宋体"/>
          <w:b/>
          <w:bCs/>
          <w:color w:val="auto"/>
          <w:spacing w:val="8"/>
          <w:sz w:val="20"/>
          <w:szCs w:val="20"/>
          <w:highlight w:val="none"/>
        </w:rPr>
        <w:t>算价以财政部门或者业主委托有资质的审核单</w:t>
      </w:r>
      <w:r>
        <w:rPr>
          <w:rFonts w:ascii="宋体" w:hAnsi="宋体" w:eastAsia="宋体" w:cs="宋体"/>
          <w:b/>
          <w:bCs/>
          <w:color w:val="auto"/>
          <w:spacing w:val="7"/>
          <w:sz w:val="20"/>
          <w:szCs w:val="20"/>
          <w:highlight w:val="none"/>
        </w:rPr>
        <w:t>位审定为准。</w:t>
      </w:r>
    </w:p>
    <w:p w14:paraId="1DA27267">
      <w:pPr>
        <w:spacing w:before="1" w:line="226"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（2）总价合同。</w:t>
      </w:r>
    </w:p>
    <w:p w14:paraId="5E1F9ABD">
      <w:pPr>
        <w:spacing w:before="222" w:line="432" w:lineRule="auto"/>
        <w:ind w:left="7" w:right="100"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总价包含的风险范围：包含除工程变更、政策性调整、</w:t>
      </w:r>
      <w:r>
        <w:rPr>
          <w:rFonts w:ascii="宋体" w:hAnsi="宋体" w:eastAsia="宋体" w:cs="宋体"/>
          <w:color w:val="auto"/>
          <w:spacing w:val="10"/>
          <w:sz w:val="20"/>
          <w:szCs w:val="20"/>
          <w:highlight w:val="none"/>
          <w:u w:val="single" w:color="auto"/>
        </w:rPr>
        <w:t>市场价格波动</w:t>
      </w:r>
      <w:r>
        <w:rPr>
          <w:rFonts w:ascii="宋体" w:hAnsi="宋体" w:eastAsia="宋体" w:cs="宋体"/>
          <w:color w:val="auto"/>
          <w:spacing w:val="9"/>
          <w:sz w:val="20"/>
          <w:szCs w:val="20"/>
          <w:highlight w:val="none"/>
          <w:u w:val="single" w:color="auto"/>
        </w:rPr>
        <w:t>。除工程变更外，结算时不再</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 xml:space="preserve">对施工图对应的工程量重新计量 </w:t>
      </w:r>
      <w:r>
        <w:rPr>
          <w:rFonts w:ascii="宋体" w:hAnsi="宋体" w:eastAsia="宋体" w:cs="宋体"/>
          <w:color w:val="auto"/>
          <w:spacing w:val="8"/>
          <w:sz w:val="20"/>
          <w:szCs w:val="20"/>
          <w:highlight w:val="none"/>
        </w:rPr>
        <w:t>。</w:t>
      </w:r>
    </w:p>
    <w:p w14:paraId="090653E0">
      <w:pPr>
        <w:spacing w:before="1" w:line="226"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风险范围以外合同价格的调整方法：</w:t>
      </w:r>
    </w:p>
    <w:p w14:paraId="2DA7D557">
      <w:pPr>
        <w:spacing w:before="222" w:line="226" w:lineRule="auto"/>
        <w:ind w:left="42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①工程变更：按</w:t>
      </w:r>
      <w:r>
        <w:rPr>
          <w:rFonts w:ascii="宋体" w:hAnsi="宋体" w:eastAsia="宋体" w:cs="宋体"/>
          <w:color w:val="auto"/>
          <w:spacing w:val="-11"/>
          <w:sz w:val="20"/>
          <w:szCs w:val="20"/>
          <w:highlight w:val="none"/>
        </w:rPr>
        <w:t xml:space="preserve"> </w:t>
      </w:r>
      <w:r>
        <w:rPr>
          <w:rFonts w:ascii="宋体" w:hAnsi="宋体" w:eastAsia="宋体" w:cs="宋体"/>
          <w:color w:val="auto"/>
          <w:spacing w:val="6"/>
          <w:sz w:val="20"/>
          <w:szCs w:val="20"/>
          <w:highlight w:val="none"/>
        </w:rPr>
        <w:t>10.4.1</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变更估价原则的约定调整。</w:t>
      </w:r>
    </w:p>
    <w:p w14:paraId="1324AA24">
      <w:pPr>
        <w:spacing w:before="223" w:line="330" w:lineRule="auto"/>
        <w:ind w:left="7" w:right="102"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②政策性调整：按国家、</w:t>
      </w:r>
      <w:r>
        <w:rPr>
          <w:rFonts w:ascii="宋体" w:hAnsi="宋体" w:eastAsia="宋体" w:cs="宋体"/>
          <w:color w:val="auto"/>
          <w:spacing w:val="-50"/>
          <w:sz w:val="20"/>
          <w:szCs w:val="20"/>
          <w:highlight w:val="none"/>
        </w:rPr>
        <w:t xml:space="preserve"> </w:t>
      </w:r>
      <w:r>
        <w:rPr>
          <w:rFonts w:ascii="宋体" w:hAnsi="宋体" w:eastAsia="宋体" w:cs="宋体"/>
          <w:color w:val="auto"/>
          <w:spacing w:val="9"/>
          <w:sz w:val="20"/>
          <w:szCs w:val="20"/>
          <w:highlight w:val="none"/>
        </w:rPr>
        <w:t>自治区住房城乡建设厅或工程</w:t>
      </w:r>
      <w:r>
        <w:rPr>
          <w:rFonts w:ascii="宋体" w:hAnsi="宋体" w:eastAsia="宋体" w:cs="宋体"/>
          <w:color w:val="auto"/>
          <w:spacing w:val="8"/>
          <w:sz w:val="20"/>
          <w:szCs w:val="20"/>
          <w:highlight w:val="none"/>
        </w:rPr>
        <w:t>所在地市级住房城乡建设主管部门颁布的文</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件执行。</w:t>
      </w:r>
    </w:p>
    <w:p w14:paraId="1F7EEEE1">
      <w:pPr>
        <w:spacing w:before="220" w:line="226" w:lineRule="auto"/>
        <w:ind w:left="42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③市场波动引起的调整：按</w:t>
      </w:r>
      <w:r>
        <w:rPr>
          <w:rFonts w:ascii="宋体" w:hAnsi="宋体" w:eastAsia="宋体" w:cs="宋体"/>
          <w:color w:val="auto"/>
          <w:spacing w:val="-22"/>
          <w:sz w:val="20"/>
          <w:szCs w:val="20"/>
          <w:highlight w:val="none"/>
        </w:rPr>
        <w:t xml:space="preserve"> </w:t>
      </w:r>
      <w:r>
        <w:rPr>
          <w:rFonts w:ascii="宋体" w:hAnsi="宋体" w:eastAsia="宋体" w:cs="宋体"/>
          <w:color w:val="auto"/>
          <w:spacing w:val="6"/>
          <w:sz w:val="20"/>
          <w:szCs w:val="20"/>
          <w:highlight w:val="none"/>
        </w:rPr>
        <w:t>11.1</w:t>
      </w:r>
      <w:r>
        <w:rPr>
          <w:rFonts w:ascii="宋体" w:hAnsi="宋体" w:eastAsia="宋体" w:cs="宋体"/>
          <w:color w:val="auto"/>
          <w:spacing w:val="-20"/>
          <w:sz w:val="20"/>
          <w:szCs w:val="20"/>
          <w:highlight w:val="none"/>
        </w:rPr>
        <w:t xml:space="preserve"> </w:t>
      </w:r>
      <w:r>
        <w:rPr>
          <w:rFonts w:ascii="宋体" w:hAnsi="宋体" w:eastAsia="宋体" w:cs="宋体"/>
          <w:color w:val="auto"/>
          <w:spacing w:val="6"/>
          <w:sz w:val="20"/>
          <w:szCs w:val="20"/>
          <w:highlight w:val="none"/>
        </w:rPr>
        <w:t>的约定</w:t>
      </w:r>
      <w:r>
        <w:rPr>
          <w:rFonts w:ascii="宋体" w:hAnsi="宋体" w:eastAsia="宋体" w:cs="宋体"/>
          <w:color w:val="auto"/>
          <w:spacing w:val="5"/>
          <w:sz w:val="20"/>
          <w:szCs w:val="20"/>
          <w:highlight w:val="none"/>
        </w:rPr>
        <w:t>调整。</w:t>
      </w:r>
    </w:p>
    <w:p w14:paraId="46AA69B6">
      <w:pPr>
        <w:spacing w:before="223" w:line="226" w:lineRule="auto"/>
        <w:ind w:left="426"/>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④其它：</w:t>
      </w:r>
      <w:r>
        <w:rPr>
          <w:rFonts w:ascii="宋体" w:hAnsi="宋体" w:eastAsia="宋体" w:cs="宋体"/>
          <w:color w:val="auto"/>
          <w:spacing w:val="6"/>
          <w:sz w:val="20"/>
          <w:szCs w:val="20"/>
          <w:highlight w:val="none"/>
          <w:u w:val="single" w:color="auto"/>
        </w:rPr>
        <w:t>/</w:t>
      </w:r>
      <w:r>
        <w:rPr>
          <w:rFonts w:ascii="宋体" w:hAnsi="宋体" w:eastAsia="宋体" w:cs="宋体"/>
          <w:color w:val="auto"/>
          <w:spacing w:val="6"/>
          <w:sz w:val="20"/>
          <w:szCs w:val="20"/>
          <w:highlight w:val="none"/>
        </w:rPr>
        <w:t>。</w:t>
      </w:r>
    </w:p>
    <w:p w14:paraId="2ED68A8B">
      <w:pPr>
        <w:spacing w:before="223" w:line="227"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（3）其他价格方式：</w:t>
      </w:r>
      <w:r>
        <w:rPr>
          <w:rFonts w:ascii="宋体" w:hAnsi="宋体" w:eastAsia="宋体" w:cs="宋体"/>
          <w:color w:val="auto"/>
          <w:spacing w:val="6"/>
          <w:sz w:val="20"/>
          <w:szCs w:val="20"/>
          <w:highlight w:val="none"/>
          <w:u w:val="single" w:color="auto"/>
        </w:rPr>
        <w:t>/</w:t>
      </w:r>
      <w:r>
        <w:rPr>
          <w:rFonts w:ascii="宋体" w:hAnsi="宋体" w:eastAsia="宋体" w:cs="宋体"/>
          <w:color w:val="auto"/>
          <w:spacing w:val="6"/>
          <w:sz w:val="20"/>
          <w:szCs w:val="20"/>
          <w:highlight w:val="none"/>
        </w:rPr>
        <w:t>。</w:t>
      </w:r>
    </w:p>
    <w:p w14:paraId="0AEF7685">
      <w:pPr>
        <w:pStyle w:val="2"/>
        <w:spacing w:line="404" w:lineRule="auto"/>
        <w:rPr>
          <w:color w:val="auto"/>
          <w:highlight w:val="none"/>
        </w:rPr>
      </w:pPr>
    </w:p>
    <w:p w14:paraId="5DFAF521">
      <w:pPr>
        <w:spacing w:before="101" w:line="225" w:lineRule="auto"/>
        <w:ind w:left="36"/>
        <w:outlineLvl w:val="2"/>
        <w:rPr>
          <w:rFonts w:ascii="宋体" w:hAnsi="宋体" w:eastAsia="宋体" w:cs="宋体"/>
          <w:color w:val="auto"/>
          <w:sz w:val="31"/>
          <w:szCs w:val="31"/>
          <w:highlight w:val="none"/>
        </w:rPr>
      </w:pPr>
      <w:bookmarkStart w:id="104" w:name="_Toc24753"/>
      <w:r>
        <w:rPr>
          <w:rFonts w:ascii="宋体" w:hAnsi="宋体" w:eastAsia="宋体" w:cs="宋体"/>
          <w:b/>
          <w:bCs/>
          <w:color w:val="auto"/>
          <w:spacing w:val="-3"/>
          <w:sz w:val="31"/>
          <w:szCs w:val="31"/>
          <w:highlight w:val="none"/>
        </w:rPr>
        <w:t>12.2</w:t>
      </w:r>
      <w:r>
        <w:rPr>
          <w:rFonts w:ascii="宋体" w:hAnsi="宋体" w:eastAsia="宋体" w:cs="宋体"/>
          <w:color w:val="auto"/>
          <w:spacing w:val="22"/>
          <w:sz w:val="31"/>
          <w:szCs w:val="31"/>
          <w:highlight w:val="none"/>
        </w:rPr>
        <w:t xml:space="preserve"> </w:t>
      </w:r>
      <w:r>
        <w:rPr>
          <w:rFonts w:ascii="宋体" w:hAnsi="宋体" w:eastAsia="宋体" w:cs="宋体"/>
          <w:b/>
          <w:bCs/>
          <w:color w:val="auto"/>
          <w:spacing w:val="-3"/>
          <w:sz w:val="31"/>
          <w:szCs w:val="31"/>
          <w:highlight w:val="none"/>
        </w:rPr>
        <w:t>预付款</w:t>
      </w:r>
      <w:bookmarkEnd w:id="104"/>
    </w:p>
    <w:p w14:paraId="595CC7F7">
      <w:pPr>
        <w:pStyle w:val="2"/>
        <w:spacing w:line="414" w:lineRule="auto"/>
        <w:rPr>
          <w:color w:val="auto"/>
          <w:highlight w:val="none"/>
        </w:rPr>
      </w:pPr>
    </w:p>
    <w:p w14:paraId="5F7DBEA2">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12.2.1 预付款的支付</w:t>
      </w:r>
    </w:p>
    <w:p w14:paraId="7AF3F6B2">
      <w:pPr>
        <w:spacing w:before="189" w:line="434" w:lineRule="auto"/>
        <w:ind w:left="10" w:right="83"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预付款支付比例或金额：</w:t>
      </w:r>
      <w:r>
        <w:rPr>
          <w:rFonts w:ascii="宋体" w:hAnsi="宋体" w:eastAsia="宋体" w:cs="宋体"/>
          <w:color w:val="auto"/>
          <w:spacing w:val="8"/>
          <w:sz w:val="20"/>
          <w:szCs w:val="20"/>
          <w:highlight w:val="none"/>
          <w:u w:val="single" w:color="auto"/>
        </w:rPr>
        <w:t>合同价款扣除暂列金额后的</w:t>
      </w:r>
      <w:r>
        <w:rPr>
          <w:rFonts w:ascii="宋体" w:hAnsi="宋体" w:eastAsia="宋体" w:cs="宋体"/>
          <w:color w:val="auto"/>
          <w:spacing w:val="50"/>
          <w:sz w:val="20"/>
          <w:szCs w:val="20"/>
          <w:highlight w:val="none"/>
          <w:u w:val="single" w:color="auto"/>
        </w:rPr>
        <w:t xml:space="preserve"> </w:t>
      </w:r>
      <w:r>
        <w:rPr>
          <w:rFonts w:hint="eastAsia" w:ascii="Times New Roman" w:hAnsi="Times New Roman" w:eastAsia="宋体" w:cs="Times New Roman"/>
          <w:color w:val="auto"/>
          <w:spacing w:val="8"/>
          <w:sz w:val="20"/>
          <w:szCs w:val="20"/>
          <w:highlight w:val="none"/>
          <w:u w:val="single" w:color="auto"/>
          <w:lang w:val="en-US" w:eastAsia="zh-CN"/>
        </w:rPr>
        <w:t>30</w:t>
      </w:r>
      <w:r>
        <w:rPr>
          <w:rFonts w:ascii="Times New Roman" w:hAnsi="Times New Roman" w:eastAsia="Times New Roman" w:cs="Times New Roman"/>
          <w:color w:val="auto"/>
          <w:spacing w:val="8"/>
          <w:sz w:val="20"/>
          <w:szCs w:val="20"/>
          <w:highlight w:val="none"/>
          <w:u w:val="single" w:color="auto"/>
        </w:rPr>
        <w:t xml:space="preserve">%   </w:t>
      </w:r>
      <w:r>
        <w:rPr>
          <w:rFonts w:ascii="宋体" w:hAnsi="宋体" w:eastAsia="宋体" w:cs="宋体"/>
          <w:color w:val="auto"/>
          <w:spacing w:val="8"/>
          <w:sz w:val="20"/>
          <w:szCs w:val="20"/>
          <w:highlight w:val="none"/>
          <w:u w:val="single" w:color="auto"/>
        </w:rPr>
        <w:t>【备注：政府投资项目应严格执行工程</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预付款制度，工程预付款应不低于合同总价（</w:t>
      </w:r>
      <w:r>
        <w:rPr>
          <w:rFonts w:ascii="宋体" w:hAnsi="宋体" w:eastAsia="宋体" w:cs="宋体"/>
          <w:color w:val="auto"/>
          <w:spacing w:val="6"/>
          <w:sz w:val="20"/>
          <w:szCs w:val="20"/>
          <w:highlight w:val="none"/>
          <w:u w:val="single" w:color="auto"/>
        </w:rPr>
        <w:t>扣除暂列金额）的</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6"/>
          <w:sz w:val="20"/>
          <w:szCs w:val="20"/>
          <w:highlight w:val="none"/>
          <w:u w:val="single" w:color="auto"/>
        </w:rPr>
        <w:t>10%（最高不超过</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6"/>
          <w:sz w:val="20"/>
          <w:szCs w:val="20"/>
          <w:highlight w:val="none"/>
          <w:u w:val="single" w:color="auto"/>
        </w:rPr>
        <w:t>30%，并与工程进度款</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分期按约定比例抵扣）】</w:t>
      </w:r>
      <w:r>
        <w:rPr>
          <w:rFonts w:ascii="宋体" w:hAnsi="宋体" w:eastAsia="宋体" w:cs="宋体"/>
          <w:color w:val="auto"/>
          <w:spacing w:val="7"/>
          <w:sz w:val="20"/>
          <w:szCs w:val="20"/>
          <w:highlight w:val="none"/>
        </w:rPr>
        <w:t>。</w:t>
      </w:r>
    </w:p>
    <w:p w14:paraId="1C2E6DF0">
      <w:pPr>
        <w:spacing w:before="26"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预付款支付期限：</w:t>
      </w:r>
      <w:r>
        <w:rPr>
          <w:rFonts w:ascii="宋体" w:hAnsi="宋体" w:eastAsia="宋体" w:cs="宋体"/>
          <w:color w:val="auto"/>
          <w:spacing w:val="8"/>
          <w:sz w:val="20"/>
          <w:szCs w:val="20"/>
          <w:highlight w:val="none"/>
          <w:u w:val="single" w:color="auto"/>
        </w:rPr>
        <w:t xml:space="preserve">  合同签订后 30 天之内</w:t>
      </w:r>
      <w:r>
        <w:rPr>
          <w:rFonts w:ascii="宋体" w:hAnsi="宋体" w:eastAsia="宋体" w:cs="宋体"/>
          <w:color w:val="auto"/>
          <w:spacing w:val="7"/>
          <w:sz w:val="20"/>
          <w:szCs w:val="20"/>
          <w:highlight w:val="none"/>
          <w:u w:val="single" w:color="auto"/>
        </w:rPr>
        <w:t>，</w:t>
      </w:r>
      <w:r>
        <w:rPr>
          <w:rFonts w:ascii="宋体" w:hAnsi="宋体" w:eastAsia="宋体" w:cs="宋体"/>
          <w:color w:val="auto"/>
          <w:spacing w:val="-59"/>
          <w:sz w:val="20"/>
          <w:szCs w:val="20"/>
          <w:highlight w:val="none"/>
          <w:u w:val="single" w:color="auto"/>
        </w:rPr>
        <w:t xml:space="preserve"> </w:t>
      </w:r>
      <w:r>
        <w:rPr>
          <w:rFonts w:ascii="宋体" w:hAnsi="宋体" w:eastAsia="宋体" w:cs="宋体"/>
          <w:color w:val="auto"/>
          <w:spacing w:val="7"/>
          <w:sz w:val="20"/>
          <w:szCs w:val="20"/>
          <w:highlight w:val="none"/>
          <w:u w:val="single" w:color="auto"/>
        </w:rPr>
        <w:t xml:space="preserve">由承包人向发包人提出支付申请 </w:t>
      </w:r>
      <w:r>
        <w:rPr>
          <w:rFonts w:ascii="宋体" w:hAnsi="宋体" w:eastAsia="宋体" w:cs="宋体"/>
          <w:color w:val="auto"/>
          <w:spacing w:val="7"/>
          <w:sz w:val="20"/>
          <w:szCs w:val="20"/>
          <w:highlight w:val="none"/>
        </w:rPr>
        <w:t>。</w:t>
      </w:r>
    </w:p>
    <w:p w14:paraId="6A610CDA">
      <w:pPr>
        <w:spacing w:before="220" w:line="432" w:lineRule="auto"/>
        <w:ind w:left="21" w:right="83" w:firstLine="40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预付款扣回的方式：</w:t>
      </w:r>
      <w:r>
        <w:rPr>
          <w:rFonts w:ascii="宋体" w:hAnsi="宋体" w:eastAsia="宋体" w:cs="宋体"/>
          <w:color w:val="auto"/>
          <w:spacing w:val="8"/>
          <w:sz w:val="20"/>
          <w:szCs w:val="20"/>
          <w:highlight w:val="none"/>
          <w:u w:val="single" w:color="auto"/>
        </w:rPr>
        <w:t>从申请第一期工程进度款时直接扣除预</w:t>
      </w:r>
      <w:r>
        <w:rPr>
          <w:rFonts w:ascii="宋体" w:hAnsi="宋体" w:eastAsia="宋体" w:cs="宋体"/>
          <w:color w:val="auto"/>
          <w:spacing w:val="7"/>
          <w:sz w:val="20"/>
          <w:szCs w:val="20"/>
          <w:highlight w:val="none"/>
          <w:u w:val="single" w:color="auto"/>
        </w:rPr>
        <w:t>付款，即第一期工程进度款=按合同约定</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当期进度已完成投资额对应发包人应支付的金额减去已付预付</w:t>
      </w:r>
      <w:r>
        <w:rPr>
          <w:rFonts w:ascii="宋体" w:hAnsi="宋体" w:eastAsia="宋体" w:cs="宋体"/>
          <w:color w:val="auto"/>
          <w:spacing w:val="8"/>
          <w:sz w:val="20"/>
          <w:szCs w:val="20"/>
          <w:highlight w:val="none"/>
          <w:u w:val="single" w:color="auto"/>
        </w:rPr>
        <w:t>款金额</w:t>
      </w:r>
      <w:r>
        <w:rPr>
          <w:rFonts w:ascii="宋体" w:hAnsi="宋体" w:eastAsia="宋体" w:cs="宋体"/>
          <w:color w:val="auto"/>
          <w:spacing w:val="8"/>
          <w:sz w:val="20"/>
          <w:szCs w:val="20"/>
          <w:highlight w:val="none"/>
        </w:rPr>
        <w:t>。</w:t>
      </w:r>
    </w:p>
    <w:p w14:paraId="7612A24C">
      <w:pPr>
        <w:spacing w:before="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12.2.2 预付款担保</w:t>
      </w:r>
    </w:p>
    <w:p w14:paraId="091EE778">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承包人提交预付款担保的期限：</w:t>
      </w:r>
      <w:r>
        <w:rPr>
          <w:rFonts w:ascii="宋体" w:hAnsi="宋体" w:eastAsia="宋体" w:cs="宋体"/>
          <w:color w:val="auto"/>
          <w:spacing w:val="7"/>
          <w:sz w:val="20"/>
          <w:szCs w:val="20"/>
          <w:highlight w:val="none"/>
          <w:u w:val="single" w:color="auto"/>
        </w:rPr>
        <w:t xml:space="preserve">     合同签订</w:t>
      </w:r>
      <w:r>
        <w:rPr>
          <w:rFonts w:ascii="宋体" w:hAnsi="宋体" w:eastAsia="宋体" w:cs="宋体"/>
          <w:color w:val="auto"/>
          <w:spacing w:val="-35"/>
          <w:sz w:val="20"/>
          <w:szCs w:val="20"/>
          <w:highlight w:val="none"/>
          <w:u w:val="single" w:color="auto"/>
        </w:rPr>
        <w:t xml:space="preserve"> </w:t>
      </w:r>
      <w:r>
        <w:rPr>
          <w:rFonts w:ascii="宋体" w:hAnsi="宋体" w:eastAsia="宋体" w:cs="宋体"/>
          <w:color w:val="auto"/>
          <w:spacing w:val="7"/>
          <w:sz w:val="20"/>
          <w:szCs w:val="20"/>
          <w:highlight w:val="none"/>
          <w:u w:val="single" w:color="auto"/>
        </w:rPr>
        <w:t>30</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u w:val="single" w:color="auto"/>
        </w:rPr>
        <w:t>天内</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6"/>
          <w:sz w:val="20"/>
          <w:szCs w:val="20"/>
          <w:highlight w:val="none"/>
        </w:rPr>
        <w:t>。</w:t>
      </w:r>
    </w:p>
    <w:p w14:paraId="256C1DF7">
      <w:pPr>
        <w:spacing w:before="220" w:line="431" w:lineRule="auto"/>
        <w:ind w:left="7" w:firstLine="422"/>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预付款担保的形式为：可以是银行转账、</w:t>
      </w:r>
      <w:r>
        <w:rPr>
          <w:rFonts w:ascii="宋体" w:hAnsi="宋体" w:eastAsia="宋体" w:cs="宋体"/>
          <w:color w:val="auto"/>
          <w:spacing w:val="-59"/>
          <w:sz w:val="20"/>
          <w:szCs w:val="20"/>
          <w:highlight w:val="none"/>
        </w:rPr>
        <w:t xml:space="preserve"> </w:t>
      </w:r>
      <w:r>
        <w:rPr>
          <w:rFonts w:ascii="宋体" w:hAnsi="宋体" w:eastAsia="宋体" w:cs="宋体"/>
          <w:color w:val="auto"/>
          <w:spacing w:val="8"/>
          <w:sz w:val="20"/>
          <w:szCs w:val="20"/>
          <w:highlight w:val="none"/>
        </w:rPr>
        <w:t>电汇或网上支付、保函（银行保函、</w:t>
      </w:r>
      <w:r>
        <w:rPr>
          <w:rFonts w:ascii="宋体" w:hAnsi="宋体" w:eastAsia="宋体" w:cs="宋体"/>
          <w:color w:val="auto"/>
          <w:spacing w:val="-60"/>
          <w:sz w:val="20"/>
          <w:szCs w:val="20"/>
          <w:highlight w:val="none"/>
        </w:rPr>
        <w:t xml:space="preserve"> </w:t>
      </w:r>
      <w:r>
        <w:rPr>
          <w:rFonts w:ascii="宋体" w:hAnsi="宋体" w:eastAsia="宋体" w:cs="宋体"/>
          <w:color w:val="auto"/>
          <w:spacing w:val="8"/>
          <w:sz w:val="20"/>
          <w:szCs w:val="20"/>
          <w:highlight w:val="none"/>
        </w:rPr>
        <w:t>电</w:t>
      </w:r>
      <w:r>
        <w:rPr>
          <w:rFonts w:ascii="宋体" w:hAnsi="宋体" w:eastAsia="宋体" w:cs="宋体"/>
          <w:color w:val="auto"/>
          <w:spacing w:val="7"/>
          <w:sz w:val="20"/>
          <w:szCs w:val="20"/>
          <w:highlight w:val="none"/>
        </w:rPr>
        <w:t>子保函、保证保险</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保函、工程担保保函）等形式。工程担保保证人应将出具的保函相关信息录入“广西建筑市场监管云</w:t>
      </w:r>
      <w:r>
        <w:rPr>
          <w:rFonts w:ascii="宋体" w:hAnsi="宋体" w:eastAsia="宋体" w:cs="宋体"/>
          <w:color w:val="auto"/>
          <w:spacing w:val="-55"/>
          <w:sz w:val="20"/>
          <w:szCs w:val="20"/>
          <w:highlight w:val="none"/>
        </w:rPr>
        <w:t xml:space="preserve"> </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11"/>
          <w:sz w:val="20"/>
          <w:szCs w:val="20"/>
          <w:highlight w:val="none"/>
        </w:rPr>
        <w:t>平台（</w:t>
      </w:r>
      <w:r>
        <w:rPr>
          <w:color w:val="auto"/>
          <w:highlight w:val="none"/>
        </w:rPr>
        <w:fldChar w:fldCharType="begin"/>
      </w:r>
      <w:r>
        <w:rPr>
          <w:color w:val="auto"/>
          <w:highlight w:val="none"/>
        </w:rPr>
        <w:instrText xml:space="preserve"> HYPERLINK "http://gxjzsc.caihcloud.com"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gxjzsc</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caihcloud</w:t>
      </w:r>
      <w:r>
        <w:rPr>
          <w:rFonts w:ascii="宋体" w:hAnsi="宋体" w:eastAsia="宋体" w:cs="宋体"/>
          <w:color w:val="auto"/>
          <w:spacing w:val="11"/>
          <w:sz w:val="20"/>
          <w:szCs w:val="20"/>
          <w:highlight w:val="none"/>
        </w:rPr>
        <w:t>.</w:t>
      </w:r>
      <w:r>
        <w:rPr>
          <w:rFonts w:ascii="宋体" w:hAnsi="宋体" w:eastAsia="宋体" w:cs="宋体"/>
          <w:color w:val="auto"/>
          <w:sz w:val="20"/>
          <w:szCs w:val="20"/>
          <w:highlight w:val="none"/>
        </w:rPr>
        <w:t>com</w:t>
      </w:r>
      <w:r>
        <w:rPr>
          <w:rFonts w:ascii="宋体" w:hAnsi="宋体" w:eastAsia="宋体" w:cs="宋体"/>
          <w:color w:val="auto"/>
          <w:sz w:val="20"/>
          <w:szCs w:val="20"/>
          <w:highlight w:val="none"/>
        </w:rPr>
        <w:fldChar w:fldCharType="end"/>
      </w:r>
      <w:r>
        <w:rPr>
          <w:rFonts w:ascii="宋体" w:hAnsi="宋体" w:eastAsia="宋体" w:cs="宋体"/>
          <w:color w:val="auto"/>
          <w:spacing w:val="32"/>
          <w:sz w:val="20"/>
          <w:szCs w:val="20"/>
          <w:highlight w:val="none"/>
        </w:rPr>
        <w:t>），</w:t>
      </w:r>
      <w:r>
        <w:rPr>
          <w:rFonts w:ascii="宋体" w:hAnsi="宋体" w:eastAsia="宋体" w:cs="宋体"/>
          <w:color w:val="auto"/>
          <w:spacing w:val="11"/>
          <w:sz w:val="20"/>
          <w:szCs w:val="20"/>
          <w:highlight w:val="none"/>
        </w:rPr>
        <w:t>以实现保函查询及验真功能。</w:t>
      </w:r>
    </w:p>
    <w:p w14:paraId="625B133B">
      <w:pPr>
        <w:spacing w:before="3"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预付款担保格式见合同附件</w:t>
      </w:r>
      <w:r>
        <w:rPr>
          <w:rFonts w:hint="eastAsia" w:ascii="宋体" w:hAnsi="宋体" w:eastAsia="宋体" w:cs="宋体"/>
          <w:color w:val="auto"/>
          <w:spacing w:val="-36"/>
          <w:sz w:val="20"/>
          <w:szCs w:val="20"/>
          <w:highlight w:val="none"/>
          <w:lang w:val="en-US" w:eastAsia="zh-CN"/>
        </w:rPr>
        <w:t>7</w:t>
      </w:r>
      <w:r>
        <w:rPr>
          <w:rFonts w:ascii="宋体" w:hAnsi="宋体" w:eastAsia="宋体" w:cs="宋体"/>
          <w:color w:val="auto"/>
          <w:spacing w:val="8"/>
          <w:sz w:val="20"/>
          <w:szCs w:val="20"/>
          <w:highlight w:val="none"/>
        </w:rPr>
        <w:t>。预付款支付申请（核准）表见</w:t>
      </w:r>
      <w:r>
        <w:rPr>
          <w:rFonts w:ascii="宋体" w:hAnsi="宋体" w:eastAsia="宋体" w:cs="宋体"/>
          <w:color w:val="auto"/>
          <w:spacing w:val="7"/>
          <w:sz w:val="20"/>
          <w:szCs w:val="20"/>
          <w:highlight w:val="none"/>
        </w:rPr>
        <w:t>合同附件</w:t>
      </w:r>
      <w:r>
        <w:rPr>
          <w:rFonts w:ascii="宋体" w:hAnsi="宋体" w:eastAsia="宋体" w:cs="宋体"/>
          <w:color w:val="auto"/>
          <w:spacing w:val="-21"/>
          <w:sz w:val="20"/>
          <w:szCs w:val="20"/>
          <w:highlight w:val="none"/>
        </w:rPr>
        <w:t xml:space="preserve"> </w:t>
      </w:r>
      <w:r>
        <w:rPr>
          <w:rFonts w:hint="eastAsia" w:ascii="宋体" w:hAnsi="宋体" w:eastAsia="宋体" w:cs="宋体"/>
          <w:color w:val="auto"/>
          <w:spacing w:val="7"/>
          <w:sz w:val="20"/>
          <w:szCs w:val="20"/>
          <w:highlight w:val="none"/>
          <w:lang w:val="en-US" w:eastAsia="zh-CN"/>
        </w:rPr>
        <w:t>8</w:t>
      </w:r>
      <w:r>
        <w:rPr>
          <w:rFonts w:ascii="宋体" w:hAnsi="宋体" w:eastAsia="宋体" w:cs="宋体"/>
          <w:color w:val="auto"/>
          <w:spacing w:val="7"/>
          <w:sz w:val="20"/>
          <w:szCs w:val="20"/>
          <w:highlight w:val="none"/>
        </w:rPr>
        <w:t>。</w:t>
      </w:r>
    </w:p>
    <w:p w14:paraId="780F7B7D">
      <w:pPr>
        <w:spacing w:line="228" w:lineRule="auto"/>
        <w:rPr>
          <w:rFonts w:ascii="宋体" w:hAnsi="宋体" w:eastAsia="宋体" w:cs="宋体"/>
          <w:color w:val="auto"/>
          <w:sz w:val="20"/>
          <w:szCs w:val="20"/>
          <w:highlight w:val="none"/>
        </w:rPr>
        <w:sectPr>
          <w:footerReference r:id="rId223" w:type="default"/>
          <w:pgSz w:w="11906" w:h="16839"/>
          <w:pgMar w:top="400" w:right="1137" w:bottom="1158" w:left="1219" w:header="0" w:footer="922" w:gutter="0"/>
          <w:cols w:space="720" w:num="1"/>
        </w:sectPr>
      </w:pPr>
    </w:p>
    <w:p w14:paraId="113DCA94">
      <w:pPr>
        <w:spacing w:before="97"/>
        <w:rPr>
          <w:color w:val="auto"/>
          <w:highlight w:val="none"/>
        </w:rPr>
      </w:pPr>
    </w:p>
    <w:p w14:paraId="61E59FC2">
      <w:pPr>
        <w:spacing w:before="97"/>
        <w:rPr>
          <w:color w:val="auto"/>
          <w:highlight w:val="none"/>
        </w:rPr>
      </w:pPr>
    </w:p>
    <w:tbl>
      <w:tblPr>
        <w:tblStyle w:val="8"/>
        <w:tblW w:w="9467"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467"/>
      </w:tblGrid>
      <w:tr w14:paraId="7120F87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84" w:hRule="atLeast"/>
        </w:trPr>
        <w:tc>
          <w:tcPr>
            <w:tcW w:w="9467" w:type="dxa"/>
            <w:tcBorders>
              <w:top w:val="single" w:color="000000" w:sz="4" w:space="0"/>
              <w:bottom w:val="single" w:color="000000" w:sz="2" w:space="0"/>
            </w:tcBorders>
            <w:vAlign w:val="top"/>
          </w:tcPr>
          <w:p w14:paraId="6F247500">
            <w:pPr>
              <w:pStyle w:val="9"/>
              <w:spacing w:before="286" w:line="227" w:lineRule="auto"/>
              <w:ind w:left="36"/>
              <w:outlineLvl w:val="2"/>
              <w:rPr>
                <w:color w:val="auto"/>
                <w:sz w:val="31"/>
                <w:szCs w:val="31"/>
                <w:highlight w:val="none"/>
              </w:rPr>
            </w:pPr>
            <w:bookmarkStart w:id="105" w:name="_Toc22817"/>
            <w:r>
              <w:rPr>
                <w:b/>
                <w:bCs/>
                <w:color w:val="auto"/>
                <w:spacing w:val="-4"/>
                <w:sz w:val="31"/>
                <w:szCs w:val="31"/>
                <w:highlight w:val="none"/>
              </w:rPr>
              <w:t>12.3</w:t>
            </w:r>
            <w:r>
              <w:rPr>
                <w:color w:val="auto"/>
                <w:spacing w:val="17"/>
                <w:sz w:val="31"/>
                <w:szCs w:val="31"/>
                <w:highlight w:val="none"/>
              </w:rPr>
              <w:t xml:space="preserve"> </w:t>
            </w:r>
            <w:r>
              <w:rPr>
                <w:b/>
                <w:bCs/>
                <w:color w:val="auto"/>
                <w:spacing w:val="-4"/>
                <w:sz w:val="31"/>
                <w:szCs w:val="31"/>
                <w:highlight w:val="none"/>
              </w:rPr>
              <w:t>计量</w:t>
            </w:r>
            <w:bookmarkEnd w:id="105"/>
          </w:p>
          <w:p w14:paraId="162E1584">
            <w:pPr>
              <w:spacing w:line="411" w:lineRule="auto"/>
              <w:rPr>
                <w:rFonts w:ascii="Arial"/>
                <w:color w:val="auto"/>
                <w:sz w:val="21"/>
                <w:highlight w:val="none"/>
              </w:rPr>
            </w:pPr>
          </w:p>
          <w:p w14:paraId="2606D131">
            <w:pPr>
              <w:pStyle w:val="9"/>
              <w:spacing w:before="65" w:line="229" w:lineRule="auto"/>
              <w:ind w:left="443"/>
              <w:rPr>
                <w:color w:val="auto"/>
                <w:highlight w:val="none"/>
              </w:rPr>
            </w:pPr>
            <w:r>
              <w:rPr>
                <w:color w:val="auto"/>
                <w:spacing w:val="4"/>
                <w:highlight w:val="none"/>
              </w:rPr>
              <w:t>12.3.1 计量原则</w:t>
            </w:r>
          </w:p>
          <w:p w14:paraId="6CC033FE">
            <w:pPr>
              <w:pStyle w:val="9"/>
              <w:spacing w:before="220" w:line="304" w:lineRule="auto"/>
              <w:ind w:left="42" w:right="1" w:firstLine="388"/>
              <w:rPr>
                <w:color w:val="auto"/>
                <w:highlight w:val="none"/>
              </w:rPr>
            </w:pPr>
            <w:r>
              <w:rPr>
                <w:color w:val="auto"/>
                <w:spacing w:val="7"/>
                <w:highlight w:val="none"/>
              </w:rPr>
              <w:t>工程量计算规则：</w:t>
            </w:r>
            <w:r>
              <w:rPr>
                <w:color w:val="auto"/>
                <w:spacing w:val="7"/>
                <w:highlight w:val="none"/>
                <w:u w:val="single" w:color="auto"/>
              </w:rPr>
              <w:t>工程的计量均以《建设工程工程量清单计价规范》（</w:t>
            </w:r>
            <w:r>
              <w:rPr>
                <w:color w:val="auto"/>
                <w:highlight w:val="none"/>
                <w:u w:val="single" w:color="auto"/>
              </w:rPr>
              <w:t>GB</w:t>
            </w:r>
            <w:r>
              <w:rPr>
                <w:color w:val="auto"/>
                <w:spacing w:val="7"/>
                <w:highlight w:val="none"/>
                <w:u w:val="single" w:color="auto"/>
              </w:rPr>
              <w:t>50500－2013）及广西壮族</w:t>
            </w:r>
            <w:r>
              <w:rPr>
                <w:color w:val="auto"/>
                <w:spacing w:val="5"/>
                <w:highlight w:val="none"/>
              </w:rPr>
              <w:t xml:space="preserve"> </w:t>
            </w:r>
            <w:r>
              <w:rPr>
                <w:color w:val="auto"/>
                <w:spacing w:val="6"/>
                <w:highlight w:val="none"/>
              </w:rPr>
              <w:t>自治区实施细则、《建设工程工程量清单计算规范》（</w:t>
            </w:r>
            <w:r>
              <w:rPr>
                <w:color w:val="auto"/>
                <w:highlight w:val="none"/>
              </w:rPr>
              <w:t>GB</w:t>
            </w:r>
            <w:r>
              <w:rPr>
                <w:color w:val="auto"/>
                <w:spacing w:val="6"/>
                <w:highlight w:val="none"/>
              </w:rPr>
              <w:t>50854~50862－2013）及广西实施细则、本工程</w:t>
            </w:r>
          </w:p>
        </w:tc>
      </w:tr>
      <w:tr w14:paraId="3A626D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91" w:hRule="atLeast"/>
        </w:trPr>
        <w:tc>
          <w:tcPr>
            <w:tcW w:w="9467" w:type="dxa"/>
            <w:tcBorders>
              <w:top w:val="single" w:color="000000" w:sz="2" w:space="0"/>
              <w:bottom w:val="single" w:color="000000" w:sz="2" w:space="0"/>
            </w:tcBorders>
            <w:vAlign w:val="top"/>
          </w:tcPr>
          <w:p w14:paraId="48A560E6">
            <w:pPr>
              <w:pStyle w:val="9"/>
              <w:spacing w:before="261" w:line="229" w:lineRule="auto"/>
              <w:ind w:left="8"/>
              <w:rPr>
                <w:color w:val="auto"/>
                <w:highlight w:val="none"/>
              </w:rPr>
            </w:pPr>
            <w:r>
              <w:rPr>
                <w:color w:val="auto"/>
                <w:spacing w:val="11"/>
                <w:highlight w:val="none"/>
                <w:u w:val="single" w:color="auto"/>
              </w:rPr>
              <w:t>补充项目清单为准。</w:t>
            </w:r>
          </w:p>
          <w:p w14:paraId="70576B7A">
            <w:pPr>
              <w:pStyle w:val="9"/>
              <w:spacing w:before="219" w:line="229" w:lineRule="auto"/>
              <w:ind w:left="443"/>
              <w:rPr>
                <w:color w:val="auto"/>
                <w:highlight w:val="none"/>
              </w:rPr>
            </w:pPr>
            <w:r>
              <w:rPr>
                <w:color w:val="auto"/>
                <w:spacing w:val="4"/>
                <w:highlight w:val="none"/>
              </w:rPr>
              <w:t>12.3.2 计量周期</w:t>
            </w:r>
          </w:p>
          <w:p w14:paraId="6771409A">
            <w:pPr>
              <w:pStyle w:val="9"/>
              <w:spacing w:before="220" w:line="228" w:lineRule="auto"/>
              <w:ind w:left="431"/>
              <w:rPr>
                <w:color w:val="auto"/>
                <w:highlight w:val="none"/>
              </w:rPr>
            </w:pPr>
            <w:r>
              <w:rPr>
                <w:color w:val="auto"/>
                <w:spacing w:val="4"/>
                <w:highlight w:val="none"/>
              </w:rPr>
              <w:t>关于计量周期的约定：</w:t>
            </w:r>
            <w:r>
              <w:rPr>
                <w:color w:val="auto"/>
                <w:spacing w:val="4"/>
                <w:highlight w:val="none"/>
                <w:u w:val="single" w:color="auto"/>
              </w:rPr>
              <w:t>每月</w:t>
            </w:r>
            <w:r>
              <w:rPr>
                <w:color w:val="auto"/>
                <w:spacing w:val="-33"/>
                <w:highlight w:val="none"/>
                <w:u w:val="single" w:color="auto"/>
              </w:rPr>
              <w:t xml:space="preserve"> </w:t>
            </w:r>
            <w:r>
              <w:rPr>
                <w:color w:val="auto"/>
                <w:spacing w:val="4"/>
                <w:highlight w:val="none"/>
                <w:u w:val="single" w:color="auto"/>
              </w:rPr>
              <w:t>25 日前</w:t>
            </w:r>
            <w:r>
              <w:rPr>
                <w:color w:val="auto"/>
                <w:spacing w:val="4"/>
                <w:highlight w:val="none"/>
              </w:rPr>
              <w:t>。</w:t>
            </w:r>
          </w:p>
          <w:p w14:paraId="53203F36">
            <w:pPr>
              <w:pStyle w:val="9"/>
              <w:spacing w:before="220" w:line="227" w:lineRule="auto"/>
              <w:ind w:left="443"/>
              <w:outlineLvl w:val="0"/>
              <w:rPr>
                <w:color w:val="auto"/>
                <w:highlight w:val="none"/>
              </w:rPr>
            </w:pPr>
            <w:bookmarkStart w:id="106" w:name="_Toc13074"/>
            <w:r>
              <w:rPr>
                <w:color w:val="auto"/>
                <w:spacing w:val="5"/>
                <w:highlight w:val="none"/>
              </w:rPr>
              <w:t>12.3.3 单价合同的计量</w:t>
            </w:r>
            <w:bookmarkEnd w:id="106"/>
          </w:p>
          <w:p w14:paraId="6E4AB8F4">
            <w:pPr>
              <w:pStyle w:val="9"/>
              <w:spacing w:before="222" w:line="227" w:lineRule="auto"/>
              <w:ind w:left="431"/>
              <w:rPr>
                <w:color w:val="auto"/>
                <w:highlight w:val="none"/>
              </w:rPr>
            </w:pPr>
            <w:r>
              <w:rPr>
                <w:color w:val="auto"/>
                <w:spacing w:val="8"/>
                <w:highlight w:val="none"/>
              </w:rPr>
              <w:t>关于单价合同计量的约定：</w:t>
            </w:r>
          </w:p>
          <w:p w14:paraId="42FF94E6">
            <w:pPr>
              <w:pStyle w:val="9"/>
              <w:spacing w:before="222" w:line="330" w:lineRule="auto"/>
              <w:ind w:left="9" w:right="1" w:firstLine="477"/>
              <w:rPr>
                <w:color w:val="auto"/>
                <w:highlight w:val="none"/>
              </w:rPr>
            </w:pPr>
            <w:r>
              <w:rPr>
                <w:color w:val="auto"/>
                <w:spacing w:val="8"/>
                <w:highlight w:val="none"/>
              </w:rPr>
              <w:t>(1) 工程量清单所列的工程量，不能作为承包人按合同履行其责任依据，实际施工中发生的工程量</w:t>
            </w:r>
            <w:r>
              <w:rPr>
                <w:color w:val="auto"/>
                <w:spacing w:val="18"/>
                <w:highlight w:val="none"/>
              </w:rPr>
              <w:t xml:space="preserve"> </w:t>
            </w:r>
            <w:r>
              <w:rPr>
                <w:color w:val="auto"/>
                <w:spacing w:val="9"/>
                <w:highlight w:val="none"/>
              </w:rPr>
              <w:t>增加或减少并不影响承包人履行合同的责任，工程结算以完成的实际工程量为准。</w:t>
            </w:r>
          </w:p>
          <w:p w14:paraId="6F4ECEF7">
            <w:pPr>
              <w:pStyle w:val="9"/>
              <w:spacing w:before="222" w:line="329" w:lineRule="auto"/>
              <w:ind w:left="11" w:right="1" w:firstLine="475"/>
              <w:rPr>
                <w:color w:val="auto"/>
                <w:highlight w:val="none"/>
              </w:rPr>
            </w:pPr>
            <w:r>
              <w:rPr>
                <w:color w:val="auto"/>
                <w:spacing w:val="8"/>
                <w:highlight w:val="none"/>
              </w:rPr>
              <w:t>(2) 除另有规定外，工程师应按照合同通过计量来核实确定已完成的工程量和价款，承包人应得到</w:t>
            </w:r>
            <w:r>
              <w:rPr>
                <w:color w:val="auto"/>
                <w:spacing w:val="18"/>
                <w:highlight w:val="none"/>
              </w:rPr>
              <w:t xml:space="preserve"> </w:t>
            </w:r>
            <w:r>
              <w:rPr>
                <w:color w:val="auto"/>
                <w:spacing w:val="10"/>
                <w:highlight w:val="none"/>
              </w:rPr>
              <w:t>该价款扣除保留金后的金额。当工程师要对已</w:t>
            </w:r>
            <w:r>
              <w:rPr>
                <w:color w:val="auto"/>
                <w:spacing w:val="9"/>
                <w:highlight w:val="none"/>
              </w:rPr>
              <w:t>完工的工程量进行计量时，应适时地通知承包人参加。</w:t>
            </w:r>
          </w:p>
          <w:p w14:paraId="0C317FBD">
            <w:pPr>
              <w:pStyle w:val="9"/>
              <w:spacing w:before="222" w:line="227" w:lineRule="auto"/>
              <w:ind w:left="443"/>
              <w:rPr>
                <w:color w:val="auto"/>
                <w:highlight w:val="none"/>
              </w:rPr>
            </w:pPr>
            <w:r>
              <w:rPr>
                <w:color w:val="auto"/>
                <w:spacing w:val="5"/>
                <w:highlight w:val="none"/>
              </w:rPr>
              <w:t>12.3.4 总价合同的计量</w:t>
            </w:r>
          </w:p>
          <w:p w14:paraId="4B855083">
            <w:pPr>
              <w:pStyle w:val="9"/>
              <w:spacing w:before="222" w:line="432" w:lineRule="auto"/>
              <w:ind w:left="8" w:firstLine="430"/>
              <w:rPr>
                <w:color w:val="auto"/>
                <w:highlight w:val="none"/>
              </w:rPr>
            </w:pPr>
            <w:r>
              <w:rPr>
                <w:color w:val="auto"/>
                <w:spacing w:val="7"/>
                <w:highlight w:val="none"/>
              </w:rPr>
              <w:t>（1）总价合同计量约定：进度款按支付分解表支付，支付分解表在招标完成后签合同之前制定，具</w:t>
            </w:r>
            <w:r>
              <w:rPr>
                <w:color w:val="auto"/>
                <w:spacing w:val="18"/>
                <w:highlight w:val="none"/>
              </w:rPr>
              <w:t xml:space="preserve"> </w:t>
            </w:r>
            <w:r>
              <w:rPr>
                <w:color w:val="auto"/>
                <w:spacing w:val="5"/>
                <w:highlight w:val="none"/>
              </w:rPr>
              <w:t>体详见本专用合同条款</w:t>
            </w:r>
            <w:r>
              <w:rPr>
                <w:color w:val="auto"/>
                <w:spacing w:val="-12"/>
                <w:highlight w:val="none"/>
              </w:rPr>
              <w:t xml:space="preserve"> </w:t>
            </w:r>
            <w:r>
              <w:rPr>
                <w:color w:val="auto"/>
                <w:spacing w:val="5"/>
                <w:highlight w:val="none"/>
              </w:rPr>
              <w:t>12.4.6。</w:t>
            </w:r>
          </w:p>
          <w:p w14:paraId="1B297833">
            <w:pPr>
              <w:pStyle w:val="9"/>
              <w:spacing w:before="1" w:line="226" w:lineRule="auto"/>
              <w:ind w:left="443"/>
              <w:rPr>
                <w:color w:val="auto"/>
                <w:highlight w:val="none"/>
              </w:rPr>
            </w:pPr>
            <w:r>
              <w:rPr>
                <w:color w:val="auto"/>
                <w:spacing w:val="6"/>
                <w:highlight w:val="none"/>
              </w:rPr>
              <w:t>12.3.6 其他价格形式合同的计量</w:t>
            </w:r>
          </w:p>
          <w:p w14:paraId="36DF9E9E">
            <w:pPr>
              <w:pStyle w:val="9"/>
              <w:spacing w:before="222" w:line="227" w:lineRule="auto"/>
              <w:ind w:left="429"/>
              <w:rPr>
                <w:color w:val="auto"/>
                <w:highlight w:val="none"/>
              </w:rPr>
            </w:pPr>
            <w:r>
              <w:rPr>
                <w:color w:val="auto"/>
                <w:spacing w:val="8"/>
                <w:highlight w:val="none"/>
              </w:rPr>
              <w:t>其他价格形式的计量方式和程序：</w:t>
            </w:r>
            <w:r>
              <w:rPr>
                <w:color w:val="auto"/>
                <w:spacing w:val="8"/>
                <w:highlight w:val="none"/>
                <w:u w:val="single" w:color="auto"/>
              </w:rPr>
              <w:t>无</w:t>
            </w:r>
            <w:r>
              <w:rPr>
                <w:color w:val="auto"/>
                <w:spacing w:val="8"/>
                <w:highlight w:val="none"/>
              </w:rPr>
              <w:t>。</w:t>
            </w:r>
          </w:p>
          <w:p w14:paraId="638FD750">
            <w:pPr>
              <w:spacing w:line="401" w:lineRule="auto"/>
              <w:rPr>
                <w:rFonts w:ascii="Arial"/>
                <w:color w:val="auto"/>
                <w:sz w:val="21"/>
                <w:highlight w:val="none"/>
              </w:rPr>
            </w:pPr>
          </w:p>
          <w:p w14:paraId="2863C266">
            <w:pPr>
              <w:pStyle w:val="9"/>
              <w:spacing w:before="102" w:line="225" w:lineRule="auto"/>
              <w:ind w:left="36"/>
              <w:outlineLvl w:val="1"/>
              <w:rPr>
                <w:color w:val="auto"/>
                <w:sz w:val="31"/>
                <w:szCs w:val="31"/>
                <w:highlight w:val="none"/>
              </w:rPr>
            </w:pPr>
            <w:bookmarkStart w:id="107" w:name="_Toc16750"/>
            <w:r>
              <w:rPr>
                <w:b/>
                <w:bCs/>
                <w:color w:val="auto"/>
                <w:spacing w:val="2"/>
                <w:sz w:val="31"/>
                <w:szCs w:val="31"/>
                <w:highlight w:val="none"/>
              </w:rPr>
              <w:t>12.4</w:t>
            </w:r>
            <w:r>
              <w:rPr>
                <w:color w:val="auto"/>
                <w:spacing w:val="2"/>
                <w:sz w:val="31"/>
                <w:szCs w:val="31"/>
                <w:highlight w:val="none"/>
              </w:rPr>
              <w:t xml:space="preserve"> </w:t>
            </w:r>
            <w:r>
              <w:rPr>
                <w:b/>
                <w:bCs/>
                <w:color w:val="auto"/>
                <w:spacing w:val="2"/>
                <w:sz w:val="31"/>
                <w:szCs w:val="31"/>
                <w:highlight w:val="none"/>
              </w:rPr>
              <w:t>工程进度款支付</w:t>
            </w:r>
            <w:bookmarkEnd w:id="107"/>
          </w:p>
          <w:p w14:paraId="78933FDC">
            <w:pPr>
              <w:spacing w:line="427" w:lineRule="auto"/>
              <w:rPr>
                <w:rFonts w:ascii="Arial"/>
                <w:color w:val="auto"/>
                <w:sz w:val="21"/>
                <w:highlight w:val="none"/>
              </w:rPr>
            </w:pPr>
          </w:p>
          <w:p w14:paraId="30BDF78E">
            <w:pPr>
              <w:pStyle w:val="9"/>
              <w:spacing w:before="66" w:line="367" w:lineRule="auto"/>
              <w:ind w:left="9" w:right="1" w:firstLine="418"/>
              <w:jc w:val="both"/>
              <w:rPr>
                <w:color w:val="auto"/>
                <w:highlight w:val="none"/>
              </w:rPr>
            </w:pPr>
            <w:r>
              <w:rPr>
                <w:color w:val="auto"/>
                <w:spacing w:val="11"/>
                <w:highlight w:val="none"/>
              </w:rPr>
              <w:t>政府机关、事业单位、国有企业建设工程进度款支付应不</w:t>
            </w:r>
            <w:r>
              <w:rPr>
                <w:color w:val="auto"/>
                <w:spacing w:val="10"/>
                <w:highlight w:val="none"/>
              </w:rPr>
              <w:t>低于已完成工程价款的80%；同时，在确</w:t>
            </w:r>
            <w:r>
              <w:rPr>
                <w:color w:val="auto"/>
                <w:highlight w:val="none"/>
              </w:rPr>
              <w:t xml:space="preserve"> </w:t>
            </w:r>
            <w:r>
              <w:rPr>
                <w:color w:val="auto"/>
                <w:spacing w:val="10"/>
                <w:highlight w:val="none"/>
              </w:rPr>
              <w:t>保不超出工程总概（预）算以及工程决（结）算工作顺利开展的前提下，除</w:t>
            </w:r>
            <w:r>
              <w:rPr>
                <w:color w:val="auto"/>
                <w:spacing w:val="9"/>
                <w:highlight w:val="none"/>
              </w:rPr>
              <w:t>按合同约定保留不超过工程</w:t>
            </w:r>
            <w:r>
              <w:rPr>
                <w:color w:val="auto"/>
                <w:highlight w:val="none"/>
              </w:rPr>
              <w:t xml:space="preserve"> </w:t>
            </w:r>
            <w:r>
              <w:rPr>
                <w:color w:val="auto"/>
                <w:spacing w:val="9"/>
                <w:highlight w:val="none"/>
              </w:rPr>
              <w:t>价款总额</w:t>
            </w:r>
            <w:r>
              <w:rPr>
                <w:color w:val="auto"/>
                <w:spacing w:val="-33"/>
                <w:highlight w:val="none"/>
              </w:rPr>
              <w:t xml:space="preserve"> </w:t>
            </w:r>
            <w:r>
              <w:rPr>
                <w:color w:val="auto"/>
                <w:spacing w:val="9"/>
                <w:highlight w:val="none"/>
              </w:rPr>
              <w:t>3%的质量保证金外，进度款支付比</w:t>
            </w:r>
            <w:r>
              <w:rPr>
                <w:color w:val="auto"/>
                <w:spacing w:val="8"/>
                <w:highlight w:val="none"/>
              </w:rPr>
              <w:t>例可由发承包双方根据项目实际情况自行确定。在结算过程</w:t>
            </w:r>
            <w:r>
              <w:rPr>
                <w:color w:val="auto"/>
                <w:highlight w:val="none"/>
              </w:rPr>
              <w:t xml:space="preserve"> </w:t>
            </w:r>
            <w:r>
              <w:rPr>
                <w:color w:val="auto"/>
                <w:spacing w:val="6"/>
                <w:highlight w:val="none"/>
              </w:rPr>
              <w:t>中，若发生进度款支付超出实际已完成工程价款的情况，承包单位应按规定在结算后</w:t>
            </w:r>
            <w:r>
              <w:rPr>
                <w:color w:val="auto"/>
                <w:spacing w:val="-27"/>
                <w:highlight w:val="none"/>
              </w:rPr>
              <w:t xml:space="preserve"> </w:t>
            </w:r>
            <w:r>
              <w:rPr>
                <w:color w:val="auto"/>
                <w:spacing w:val="6"/>
                <w:highlight w:val="none"/>
              </w:rPr>
              <w:t>30 日内向发包单位</w:t>
            </w:r>
            <w:r>
              <w:rPr>
                <w:color w:val="auto"/>
                <w:highlight w:val="none"/>
              </w:rPr>
              <w:t xml:space="preserve"> </w:t>
            </w:r>
            <w:r>
              <w:rPr>
                <w:color w:val="auto"/>
                <w:spacing w:val="8"/>
                <w:highlight w:val="none"/>
              </w:rPr>
              <w:t>返还多收到的工程进度款。</w:t>
            </w:r>
          </w:p>
          <w:p w14:paraId="473FEE31">
            <w:pPr>
              <w:pStyle w:val="9"/>
              <w:spacing w:line="228" w:lineRule="auto"/>
              <w:ind w:left="443"/>
              <w:rPr>
                <w:color w:val="auto"/>
                <w:highlight w:val="none"/>
              </w:rPr>
            </w:pPr>
            <w:r>
              <w:rPr>
                <w:color w:val="auto"/>
                <w:spacing w:val="4"/>
                <w:highlight w:val="none"/>
              </w:rPr>
              <w:t>12.4.1 付款周期</w:t>
            </w:r>
          </w:p>
          <w:p w14:paraId="5A95DE10">
            <w:pPr>
              <w:pStyle w:val="9"/>
              <w:spacing w:before="220" w:line="303" w:lineRule="auto"/>
              <w:ind w:left="8" w:right="32" w:firstLine="423"/>
              <w:rPr>
                <w:color w:val="auto"/>
                <w:highlight w:val="none"/>
              </w:rPr>
            </w:pPr>
            <w:r>
              <w:rPr>
                <w:color w:val="auto"/>
                <w:spacing w:val="10"/>
                <w:highlight w:val="none"/>
              </w:rPr>
              <w:t>关于付款周期的约定：</w:t>
            </w:r>
            <w:r>
              <w:rPr>
                <w:b/>
                <w:bCs/>
                <w:color w:val="auto"/>
                <w:spacing w:val="10"/>
                <w:highlight w:val="none"/>
                <w:u w:val="single" w:color="auto"/>
              </w:rPr>
              <w:t>工程款按进度支付，合同内</w:t>
            </w:r>
            <w:r>
              <w:rPr>
                <w:b/>
                <w:bCs/>
                <w:color w:val="auto"/>
                <w:spacing w:val="9"/>
                <w:highlight w:val="none"/>
                <w:u w:val="single" w:color="auto"/>
              </w:rPr>
              <w:t>进度款支付限额为已完成工程价款的80%，工程</w:t>
            </w:r>
            <w:r>
              <w:rPr>
                <w:color w:val="auto"/>
                <w:highlight w:val="none"/>
              </w:rPr>
              <w:t xml:space="preserve"> </w:t>
            </w:r>
            <w:r>
              <w:rPr>
                <w:b/>
                <w:bCs/>
                <w:color w:val="auto"/>
                <w:spacing w:val="9"/>
                <w:highlight w:val="none"/>
              </w:rPr>
              <w:t>变更部分进度款支付限额为已完成工程价款的60%；工程完工验收达到质量要求，结算经审计后并向发</w:t>
            </w:r>
          </w:p>
        </w:tc>
      </w:tr>
      <w:tr w14:paraId="5C5371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3" w:hRule="atLeast"/>
        </w:trPr>
        <w:tc>
          <w:tcPr>
            <w:tcW w:w="9467" w:type="dxa"/>
            <w:tcBorders>
              <w:top w:val="single" w:color="000000" w:sz="2" w:space="0"/>
              <w:bottom w:val="single" w:color="000000" w:sz="2" w:space="0"/>
            </w:tcBorders>
            <w:vAlign w:val="top"/>
          </w:tcPr>
          <w:p w14:paraId="1CFDE8B0">
            <w:pPr>
              <w:pStyle w:val="9"/>
              <w:spacing w:before="265" w:line="173" w:lineRule="auto"/>
              <w:ind w:left="8"/>
              <w:rPr>
                <w:color w:val="auto"/>
                <w:highlight w:val="none"/>
              </w:rPr>
            </w:pPr>
            <w:r>
              <w:rPr>
                <w:b/>
                <w:bCs/>
                <w:color w:val="auto"/>
                <w:spacing w:val="9"/>
                <w:highlight w:val="none"/>
              </w:rPr>
              <w:t>包人提交完整的竣工资料，工程款支付至结算总价的97%（含已支付的</w:t>
            </w:r>
            <w:r>
              <w:rPr>
                <w:b/>
                <w:bCs/>
                <w:color w:val="auto"/>
                <w:spacing w:val="16"/>
                <w:highlight w:val="none"/>
              </w:rPr>
              <w:t>）；</w:t>
            </w:r>
            <w:r>
              <w:rPr>
                <w:b/>
                <w:bCs/>
                <w:color w:val="auto"/>
                <w:spacing w:val="9"/>
                <w:highlight w:val="none"/>
              </w:rPr>
              <w:t>发包人按工程价款结算</w:t>
            </w:r>
            <w:r>
              <w:rPr>
                <w:b/>
                <w:bCs/>
                <w:color w:val="auto"/>
                <w:spacing w:val="8"/>
                <w:highlight w:val="none"/>
              </w:rPr>
              <w:t>总额</w:t>
            </w:r>
          </w:p>
        </w:tc>
      </w:tr>
      <w:tr w14:paraId="46072A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9467" w:type="dxa"/>
            <w:tcBorders>
              <w:top w:val="single" w:color="000000" w:sz="2" w:space="0"/>
              <w:bottom w:val="single" w:color="000000" w:sz="2" w:space="0"/>
            </w:tcBorders>
            <w:vAlign w:val="top"/>
          </w:tcPr>
          <w:p w14:paraId="5DF61077">
            <w:pPr>
              <w:pStyle w:val="9"/>
              <w:spacing w:before="265" w:line="180" w:lineRule="auto"/>
              <w:ind w:left="25"/>
              <w:rPr>
                <w:color w:val="auto"/>
                <w:highlight w:val="none"/>
              </w:rPr>
            </w:pPr>
            <w:r>
              <w:rPr>
                <w:b/>
                <w:bCs/>
                <w:color w:val="auto"/>
                <w:spacing w:val="7"/>
                <w:highlight w:val="none"/>
              </w:rPr>
              <w:t>的</w:t>
            </w:r>
            <w:r>
              <w:rPr>
                <w:color w:val="auto"/>
                <w:spacing w:val="-35"/>
                <w:highlight w:val="none"/>
              </w:rPr>
              <w:t xml:space="preserve"> </w:t>
            </w:r>
            <w:r>
              <w:rPr>
                <w:b/>
                <w:bCs/>
                <w:color w:val="auto"/>
                <w:spacing w:val="7"/>
                <w:highlight w:val="none"/>
              </w:rPr>
              <w:t>3%预留工程质量保修金，待工程质量保修期满后返还，工程保修期满后退还给承包人（无息）。</w:t>
            </w:r>
          </w:p>
        </w:tc>
      </w:tr>
    </w:tbl>
    <w:p w14:paraId="37DEC85E">
      <w:pPr>
        <w:pStyle w:val="2"/>
        <w:rPr>
          <w:color w:val="auto"/>
          <w:highlight w:val="none"/>
        </w:rPr>
      </w:pPr>
    </w:p>
    <w:p w14:paraId="100E731F">
      <w:pPr>
        <w:rPr>
          <w:color w:val="auto"/>
          <w:highlight w:val="none"/>
        </w:rPr>
        <w:sectPr>
          <w:footerReference r:id="rId224" w:type="default"/>
          <w:pgSz w:w="11906" w:h="16839"/>
          <w:pgMar w:top="400" w:right="1219" w:bottom="1158" w:left="1219" w:header="0" w:footer="922" w:gutter="0"/>
          <w:cols w:space="720" w:num="1"/>
        </w:sectPr>
      </w:pPr>
    </w:p>
    <w:p w14:paraId="50802AF1">
      <w:pPr>
        <w:pStyle w:val="2"/>
        <w:spacing w:line="292" w:lineRule="auto"/>
        <w:rPr>
          <w:color w:val="auto"/>
          <w:highlight w:val="none"/>
        </w:rPr>
      </w:pPr>
    </w:p>
    <w:p w14:paraId="115A801E">
      <w:pPr>
        <w:pStyle w:val="2"/>
        <w:spacing w:line="292" w:lineRule="auto"/>
        <w:rPr>
          <w:color w:val="auto"/>
          <w:highlight w:val="none"/>
        </w:rPr>
      </w:pPr>
    </w:p>
    <w:p w14:paraId="41141D43">
      <w:pPr>
        <w:pStyle w:val="2"/>
        <w:spacing w:line="293" w:lineRule="auto"/>
        <w:rPr>
          <w:color w:val="auto"/>
          <w:highlight w:val="none"/>
        </w:rPr>
      </w:pPr>
      <w:r>
        <w:rPr>
          <w:color w:val="auto"/>
          <w:highlight w:val="none"/>
        </w:rPr>
        <w:pict>
          <v:shape id="_x0000_s1043" o:spid="_x0000_s1043" style="position:absolute;left:0pt;margin-left:0pt;margin-top:4.45pt;height:0.75pt;width:473.4pt;z-index:251696128;mso-width-relative:page;mso-height-relative:page;" fillcolor="#000000" filled="t" stroked="f" coordsize="9467,15" path="m0,0l9467,0,9467,14,0,14,0,0xe">
            <v:path/>
            <v:fill on="t" focussize="0,0"/>
            <v:stroke on="f"/>
            <v:imagedata o:title=""/>
            <o:lock v:ext="edit"/>
          </v:shape>
        </w:pict>
      </w:r>
    </w:p>
    <w:p w14:paraId="07EAB0DD">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12.4.2 进度付款申请单的编制</w:t>
      </w:r>
    </w:p>
    <w:p w14:paraId="7BA15748">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关于进度付款申请单编制的约定：</w:t>
      </w:r>
      <w:r>
        <w:rPr>
          <w:rFonts w:ascii="宋体" w:hAnsi="宋体" w:eastAsia="宋体" w:cs="宋体"/>
          <w:color w:val="auto"/>
          <w:spacing w:val="8"/>
          <w:sz w:val="20"/>
          <w:szCs w:val="20"/>
          <w:highlight w:val="none"/>
          <w:u w:val="single" w:color="auto"/>
        </w:rPr>
        <w:t>按发包人要求</w:t>
      </w:r>
      <w:r>
        <w:rPr>
          <w:rFonts w:ascii="宋体" w:hAnsi="宋体" w:eastAsia="宋体" w:cs="宋体"/>
          <w:color w:val="auto"/>
          <w:spacing w:val="8"/>
          <w:sz w:val="20"/>
          <w:szCs w:val="20"/>
          <w:highlight w:val="none"/>
        </w:rPr>
        <w:t>。</w:t>
      </w:r>
    </w:p>
    <w:p w14:paraId="1170AAD0">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12.4.3 进度付款申请单的提交</w:t>
      </w:r>
    </w:p>
    <w:p w14:paraId="650F5BEA">
      <w:pPr>
        <w:spacing w:before="222" w:line="391" w:lineRule="auto"/>
        <w:ind w:left="9" w:right="2" w:firstLine="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（1）单价合同进度付款申请单提交的约定：</w:t>
      </w:r>
      <w:r>
        <w:rPr>
          <w:rFonts w:ascii="宋体" w:hAnsi="宋体" w:eastAsia="宋体" w:cs="宋体"/>
          <w:b/>
          <w:bCs/>
          <w:color w:val="auto"/>
          <w:spacing w:val="9"/>
          <w:sz w:val="20"/>
          <w:szCs w:val="20"/>
          <w:highlight w:val="none"/>
          <w:u w:val="single" w:color="auto"/>
        </w:rPr>
        <w:t>承包人向发包人申请支</w:t>
      </w:r>
      <w:r>
        <w:rPr>
          <w:rFonts w:ascii="宋体" w:hAnsi="宋体" w:eastAsia="宋体" w:cs="宋体"/>
          <w:b/>
          <w:bCs/>
          <w:color w:val="auto"/>
          <w:spacing w:val="8"/>
          <w:sz w:val="20"/>
          <w:szCs w:val="20"/>
          <w:highlight w:val="none"/>
          <w:u w:val="single" w:color="auto"/>
        </w:rPr>
        <w:t>付工程进度款时，承包人应向发包</w:t>
      </w:r>
      <w:r>
        <w:rPr>
          <w:rFonts w:ascii="宋体" w:hAnsi="宋体" w:eastAsia="宋体" w:cs="宋体"/>
          <w:color w:val="auto"/>
          <w:sz w:val="20"/>
          <w:szCs w:val="20"/>
          <w:highlight w:val="none"/>
        </w:rPr>
        <w:t xml:space="preserve">  </w:t>
      </w:r>
      <w:r>
        <w:rPr>
          <w:rFonts w:ascii="宋体" w:hAnsi="宋体" w:eastAsia="宋体" w:cs="宋体"/>
          <w:b/>
          <w:bCs/>
          <w:color w:val="auto"/>
          <w:spacing w:val="8"/>
          <w:sz w:val="20"/>
          <w:szCs w:val="20"/>
          <w:highlight w:val="none"/>
          <w:u w:val="single" w:color="auto"/>
        </w:rPr>
        <w:t>人提供以下资料：①请款函、②项目进度表、③用款申请表、④中标通知书、⑤施工合同、⑥《工程用</w:t>
      </w:r>
      <w:r>
        <w:rPr>
          <w:rFonts w:ascii="宋体" w:hAnsi="宋体" w:eastAsia="宋体" w:cs="宋体"/>
          <w:color w:val="auto"/>
          <w:spacing w:val="1"/>
          <w:sz w:val="20"/>
          <w:szCs w:val="20"/>
          <w:highlight w:val="none"/>
        </w:rPr>
        <w:t xml:space="preserve"> </w:t>
      </w:r>
      <w:r>
        <w:rPr>
          <w:rFonts w:ascii="宋体" w:hAnsi="宋体" w:eastAsia="宋体" w:cs="宋体"/>
          <w:b/>
          <w:bCs/>
          <w:color w:val="auto"/>
          <w:spacing w:val="8"/>
          <w:sz w:val="20"/>
          <w:szCs w:val="20"/>
          <w:highlight w:val="none"/>
          <w:u w:val="single" w:color="auto"/>
        </w:rPr>
        <w:t>款支付证书》、⑦工程量计量报表（格式按横州市财政局具体要求）、⑧项目形象进度照片、⑨农民工</w:t>
      </w:r>
      <w:r>
        <w:rPr>
          <w:rFonts w:ascii="宋体" w:hAnsi="宋体" w:eastAsia="宋体" w:cs="宋体"/>
          <w:color w:val="auto"/>
          <w:spacing w:val="1"/>
          <w:sz w:val="20"/>
          <w:szCs w:val="20"/>
          <w:highlight w:val="none"/>
        </w:rPr>
        <w:t xml:space="preserve"> </w:t>
      </w:r>
      <w:r>
        <w:rPr>
          <w:rFonts w:ascii="宋体" w:hAnsi="宋体" w:eastAsia="宋体" w:cs="宋体"/>
          <w:b/>
          <w:bCs/>
          <w:color w:val="auto"/>
          <w:spacing w:val="8"/>
          <w:sz w:val="20"/>
          <w:szCs w:val="20"/>
          <w:highlight w:val="none"/>
          <w:u w:val="single" w:color="auto"/>
        </w:rPr>
        <w:t>专户信息、⑩营业执照、开户许可证；其他需要补充说明的材料。（请款前与发包人确认具体的请款清</w:t>
      </w:r>
      <w:r>
        <w:rPr>
          <w:rFonts w:ascii="宋体" w:hAnsi="宋体" w:eastAsia="宋体" w:cs="宋体"/>
          <w:color w:val="auto"/>
          <w:spacing w:val="1"/>
          <w:sz w:val="20"/>
          <w:szCs w:val="20"/>
          <w:highlight w:val="none"/>
        </w:rPr>
        <w:t xml:space="preserve"> </w:t>
      </w:r>
      <w:r>
        <w:rPr>
          <w:rFonts w:ascii="宋体" w:hAnsi="宋体" w:eastAsia="宋体" w:cs="宋体"/>
          <w:b/>
          <w:bCs/>
          <w:color w:val="auto"/>
          <w:spacing w:val="-2"/>
          <w:sz w:val="20"/>
          <w:szCs w:val="20"/>
          <w:highlight w:val="none"/>
          <w:u w:val="single" w:color="auto"/>
        </w:rPr>
        <w:t>单）</w:t>
      </w:r>
      <w:r>
        <w:rPr>
          <w:rFonts w:ascii="宋体" w:hAnsi="宋体" w:eastAsia="宋体" w:cs="宋体"/>
          <w:color w:val="auto"/>
          <w:spacing w:val="-2"/>
          <w:sz w:val="20"/>
          <w:szCs w:val="20"/>
          <w:highlight w:val="none"/>
        </w:rPr>
        <w:t>。</w:t>
      </w:r>
    </w:p>
    <w:p w14:paraId="528C60C3">
      <w:pPr>
        <w:spacing w:before="220"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（2）总价合同进度付款申请单提交的约定：</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3ED71691">
      <w:pPr>
        <w:spacing w:before="222" w:line="227"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（3）其他价格形式合同进度付款申请单提交的约定：</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61FB5444">
      <w:pPr>
        <w:spacing w:before="223"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12.4.4 进度款审核和支付</w:t>
      </w:r>
    </w:p>
    <w:p w14:paraId="3767033B">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（1）监理人审查并报送发包人的期限：</w:t>
      </w:r>
      <w:r>
        <w:rPr>
          <w:rFonts w:ascii="宋体" w:hAnsi="宋体" w:eastAsia="宋体" w:cs="宋体"/>
          <w:color w:val="auto"/>
          <w:spacing w:val="8"/>
          <w:sz w:val="20"/>
          <w:szCs w:val="20"/>
          <w:highlight w:val="none"/>
          <w:u w:val="single" w:color="auto"/>
        </w:rPr>
        <w:t>7</w:t>
      </w:r>
      <w:r>
        <w:rPr>
          <w:rFonts w:ascii="宋体" w:hAnsi="宋体" w:eastAsia="宋体" w:cs="宋体"/>
          <w:color w:val="auto"/>
          <w:spacing w:val="-38"/>
          <w:sz w:val="20"/>
          <w:szCs w:val="20"/>
          <w:highlight w:val="none"/>
          <w:u w:val="single" w:color="auto"/>
        </w:rPr>
        <w:t xml:space="preserve"> </w:t>
      </w:r>
      <w:r>
        <w:rPr>
          <w:rFonts w:ascii="宋体" w:hAnsi="宋体" w:eastAsia="宋体" w:cs="宋体"/>
          <w:color w:val="auto"/>
          <w:spacing w:val="8"/>
          <w:sz w:val="20"/>
          <w:szCs w:val="20"/>
          <w:highlight w:val="none"/>
          <w:u w:val="single" w:color="auto"/>
        </w:rPr>
        <w:t>个工作日内</w:t>
      </w:r>
      <w:r>
        <w:rPr>
          <w:rFonts w:ascii="宋体" w:hAnsi="宋体" w:eastAsia="宋体" w:cs="宋体"/>
          <w:color w:val="auto"/>
          <w:spacing w:val="8"/>
          <w:sz w:val="20"/>
          <w:szCs w:val="20"/>
          <w:highlight w:val="none"/>
        </w:rPr>
        <w:t>。</w:t>
      </w:r>
    </w:p>
    <w:p w14:paraId="74644B68">
      <w:pPr>
        <w:spacing w:before="220" w:line="432" w:lineRule="auto"/>
        <w:ind w:left="7" w:right="19" w:firstLine="424"/>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发包人完成审批并签发进度款支付申请的期限：</w:t>
      </w:r>
      <w:r>
        <w:rPr>
          <w:rFonts w:ascii="宋体" w:hAnsi="宋体" w:eastAsia="宋体" w:cs="宋体"/>
          <w:color w:val="auto"/>
          <w:spacing w:val="9"/>
          <w:sz w:val="20"/>
          <w:szCs w:val="20"/>
          <w:highlight w:val="none"/>
          <w:u w:val="single" w:color="auto"/>
        </w:rPr>
        <w:t>收到完整的材料后</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9"/>
          <w:sz w:val="20"/>
          <w:szCs w:val="20"/>
          <w:highlight w:val="none"/>
          <w:u w:val="single" w:color="auto"/>
        </w:rPr>
        <w:t>7</w:t>
      </w:r>
      <w:r>
        <w:rPr>
          <w:rFonts w:ascii="宋体" w:hAnsi="宋体" w:eastAsia="宋体" w:cs="宋体"/>
          <w:color w:val="auto"/>
          <w:spacing w:val="-38"/>
          <w:sz w:val="20"/>
          <w:szCs w:val="20"/>
          <w:highlight w:val="none"/>
          <w:u w:val="single" w:color="auto"/>
        </w:rPr>
        <w:t xml:space="preserve"> </w:t>
      </w:r>
      <w:r>
        <w:rPr>
          <w:rFonts w:ascii="宋体" w:hAnsi="宋体" w:eastAsia="宋体" w:cs="宋体"/>
          <w:color w:val="auto"/>
          <w:spacing w:val="9"/>
          <w:sz w:val="20"/>
          <w:szCs w:val="20"/>
          <w:highlight w:val="none"/>
          <w:u w:val="single" w:color="auto"/>
        </w:rPr>
        <w:t>个工作日内完成审批并签发进</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度款用款申请表</w:t>
      </w:r>
      <w:r>
        <w:rPr>
          <w:rFonts w:ascii="宋体" w:hAnsi="宋体" w:eastAsia="宋体" w:cs="宋体"/>
          <w:color w:val="auto"/>
          <w:spacing w:val="7"/>
          <w:sz w:val="20"/>
          <w:szCs w:val="20"/>
          <w:highlight w:val="none"/>
        </w:rPr>
        <w:t>。</w:t>
      </w:r>
    </w:p>
    <w:p w14:paraId="27F1DD01">
      <w:pPr>
        <w:spacing w:line="432" w:lineRule="auto"/>
        <w:ind w:left="8" w:right="2" w:firstLine="422"/>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为保证工程顺利进行，发包人严禁承包人将付给的工程进度款使用在与发包人发包的工</w:t>
      </w:r>
      <w:r>
        <w:rPr>
          <w:rFonts w:ascii="宋体" w:hAnsi="宋体" w:eastAsia="宋体" w:cs="宋体"/>
          <w:color w:val="auto"/>
          <w:spacing w:val="6"/>
          <w:sz w:val="20"/>
          <w:szCs w:val="20"/>
          <w:highlight w:val="none"/>
        </w:rPr>
        <w:t>程</w:t>
      </w:r>
      <w:r>
        <w:rPr>
          <w:rFonts w:ascii="宋体" w:hAnsi="宋体" w:eastAsia="宋体" w:cs="宋体"/>
          <w:color w:val="auto"/>
          <w:spacing w:val="38"/>
          <w:sz w:val="20"/>
          <w:szCs w:val="20"/>
          <w:highlight w:val="none"/>
        </w:rPr>
        <w:t xml:space="preserve"> </w:t>
      </w:r>
      <w:r>
        <w:rPr>
          <w:rFonts w:ascii="宋体" w:hAnsi="宋体" w:eastAsia="宋体" w:cs="宋体"/>
          <w:color w:val="auto"/>
          <w:spacing w:val="6"/>
          <w:sz w:val="20"/>
          <w:szCs w:val="20"/>
          <w:highlight w:val="none"/>
        </w:rPr>
        <w:t>以外的其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他项目，工程进度款必须专款专用，如本工程有农民工因工资未及时支付造成停工或向相关部门维权，</w:t>
      </w:r>
      <w:r>
        <w:rPr>
          <w:rFonts w:ascii="宋体" w:hAnsi="宋体" w:eastAsia="宋体" w:cs="宋体"/>
          <w:color w:val="auto"/>
          <w:spacing w:val="6"/>
          <w:sz w:val="20"/>
          <w:szCs w:val="20"/>
          <w:highlight w:val="none"/>
        </w:rPr>
        <w:t xml:space="preserve"> </w:t>
      </w:r>
      <w:r>
        <w:rPr>
          <w:rFonts w:ascii="宋体" w:hAnsi="宋体" w:eastAsia="宋体" w:cs="宋体"/>
          <w:color w:val="auto"/>
          <w:spacing w:val="7"/>
          <w:sz w:val="20"/>
          <w:szCs w:val="20"/>
          <w:highlight w:val="none"/>
        </w:rPr>
        <w:t>一经核实承包人有挪用发包人支付的工程进度款，发包人处承包人</w:t>
      </w:r>
      <w:r>
        <w:rPr>
          <w:rFonts w:ascii="宋体" w:hAnsi="宋体" w:eastAsia="宋体" w:cs="宋体"/>
          <w:color w:val="auto"/>
          <w:spacing w:val="-37"/>
          <w:sz w:val="20"/>
          <w:szCs w:val="20"/>
          <w:highlight w:val="none"/>
        </w:rPr>
        <w:t xml:space="preserve"> </w:t>
      </w:r>
      <w:r>
        <w:rPr>
          <w:rFonts w:ascii="宋体" w:hAnsi="宋体" w:eastAsia="宋体" w:cs="宋体"/>
          <w:color w:val="auto"/>
          <w:spacing w:val="7"/>
          <w:sz w:val="20"/>
          <w:szCs w:val="20"/>
          <w:highlight w:val="none"/>
        </w:rPr>
        <w:t>20000</w:t>
      </w:r>
      <w:r>
        <w:rPr>
          <w:rFonts w:ascii="宋体" w:hAnsi="宋体" w:eastAsia="宋体" w:cs="宋体"/>
          <w:color w:val="auto"/>
          <w:spacing w:val="-36"/>
          <w:sz w:val="20"/>
          <w:szCs w:val="20"/>
          <w:highlight w:val="none"/>
        </w:rPr>
        <w:t xml:space="preserve"> </w:t>
      </w:r>
      <w:r>
        <w:rPr>
          <w:rFonts w:ascii="宋体" w:hAnsi="宋体" w:eastAsia="宋体" w:cs="宋体"/>
          <w:color w:val="auto"/>
          <w:spacing w:val="7"/>
          <w:sz w:val="20"/>
          <w:szCs w:val="20"/>
          <w:highlight w:val="none"/>
        </w:rPr>
        <w:t>元/次的违约金</w:t>
      </w:r>
      <w:r>
        <w:rPr>
          <w:rFonts w:ascii="宋体" w:hAnsi="宋体" w:eastAsia="宋体" w:cs="宋体"/>
          <w:color w:val="auto"/>
          <w:spacing w:val="6"/>
          <w:sz w:val="20"/>
          <w:szCs w:val="20"/>
          <w:highlight w:val="none"/>
        </w:rPr>
        <w:t>在结算总价中扣</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除。承包人雇佣的劳务工人工资及一切支出由承包人自行解决，承 包人不得</w:t>
      </w:r>
      <w:r>
        <w:rPr>
          <w:rFonts w:ascii="宋体" w:hAnsi="宋体" w:eastAsia="宋体" w:cs="宋体"/>
          <w:color w:val="auto"/>
          <w:spacing w:val="7"/>
          <w:sz w:val="20"/>
          <w:szCs w:val="20"/>
          <w:highlight w:val="none"/>
        </w:rPr>
        <w:t>以任何理由和事项为借口拖</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欠劳务工人工资，发包人对承包人拖欠任何应付款不承担责任。</w:t>
      </w:r>
    </w:p>
    <w:p w14:paraId="3331B183">
      <w:pPr>
        <w:spacing w:before="1"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（2）发包人支付进度款的期限：</w:t>
      </w:r>
      <w:r>
        <w:rPr>
          <w:rFonts w:ascii="宋体" w:hAnsi="宋体" w:eastAsia="宋体" w:cs="宋体"/>
          <w:color w:val="auto"/>
          <w:spacing w:val="-48"/>
          <w:sz w:val="20"/>
          <w:szCs w:val="20"/>
          <w:highlight w:val="none"/>
        </w:rPr>
        <w:t xml:space="preserve"> </w:t>
      </w:r>
      <w:r>
        <w:rPr>
          <w:rFonts w:ascii="宋体" w:hAnsi="宋体" w:eastAsia="宋体" w:cs="宋体"/>
          <w:color w:val="auto"/>
          <w:spacing w:val="7"/>
          <w:sz w:val="20"/>
          <w:szCs w:val="20"/>
          <w:highlight w:val="none"/>
          <w:u w:val="single" w:color="auto"/>
        </w:rPr>
        <w:t>以财政实际拨付到位时间为准</w:t>
      </w:r>
      <w:r>
        <w:rPr>
          <w:rFonts w:ascii="宋体" w:hAnsi="宋体" w:eastAsia="宋体" w:cs="宋体"/>
          <w:color w:val="auto"/>
          <w:spacing w:val="7"/>
          <w:sz w:val="20"/>
          <w:szCs w:val="20"/>
          <w:highlight w:val="none"/>
        </w:rPr>
        <w:t>。</w:t>
      </w:r>
    </w:p>
    <w:p w14:paraId="66CD17F1">
      <w:pPr>
        <w:spacing w:before="221" w:line="228" w:lineRule="auto"/>
        <w:ind w:left="537"/>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发包人逾期支付进度款的违约金的计算方式：</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0D651D4A">
      <w:pPr>
        <w:spacing w:before="221" w:line="228" w:lineRule="auto"/>
        <w:ind w:left="63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进度款支付方式：</w:t>
      </w:r>
      <w:r>
        <w:rPr>
          <w:rFonts w:ascii="宋体" w:hAnsi="宋体" w:eastAsia="宋体" w:cs="宋体"/>
          <w:color w:val="auto"/>
          <w:spacing w:val="8"/>
          <w:sz w:val="20"/>
          <w:szCs w:val="20"/>
          <w:highlight w:val="none"/>
          <w:u w:val="single" w:color="auto"/>
        </w:rPr>
        <w:t>银行转账</w:t>
      </w:r>
      <w:r>
        <w:rPr>
          <w:rFonts w:ascii="宋体" w:hAnsi="宋体" w:eastAsia="宋体" w:cs="宋体"/>
          <w:color w:val="auto"/>
          <w:spacing w:val="8"/>
          <w:sz w:val="20"/>
          <w:szCs w:val="20"/>
          <w:highlight w:val="none"/>
        </w:rPr>
        <w:t>。</w:t>
      </w:r>
    </w:p>
    <w:p w14:paraId="49B081C6">
      <w:pPr>
        <w:spacing w:before="221" w:line="228" w:lineRule="auto"/>
        <w:ind w:left="54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w:t>
      </w:r>
      <w:r>
        <w:rPr>
          <w:rFonts w:ascii="宋体" w:hAnsi="宋体" w:eastAsia="宋体" w:cs="宋体"/>
          <w:color w:val="auto"/>
          <w:spacing w:val="28"/>
          <w:sz w:val="20"/>
          <w:szCs w:val="20"/>
          <w:highlight w:val="none"/>
        </w:rPr>
        <w:t xml:space="preserve"> </w:t>
      </w:r>
      <w:r>
        <w:rPr>
          <w:rFonts w:ascii="宋体" w:hAnsi="宋体" w:eastAsia="宋体" w:cs="宋体"/>
          <w:color w:val="auto"/>
          <w:spacing w:val="5"/>
          <w:sz w:val="20"/>
          <w:szCs w:val="20"/>
          <w:highlight w:val="none"/>
        </w:rPr>
        <w:t>农民工工资支付</w:t>
      </w:r>
    </w:p>
    <w:p w14:paraId="72D61EA5">
      <w:pPr>
        <w:spacing w:before="221" w:line="364" w:lineRule="auto"/>
        <w:ind w:left="9" w:right="19" w:firstLine="54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 xml:space="preserve">1）人工费用是指发包人向承包人专用账户拨付的专项用于支付农民工工资的工程款。农民工工资 </w:t>
      </w:r>
      <w:r>
        <w:rPr>
          <w:rFonts w:ascii="宋体" w:hAnsi="宋体" w:eastAsia="宋体" w:cs="宋体"/>
          <w:color w:val="auto"/>
          <w:spacing w:val="10"/>
          <w:sz w:val="20"/>
          <w:szCs w:val="20"/>
          <w:highlight w:val="none"/>
        </w:rPr>
        <w:t>专用账户是指承包人在工程建设项目所在地银行业金融机构（简称银行）开</w:t>
      </w:r>
      <w:r>
        <w:rPr>
          <w:rFonts w:ascii="宋体" w:hAnsi="宋体" w:eastAsia="宋体" w:cs="宋体"/>
          <w:color w:val="auto"/>
          <w:spacing w:val="9"/>
          <w:sz w:val="20"/>
          <w:szCs w:val="20"/>
          <w:highlight w:val="none"/>
        </w:rPr>
        <w:t>立的，专项用于支付农民工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工资的专用存款账户。</w:t>
      </w:r>
    </w:p>
    <w:p w14:paraId="2F2ACFC8">
      <w:pPr>
        <w:spacing w:before="220" w:line="381" w:lineRule="auto"/>
        <w:ind w:left="8" w:firstLine="5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2）人工费应与工程进度款分帐管理。必须按时足额支付，人工费拨付周期不得超过</w:t>
      </w:r>
      <w:r>
        <w:rPr>
          <w:rFonts w:ascii="宋体" w:hAnsi="宋体" w:eastAsia="宋体" w:cs="宋体"/>
          <w:color w:val="auto"/>
          <w:spacing w:val="-19"/>
          <w:sz w:val="20"/>
          <w:szCs w:val="20"/>
          <w:highlight w:val="none"/>
        </w:rPr>
        <w:t xml:space="preserve"> </w:t>
      </w:r>
      <w:r>
        <w:rPr>
          <w:rFonts w:ascii="宋体" w:hAnsi="宋体" w:eastAsia="宋体" w:cs="宋体"/>
          <w:color w:val="auto"/>
          <w:spacing w:val="9"/>
          <w:sz w:val="20"/>
          <w:szCs w:val="20"/>
          <w:highlight w:val="none"/>
        </w:rPr>
        <w:t>1</w:t>
      </w:r>
      <w:r>
        <w:rPr>
          <w:rFonts w:ascii="宋体" w:hAnsi="宋体" w:eastAsia="宋体" w:cs="宋体"/>
          <w:color w:val="auto"/>
          <w:spacing w:val="-38"/>
          <w:sz w:val="20"/>
          <w:szCs w:val="20"/>
          <w:highlight w:val="none"/>
        </w:rPr>
        <w:t xml:space="preserve"> </w:t>
      </w:r>
      <w:r>
        <w:rPr>
          <w:rFonts w:ascii="宋体" w:hAnsi="宋体" w:eastAsia="宋体" w:cs="宋体"/>
          <w:color w:val="auto"/>
          <w:spacing w:val="9"/>
          <w:sz w:val="20"/>
          <w:szCs w:val="20"/>
          <w:highlight w:val="none"/>
        </w:rPr>
        <w:t>个月，最少</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每月支付一次，无工程款申请的月份，承包人单独上报人工费划拨申请；若因发包人未按照合同约定划</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拨工程款项导致拖欠工资的，</w:t>
      </w:r>
      <w:r>
        <w:rPr>
          <w:rFonts w:ascii="宋体" w:hAnsi="宋体" w:eastAsia="宋体" w:cs="宋体"/>
          <w:color w:val="auto"/>
          <w:spacing w:val="-49"/>
          <w:sz w:val="20"/>
          <w:szCs w:val="20"/>
          <w:highlight w:val="none"/>
        </w:rPr>
        <w:t xml:space="preserve"> </w:t>
      </w:r>
      <w:r>
        <w:rPr>
          <w:rFonts w:ascii="宋体" w:hAnsi="宋体" w:eastAsia="宋体" w:cs="宋体"/>
          <w:color w:val="auto"/>
          <w:spacing w:val="9"/>
          <w:sz w:val="20"/>
          <w:szCs w:val="20"/>
          <w:highlight w:val="none"/>
        </w:rPr>
        <w:t>由发包人以未结清的工程款项为限先行垫付所拖欠的工资；承包人向发包</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人申请工程进度款时必须把农民工工资部分单独列明，如果未单独列明，监理单位不得签支付证书等支</w:t>
      </w:r>
    </w:p>
    <w:p w14:paraId="5446C342">
      <w:pPr>
        <w:spacing w:line="381" w:lineRule="auto"/>
        <w:rPr>
          <w:rFonts w:ascii="宋体" w:hAnsi="宋体" w:eastAsia="宋体" w:cs="宋体"/>
          <w:color w:val="auto"/>
          <w:sz w:val="20"/>
          <w:szCs w:val="20"/>
          <w:highlight w:val="none"/>
        </w:rPr>
        <w:sectPr>
          <w:footerReference r:id="rId225" w:type="default"/>
          <w:pgSz w:w="11906" w:h="16839"/>
          <w:pgMar w:top="400" w:right="1218" w:bottom="1158" w:left="1219" w:header="0" w:footer="922" w:gutter="0"/>
          <w:cols w:space="720" w:num="1"/>
        </w:sectPr>
      </w:pPr>
    </w:p>
    <w:p w14:paraId="490B4371">
      <w:pPr>
        <w:pStyle w:val="2"/>
        <w:spacing w:line="292" w:lineRule="auto"/>
        <w:rPr>
          <w:color w:val="auto"/>
          <w:highlight w:val="none"/>
        </w:rPr>
      </w:pPr>
    </w:p>
    <w:p w14:paraId="11B88914">
      <w:pPr>
        <w:pStyle w:val="2"/>
        <w:spacing w:line="292" w:lineRule="auto"/>
        <w:rPr>
          <w:color w:val="auto"/>
          <w:highlight w:val="none"/>
        </w:rPr>
      </w:pPr>
    </w:p>
    <w:p w14:paraId="7F8F962A">
      <w:pPr>
        <w:pStyle w:val="2"/>
        <w:spacing w:line="293" w:lineRule="auto"/>
        <w:rPr>
          <w:color w:val="auto"/>
          <w:highlight w:val="none"/>
        </w:rPr>
      </w:pPr>
      <w:r>
        <w:rPr>
          <w:color w:val="auto"/>
          <w:highlight w:val="none"/>
        </w:rPr>
        <w:pict>
          <v:shape id="_x0000_s1044" o:spid="_x0000_s1044" style="position:absolute;left:0pt;margin-left:0pt;margin-top:4.45pt;height:0.75pt;width:473.4pt;z-index:251698176;mso-width-relative:page;mso-height-relative:page;" fillcolor="#000000" filled="t" stroked="f" coordsize="9467,15" path="m0,0l9467,0,9467,14,0,14,0,0xe">
            <v:path/>
            <v:fill on="t" focussize="0,0"/>
            <v:stroke on="f"/>
            <v:imagedata o:title=""/>
            <o:lock v:ext="edit"/>
          </v:shape>
        </w:pict>
      </w:r>
    </w:p>
    <w:p w14:paraId="72D74165">
      <w:pPr>
        <w:spacing w:before="65" w:line="432" w:lineRule="auto"/>
        <w:ind w:left="9" w:right="56" w:hanging="1"/>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付工程款的手续，发包人单位不得审批和支付工程款。发包人必须把工程款分帐出来的人工费转入承包</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人农民工工资支付专用账户，转入农民工工资支付专用账户环节必须有银行流水凭证。</w:t>
      </w:r>
    </w:p>
    <w:p w14:paraId="411F9DB0">
      <w:pPr>
        <w:spacing w:before="2" w:line="363" w:lineRule="auto"/>
        <w:ind w:left="9" w:firstLine="52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3）发包人依据工程进度，审核承包人申报的工程进度款，按照与承包人约定的人工费</w:t>
      </w:r>
      <w:r>
        <w:rPr>
          <w:rFonts w:ascii="宋体" w:hAnsi="宋体" w:eastAsia="宋体" w:cs="宋体"/>
          <w:color w:val="auto"/>
          <w:spacing w:val="2"/>
          <w:sz w:val="20"/>
          <w:szCs w:val="20"/>
          <w:highlight w:val="none"/>
        </w:rPr>
        <w:t>支付比例2</w:t>
      </w:r>
      <w:r>
        <w:rPr>
          <w:rFonts w:ascii="宋体" w:hAnsi="宋体" w:eastAsia="宋体" w:cs="宋体"/>
          <w:color w:val="auto"/>
          <w:spacing w:val="-53"/>
          <w:sz w:val="20"/>
          <w:szCs w:val="20"/>
          <w:highlight w:val="none"/>
        </w:rPr>
        <w:t xml:space="preserve"> </w:t>
      </w:r>
      <w:r>
        <w:rPr>
          <w:rFonts w:ascii="宋体" w:hAnsi="宋体" w:eastAsia="宋体" w:cs="宋体"/>
          <w:color w:val="auto"/>
          <w:spacing w:val="2"/>
          <w:sz w:val="20"/>
          <w:szCs w:val="20"/>
          <w:highlight w:val="none"/>
        </w:rPr>
        <w:t>0</w:t>
      </w:r>
      <w:r>
        <w:rPr>
          <w:rFonts w:ascii="宋体" w:hAnsi="宋体" w:eastAsia="宋体" w:cs="宋体"/>
          <w:color w:val="auto"/>
          <w:spacing w:val="52"/>
          <w:sz w:val="20"/>
          <w:szCs w:val="20"/>
          <w:highlight w:val="none"/>
        </w:rPr>
        <w:t xml:space="preserve"> </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6"/>
          <w:sz w:val="20"/>
          <w:szCs w:val="20"/>
          <w:highlight w:val="none"/>
        </w:rPr>
        <w:t>（房建项目不少于</w:t>
      </w:r>
      <w:r>
        <w:rPr>
          <w:rFonts w:ascii="宋体" w:hAnsi="宋体" w:eastAsia="宋体" w:cs="宋体"/>
          <w:color w:val="auto"/>
          <w:spacing w:val="-35"/>
          <w:sz w:val="20"/>
          <w:szCs w:val="20"/>
          <w:highlight w:val="none"/>
        </w:rPr>
        <w:t xml:space="preserve"> </w:t>
      </w:r>
      <w:r>
        <w:rPr>
          <w:rFonts w:ascii="宋体" w:hAnsi="宋体" w:eastAsia="宋体" w:cs="宋体"/>
          <w:color w:val="auto"/>
          <w:spacing w:val="6"/>
          <w:sz w:val="20"/>
          <w:szCs w:val="20"/>
          <w:highlight w:val="none"/>
        </w:rPr>
        <w:t>20%，市政项目不少于</w:t>
      </w:r>
      <w:r>
        <w:rPr>
          <w:rFonts w:ascii="宋体" w:hAnsi="宋体" w:eastAsia="宋体" w:cs="宋体"/>
          <w:color w:val="auto"/>
          <w:spacing w:val="-24"/>
          <w:sz w:val="20"/>
          <w:szCs w:val="20"/>
          <w:highlight w:val="none"/>
        </w:rPr>
        <w:t xml:space="preserve"> </w:t>
      </w:r>
      <w:r>
        <w:rPr>
          <w:rFonts w:ascii="宋体" w:hAnsi="宋体" w:eastAsia="宋体" w:cs="宋体"/>
          <w:color w:val="auto"/>
          <w:spacing w:val="6"/>
          <w:sz w:val="20"/>
          <w:szCs w:val="20"/>
          <w:highlight w:val="none"/>
        </w:rPr>
        <w:t>15%</w:t>
      </w:r>
      <w:r>
        <w:rPr>
          <w:rFonts w:ascii="宋体" w:hAnsi="宋体" w:eastAsia="宋体" w:cs="宋体"/>
          <w:color w:val="auto"/>
          <w:spacing w:val="-51"/>
          <w:sz w:val="20"/>
          <w:szCs w:val="20"/>
          <w:highlight w:val="none"/>
        </w:rPr>
        <w:t>），</w:t>
      </w:r>
      <w:r>
        <w:rPr>
          <w:rFonts w:ascii="宋体" w:hAnsi="宋体" w:eastAsia="宋体" w:cs="宋体"/>
          <w:color w:val="auto"/>
          <w:spacing w:val="6"/>
          <w:sz w:val="20"/>
          <w:szCs w:val="20"/>
          <w:highlight w:val="none"/>
        </w:rPr>
        <w:t>将人工费及时足额拨付至承包人的</w:t>
      </w:r>
      <w:r>
        <w:rPr>
          <w:rFonts w:ascii="宋体" w:hAnsi="宋体" w:eastAsia="宋体" w:cs="宋体"/>
          <w:color w:val="auto"/>
          <w:spacing w:val="5"/>
          <w:sz w:val="20"/>
          <w:szCs w:val="20"/>
          <w:highlight w:val="none"/>
        </w:rPr>
        <w:t>农民工工资专用账户，</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其余工程进度款项由发包人支付到承包人的单位基本户。</w:t>
      </w:r>
    </w:p>
    <w:p w14:paraId="54348867">
      <w:pPr>
        <w:spacing w:before="221" w:line="364" w:lineRule="auto"/>
        <w:ind w:left="9" w:right="56" w:firstLine="5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4）工程建设领域总包单位对农民工工资支付负总责，推行分包单位农民工工资委托总包单位代发</w:t>
      </w:r>
      <w:r>
        <w:rPr>
          <w:rFonts w:ascii="宋体" w:hAnsi="宋体" w:eastAsia="宋体" w:cs="宋体"/>
          <w:color w:val="auto"/>
          <w:spacing w:val="1"/>
          <w:sz w:val="20"/>
          <w:szCs w:val="20"/>
          <w:highlight w:val="none"/>
        </w:rPr>
        <w:t xml:space="preserve"> </w:t>
      </w:r>
      <w:r>
        <w:rPr>
          <w:rFonts w:ascii="宋体" w:hAnsi="宋体" w:eastAsia="宋体" w:cs="宋体"/>
          <w:color w:val="auto"/>
          <w:spacing w:val="10"/>
          <w:sz w:val="20"/>
          <w:szCs w:val="20"/>
          <w:highlight w:val="none"/>
        </w:rPr>
        <w:t>制度（以下简称总包代发制度）。工程建设项目施行总包代发制度的，总包单位与分包单位签订委托工</w:t>
      </w:r>
      <w:r>
        <w:rPr>
          <w:rFonts w:ascii="宋体" w:hAnsi="宋体" w:eastAsia="宋体" w:cs="宋体"/>
          <w:color w:val="auto"/>
          <w:spacing w:val="5"/>
          <w:sz w:val="20"/>
          <w:szCs w:val="20"/>
          <w:highlight w:val="none"/>
        </w:rPr>
        <w:t xml:space="preserve"> </w:t>
      </w:r>
      <w:r>
        <w:rPr>
          <w:rFonts w:ascii="宋体" w:hAnsi="宋体" w:eastAsia="宋体" w:cs="宋体"/>
          <w:color w:val="auto"/>
          <w:spacing w:val="6"/>
          <w:sz w:val="20"/>
          <w:szCs w:val="20"/>
          <w:highlight w:val="none"/>
        </w:rPr>
        <w:t>资支付协议。</w:t>
      </w:r>
    </w:p>
    <w:p w14:paraId="556EF626">
      <w:pPr>
        <w:spacing w:before="221" w:line="330" w:lineRule="auto"/>
        <w:ind w:left="12" w:right="56" w:firstLine="525"/>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5）凡未向付款单位提供农民工工资专用账户的，或者请款单位在申请工程进度款时未将</w:t>
      </w:r>
      <w:r>
        <w:rPr>
          <w:rFonts w:ascii="宋体" w:hAnsi="宋体" w:eastAsia="宋体" w:cs="宋体"/>
          <w:color w:val="auto"/>
          <w:spacing w:val="9"/>
          <w:sz w:val="20"/>
          <w:szCs w:val="20"/>
          <w:highlight w:val="none"/>
        </w:rPr>
        <w:t>人工费单</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列的，付款单位有权拒绝支付工程进度款。</w:t>
      </w:r>
    </w:p>
    <w:p w14:paraId="68A50E87">
      <w:pPr>
        <w:spacing w:before="221" w:line="228" w:lineRule="auto"/>
        <w:ind w:left="53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6）人工费使用要求：专款专用，除发放农民工工资外，不得用于其他用途。</w:t>
      </w:r>
    </w:p>
    <w:p w14:paraId="35AB7F10">
      <w:pPr>
        <w:spacing w:before="221" w:line="330" w:lineRule="auto"/>
        <w:ind w:left="31" w:right="56" w:firstLine="507"/>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7）承包人将人工费支付情况定期报告发包人和监理单位，并提供相应的材料接受建设</w:t>
      </w:r>
      <w:r>
        <w:rPr>
          <w:rFonts w:ascii="宋体" w:hAnsi="宋体" w:eastAsia="宋体" w:cs="宋体"/>
          <w:color w:val="auto"/>
          <w:spacing w:val="9"/>
          <w:sz w:val="20"/>
          <w:szCs w:val="20"/>
          <w:highlight w:val="none"/>
        </w:rPr>
        <w:t>行政主管部</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门和劳动保障行政主管部门对此事项监管。</w:t>
      </w:r>
    </w:p>
    <w:p w14:paraId="71D8868C">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8）人工费支付专用账户：</w:t>
      </w:r>
    </w:p>
    <w:p w14:paraId="09C02EC8">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户  名：</w:t>
      </w:r>
      <w:r>
        <w:rPr>
          <w:rFonts w:ascii="宋体" w:hAnsi="宋体" w:eastAsia="宋体" w:cs="宋体"/>
          <w:color w:val="auto"/>
          <w:sz w:val="20"/>
          <w:szCs w:val="20"/>
          <w:highlight w:val="none"/>
          <w:u w:val="single" w:color="auto"/>
        </w:rPr>
        <w:t>xxx</w:t>
      </w:r>
      <w:r>
        <w:rPr>
          <w:rFonts w:ascii="宋体" w:hAnsi="宋体" w:eastAsia="宋体" w:cs="宋体"/>
          <w:color w:val="auto"/>
          <w:spacing w:val="8"/>
          <w:sz w:val="20"/>
          <w:szCs w:val="20"/>
          <w:highlight w:val="none"/>
          <w:u w:val="single" w:color="auto"/>
        </w:rPr>
        <w:t>农民工工资支付专户</w:t>
      </w:r>
      <w:r>
        <w:rPr>
          <w:rFonts w:ascii="宋体" w:hAnsi="宋体" w:eastAsia="宋体" w:cs="宋体"/>
          <w:color w:val="auto"/>
          <w:spacing w:val="8"/>
          <w:sz w:val="20"/>
          <w:szCs w:val="20"/>
          <w:highlight w:val="none"/>
        </w:rPr>
        <w:t>；</w:t>
      </w:r>
    </w:p>
    <w:p w14:paraId="05B6DC3F">
      <w:pPr>
        <w:spacing w:before="220" w:line="229"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开户行</w:t>
      </w:r>
      <w:r>
        <w:rPr>
          <w:rFonts w:ascii="宋体" w:hAnsi="宋体" w:eastAsia="宋体" w:cs="宋体"/>
          <w:color w:val="auto"/>
          <w:spacing w:val="5"/>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5"/>
          <w:sz w:val="20"/>
          <w:szCs w:val="20"/>
          <w:highlight w:val="none"/>
        </w:rPr>
        <w:t>；</w:t>
      </w:r>
    </w:p>
    <w:p w14:paraId="52A2DCF5">
      <w:pPr>
        <w:spacing w:before="220" w:line="230"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账</w:t>
      </w:r>
      <w:r>
        <w:rPr>
          <w:rFonts w:ascii="宋体" w:hAnsi="宋体" w:eastAsia="宋体" w:cs="宋体"/>
          <w:color w:val="auto"/>
          <w:spacing w:val="12"/>
          <w:sz w:val="20"/>
          <w:szCs w:val="20"/>
          <w:highlight w:val="none"/>
        </w:rPr>
        <w:t xml:space="preserve">  </w:t>
      </w:r>
      <w:r>
        <w:rPr>
          <w:rFonts w:ascii="宋体" w:hAnsi="宋体" w:eastAsia="宋体" w:cs="宋体"/>
          <w:color w:val="auto"/>
          <w:spacing w:val="-6"/>
          <w:sz w:val="20"/>
          <w:szCs w:val="20"/>
          <w:highlight w:val="none"/>
        </w:rPr>
        <w:t>号</w:t>
      </w:r>
      <w:r>
        <w:rPr>
          <w:rFonts w:ascii="宋体" w:hAnsi="宋体" w:eastAsia="宋体" w:cs="宋体"/>
          <w:color w:val="auto"/>
          <w:spacing w:val="-73"/>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6"/>
          <w:sz w:val="20"/>
          <w:szCs w:val="20"/>
          <w:highlight w:val="none"/>
        </w:rPr>
        <w:t>。</w:t>
      </w:r>
    </w:p>
    <w:p w14:paraId="4DD4591F">
      <w:pPr>
        <w:spacing w:before="219" w:line="228" w:lineRule="auto"/>
        <w:ind w:left="549"/>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12.4.6 支付分解表的编制</w:t>
      </w:r>
    </w:p>
    <w:p w14:paraId="2D5D89FD">
      <w:pPr>
        <w:spacing w:before="221" w:line="330" w:lineRule="auto"/>
        <w:ind w:left="7" w:right="56" w:firstLine="536"/>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（1） 总价合同支付分解表的编制与审批：</w:t>
      </w:r>
      <w:r>
        <w:rPr>
          <w:rFonts w:ascii="宋体" w:hAnsi="宋体" w:eastAsia="宋体" w:cs="宋体"/>
          <w:color w:val="auto"/>
          <w:spacing w:val="10"/>
          <w:sz w:val="20"/>
          <w:szCs w:val="20"/>
          <w:highlight w:val="none"/>
          <w:u w:val="single" w:color="auto"/>
        </w:rPr>
        <w:t xml:space="preserve"> 总价合</w:t>
      </w:r>
      <w:r>
        <w:rPr>
          <w:rFonts w:ascii="宋体" w:hAnsi="宋体" w:eastAsia="宋体" w:cs="宋体"/>
          <w:color w:val="auto"/>
          <w:spacing w:val="9"/>
          <w:sz w:val="20"/>
          <w:szCs w:val="20"/>
          <w:highlight w:val="none"/>
          <w:u w:val="single" w:color="auto"/>
        </w:rPr>
        <w:t>同支付分解表在招标完成后由发包人和承包人</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共同编制，发包人审批，并作为本合同内容。</w:t>
      </w:r>
    </w:p>
    <w:p w14:paraId="7E9792CD">
      <w:pPr>
        <w:spacing w:before="222" w:line="329" w:lineRule="auto"/>
        <w:ind w:left="10" w:right="56" w:firstLine="534"/>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（2）单价合同的总价项目支付分解表的编制与审批：</w:t>
      </w:r>
      <w:r>
        <w:rPr>
          <w:rFonts w:ascii="宋体" w:hAnsi="宋体" w:eastAsia="宋体" w:cs="宋体"/>
          <w:color w:val="auto"/>
          <w:spacing w:val="10"/>
          <w:sz w:val="20"/>
          <w:szCs w:val="20"/>
          <w:highlight w:val="none"/>
          <w:u w:val="single" w:color="auto"/>
        </w:rPr>
        <w:t>总价项目不采用支付</w:t>
      </w:r>
      <w:r>
        <w:rPr>
          <w:rFonts w:ascii="宋体" w:hAnsi="宋体" w:eastAsia="宋体" w:cs="宋体"/>
          <w:color w:val="auto"/>
          <w:spacing w:val="9"/>
          <w:sz w:val="20"/>
          <w:szCs w:val="20"/>
          <w:highlight w:val="none"/>
          <w:u w:val="single" w:color="auto"/>
        </w:rPr>
        <w:t>分解表的方式计算，而</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按《建设工程工程量清单计价规范（</w:t>
      </w:r>
      <w:r>
        <w:rPr>
          <w:rFonts w:ascii="宋体" w:hAnsi="宋体" w:eastAsia="宋体" w:cs="宋体"/>
          <w:color w:val="auto"/>
          <w:sz w:val="20"/>
          <w:szCs w:val="20"/>
          <w:highlight w:val="none"/>
          <w:u w:val="single" w:color="auto"/>
        </w:rPr>
        <w:t>GB</w:t>
      </w:r>
      <w:r>
        <w:rPr>
          <w:rFonts w:ascii="宋体" w:hAnsi="宋体" w:eastAsia="宋体" w:cs="宋体"/>
          <w:color w:val="auto"/>
          <w:spacing w:val="9"/>
          <w:sz w:val="20"/>
          <w:szCs w:val="20"/>
          <w:highlight w:val="none"/>
          <w:u w:val="single" w:color="auto"/>
        </w:rPr>
        <w:t>50500-2013</w:t>
      </w:r>
      <w:r>
        <w:rPr>
          <w:rFonts w:ascii="宋体" w:hAnsi="宋体" w:eastAsia="宋体" w:cs="宋体"/>
          <w:color w:val="auto"/>
          <w:spacing w:val="8"/>
          <w:sz w:val="20"/>
          <w:szCs w:val="20"/>
          <w:highlight w:val="none"/>
          <w:u w:val="single" w:color="auto"/>
        </w:rPr>
        <w:t>）广西壮族自治区实施细则》的规定执行</w:t>
      </w:r>
      <w:r>
        <w:rPr>
          <w:rFonts w:ascii="宋体" w:hAnsi="宋体" w:eastAsia="宋体" w:cs="宋体"/>
          <w:color w:val="auto"/>
          <w:spacing w:val="8"/>
          <w:sz w:val="20"/>
          <w:szCs w:val="20"/>
          <w:highlight w:val="none"/>
        </w:rPr>
        <w:t>。</w:t>
      </w:r>
    </w:p>
    <w:p w14:paraId="19834DF5">
      <w:pPr>
        <w:pStyle w:val="2"/>
        <w:spacing w:line="404" w:lineRule="auto"/>
        <w:rPr>
          <w:color w:val="auto"/>
          <w:highlight w:val="none"/>
        </w:rPr>
      </w:pPr>
    </w:p>
    <w:p w14:paraId="3F884DC1">
      <w:pPr>
        <w:spacing w:before="101" w:line="225" w:lineRule="auto"/>
        <w:ind w:left="36"/>
        <w:outlineLvl w:val="1"/>
        <w:rPr>
          <w:rFonts w:ascii="宋体" w:hAnsi="宋体" w:eastAsia="宋体" w:cs="宋体"/>
          <w:color w:val="auto"/>
          <w:sz w:val="31"/>
          <w:szCs w:val="31"/>
          <w:highlight w:val="none"/>
        </w:rPr>
      </w:pPr>
      <w:bookmarkStart w:id="108" w:name="_Toc20481"/>
      <w:r>
        <w:rPr>
          <w:rFonts w:ascii="宋体" w:hAnsi="宋体" w:eastAsia="宋体" w:cs="宋体"/>
          <w:b/>
          <w:bCs/>
          <w:color w:val="auto"/>
          <w:spacing w:val="2"/>
          <w:sz w:val="31"/>
          <w:szCs w:val="31"/>
          <w:highlight w:val="none"/>
        </w:rPr>
        <w:t>13.</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验收和工程试车</w:t>
      </w:r>
      <w:bookmarkEnd w:id="108"/>
    </w:p>
    <w:p w14:paraId="26D54E70">
      <w:pPr>
        <w:pStyle w:val="2"/>
        <w:spacing w:line="402" w:lineRule="auto"/>
        <w:rPr>
          <w:color w:val="auto"/>
          <w:highlight w:val="none"/>
        </w:rPr>
      </w:pPr>
    </w:p>
    <w:p w14:paraId="10D05B3F">
      <w:pPr>
        <w:spacing w:before="101" w:line="225" w:lineRule="auto"/>
        <w:ind w:left="36"/>
        <w:outlineLvl w:val="2"/>
        <w:rPr>
          <w:rFonts w:ascii="宋体" w:hAnsi="宋体" w:eastAsia="宋体" w:cs="宋体"/>
          <w:color w:val="auto"/>
          <w:sz w:val="31"/>
          <w:szCs w:val="31"/>
          <w:highlight w:val="none"/>
        </w:rPr>
      </w:pPr>
      <w:bookmarkStart w:id="109" w:name="_Toc3266"/>
      <w:r>
        <w:rPr>
          <w:rFonts w:ascii="宋体" w:hAnsi="宋体" w:eastAsia="宋体" w:cs="宋体"/>
          <w:b/>
          <w:bCs/>
          <w:color w:val="auto"/>
          <w:spacing w:val="3"/>
          <w:sz w:val="31"/>
          <w:szCs w:val="31"/>
          <w:highlight w:val="none"/>
        </w:rPr>
        <w:t>13.1</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分部分项工程验收</w:t>
      </w:r>
      <w:bookmarkEnd w:id="109"/>
    </w:p>
    <w:p w14:paraId="5AF076AB">
      <w:pPr>
        <w:pStyle w:val="2"/>
        <w:spacing w:line="413" w:lineRule="auto"/>
        <w:rPr>
          <w:color w:val="auto"/>
          <w:highlight w:val="none"/>
        </w:rPr>
      </w:pPr>
    </w:p>
    <w:p w14:paraId="4556EB5A">
      <w:pPr>
        <w:spacing w:before="66" w:line="228" w:lineRule="auto"/>
        <w:ind w:left="44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13.1.2</w:t>
      </w:r>
      <w:r>
        <w:rPr>
          <w:rFonts w:ascii="宋体" w:hAnsi="宋体" w:eastAsia="宋体" w:cs="宋体"/>
          <w:color w:val="auto"/>
          <w:spacing w:val="-39"/>
          <w:sz w:val="20"/>
          <w:szCs w:val="20"/>
          <w:highlight w:val="none"/>
        </w:rPr>
        <w:t xml:space="preserve"> </w:t>
      </w:r>
      <w:r>
        <w:rPr>
          <w:rFonts w:ascii="宋体" w:hAnsi="宋体" w:eastAsia="宋体" w:cs="宋体"/>
          <w:color w:val="auto"/>
          <w:spacing w:val="7"/>
          <w:sz w:val="20"/>
          <w:szCs w:val="20"/>
          <w:highlight w:val="none"/>
        </w:rPr>
        <w:t>监理人不能按时进行验收时，应提前</w:t>
      </w:r>
      <w:r>
        <w:rPr>
          <w:rFonts w:ascii="宋体" w:hAnsi="宋体" w:eastAsia="宋体" w:cs="宋体"/>
          <w:color w:val="auto"/>
          <w:spacing w:val="-35"/>
          <w:sz w:val="20"/>
          <w:szCs w:val="20"/>
          <w:highlight w:val="none"/>
        </w:rPr>
        <w:t xml:space="preserve"> </w:t>
      </w:r>
      <w:r>
        <w:rPr>
          <w:rFonts w:ascii="宋体" w:hAnsi="宋体" w:eastAsia="宋体" w:cs="宋体"/>
          <w:color w:val="auto"/>
          <w:spacing w:val="7"/>
          <w:sz w:val="20"/>
          <w:szCs w:val="20"/>
          <w:highlight w:val="none"/>
          <w:u w:val="single" w:color="auto"/>
        </w:rPr>
        <w:t>24</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rPr>
        <w:t>小时提</w:t>
      </w:r>
      <w:r>
        <w:rPr>
          <w:rFonts w:ascii="宋体" w:hAnsi="宋体" w:eastAsia="宋体" w:cs="宋体"/>
          <w:color w:val="auto"/>
          <w:spacing w:val="6"/>
          <w:sz w:val="20"/>
          <w:szCs w:val="20"/>
          <w:highlight w:val="none"/>
        </w:rPr>
        <w:t>交书面延期要求。</w:t>
      </w:r>
    </w:p>
    <w:p w14:paraId="057FDDC7">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关于延期最长不得超过：</w:t>
      </w:r>
      <w:r>
        <w:rPr>
          <w:rFonts w:ascii="宋体" w:hAnsi="宋体" w:eastAsia="宋体" w:cs="宋体"/>
          <w:color w:val="auto"/>
          <w:spacing w:val="6"/>
          <w:sz w:val="20"/>
          <w:szCs w:val="20"/>
          <w:highlight w:val="none"/>
          <w:u w:val="single" w:color="auto"/>
        </w:rPr>
        <w:t>48</w:t>
      </w:r>
      <w:r>
        <w:rPr>
          <w:rFonts w:ascii="宋体" w:hAnsi="宋体" w:eastAsia="宋体" w:cs="宋体"/>
          <w:color w:val="auto"/>
          <w:spacing w:val="-18"/>
          <w:sz w:val="20"/>
          <w:szCs w:val="20"/>
          <w:highlight w:val="none"/>
          <w:u w:val="single" w:color="auto"/>
        </w:rPr>
        <w:t xml:space="preserve"> </w:t>
      </w:r>
      <w:r>
        <w:rPr>
          <w:rFonts w:ascii="宋体" w:hAnsi="宋体" w:eastAsia="宋体" w:cs="宋体"/>
          <w:color w:val="auto"/>
          <w:spacing w:val="6"/>
          <w:sz w:val="20"/>
          <w:szCs w:val="20"/>
          <w:highlight w:val="none"/>
        </w:rPr>
        <w:t>小时。</w:t>
      </w:r>
    </w:p>
    <w:p w14:paraId="7E5FF127">
      <w:pPr>
        <w:spacing w:line="228" w:lineRule="auto"/>
        <w:rPr>
          <w:rFonts w:ascii="宋体" w:hAnsi="宋体" w:eastAsia="宋体" w:cs="宋体"/>
          <w:color w:val="auto"/>
          <w:sz w:val="20"/>
          <w:szCs w:val="20"/>
          <w:highlight w:val="none"/>
        </w:rPr>
        <w:sectPr>
          <w:footerReference r:id="rId226" w:type="default"/>
          <w:pgSz w:w="11906" w:h="16839"/>
          <w:pgMar w:top="400" w:right="1164" w:bottom="1158" w:left="1219" w:header="0" w:footer="922" w:gutter="0"/>
          <w:cols w:space="720" w:num="1"/>
        </w:sectPr>
      </w:pPr>
    </w:p>
    <w:p w14:paraId="646C03AB">
      <w:pPr>
        <w:pStyle w:val="2"/>
        <w:spacing w:line="289" w:lineRule="auto"/>
        <w:rPr>
          <w:color w:val="auto"/>
          <w:highlight w:val="none"/>
        </w:rPr>
      </w:pPr>
    </w:p>
    <w:p w14:paraId="570F1A83">
      <w:pPr>
        <w:pStyle w:val="2"/>
        <w:spacing w:line="289" w:lineRule="auto"/>
        <w:rPr>
          <w:color w:val="auto"/>
          <w:highlight w:val="none"/>
        </w:rPr>
      </w:pPr>
    </w:p>
    <w:p w14:paraId="0D7CA302">
      <w:pPr>
        <w:pStyle w:val="2"/>
        <w:spacing w:line="290" w:lineRule="auto"/>
        <w:rPr>
          <w:color w:val="auto"/>
          <w:highlight w:val="none"/>
        </w:rPr>
      </w:pPr>
      <w:r>
        <w:rPr>
          <w:color w:val="auto"/>
          <w:highlight w:val="none"/>
        </w:rPr>
        <w:pict>
          <v:shape id="_x0000_s1045" o:spid="_x0000_s1045" style="position:absolute;left:0pt;margin-left:0pt;margin-top:4.8pt;height:0.75pt;width:473.4pt;z-index:251699200;mso-width-relative:page;mso-height-relative:page;" fillcolor="#000000" filled="t" stroked="f" coordsize="9467,15" path="m0,0l9467,0,9467,14,0,14,0,0xe">
            <v:path/>
            <v:fill on="t" focussize="0,0"/>
            <v:stroke on="f"/>
            <v:imagedata o:title=""/>
            <o:lock v:ext="edit"/>
          </v:shape>
        </w:pict>
      </w:r>
    </w:p>
    <w:p w14:paraId="4F33104F">
      <w:pPr>
        <w:spacing w:before="100" w:line="225" w:lineRule="auto"/>
        <w:ind w:left="36"/>
        <w:outlineLvl w:val="2"/>
        <w:rPr>
          <w:rFonts w:ascii="宋体" w:hAnsi="宋体" w:eastAsia="宋体" w:cs="宋体"/>
          <w:color w:val="auto"/>
          <w:sz w:val="31"/>
          <w:szCs w:val="31"/>
          <w:highlight w:val="none"/>
        </w:rPr>
      </w:pPr>
      <w:bookmarkStart w:id="110" w:name="_Toc7355"/>
      <w:r>
        <w:rPr>
          <w:rFonts w:ascii="宋体" w:hAnsi="宋体" w:eastAsia="宋体" w:cs="宋体"/>
          <w:b/>
          <w:bCs/>
          <w:color w:val="auto"/>
          <w:spacing w:val="1"/>
          <w:sz w:val="31"/>
          <w:szCs w:val="31"/>
          <w:highlight w:val="none"/>
        </w:rPr>
        <w:t>13.2</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竣工验收</w:t>
      </w:r>
      <w:bookmarkEnd w:id="110"/>
    </w:p>
    <w:p w14:paraId="51022A8F">
      <w:pPr>
        <w:pStyle w:val="2"/>
        <w:spacing w:line="414" w:lineRule="auto"/>
        <w:rPr>
          <w:color w:val="auto"/>
          <w:highlight w:val="none"/>
        </w:rPr>
      </w:pPr>
    </w:p>
    <w:p w14:paraId="3313A793">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13.2.1</w:t>
      </w:r>
      <w:r>
        <w:rPr>
          <w:rFonts w:ascii="宋体" w:hAnsi="宋体" w:eastAsia="宋体" w:cs="宋体"/>
          <w:color w:val="auto"/>
          <w:spacing w:val="-34"/>
          <w:sz w:val="20"/>
          <w:szCs w:val="20"/>
          <w:highlight w:val="none"/>
        </w:rPr>
        <w:t xml:space="preserve"> </w:t>
      </w:r>
      <w:r>
        <w:rPr>
          <w:rFonts w:ascii="宋体" w:hAnsi="宋体" w:eastAsia="宋体" w:cs="宋体"/>
          <w:color w:val="auto"/>
          <w:spacing w:val="4"/>
          <w:sz w:val="20"/>
          <w:szCs w:val="20"/>
          <w:highlight w:val="none"/>
        </w:rPr>
        <w:t>竣工验收条件</w:t>
      </w:r>
    </w:p>
    <w:p w14:paraId="0AA478E3">
      <w:pPr>
        <w:spacing w:before="220" w:line="432" w:lineRule="auto"/>
        <w:ind w:left="9" w:right="2" w:firstLine="429"/>
        <w:jc w:val="both"/>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（3）承包人负责整理和提交的竣工验收资料应当符合工程所在地建设行政主管部门和(或)城市建设</w:t>
      </w:r>
      <w:r>
        <w:rPr>
          <w:rFonts w:ascii="宋体" w:hAnsi="宋体" w:eastAsia="宋体" w:cs="宋体"/>
          <w:color w:val="auto"/>
          <w:spacing w:val="11"/>
          <w:sz w:val="20"/>
          <w:szCs w:val="20"/>
          <w:highlight w:val="none"/>
        </w:rPr>
        <w:t xml:space="preserve"> </w:t>
      </w:r>
      <w:r>
        <w:rPr>
          <w:rFonts w:ascii="宋体" w:hAnsi="宋体" w:eastAsia="宋体" w:cs="宋体"/>
          <w:color w:val="auto"/>
          <w:spacing w:val="10"/>
          <w:sz w:val="20"/>
          <w:szCs w:val="20"/>
          <w:highlight w:val="none"/>
        </w:rPr>
        <w:t>档案管理机构有关施工资料的要求，具体内容包括：</w:t>
      </w:r>
      <w:r>
        <w:rPr>
          <w:rFonts w:ascii="宋体" w:hAnsi="宋体" w:eastAsia="宋体" w:cs="宋体"/>
          <w:color w:val="auto"/>
          <w:spacing w:val="10"/>
          <w:sz w:val="20"/>
          <w:szCs w:val="20"/>
          <w:highlight w:val="none"/>
          <w:u w:val="single" w:color="auto"/>
        </w:rPr>
        <w:t>施工管理资料、建筑材料及工程质量检测报告、单</w:t>
      </w:r>
      <w:r>
        <w:rPr>
          <w:rFonts w:ascii="宋体" w:hAnsi="宋体" w:eastAsia="宋体" w:cs="宋体"/>
          <w:color w:val="auto"/>
          <w:spacing w:val="5"/>
          <w:sz w:val="20"/>
          <w:szCs w:val="20"/>
          <w:highlight w:val="none"/>
        </w:rPr>
        <w:t xml:space="preserve"> </w:t>
      </w:r>
      <w:r>
        <w:rPr>
          <w:rFonts w:ascii="宋体" w:hAnsi="宋体" w:eastAsia="宋体" w:cs="宋体"/>
          <w:color w:val="auto"/>
          <w:spacing w:val="8"/>
          <w:sz w:val="20"/>
          <w:szCs w:val="20"/>
          <w:highlight w:val="none"/>
          <w:u w:val="single" w:color="auto"/>
        </w:rPr>
        <w:t>项验收报告、竣工图等</w:t>
      </w:r>
      <w:r>
        <w:rPr>
          <w:rFonts w:ascii="宋体" w:hAnsi="宋体" w:eastAsia="宋体" w:cs="宋体"/>
          <w:color w:val="auto"/>
          <w:spacing w:val="8"/>
          <w:sz w:val="20"/>
          <w:szCs w:val="20"/>
          <w:highlight w:val="none"/>
        </w:rPr>
        <w:t>。</w:t>
      </w:r>
    </w:p>
    <w:p w14:paraId="0C7233CB">
      <w:pPr>
        <w:spacing w:line="227"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竣工验收资料的份数：</w:t>
      </w:r>
      <w:r>
        <w:rPr>
          <w:rFonts w:ascii="宋体" w:hAnsi="宋体" w:eastAsia="宋体" w:cs="宋体"/>
          <w:color w:val="auto"/>
          <w:spacing w:val="8"/>
          <w:sz w:val="20"/>
          <w:szCs w:val="20"/>
          <w:highlight w:val="none"/>
          <w:u w:val="single" w:color="auto"/>
        </w:rPr>
        <w:t>一式贰份</w:t>
      </w:r>
      <w:r>
        <w:rPr>
          <w:rFonts w:ascii="宋体" w:hAnsi="宋体" w:eastAsia="宋体" w:cs="宋体"/>
          <w:color w:val="auto"/>
          <w:spacing w:val="8"/>
          <w:sz w:val="20"/>
          <w:szCs w:val="20"/>
          <w:highlight w:val="none"/>
        </w:rPr>
        <w:t>。</w:t>
      </w:r>
    </w:p>
    <w:p w14:paraId="4773BADF">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承包人提供竣工图的约定：</w:t>
      </w:r>
      <w:r>
        <w:rPr>
          <w:rFonts w:ascii="宋体" w:hAnsi="宋体" w:eastAsia="宋体" w:cs="宋体"/>
          <w:color w:val="auto"/>
          <w:spacing w:val="9"/>
          <w:sz w:val="20"/>
          <w:szCs w:val="20"/>
          <w:highlight w:val="none"/>
          <w:u w:val="single" w:color="auto"/>
        </w:rPr>
        <w:t>竣工验收正式通过后 15 天，提供竣工图的数量为 2 套。</w:t>
      </w:r>
    </w:p>
    <w:p w14:paraId="00077082">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13.2.2</w:t>
      </w:r>
      <w:r>
        <w:rPr>
          <w:rFonts w:ascii="宋体" w:hAnsi="宋体" w:eastAsia="宋体" w:cs="宋体"/>
          <w:color w:val="auto"/>
          <w:spacing w:val="-34"/>
          <w:sz w:val="20"/>
          <w:szCs w:val="20"/>
          <w:highlight w:val="none"/>
        </w:rPr>
        <w:t xml:space="preserve"> </w:t>
      </w:r>
      <w:r>
        <w:rPr>
          <w:rFonts w:ascii="宋体" w:hAnsi="宋体" w:eastAsia="宋体" w:cs="宋体"/>
          <w:color w:val="auto"/>
          <w:spacing w:val="4"/>
          <w:sz w:val="20"/>
          <w:szCs w:val="20"/>
          <w:highlight w:val="none"/>
        </w:rPr>
        <w:t>竣工验收程序</w:t>
      </w:r>
    </w:p>
    <w:p w14:paraId="2451D92F">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关于竣工验收程序的约定：</w:t>
      </w:r>
      <w:r>
        <w:rPr>
          <w:rFonts w:ascii="宋体" w:hAnsi="宋体" w:eastAsia="宋体" w:cs="宋体"/>
          <w:color w:val="auto"/>
          <w:spacing w:val="9"/>
          <w:sz w:val="20"/>
          <w:szCs w:val="20"/>
          <w:highlight w:val="none"/>
          <w:u w:val="single" w:color="auto"/>
        </w:rPr>
        <w:t>按国家竣工验收规定及项目所在地建设行政管理部门规定要求执行</w:t>
      </w:r>
      <w:r>
        <w:rPr>
          <w:rFonts w:ascii="宋体" w:hAnsi="宋体" w:eastAsia="宋体" w:cs="宋体"/>
          <w:color w:val="auto"/>
          <w:spacing w:val="9"/>
          <w:sz w:val="20"/>
          <w:szCs w:val="20"/>
          <w:highlight w:val="none"/>
        </w:rPr>
        <w:t>。</w:t>
      </w:r>
    </w:p>
    <w:p w14:paraId="1042DAB9">
      <w:pPr>
        <w:spacing w:before="220" w:line="432" w:lineRule="auto"/>
        <w:ind w:left="8" w:right="19" w:firstLine="42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项目完成后，</w:t>
      </w:r>
      <w:r>
        <w:rPr>
          <w:rFonts w:ascii="宋体" w:hAnsi="宋体" w:eastAsia="宋体" w:cs="宋体"/>
          <w:color w:val="auto"/>
          <w:spacing w:val="-59"/>
          <w:sz w:val="20"/>
          <w:szCs w:val="20"/>
          <w:highlight w:val="none"/>
        </w:rPr>
        <w:t xml:space="preserve"> </w:t>
      </w:r>
      <w:r>
        <w:rPr>
          <w:rFonts w:ascii="宋体" w:hAnsi="宋体" w:eastAsia="宋体" w:cs="宋体"/>
          <w:color w:val="auto"/>
          <w:spacing w:val="9"/>
          <w:sz w:val="20"/>
          <w:szCs w:val="20"/>
          <w:highlight w:val="none"/>
        </w:rPr>
        <w:t>由承包方提前七天发出验收申请，由建设单位组织相关部</w:t>
      </w:r>
      <w:r>
        <w:rPr>
          <w:rFonts w:ascii="宋体" w:hAnsi="宋体" w:eastAsia="宋体" w:cs="宋体"/>
          <w:color w:val="auto"/>
          <w:spacing w:val="8"/>
          <w:sz w:val="20"/>
          <w:szCs w:val="20"/>
          <w:highlight w:val="none"/>
        </w:rPr>
        <w:t>门验收，如建设单位在收到</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承包方通知后</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30</w:t>
      </w:r>
      <w:r>
        <w:rPr>
          <w:rFonts w:ascii="宋体" w:hAnsi="宋体" w:eastAsia="宋体" w:cs="宋体"/>
          <w:color w:val="auto"/>
          <w:spacing w:val="-37"/>
          <w:sz w:val="20"/>
          <w:szCs w:val="20"/>
          <w:highlight w:val="none"/>
        </w:rPr>
        <w:t xml:space="preserve"> </w:t>
      </w:r>
      <w:r>
        <w:rPr>
          <w:rFonts w:ascii="宋体" w:hAnsi="宋体" w:eastAsia="宋体" w:cs="宋体"/>
          <w:color w:val="auto"/>
          <w:spacing w:val="9"/>
          <w:sz w:val="20"/>
          <w:szCs w:val="20"/>
          <w:highlight w:val="none"/>
        </w:rPr>
        <w:t>天未组织项目验收，并且没有合理</w:t>
      </w:r>
      <w:r>
        <w:rPr>
          <w:rFonts w:ascii="宋体" w:hAnsi="宋体" w:eastAsia="宋体" w:cs="宋体"/>
          <w:color w:val="auto"/>
          <w:spacing w:val="8"/>
          <w:sz w:val="20"/>
          <w:szCs w:val="20"/>
          <w:highlight w:val="none"/>
        </w:rPr>
        <w:t>的文件回复，则视为项目验收合格通过。</w:t>
      </w:r>
    </w:p>
    <w:p w14:paraId="646E06EC">
      <w:pPr>
        <w:spacing w:before="1" w:line="227" w:lineRule="auto"/>
        <w:ind w:left="22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发包人不按照本项约定组织竣工验收、颁发工程接收证书的违约金的计算方法：</w:t>
      </w:r>
      <w:r>
        <w:rPr>
          <w:rFonts w:ascii="宋体" w:hAnsi="宋体" w:eastAsia="宋体" w:cs="宋体"/>
          <w:color w:val="auto"/>
          <w:spacing w:val="9"/>
          <w:sz w:val="20"/>
          <w:szCs w:val="20"/>
          <w:highlight w:val="none"/>
          <w:u w:val="single" w:color="auto"/>
        </w:rPr>
        <w:t>无</w:t>
      </w:r>
      <w:r>
        <w:rPr>
          <w:rFonts w:ascii="宋体" w:hAnsi="宋体" w:eastAsia="宋体" w:cs="宋体"/>
          <w:color w:val="auto"/>
          <w:spacing w:val="9"/>
          <w:sz w:val="20"/>
          <w:szCs w:val="20"/>
          <w:highlight w:val="none"/>
        </w:rPr>
        <w:t>。</w:t>
      </w:r>
    </w:p>
    <w:p w14:paraId="1AA85285">
      <w:pPr>
        <w:spacing w:before="222"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13.2.5</w:t>
      </w:r>
      <w:r>
        <w:rPr>
          <w:rFonts w:ascii="宋体" w:hAnsi="宋体" w:eastAsia="宋体" w:cs="宋体"/>
          <w:color w:val="auto"/>
          <w:spacing w:val="-34"/>
          <w:sz w:val="20"/>
          <w:szCs w:val="20"/>
          <w:highlight w:val="none"/>
        </w:rPr>
        <w:t xml:space="preserve"> </w:t>
      </w:r>
      <w:r>
        <w:rPr>
          <w:rFonts w:ascii="宋体" w:hAnsi="宋体" w:eastAsia="宋体" w:cs="宋体"/>
          <w:color w:val="auto"/>
          <w:spacing w:val="6"/>
          <w:sz w:val="20"/>
          <w:szCs w:val="20"/>
          <w:highlight w:val="none"/>
        </w:rPr>
        <w:t>移交、接收全部与部分工程</w:t>
      </w:r>
    </w:p>
    <w:p w14:paraId="08866384">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 xml:space="preserve">承包人向发包人移交工程的期限： </w:t>
      </w:r>
      <w:r>
        <w:rPr>
          <w:rFonts w:ascii="宋体" w:hAnsi="宋体" w:eastAsia="宋体" w:cs="宋体"/>
          <w:color w:val="auto"/>
          <w:spacing w:val="-91"/>
          <w:sz w:val="20"/>
          <w:szCs w:val="20"/>
          <w:highlight w:val="none"/>
          <w:u w:val="single" w:color="auto"/>
        </w:rPr>
        <w:t xml:space="preserve"> </w:t>
      </w:r>
      <w:r>
        <w:rPr>
          <w:rFonts w:ascii="宋体" w:hAnsi="宋体" w:eastAsia="宋体" w:cs="宋体"/>
          <w:color w:val="auto"/>
          <w:spacing w:val="6"/>
          <w:sz w:val="20"/>
          <w:szCs w:val="20"/>
          <w:highlight w:val="none"/>
          <w:u w:val="single" w:color="auto"/>
        </w:rPr>
        <w:t>验收合格后</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6"/>
          <w:sz w:val="20"/>
          <w:szCs w:val="20"/>
          <w:highlight w:val="none"/>
          <w:u w:val="single" w:color="auto"/>
        </w:rPr>
        <w:t>7</w:t>
      </w:r>
      <w:r>
        <w:rPr>
          <w:rFonts w:ascii="宋体" w:hAnsi="宋体" w:eastAsia="宋体" w:cs="宋体"/>
          <w:color w:val="auto"/>
          <w:spacing w:val="50"/>
          <w:sz w:val="20"/>
          <w:szCs w:val="20"/>
          <w:highlight w:val="none"/>
          <w:u w:val="single" w:color="auto"/>
        </w:rPr>
        <w:t xml:space="preserve"> </w:t>
      </w:r>
      <w:r>
        <w:rPr>
          <w:rFonts w:ascii="宋体" w:hAnsi="宋体" w:eastAsia="宋体" w:cs="宋体"/>
          <w:color w:val="auto"/>
          <w:spacing w:val="6"/>
          <w:sz w:val="20"/>
          <w:szCs w:val="20"/>
          <w:highlight w:val="none"/>
          <w:u w:val="single" w:color="auto"/>
        </w:rPr>
        <w:t>日内</w:t>
      </w:r>
      <w:r>
        <w:rPr>
          <w:rFonts w:ascii="宋体" w:hAnsi="宋体" w:eastAsia="宋体" w:cs="宋体"/>
          <w:color w:val="auto"/>
          <w:spacing w:val="6"/>
          <w:sz w:val="20"/>
          <w:szCs w:val="20"/>
          <w:highlight w:val="none"/>
        </w:rPr>
        <w:t>。</w:t>
      </w:r>
    </w:p>
    <w:p w14:paraId="7BBB0473">
      <w:pPr>
        <w:spacing w:before="220"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发包人未按本合同约定接收全部或部分工程的，违约金的计算方法为：</w:t>
      </w:r>
      <w:r>
        <w:rPr>
          <w:rFonts w:ascii="宋体" w:hAnsi="宋体" w:eastAsia="宋体" w:cs="宋体"/>
          <w:color w:val="auto"/>
          <w:spacing w:val="9"/>
          <w:sz w:val="20"/>
          <w:szCs w:val="20"/>
          <w:highlight w:val="none"/>
          <w:u w:val="single" w:color="auto"/>
        </w:rPr>
        <w:t>无</w:t>
      </w:r>
      <w:r>
        <w:rPr>
          <w:rFonts w:ascii="宋体" w:hAnsi="宋体" w:eastAsia="宋体" w:cs="宋体"/>
          <w:color w:val="auto"/>
          <w:spacing w:val="9"/>
          <w:sz w:val="20"/>
          <w:szCs w:val="20"/>
          <w:highlight w:val="none"/>
        </w:rPr>
        <w:t>。</w:t>
      </w:r>
    </w:p>
    <w:p w14:paraId="3825DB6B">
      <w:pPr>
        <w:spacing w:before="220" w:line="433" w:lineRule="auto"/>
        <w:ind w:left="7" w:right="2"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承包人未按时移交工程的，违约金的计算方法为：</w:t>
      </w:r>
      <w:r>
        <w:rPr>
          <w:rFonts w:ascii="宋体" w:hAnsi="宋体" w:eastAsia="宋体" w:cs="宋体"/>
          <w:color w:val="auto"/>
          <w:spacing w:val="10"/>
          <w:sz w:val="20"/>
          <w:szCs w:val="20"/>
          <w:highlight w:val="none"/>
          <w:u w:val="single" w:color="auto"/>
        </w:rPr>
        <w:t>承包人在配合发包人完</w:t>
      </w:r>
      <w:r>
        <w:rPr>
          <w:rFonts w:ascii="宋体" w:hAnsi="宋体" w:eastAsia="宋体" w:cs="宋体"/>
          <w:color w:val="auto"/>
          <w:spacing w:val="9"/>
          <w:sz w:val="20"/>
          <w:szCs w:val="20"/>
          <w:highlight w:val="none"/>
          <w:u w:val="single" w:color="auto"/>
        </w:rPr>
        <w:t>成竣工备案过程中，不得</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以工程结算、工程款支付等为由拒绝或拖延提供需承包人提供的资料（如工人工</w:t>
      </w:r>
      <w:r>
        <w:rPr>
          <w:rFonts w:ascii="宋体" w:hAnsi="宋体" w:eastAsia="宋体" w:cs="宋体"/>
          <w:color w:val="auto"/>
          <w:spacing w:val="9"/>
          <w:sz w:val="20"/>
          <w:szCs w:val="20"/>
          <w:highlight w:val="none"/>
          <w:u w:val="single" w:color="auto"/>
        </w:rPr>
        <w:t>资发放完成承诺书、工</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程款支付证明等）。否则，发包人除处承包人</w:t>
      </w:r>
      <w:r>
        <w:rPr>
          <w:rFonts w:ascii="宋体" w:hAnsi="宋体" w:eastAsia="宋体" w:cs="宋体"/>
          <w:color w:val="auto"/>
          <w:spacing w:val="-21"/>
          <w:sz w:val="20"/>
          <w:szCs w:val="20"/>
          <w:highlight w:val="none"/>
          <w:u w:val="single" w:color="auto"/>
        </w:rPr>
        <w:t xml:space="preserve"> </w:t>
      </w:r>
      <w:r>
        <w:rPr>
          <w:rFonts w:ascii="宋体" w:hAnsi="宋体" w:eastAsia="宋体" w:cs="宋体"/>
          <w:color w:val="auto"/>
          <w:spacing w:val="7"/>
          <w:sz w:val="20"/>
          <w:szCs w:val="20"/>
          <w:highlight w:val="none"/>
          <w:u w:val="single" w:color="auto"/>
        </w:rPr>
        <w:t>10</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7"/>
          <w:sz w:val="20"/>
          <w:szCs w:val="20"/>
          <w:highlight w:val="none"/>
          <w:u w:val="single" w:color="auto"/>
        </w:rPr>
        <w:t>万元的违约金外，还须承担由</w:t>
      </w:r>
      <w:r>
        <w:rPr>
          <w:rFonts w:ascii="宋体" w:hAnsi="宋体" w:eastAsia="宋体" w:cs="宋体"/>
          <w:color w:val="auto"/>
          <w:spacing w:val="6"/>
          <w:sz w:val="20"/>
          <w:szCs w:val="20"/>
          <w:highlight w:val="none"/>
          <w:u w:val="single" w:color="auto"/>
        </w:rPr>
        <w:t>此造成竣工备案延误引起</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发包人的一切损失（包括直接及间接损失等）。同时，发包人有权延缓结算的办</w:t>
      </w:r>
      <w:r>
        <w:rPr>
          <w:rFonts w:ascii="宋体" w:hAnsi="宋体" w:eastAsia="宋体" w:cs="宋体"/>
          <w:color w:val="auto"/>
          <w:spacing w:val="9"/>
          <w:sz w:val="20"/>
          <w:szCs w:val="20"/>
          <w:highlight w:val="none"/>
          <w:u w:val="single" w:color="auto"/>
        </w:rPr>
        <w:t>理时间，缓付甚至拒付</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u w:val="single" w:color="auto"/>
        </w:rPr>
        <w:t>工程款</w:t>
      </w:r>
      <w:r>
        <w:rPr>
          <w:rFonts w:ascii="宋体" w:hAnsi="宋体" w:eastAsia="宋体" w:cs="宋体"/>
          <w:color w:val="auto"/>
          <w:spacing w:val="5"/>
          <w:sz w:val="20"/>
          <w:szCs w:val="20"/>
          <w:highlight w:val="none"/>
        </w:rPr>
        <w:t>。</w:t>
      </w:r>
    </w:p>
    <w:p w14:paraId="1D1E5B37">
      <w:pPr>
        <w:spacing w:before="279" w:line="225" w:lineRule="auto"/>
        <w:ind w:left="36"/>
        <w:outlineLvl w:val="2"/>
        <w:rPr>
          <w:rFonts w:ascii="宋体" w:hAnsi="宋体" w:eastAsia="宋体" w:cs="宋体"/>
          <w:color w:val="auto"/>
          <w:sz w:val="31"/>
          <w:szCs w:val="31"/>
          <w:highlight w:val="none"/>
        </w:rPr>
      </w:pPr>
      <w:bookmarkStart w:id="111" w:name="_Toc23311"/>
      <w:r>
        <w:rPr>
          <w:rFonts w:ascii="宋体" w:hAnsi="宋体" w:eastAsia="宋体" w:cs="宋体"/>
          <w:b/>
          <w:bCs/>
          <w:color w:val="auto"/>
          <w:spacing w:val="-2"/>
          <w:sz w:val="31"/>
          <w:szCs w:val="31"/>
          <w:highlight w:val="none"/>
        </w:rPr>
        <w:t>13.3</w:t>
      </w:r>
      <w:r>
        <w:rPr>
          <w:rFonts w:ascii="宋体" w:hAnsi="宋体" w:eastAsia="宋体" w:cs="宋体"/>
          <w:color w:val="auto"/>
          <w:spacing w:val="25"/>
          <w:sz w:val="31"/>
          <w:szCs w:val="31"/>
          <w:highlight w:val="none"/>
        </w:rPr>
        <w:t xml:space="preserve"> </w:t>
      </w:r>
      <w:r>
        <w:rPr>
          <w:rFonts w:ascii="宋体" w:hAnsi="宋体" w:eastAsia="宋体" w:cs="宋体"/>
          <w:b/>
          <w:bCs/>
          <w:color w:val="auto"/>
          <w:spacing w:val="-2"/>
          <w:sz w:val="31"/>
          <w:szCs w:val="31"/>
          <w:highlight w:val="none"/>
        </w:rPr>
        <w:t>工程试车</w:t>
      </w:r>
      <w:bookmarkEnd w:id="111"/>
    </w:p>
    <w:p w14:paraId="7D6F2B95">
      <w:pPr>
        <w:pStyle w:val="2"/>
        <w:spacing w:line="414" w:lineRule="auto"/>
        <w:rPr>
          <w:color w:val="auto"/>
          <w:highlight w:val="none"/>
        </w:rPr>
      </w:pPr>
    </w:p>
    <w:p w14:paraId="12F1FFA0">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13.3.1 试车程序</w:t>
      </w:r>
    </w:p>
    <w:p w14:paraId="18B0AEA9">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工程试车内容：</w:t>
      </w:r>
      <w:r>
        <w:rPr>
          <w:rFonts w:ascii="宋体" w:hAnsi="宋体" w:eastAsia="宋体" w:cs="宋体"/>
          <w:color w:val="auto"/>
          <w:spacing w:val="7"/>
          <w:sz w:val="20"/>
          <w:szCs w:val="20"/>
          <w:highlight w:val="none"/>
          <w:u w:val="single" w:color="auto"/>
        </w:rPr>
        <w:t>无</w:t>
      </w:r>
      <w:r>
        <w:rPr>
          <w:rFonts w:ascii="宋体" w:hAnsi="宋体" w:eastAsia="宋体" w:cs="宋体"/>
          <w:color w:val="auto"/>
          <w:spacing w:val="7"/>
          <w:sz w:val="20"/>
          <w:szCs w:val="20"/>
          <w:highlight w:val="none"/>
        </w:rPr>
        <w:t>。</w:t>
      </w:r>
    </w:p>
    <w:p w14:paraId="091452C9">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（1）单机无负荷试车费用由</w:t>
      </w:r>
      <w:r>
        <w:rPr>
          <w:rFonts w:ascii="宋体" w:hAnsi="宋体" w:eastAsia="宋体" w:cs="宋体"/>
          <w:color w:val="auto"/>
          <w:spacing w:val="6"/>
          <w:sz w:val="20"/>
          <w:szCs w:val="20"/>
          <w:highlight w:val="none"/>
          <w:u w:val="single" w:color="auto"/>
        </w:rPr>
        <w:t xml:space="preserve">  /   </w:t>
      </w:r>
      <w:r>
        <w:rPr>
          <w:rFonts w:ascii="宋体" w:hAnsi="宋体" w:eastAsia="宋体" w:cs="宋体"/>
          <w:color w:val="auto"/>
          <w:spacing w:val="-80"/>
          <w:sz w:val="20"/>
          <w:szCs w:val="20"/>
          <w:highlight w:val="none"/>
        </w:rPr>
        <w:t xml:space="preserve"> </w:t>
      </w:r>
      <w:r>
        <w:rPr>
          <w:rFonts w:ascii="宋体" w:hAnsi="宋体" w:eastAsia="宋体" w:cs="宋体"/>
          <w:color w:val="auto"/>
          <w:spacing w:val="6"/>
          <w:sz w:val="20"/>
          <w:szCs w:val="20"/>
          <w:highlight w:val="none"/>
        </w:rPr>
        <w:t>承担；</w:t>
      </w:r>
    </w:p>
    <w:p w14:paraId="2E771687">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（2）无负荷联动试车费用由</w:t>
      </w:r>
      <w:r>
        <w:rPr>
          <w:rFonts w:ascii="宋体" w:hAnsi="宋体" w:eastAsia="宋体" w:cs="宋体"/>
          <w:color w:val="auto"/>
          <w:spacing w:val="6"/>
          <w:sz w:val="20"/>
          <w:szCs w:val="20"/>
          <w:highlight w:val="none"/>
          <w:u w:val="single" w:color="auto"/>
        </w:rPr>
        <w:t xml:space="preserve">   /  </w:t>
      </w:r>
      <w:r>
        <w:rPr>
          <w:rFonts w:ascii="宋体" w:hAnsi="宋体" w:eastAsia="宋体" w:cs="宋体"/>
          <w:color w:val="auto"/>
          <w:spacing w:val="-80"/>
          <w:sz w:val="20"/>
          <w:szCs w:val="20"/>
          <w:highlight w:val="none"/>
        </w:rPr>
        <w:t xml:space="preserve"> </w:t>
      </w:r>
      <w:r>
        <w:rPr>
          <w:rFonts w:ascii="宋体" w:hAnsi="宋体" w:eastAsia="宋体" w:cs="宋体"/>
          <w:color w:val="auto"/>
          <w:spacing w:val="6"/>
          <w:sz w:val="20"/>
          <w:szCs w:val="20"/>
          <w:highlight w:val="none"/>
        </w:rPr>
        <w:t>承担。</w:t>
      </w:r>
    </w:p>
    <w:p w14:paraId="7E3AE2D0">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13.3.3 投料试车</w:t>
      </w:r>
    </w:p>
    <w:p w14:paraId="71756A26">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关于投料试车相关事项的约定：</w:t>
      </w:r>
      <w:r>
        <w:rPr>
          <w:rFonts w:ascii="宋体" w:hAnsi="宋体" w:eastAsia="宋体" w:cs="宋体"/>
          <w:color w:val="auto"/>
          <w:spacing w:val="8"/>
          <w:sz w:val="20"/>
          <w:szCs w:val="20"/>
          <w:highlight w:val="none"/>
          <w:u w:val="single" w:color="auto"/>
        </w:rPr>
        <w:t>/</w:t>
      </w:r>
      <w:r>
        <w:rPr>
          <w:rFonts w:ascii="宋体" w:hAnsi="宋体" w:eastAsia="宋体" w:cs="宋体"/>
          <w:color w:val="auto"/>
          <w:spacing w:val="8"/>
          <w:sz w:val="20"/>
          <w:szCs w:val="20"/>
          <w:highlight w:val="none"/>
        </w:rPr>
        <w:t>。</w:t>
      </w:r>
    </w:p>
    <w:p w14:paraId="5CAA40B7">
      <w:pPr>
        <w:spacing w:line="228" w:lineRule="auto"/>
        <w:rPr>
          <w:rFonts w:ascii="宋体" w:hAnsi="宋体" w:eastAsia="宋体" w:cs="宋体"/>
          <w:color w:val="auto"/>
          <w:sz w:val="20"/>
          <w:szCs w:val="20"/>
          <w:highlight w:val="none"/>
        </w:rPr>
        <w:sectPr>
          <w:footerReference r:id="rId227" w:type="default"/>
          <w:pgSz w:w="11906" w:h="16839"/>
          <w:pgMar w:top="400" w:right="1219" w:bottom="1158" w:left="1219" w:header="0" w:footer="922" w:gutter="0"/>
          <w:cols w:space="720" w:num="1"/>
        </w:sectPr>
      </w:pPr>
    </w:p>
    <w:p w14:paraId="544EF5DD">
      <w:pPr>
        <w:pStyle w:val="2"/>
        <w:spacing w:line="289" w:lineRule="auto"/>
        <w:rPr>
          <w:color w:val="auto"/>
          <w:highlight w:val="none"/>
        </w:rPr>
      </w:pPr>
    </w:p>
    <w:p w14:paraId="4A22F453">
      <w:pPr>
        <w:pStyle w:val="2"/>
        <w:spacing w:line="289" w:lineRule="auto"/>
        <w:rPr>
          <w:color w:val="auto"/>
          <w:highlight w:val="none"/>
        </w:rPr>
      </w:pPr>
    </w:p>
    <w:p w14:paraId="49878DFB">
      <w:pPr>
        <w:pStyle w:val="2"/>
        <w:spacing w:line="290" w:lineRule="auto"/>
        <w:rPr>
          <w:color w:val="auto"/>
          <w:highlight w:val="none"/>
        </w:rPr>
      </w:pPr>
      <w:r>
        <w:rPr>
          <w:color w:val="auto"/>
          <w:highlight w:val="none"/>
        </w:rPr>
        <w:pict>
          <v:shape id="_x0000_s1046" o:spid="_x0000_s1046" style="position:absolute;left:0pt;margin-left:0pt;margin-top:4.8pt;height:0.75pt;width:473.4pt;z-index:251701248;mso-width-relative:page;mso-height-relative:page;" fillcolor="#000000" filled="t" stroked="f" coordsize="9467,15" path="m0,0l9467,0,9467,14,0,14,0,0xe">
            <v:path/>
            <v:fill on="t" focussize="0,0"/>
            <v:stroke on="f"/>
            <v:imagedata o:title=""/>
            <o:lock v:ext="edit"/>
          </v:shape>
        </w:pict>
      </w:r>
    </w:p>
    <w:p w14:paraId="1B368777">
      <w:pPr>
        <w:spacing w:before="100" w:line="225" w:lineRule="auto"/>
        <w:ind w:left="36"/>
        <w:outlineLvl w:val="2"/>
        <w:rPr>
          <w:rFonts w:ascii="宋体" w:hAnsi="宋体" w:eastAsia="宋体" w:cs="宋体"/>
          <w:color w:val="auto"/>
          <w:sz w:val="31"/>
          <w:szCs w:val="31"/>
          <w:highlight w:val="none"/>
        </w:rPr>
      </w:pPr>
      <w:bookmarkStart w:id="112" w:name="_Toc21130"/>
      <w:r>
        <w:rPr>
          <w:rFonts w:ascii="宋体" w:hAnsi="宋体" w:eastAsia="宋体" w:cs="宋体"/>
          <w:b/>
          <w:bCs/>
          <w:color w:val="auto"/>
          <w:spacing w:val="1"/>
          <w:sz w:val="31"/>
          <w:szCs w:val="31"/>
          <w:highlight w:val="none"/>
        </w:rPr>
        <w:t>13.6</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竣工退场</w:t>
      </w:r>
      <w:bookmarkEnd w:id="112"/>
    </w:p>
    <w:p w14:paraId="53BFB6FA">
      <w:pPr>
        <w:pStyle w:val="2"/>
        <w:spacing w:line="335" w:lineRule="auto"/>
        <w:rPr>
          <w:color w:val="auto"/>
          <w:highlight w:val="none"/>
        </w:rPr>
      </w:pPr>
    </w:p>
    <w:p w14:paraId="2E281E26">
      <w:pPr>
        <w:spacing w:before="65" w:line="228" w:lineRule="auto"/>
        <w:ind w:left="443"/>
        <w:outlineLvl w:val="0"/>
        <w:rPr>
          <w:rFonts w:ascii="宋体" w:hAnsi="宋体" w:eastAsia="宋体" w:cs="宋体"/>
          <w:color w:val="auto"/>
          <w:sz w:val="20"/>
          <w:szCs w:val="20"/>
          <w:highlight w:val="none"/>
        </w:rPr>
      </w:pPr>
      <w:bookmarkStart w:id="113" w:name="_Toc7459"/>
      <w:r>
        <w:rPr>
          <w:rFonts w:ascii="宋体" w:hAnsi="宋体" w:eastAsia="宋体" w:cs="宋体"/>
          <w:color w:val="auto"/>
          <w:spacing w:val="4"/>
          <w:sz w:val="20"/>
          <w:szCs w:val="20"/>
          <w:highlight w:val="none"/>
        </w:rPr>
        <w:t>13.6.1 竣工退场</w:t>
      </w:r>
      <w:bookmarkEnd w:id="113"/>
    </w:p>
    <w:p w14:paraId="18EE5B31">
      <w:pPr>
        <w:spacing w:before="64"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承包人完成竣工退场的期限：</w:t>
      </w:r>
      <w:r>
        <w:rPr>
          <w:rFonts w:ascii="宋体" w:hAnsi="宋体" w:eastAsia="宋体" w:cs="宋体"/>
          <w:color w:val="auto"/>
          <w:spacing w:val="8"/>
          <w:sz w:val="20"/>
          <w:szCs w:val="20"/>
          <w:highlight w:val="none"/>
          <w:u w:val="single" w:color="auto"/>
        </w:rPr>
        <w:t>按发包人要求</w:t>
      </w:r>
      <w:r>
        <w:rPr>
          <w:rFonts w:ascii="宋体" w:hAnsi="宋体" w:eastAsia="宋体" w:cs="宋体"/>
          <w:color w:val="auto"/>
          <w:spacing w:val="8"/>
          <w:sz w:val="20"/>
          <w:szCs w:val="20"/>
          <w:highlight w:val="none"/>
        </w:rPr>
        <w:t>。</w:t>
      </w:r>
    </w:p>
    <w:p w14:paraId="345F6E29">
      <w:pPr>
        <w:pStyle w:val="2"/>
        <w:spacing w:line="324" w:lineRule="auto"/>
        <w:rPr>
          <w:color w:val="auto"/>
          <w:highlight w:val="none"/>
        </w:rPr>
      </w:pPr>
    </w:p>
    <w:p w14:paraId="043A0DDE">
      <w:pPr>
        <w:spacing w:before="101" w:line="225" w:lineRule="auto"/>
        <w:ind w:left="36"/>
        <w:outlineLvl w:val="1"/>
        <w:rPr>
          <w:rFonts w:ascii="宋体" w:hAnsi="宋体" w:eastAsia="宋体" w:cs="宋体"/>
          <w:color w:val="auto"/>
          <w:sz w:val="31"/>
          <w:szCs w:val="31"/>
          <w:highlight w:val="none"/>
        </w:rPr>
      </w:pPr>
      <w:bookmarkStart w:id="114" w:name="_Toc4331"/>
      <w:r>
        <w:rPr>
          <w:rFonts w:ascii="宋体" w:hAnsi="宋体" w:eastAsia="宋体" w:cs="宋体"/>
          <w:b/>
          <w:bCs/>
          <w:color w:val="auto"/>
          <w:spacing w:val="-2"/>
          <w:sz w:val="31"/>
          <w:szCs w:val="31"/>
          <w:highlight w:val="none"/>
        </w:rPr>
        <w:t>14.</w:t>
      </w:r>
      <w:r>
        <w:rPr>
          <w:rFonts w:ascii="宋体" w:hAnsi="宋体" w:eastAsia="宋体" w:cs="宋体"/>
          <w:color w:val="auto"/>
          <w:spacing w:val="21"/>
          <w:sz w:val="31"/>
          <w:szCs w:val="31"/>
          <w:highlight w:val="none"/>
        </w:rPr>
        <w:t xml:space="preserve"> </w:t>
      </w:r>
      <w:r>
        <w:rPr>
          <w:rFonts w:ascii="宋体" w:hAnsi="宋体" w:eastAsia="宋体" w:cs="宋体"/>
          <w:b/>
          <w:bCs/>
          <w:color w:val="auto"/>
          <w:spacing w:val="-2"/>
          <w:sz w:val="31"/>
          <w:szCs w:val="31"/>
          <w:highlight w:val="none"/>
        </w:rPr>
        <w:t>竣工结算</w:t>
      </w:r>
      <w:bookmarkEnd w:id="114"/>
    </w:p>
    <w:p w14:paraId="518AEA92">
      <w:pPr>
        <w:pStyle w:val="2"/>
        <w:spacing w:line="404" w:lineRule="auto"/>
        <w:rPr>
          <w:color w:val="auto"/>
          <w:highlight w:val="none"/>
        </w:rPr>
      </w:pPr>
    </w:p>
    <w:p w14:paraId="5106C4FC">
      <w:pPr>
        <w:spacing w:before="101" w:line="225" w:lineRule="auto"/>
        <w:ind w:left="36"/>
        <w:outlineLvl w:val="2"/>
        <w:rPr>
          <w:rFonts w:ascii="宋体" w:hAnsi="宋体" w:eastAsia="宋体" w:cs="宋体"/>
          <w:color w:val="auto"/>
          <w:sz w:val="31"/>
          <w:szCs w:val="31"/>
          <w:highlight w:val="none"/>
        </w:rPr>
      </w:pPr>
      <w:bookmarkStart w:id="115" w:name="_Toc18125"/>
      <w:r>
        <w:rPr>
          <w:rFonts w:ascii="宋体" w:hAnsi="宋体" w:eastAsia="宋体" w:cs="宋体"/>
          <w:b/>
          <w:bCs/>
          <w:color w:val="auto"/>
          <w:spacing w:val="2"/>
          <w:sz w:val="31"/>
          <w:szCs w:val="31"/>
          <w:highlight w:val="none"/>
        </w:rPr>
        <w:t>14.1</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竣工付款申请</w:t>
      </w:r>
      <w:bookmarkEnd w:id="115"/>
    </w:p>
    <w:p w14:paraId="5F755A9B">
      <w:pPr>
        <w:pStyle w:val="2"/>
        <w:spacing w:line="423" w:lineRule="auto"/>
        <w:rPr>
          <w:color w:val="auto"/>
          <w:highlight w:val="none"/>
        </w:rPr>
      </w:pPr>
    </w:p>
    <w:p w14:paraId="5447C2D3">
      <w:pPr>
        <w:spacing w:before="66" w:line="228" w:lineRule="auto"/>
        <w:ind w:left="462"/>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自竣工结算完毕之日起 60 天内，由承包人</w:t>
      </w:r>
      <w:r>
        <w:rPr>
          <w:rFonts w:ascii="宋体" w:hAnsi="宋体" w:eastAsia="宋体" w:cs="宋体"/>
          <w:color w:val="auto"/>
          <w:spacing w:val="8"/>
          <w:sz w:val="20"/>
          <w:szCs w:val="20"/>
          <w:highlight w:val="none"/>
          <w:u w:val="single" w:color="auto"/>
        </w:rPr>
        <w:t>向发包人提出竣工付款申请。</w:t>
      </w:r>
    </w:p>
    <w:p w14:paraId="485F90E6">
      <w:pPr>
        <w:spacing w:before="141" w:line="434" w:lineRule="auto"/>
        <w:ind w:left="8" w:right="71"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竣工付款申请</w:t>
      </w:r>
      <w:r>
        <w:rPr>
          <w:rFonts w:ascii="宋体" w:hAnsi="宋体" w:eastAsia="宋体" w:cs="宋体"/>
          <w:color w:val="auto"/>
          <w:spacing w:val="10"/>
          <w:sz w:val="20"/>
          <w:szCs w:val="20"/>
          <w:highlight w:val="none"/>
          <w:u w:val="single" w:color="auto"/>
        </w:rPr>
        <w:t>材料</w:t>
      </w:r>
      <w:r>
        <w:rPr>
          <w:rFonts w:ascii="宋体" w:hAnsi="宋体" w:eastAsia="宋体" w:cs="宋体"/>
          <w:color w:val="auto"/>
          <w:spacing w:val="10"/>
          <w:sz w:val="20"/>
          <w:szCs w:val="20"/>
          <w:highlight w:val="none"/>
        </w:rPr>
        <w:t>应包括的内容：</w:t>
      </w:r>
      <w:r>
        <w:rPr>
          <w:rFonts w:ascii="宋体" w:hAnsi="宋体" w:eastAsia="宋体" w:cs="宋体"/>
          <w:color w:val="auto"/>
          <w:spacing w:val="10"/>
          <w:sz w:val="20"/>
          <w:szCs w:val="20"/>
          <w:highlight w:val="none"/>
          <w:u w:val="single" w:color="auto"/>
        </w:rPr>
        <w:t>请款函、合同、结算书、竣工验收报告等发包人要求的资料（具</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u w:val="single" w:color="auto"/>
        </w:rPr>
        <w:t>体请款时与发包人对接）。</w:t>
      </w:r>
    </w:p>
    <w:p w14:paraId="65FA37DE">
      <w:pPr>
        <w:spacing w:before="282" w:line="225" w:lineRule="auto"/>
        <w:ind w:left="36"/>
        <w:outlineLvl w:val="2"/>
        <w:rPr>
          <w:rFonts w:ascii="宋体" w:hAnsi="宋体" w:eastAsia="宋体" w:cs="宋体"/>
          <w:color w:val="auto"/>
          <w:sz w:val="31"/>
          <w:szCs w:val="31"/>
          <w:highlight w:val="none"/>
        </w:rPr>
      </w:pPr>
      <w:bookmarkStart w:id="116" w:name="_Toc3497"/>
      <w:r>
        <w:rPr>
          <w:rFonts w:ascii="宋体" w:hAnsi="宋体" w:eastAsia="宋体" w:cs="宋体"/>
          <w:b/>
          <w:bCs/>
          <w:color w:val="auto"/>
          <w:spacing w:val="2"/>
          <w:sz w:val="31"/>
          <w:szCs w:val="31"/>
          <w:highlight w:val="none"/>
        </w:rPr>
        <w:t>14.2</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竣工结算审核</w:t>
      </w:r>
      <w:bookmarkEnd w:id="116"/>
    </w:p>
    <w:p w14:paraId="2B1A35ED">
      <w:pPr>
        <w:pStyle w:val="2"/>
        <w:spacing w:line="414" w:lineRule="auto"/>
        <w:rPr>
          <w:color w:val="auto"/>
          <w:highlight w:val="none"/>
        </w:rPr>
      </w:pPr>
    </w:p>
    <w:p w14:paraId="266909DA">
      <w:pPr>
        <w:spacing w:before="65"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发包人审批竣工结算申请的期限：</w:t>
      </w:r>
    </w:p>
    <w:p w14:paraId="2388ECDF">
      <w:pPr>
        <w:spacing w:line="91" w:lineRule="exact"/>
        <w:rPr>
          <w:color w:val="auto"/>
          <w:highlight w:val="none"/>
        </w:rPr>
      </w:pPr>
    </w:p>
    <w:tbl>
      <w:tblPr>
        <w:tblStyle w:val="8"/>
        <w:tblW w:w="9202" w:type="dxa"/>
        <w:tblInd w:w="1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2465"/>
        <w:gridCol w:w="5968"/>
      </w:tblGrid>
      <w:tr w14:paraId="339A5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769" w:type="dxa"/>
            <w:vAlign w:val="top"/>
          </w:tcPr>
          <w:p w14:paraId="48E82921">
            <w:pPr>
              <w:rPr>
                <w:rFonts w:ascii="Arial"/>
                <w:color w:val="auto"/>
                <w:sz w:val="21"/>
                <w:highlight w:val="none"/>
              </w:rPr>
            </w:pPr>
          </w:p>
        </w:tc>
        <w:tc>
          <w:tcPr>
            <w:tcW w:w="2465" w:type="dxa"/>
            <w:vAlign w:val="top"/>
          </w:tcPr>
          <w:p w14:paraId="3B2C7D64">
            <w:pPr>
              <w:pStyle w:val="9"/>
              <w:spacing w:before="134" w:line="227" w:lineRule="auto"/>
              <w:ind w:left="203"/>
              <w:rPr>
                <w:color w:val="auto"/>
                <w:highlight w:val="none"/>
              </w:rPr>
            </w:pPr>
            <w:r>
              <w:rPr>
                <w:color w:val="auto"/>
                <w:spacing w:val="8"/>
                <w:highlight w:val="none"/>
              </w:rPr>
              <w:t>工程竣工结算报告金额</w:t>
            </w:r>
          </w:p>
        </w:tc>
        <w:tc>
          <w:tcPr>
            <w:tcW w:w="5968" w:type="dxa"/>
            <w:vAlign w:val="top"/>
          </w:tcPr>
          <w:p w14:paraId="66ECC4CE">
            <w:pPr>
              <w:pStyle w:val="9"/>
              <w:spacing w:before="134" w:line="229" w:lineRule="auto"/>
              <w:ind w:left="2476"/>
              <w:rPr>
                <w:color w:val="auto"/>
                <w:highlight w:val="none"/>
              </w:rPr>
            </w:pPr>
            <w:r>
              <w:rPr>
                <w:color w:val="auto"/>
                <w:spacing w:val="8"/>
                <w:highlight w:val="none"/>
              </w:rPr>
              <w:t>发包人审查时间</w:t>
            </w:r>
          </w:p>
        </w:tc>
      </w:tr>
      <w:tr w14:paraId="7795E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9" w:type="dxa"/>
            <w:vAlign w:val="top"/>
          </w:tcPr>
          <w:p w14:paraId="3E85BDB5">
            <w:pPr>
              <w:pStyle w:val="9"/>
              <w:spacing w:before="129" w:line="271" w:lineRule="exact"/>
              <w:ind w:left="354"/>
              <w:rPr>
                <w:color w:val="auto"/>
                <w:highlight w:val="none"/>
              </w:rPr>
            </w:pPr>
            <w:r>
              <w:rPr>
                <w:color w:val="auto"/>
                <w:position w:val="1"/>
                <w:highlight w:val="none"/>
              </w:rPr>
              <w:t>1</w:t>
            </w:r>
          </w:p>
        </w:tc>
        <w:tc>
          <w:tcPr>
            <w:tcW w:w="2465" w:type="dxa"/>
            <w:vAlign w:val="top"/>
          </w:tcPr>
          <w:p w14:paraId="5AF2A228">
            <w:pPr>
              <w:pStyle w:val="9"/>
              <w:spacing w:before="129" w:line="229" w:lineRule="auto"/>
              <w:ind w:left="649"/>
              <w:rPr>
                <w:color w:val="auto"/>
                <w:highlight w:val="none"/>
              </w:rPr>
            </w:pPr>
            <w:r>
              <w:rPr>
                <w:color w:val="auto"/>
                <w:spacing w:val="3"/>
                <w:highlight w:val="none"/>
              </w:rPr>
              <w:t>500</w:t>
            </w:r>
            <w:r>
              <w:rPr>
                <w:color w:val="auto"/>
                <w:spacing w:val="-30"/>
                <w:highlight w:val="none"/>
              </w:rPr>
              <w:t xml:space="preserve"> </w:t>
            </w:r>
            <w:r>
              <w:rPr>
                <w:color w:val="auto"/>
                <w:spacing w:val="3"/>
                <w:highlight w:val="none"/>
              </w:rPr>
              <w:t>万元以下</w:t>
            </w:r>
          </w:p>
        </w:tc>
        <w:tc>
          <w:tcPr>
            <w:tcW w:w="5968" w:type="dxa"/>
            <w:vAlign w:val="top"/>
          </w:tcPr>
          <w:p w14:paraId="7ECB75F1">
            <w:pPr>
              <w:pStyle w:val="9"/>
              <w:spacing w:before="129" w:line="227" w:lineRule="auto"/>
              <w:ind w:left="637"/>
              <w:rPr>
                <w:color w:val="auto"/>
                <w:highlight w:val="none"/>
              </w:rPr>
            </w:pPr>
            <w:r>
              <w:rPr>
                <w:color w:val="auto"/>
                <w:spacing w:val="8"/>
                <w:highlight w:val="none"/>
              </w:rPr>
              <w:t>从接到竣工结算报告和完整的竣工结算资料之日起</w:t>
            </w:r>
            <w:r>
              <w:rPr>
                <w:color w:val="auto"/>
                <w:spacing w:val="-29"/>
                <w:highlight w:val="none"/>
              </w:rPr>
              <w:t xml:space="preserve"> </w:t>
            </w:r>
            <w:r>
              <w:rPr>
                <w:color w:val="auto"/>
                <w:spacing w:val="8"/>
                <w:highlight w:val="none"/>
              </w:rPr>
              <w:t>20</w:t>
            </w:r>
            <w:r>
              <w:rPr>
                <w:color w:val="auto"/>
                <w:spacing w:val="-34"/>
                <w:highlight w:val="none"/>
              </w:rPr>
              <w:t xml:space="preserve"> </w:t>
            </w:r>
            <w:r>
              <w:rPr>
                <w:color w:val="auto"/>
                <w:spacing w:val="8"/>
                <w:highlight w:val="none"/>
              </w:rPr>
              <w:t>天</w:t>
            </w:r>
          </w:p>
        </w:tc>
      </w:tr>
      <w:tr w14:paraId="67947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9" w:type="dxa"/>
            <w:vAlign w:val="top"/>
          </w:tcPr>
          <w:p w14:paraId="19F96B25">
            <w:pPr>
              <w:pStyle w:val="9"/>
              <w:spacing w:before="130" w:line="271" w:lineRule="exact"/>
              <w:ind w:left="341"/>
              <w:rPr>
                <w:color w:val="auto"/>
                <w:highlight w:val="none"/>
              </w:rPr>
            </w:pPr>
            <w:r>
              <w:rPr>
                <w:color w:val="auto"/>
                <w:position w:val="1"/>
                <w:highlight w:val="none"/>
              </w:rPr>
              <w:t>2</w:t>
            </w:r>
          </w:p>
        </w:tc>
        <w:tc>
          <w:tcPr>
            <w:tcW w:w="2465" w:type="dxa"/>
            <w:vAlign w:val="top"/>
          </w:tcPr>
          <w:p w14:paraId="0F78B863">
            <w:pPr>
              <w:pStyle w:val="9"/>
              <w:spacing w:before="130" w:line="229" w:lineRule="auto"/>
              <w:ind w:left="361"/>
              <w:rPr>
                <w:color w:val="auto"/>
                <w:highlight w:val="none"/>
              </w:rPr>
            </w:pPr>
            <w:r>
              <w:rPr>
                <w:color w:val="auto"/>
                <w:spacing w:val="3"/>
                <w:highlight w:val="none"/>
              </w:rPr>
              <w:t>500</w:t>
            </w:r>
            <w:r>
              <w:rPr>
                <w:color w:val="auto"/>
                <w:spacing w:val="-34"/>
                <w:highlight w:val="none"/>
              </w:rPr>
              <w:t xml:space="preserve"> </w:t>
            </w:r>
            <w:r>
              <w:rPr>
                <w:color w:val="auto"/>
                <w:spacing w:val="3"/>
                <w:highlight w:val="none"/>
              </w:rPr>
              <w:t>万元-2000</w:t>
            </w:r>
            <w:r>
              <w:rPr>
                <w:color w:val="auto"/>
                <w:spacing w:val="-32"/>
                <w:highlight w:val="none"/>
              </w:rPr>
              <w:t xml:space="preserve"> </w:t>
            </w:r>
            <w:r>
              <w:rPr>
                <w:color w:val="auto"/>
                <w:spacing w:val="3"/>
                <w:highlight w:val="none"/>
              </w:rPr>
              <w:t>万元</w:t>
            </w:r>
          </w:p>
        </w:tc>
        <w:tc>
          <w:tcPr>
            <w:tcW w:w="5968" w:type="dxa"/>
            <w:vAlign w:val="top"/>
          </w:tcPr>
          <w:p w14:paraId="61855BDC">
            <w:pPr>
              <w:pStyle w:val="9"/>
              <w:spacing w:before="130" w:line="227" w:lineRule="auto"/>
              <w:ind w:left="637"/>
              <w:rPr>
                <w:color w:val="auto"/>
                <w:highlight w:val="none"/>
              </w:rPr>
            </w:pPr>
            <w:r>
              <w:rPr>
                <w:color w:val="auto"/>
                <w:spacing w:val="8"/>
                <w:highlight w:val="none"/>
              </w:rPr>
              <w:t>从接到竣工结算报告和完整的竣工结算资料之日起</w:t>
            </w:r>
            <w:r>
              <w:rPr>
                <w:color w:val="auto"/>
                <w:spacing w:val="-29"/>
                <w:highlight w:val="none"/>
              </w:rPr>
              <w:t xml:space="preserve"> </w:t>
            </w:r>
            <w:r>
              <w:rPr>
                <w:color w:val="auto"/>
                <w:spacing w:val="8"/>
                <w:highlight w:val="none"/>
              </w:rPr>
              <w:t>30</w:t>
            </w:r>
            <w:r>
              <w:rPr>
                <w:color w:val="auto"/>
                <w:spacing w:val="-34"/>
                <w:highlight w:val="none"/>
              </w:rPr>
              <w:t xml:space="preserve"> </w:t>
            </w:r>
            <w:r>
              <w:rPr>
                <w:color w:val="auto"/>
                <w:spacing w:val="8"/>
                <w:highlight w:val="none"/>
              </w:rPr>
              <w:t>天</w:t>
            </w:r>
          </w:p>
        </w:tc>
      </w:tr>
      <w:tr w14:paraId="50A26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9" w:type="dxa"/>
            <w:vAlign w:val="top"/>
          </w:tcPr>
          <w:p w14:paraId="6B4E1529">
            <w:pPr>
              <w:pStyle w:val="9"/>
              <w:spacing w:before="133" w:line="269" w:lineRule="exact"/>
              <w:ind w:left="342"/>
              <w:rPr>
                <w:color w:val="auto"/>
                <w:highlight w:val="none"/>
              </w:rPr>
            </w:pPr>
            <w:r>
              <w:rPr>
                <w:color w:val="auto"/>
                <w:position w:val="1"/>
                <w:highlight w:val="none"/>
              </w:rPr>
              <w:t>3</w:t>
            </w:r>
          </w:p>
        </w:tc>
        <w:tc>
          <w:tcPr>
            <w:tcW w:w="2465" w:type="dxa"/>
            <w:vAlign w:val="top"/>
          </w:tcPr>
          <w:p w14:paraId="739979DA">
            <w:pPr>
              <w:pStyle w:val="9"/>
              <w:spacing w:before="133" w:line="229" w:lineRule="auto"/>
              <w:ind w:left="306"/>
              <w:rPr>
                <w:color w:val="auto"/>
                <w:highlight w:val="none"/>
              </w:rPr>
            </w:pPr>
            <w:r>
              <w:rPr>
                <w:color w:val="auto"/>
                <w:spacing w:val="3"/>
                <w:highlight w:val="none"/>
              </w:rPr>
              <w:t>2000</w:t>
            </w:r>
            <w:r>
              <w:rPr>
                <w:color w:val="auto"/>
                <w:spacing w:val="-29"/>
                <w:highlight w:val="none"/>
              </w:rPr>
              <w:t xml:space="preserve"> </w:t>
            </w:r>
            <w:r>
              <w:rPr>
                <w:color w:val="auto"/>
                <w:spacing w:val="3"/>
                <w:highlight w:val="none"/>
              </w:rPr>
              <w:t>万元-5000</w:t>
            </w:r>
            <w:r>
              <w:rPr>
                <w:color w:val="auto"/>
                <w:spacing w:val="-33"/>
                <w:highlight w:val="none"/>
              </w:rPr>
              <w:t xml:space="preserve"> </w:t>
            </w:r>
            <w:r>
              <w:rPr>
                <w:color w:val="auto"/>
                <w:spacing w:val="3"/>
                <w:highlight w:val="none"/>
              </w:rPr>
              <w:t>万元</w:t>
            </w:r>
          </w:p>
        </w:tc>
        <w:tc>
          <w:tcPr>
            <w:tcW w:w="5968" w:type="dxa"/>
            <w:vAlign w:val="top"/>
          </w:tcPr>
          <w:p w14:paraId="4FCE52CB">
            <w:pPr>
              <w:pStyle w:val="9"/>
              <w:spacing w:before="133" w:line="227" w:lineRule="auto"/>
              <w:ind w:left="637"/>
              <w:rPr>
                <w:color w:val="auto"/>
                <w:highlight w:val="none"/>
              </w:rPr>
            </w:pPr>
            <w:r>
              <w:rPr>
                <w:color w:val="auto"/>
                <w:spacing w:val="11"/>
                <w:highlight w:val="none"/>
              </w:rPr>
              <w:t>从接到竣工结算报告和完整的竣工结算资料之日</w:t>
            </w:r>
            <w:r>
              <w:rPr>
                <w:color w:val="auto"/>
                <w:spacing w:val="10"/>
                <w:highlight w:val="none"/>
              </w:rPr>
              <w:t>起45</w:t>
            </w:r>
            <w:r>
              <w:rPr>
                <w:color w:val="auto"/>
                <w:spacing w:val="-34"/>
                <w:highlight w:val="none"/>
              </w:rPr>
              <w:t xml:space="preserve"> </w:t>
            </w:r>
            <w:r>
              <w:rPr>
                <w:color w:val="auto"/>
                <w:spacing w:val="10"/>
                <w:highlight w:val="none"/>
              </w:rPr>
              <w:t>天</w:t>
            </w:r>
          </w:p>
        </w:tc>
      </w:tr>
      <w:tr w14:paraId="71774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9" w:type="dxa"/>
            <w:vAlign w:val="top"/>
          </w:tcPr>
          <w:p w14:paraId="78D7DBF4">
            <w:pPr>
              <w:pStyle w:val="9"/>
              <w:spacing w:before="134" w:line="270" w:lineRule="exact"/>
              <w:ind w:left="337"/>
              <w:rPr>
                <w:color w:val="auto"/>
                <w:highlight w:val="none"/>
              </w:rPr>
            </w:pPr>
            <w:r>
              <w:rPr>
                <w:color w:val="auto"/>
                <w:position w:val="1"/>
                <w:highlight w:val="none"/>
              </w:rPr>
              <w:t>4</w:t>
            </w:r>
          </w:p>
        </w:tc>
        <w:tc>
          <w:tcPr>
            <w:tcW w:w="2465" w:type="dxa"/>
            <w:vAlign w:val="top"/>
          </w:tcPr>
          <w:p w14:paraId="563A8C83">
            <w:pPr>
              <w:pStyle w:val="9"/>
              <w:spacing w:before="134" w:line="229" w:lineRule="auto"/>
              <w:ind w:left="598"/>
              <w:rPr>
                <w:color w:val="auto"/>
                <w:highlight w:val="none"/>
              </w:rPr>
            </w:pPr>
            <w:r>
              <w:rPr>
                <w:color w:val="auto"/>
                <w:spacing w:val="3"/>
                <w:highlight w:val="none"/>
              </w:rPr>
              <w:t>5000</w:t>
            </w:r>
            <w:r>
              <w:rPr>
                <w:color w:val="auto"/>
                <w:spacing w:val="-30"/>
                <w:highlight w:val="none"/>
              </w:rPr>
              <w:t xml:space="preserve"> </w:t>
            </w:r>
            <w:r>
              <w:rPr>
                <w:color w:val="auto"/>
                <w:spacing w:val="3"/>
                <w:highlight w:val="none"/>
              </w:rPr>
              <w:t>万元以上</w:t>
            </w:r>
          </w:p>
        </w:tc>
        <w:tc>
          <w:tcPr>
            <w:tcW w:w="5968" w:type="dxa"/>
            <w:vAlign w:val="top"/>
          </w:tcPr>
          <w:p w14:paraId="0CC1F170">
            <w:pPr>
              <w:pStyle w:val="9"/>
              <w:spacing w:before="134" w:line="227" w:lineRule="auto"/>
              <w:ind w:left="637"/>
              <w:rPr>
                <w:color w:val="auto"/>
                <w:highlight w:val="none"/>
              </w:rPr>
            </w:pPr>
            <w:r>
              <w:rPr>
                <w:color w:val="auto"/>
                <w:spacing w:val="8"/>
                <w:highlight w:val="none"/>
              </w:rPr>
              <w:t>从接到竣工结算报告和完整的竣工结算资料之日起</w:t>
            </w:r>
            <w:r>
              <w:rPr>
                <w:color w:val="auto"/>
                <w:spacing w:val="-29"/>
                <w:highlight w:val="none"/>
              </w:rPr>
              <w:t xml:space="preserve"> </w:t>
            </w:r>
            <w:r>
              <w:rPr>
                <w:color w:val="auto"/>
                <w:spacing w:val="8"/>
                <w:highlight w:val="none"/>
              </w:rPr>
              <w:t>60</w:t>
            </w:r>
            <w:r>
              <w:rPr>
                <w:color w:val="auto"/>
                <w:spacing w:val="-34"/>
                <w:highlight w:val="none"/>
              </w:rPr>
              <w:t xml:space="preserve"> </w:t>
            </w:r>
            <w:r>
              <w:rPr>
                <w:color w:val="auto"/>
                <w:spacing w:val="8"/>
                <w:highlight w:val="none"/>
              </w:rPr>
              <w:t>天</w:t>
            </w:r>
          </w:p>
        </w:tc>
      </w:tr>
      <w:tr w14:paraId="67DB9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69" w:type="dxa"/>
            <w:vAlign w:val="top"/>
          </w:tcPr>
          <w:p w14:paraId="5972AF3F">
            <w:pPr>
              <w:spacing w:line="300" w:lineRule="auto"/>
              <w:rPr>
                <w:rFonts w:ascii="Arial"/>
                <w:color w:val="auto"/>
                <w:sz w:val="21"/>
                <w:highlight w:val="none"/>
              </w:rPr>
            </w:pPr>
          </w:p>
          <w:p w14:paraId="1C4E20A0">
            <w:pPr>
              <w:pStyle w:val="9"/>
              <w:spacing w:before="65" w:line="269" w:lineRule="exact"/>
              <w:ind w:left="342"/>
              <w:rPr>
                <w:color w:val="auto"/>
                <w:highlight w:val="none"/>
              </w:rPr>
            </w:pPr>
            <w:r>
              <w:rPr>
                <w:color w:val="auto"/>
                <w:position w:val="1"/>
                <w:highlight w:val="none"/>
              </w:rPr>
              <w:t>5</w:t>
            </w:r>
          </w:p>
        </w:tc>
        <w:tc>
          <w:tcPr>
            <w:tcW w:w="2465" w:type="dxa"/>
            <w:vAlign w:val="top"/>
          </w:tcPr>
          <w:p w14:paraId="57A35C9F">
            <w:pPr>
              <w:pStyle w:val="9"/>
              <w:spacing w:before="135" w:line="369" w:lineRule="auto"/>
              <w:ind w:left="187" w:right="168" w:firstLine="17"/>
              <w:rPr>
                <w:color w:val="auto"/>
                <w:highlight w:val="none"/>
              </w:rPr>
            </w:pPr>
            <w:r>
              <w:rPr>
                <w:color w:val="auto"/>
                <w:spacing w:val="4"/>
                <w:highlight w:val="none"/>
              </w:rPr>
              <w:t>5000</w:t>
            </w:r>
            <w:r>
              <w:rPr>
                <w:color w:val="auto"/>
                <w:spacing w:val="-32"/>
                <w:highlight w:val="none"/>
              </w:rPr>
              <w:t xml:space="preserve"> </w:t>
            </w:r>
            <w:r>
              <w:rPr>
                <w:color w:val="auto"/>
                <w:spacing w:val="4"/>
                <w:highlight w:val="none"/>
              </w:rPr>
              <w:t>万以上每增加</w:t>
            </w:r>
            <w:r>
              <w:rPr>
                <w:color w:val="auto"/>
                <w:spacing w:val="-35"/>
                <w:highlight w:val="none"/>
              </w:rPr>
              <w:t xml:space="preserve"> </w:t>
            </w:r>
            <w:r>
              <w:rPr>
                <w:color w:val="auto"/>
                <w:spacing w:val="4"/>
                <w:highlight w:val="none"/>
              </w:rPr>
              <w:t>0.5</w:t>
            </w:r>
            <w:r>
              <w:rPr>
                <w:color w:val="auto"/>
                <w:highlight w:val="none"/>
              </w:rPr>
              <w:t xml:space="preserve"> </w:t>
            </w:r>
            <w:r>
              <w:rPr>
                <w:color w:val="auto"/>
                <w:spacing w:val="5"/>
                <w:highlight w:val="none"/>
              </w:rPr>
              <w:t>亿(不足</w:t>
            </w:r>
            <w:r>
              <w:rPr>
                <w:color w:val="auto"/>
                <w:spacing w:val="-32"/>
                <w:highlight w:val="none"/>
              </w:rPr>
              <w:t xml:space="preserve"> </w:t>
            </w:r>
            <w:r>
              <w:rPr>
                <w:color w:val="auto"/>
                <w:spacing w:val="5"/>
                <w:highlight w:val="none"/>
              </w:rPr>
              <w:t>0.5</w:t>
            </w:r>
            <w:r>
              <w:rPr>
                <w:color w:val="auto"/>
                <w:spacing w:val="-40"/>
                <w:highlight w:val="none"/>
              </w:rPr>
              <w:t xml:space="preserve"> </w:t>
            </w:r>
            <w:r>
              <w:rPr>
                <w:color w:val="auto"/>
                <w:spacing w:val="5"/>
                <w:highlight w:val="none"/>
              </w:rPr>
              <w:t>亿不增加)</w:t>
            </w:r>
          </w:p>
        </w:tc>
        <w:tc>
          <w:tcPr>
            <w:tcW w:w="5968" w:type="dxa"/>
            <w:vAlign w:val="top"/>
          </w:tcPr>
          <w:p w14:paraId="2081A1AC">
            <w:pPr>
              <w:spacing w:line="300" w:lineRule="auto"/>
              <w:rPr>
                <w:rFonts w:ascii="Arial"/>
                <w:color w:val="auto"/>
                <w:sz w:val="21"/>
                <w:highlight w:val="none"/>
              </w:rPr>
            </w:pPr>
          </w:p>
          <w:p w14:paraId="11328CA5">
            <w:pPr>
              <w:pStyle w:val="9"/>
              <w:spacing w:before="65" w:line="229" w:lineRule="auto"/>
              <w:ind w:left="2735"/>
              <w:rPr>
                <w:color w:val="auto"/>
                <w:highlight w:val="none"/>
              </w:rPr>
            </w:pPr>
            <w:r>
              <w:rPr>
                <w:color w:val="auto"/>
                <w:spacing w:val="-1"/>
                <w:highlight w:val="none"/>
              </w:rPr>
              <w:t>增加</w:t>
            </w:r>
            <w:r>
              <w:rPr>
                <w:color w:val="auto"/>
                <w:spacing w:val="-22"/>
                <w:highlight w:val="none"/>
              </w:rPr>
              <w:t xml:space="preserve"> </w:t>
            </w:r>
            <w:r>
              <w:rPr>
                <w:color w:val="auto"/>
                <w:spacing w:val="-1"/>
                <w:highlight w:val="none"/>
              </w:rPr>
              <w:t>10</w:t>
            </w:r>
            <w:r>
              <w:rPr>
                <w:color w:val="auto"/>
                <w:spacing w:val="-34"/>
                <w:highlight w:val="none"/>
              </w:rPr>
              <w:t xml:space="preserve"> </w:t>
            </w:r>
            <w:r>
              <w:rPr>
                <w:color w:val="auto"/>
                <w:spacing w:val="-1"/>
                <w:highlight w:val="none"/>
              </w:rPr>
              <w:t>天</w:t>
            </w:r>
          </w:p>
        </w:tc>
      </w:tr>
    </w:tbl>
    <w:p w14:paraId="04C78290">
      <w:pPr>
        <w:spacing w:before="130" w:line="433" w:lineRule="auto"/>
        <w:ind w:left="429" w:firstLine="1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因承包人提供的结算资料不完整而需要补充或承包人不按时对</w:t>
      </w:r>
      <w:r>
        <w:rPr>
          <w:rFonts w:ascii="宋体" w:hAnsi="宋体" w:eastAsia="宋体" w:cs="宋体"/>
          <w:color w:val="auto"/>
          <w:spacing w:val="6"/>
          <w:sz w:val="20"/>
          <w:szCs w:val="20"/>
          <w:highlight w:val="none"/>
        </w:rPr>
        <w:t>账耽误时间时，审查时间应相应顺延。</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竣工结算审核约定：</w:t>
      </w:r>
    </w:p>
    <w:p w14:paraId="0C486B55">
      <w:pPr>
        <w:spacing w:before="10" w:line="297" w:lineRule="auto"/>
        <w:ind w:left="10" w:right="71" w:firstLine="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w:t>
      </w:r>
      <w:r>
        <w:rPr>
          <w:rFonts w:ascii="宋体" w:hAnsi="宋体" w:eastAsia="宋体" w:cs="宋体"/>
          <w:color w:val="auto"/>
          <w:spacing w:val="7"/>
          <w:sz w:val="20"/>
          <w:szCs w:val="20"/>
          <w:highlight w:val="none"/>
          <w:u w:val="single" w:color="auto"/>
        </w:rPr>
        <w:t>工程竣工验收报告经发包人认可后 30 天内，承包人向发包人递交竣工验收合格资料及完整的结</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u w:val="single" w:color="auto"/>
        </w:rPr>
        <w:t>算资料和报告，双方按照本工程合同约定的价格形式及价款调整办法进行工程竣工结算。</w:t>
      </w:r>
    </w:p>
    <w:p w14:paraId="0C0083E0">
      <w:pPr>
        <w:spacing w:before="155" w:line="341" w:lineRule="auto"/>
        <w:ind w:left="8" w:right="71" w:firstLine="415"/>
        <w:rPr>
          <w:rFonts w:ascii="宋体" w:hAnsi="宋体" w:eastAsia="宋体" w:cs="宋体"/>
          <w:color w:val="auto"/>
          <w:sz w:val="20"/>
          <w:szCs w:val="20"/>
          <w:highlight w:val="none"/>
        </w:rPr>
      </w:pPr>
      <w:r>
        <w:rPr>
          <w:rFonts w:ascii="宋体" w:hAnsi="宋体" w:eastAsia="宋体" w:cs="宋体"/>
          <w:color w:val="auto"/>
          <w:spacing w:val="12"/>
          <w:sz w:val="20"/>
          <w:szCs w:val="20"/>
          <w:highlight w:val="none"/>
        </w:rPr>
        <w:t>2、</w:t>
      </w:r>
      <w:r>
        <w:rPr>
          <w:rFonts w:ascii="宋体" w:hAnsi="宋体" w:eastAsia="宋体" w:cs="宋体"/>
          <w:color w:val="auto"/>
          <w:spacing w:val="12"/>
          <w:sz w:val="20"/>
          <w:szCs w:val="20"/>
          <w:highlight w:val="none"/>
          <w:u w:val="single" w:color="auto"/>
        </w:rPr>
        <w:t>发包人收到承包人递交的竣工结算报告及结算资料之日起 30 天内对结算材料的完整性及合理</w:t>
      </w:r>
      <w:r>
        <w:rPr>
          <w:rFonts w:ascii="宋体" w:hAnsi="宋体" w:eastAsia="宋体" w:cs="宋体"/>
          <w:color w:val="auto"/>
          <w:spacing w:val="1"/>
          <w:sz w:val="20"/>
          <w:szCs w:val="20"/>
          <w:highlight w:val="none"/>
        </w:rPr>
        <w:t xml:space="preserve"> </w:t>
      </w:r>
      <w:r>
        <w:rPr>
          <w:rFonts w:ascii="宋体" w:hAnsi="宋体" w:eastAsia="宋体" w:cs="宋体"/>
          <w:color w:val="auto"/>
          <w:spacing w:val="10"/>
          <w:sz w:val="20"/>
          <w:szCs w:val="20"/>
          <w:highlight w:val="none"/>
          <w:u w:val="single" w:color="auto"/>
        </w:rPr>
        <w:t>性进行审核，并给予确认或者提出初步审核意见。承包人对发包人审核意见有异议的，应在收到发包人</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u w:val="single" w:color="auto"/>
        </w:rPr>
        <w:t>确认的价款或审核意见之日起 7 天内提出异议，必要时合</w:t>
      </w:r>
      <w:r>
        <w:rPr>
          <w:rFonts w:ascii="宋体" w:hAnsi="宋体" w:eastAsia="宋体" w:cs="宋体"/>
          <w:color w:val="auto"/>
          <w:spacing w:val="7"/>
          <w:sz w:val="20"/>
          <w:szCs w:val="20"/>
          <w:highlight w:val="none"/>
          <w:u w:val="single" w:color="auto"/>
        </w:rPr>
        <w:t>同当事人要当面核对。本工程属于政府投资项</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目，竣工结算应由市财政局或其委托的第三批评审机构对承包人提交的结算进行评审，最终结算价以市</w:t>
      </w:r>
      <w:r>
        <w:rPr>
          <w:rFonts w:ascii="宋体" w:hAnsi="宋体" w:eastAsia="宋体" w:cs="宋体"/>
          <w:color w:val="auto"/>
          <w:spacing w:val="6"/>
          <w:sz w:val="20"/>
          <w:szCs w:val="20"/>
          <w:highlight w:val="none"/>
        </w:rPr>
        <w:t xml:space="preserve"> </w:t>
      </w:r>
      <w:r>
        <w:rPr>
          <w:rFonts w:ascii="宋体" w:hAnsi="宋体" w:eastAsia="宋体" w:cs="宋体"/>
          <w:color w:val="auto"/>
          <w:spacing w:val="10"/>
          <w:sz w:val="20"/>
          <w:szCs w:val="20"/>
          <w:highlight w:val="none"/>
          <w:u w:val="single" w:color="auto"/>
        </w:rPr>
        <w:t>财政局或其委托的第三批评审机构出具的评审报告为准。</w:t>
      </w:r>
    </w:p>
    <w:p w14:paraId="5ADBCD46">
      <w:pPr>
        <w:spacing w:line="341" w:lineRule="auto"/>
        <w:rPr>
          <w:rFonts w:ascii="宋体" w:hAnsi="宋体" w:eastAsia="宋体" w:cs="宋体"/>
          <w:color w:val="auto"/>
          <w:sz w:val="20"/>
          <w:szCs w:val="20"/>
          <w:highlight w:val="none"/>
        </w:rPr>
        <w:sectPr>
          <w:footerReference r:id="rId228" w:type="default"/>
          <w:pgSz w:w="11906" w:h="16839"/>
          <w:pgMar w:top="400" w:right="1149" w:bottom="1158" w:left="1219" w:header="0" w:footer="922" w:gutter="0"/>
          <w:cols w:space="720" w:num="1"/>
        </w:sectPr>
      </w:pPr>
    </w:p>
    <w:p w14:paraId="2980AD74">
      <w:pPr>
        <w:spacing w:before="282" w:line="225" w:lineRule="auto"/>
        <w:ind w:left="36"/>
        <w:outlineLvl w:val="2"/>
        <w:rPr>
          <w:rFonts w:ascii="宋体" w:hAnsi="宋体" w:eastAsia="宋体" w:cs="宋体"/>
          <w:color w:val="auto"/>
          <w:sz w:val="31"/>
          <w:szCs w:val="31"/>
          <w:highlight w:val="none"/>
        </w:rPr>
      </w:pPr>
      <w:bookmarkStart w:id="117" w:name="_Toc27385"/>
      <w:r>
        <w:rPr>
          <w:rFonts w:ascii="宋体" w:hAnsi="宋体" w:eastAsia="宋体" w:cs="宋体"/>
          <w:b/>
          <w:bCs/>
          <w:color w:val="auto"/>
          <w:spacing w:val="-2"/>
          <w:sz w:val="31"/>
          <w:szCs w:val="31"/>
          <w:highlight w:val="none"/>
        </w:rPr>
        <w:t>14.4</w:t>
      </w:r>
      <w:r>
        <w:rPr>
          <w:rFonts w:ascii="宋体" w:hAnsi="宋体" w:eastAsia="宋体" w:cs="宋体"/>
          <w:color w:val="auto"/>
          <w:spacing w:val="25"/>
          <w:sz w:val="31"/>
          <w:szCs w:val="31"/>
          <w:highlight w:val="none"/>
        </w:rPr>
        <w:t xml:space="preserve"> </w:t>
      </w:r>
      <w:r>
        <w:rPr>
          <w:rFonts w:ascii="宋体" w:hAnsi="宋体" w:eastAsia="宋体" w:cs="宋体"/>
          <w:b/>
          <w:bCs/>
          <w:color w:val="auto"/>
          <w:spacing w:val="-2"/>
          <w:sz w:val="31"/>
          <w:szCs w:val="31"/>
          <w:highlight w:val="none"/>
        </w:rPr>
        <w:t>最终结清</w:t>
      </w:r>
      <w:bookmarkEnd w:id="117"/>
    </w:p>
    <w:p w14:paraId="50AFA1AA">
      <w:pPr>
        <w:pStyle w:val="2"/>
        <w:spacing w:line="414" w:lineRule="auto"/>
        <w:rPr>
          <w:color w:val="auto"/>
          <w:highlight w:val="none"/>
        </w:rPr>
      </w:pPr>
    </w:p>
    <w:p w14:paraId="62E93E49">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14.4.1 最终结清申请单</w:t>
      </w:r>
    </w:p>
    <w:p w14:paraId="0CB813D8">
      <w:pPr>
        <w:spacing w:before="220"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承包人提交最终结清申请单的份数：</w:t>
      </w:r>
      <w:r>
        <w:rPr>
          <w:rFonts w:ascii="宋体" w:hAnsi="宋体" w:eastAsia="宋体" w:cs="宋体"/>
          <w:color w:val="auto"/>
          <w:spacing w:val="8"/>
          <w:sz w:val="20"/>
          <w:szCs w:val="20"/>
          <w:highlight w:val="none"/>
          <w:u w:val="single" w:color="auto"/>
        </w:rPr>
        <w:t>一式叁份</w:t>
      </w:r>
      <w:r>
        <w:rPr>
          <w:rFonts w:ascii="宋体" w:hAnsi="宋体" w:eastAsia="宋体" w:cs="宋体"/>
          <w:color w:val="auto"/>
          <w:spacing w:val="8"/>
          <w:sz w:val="20"/>
          <w:szCs w:val="20"/>
          <w:highlight w:val="none"/>
        </w:rPr>
        <w:t>。</w:t>
      </w:r>
    </w:p>
    <w:p w14:paraId="7B9AE880">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承包人提交最终结算申请单的期限：</w:t>
      </w:r>
      <w:r>
        <w:rPr>
          <w:rFonts w:ascii="宋体" w:hAnsi="宋体" w:eastAsia="宋体" w:cs="宋体"/>
          <w:color w:val="auto"/>
          <w:spacing w:val="8"/>
          <w:sz w:val="20"/>
          <w:szCs w:val="20"/>
          <w:highlight w:val="none"/>
          <w:u w:val="single" w:color="auto"/>
        </w:rPr>
        <w:t>双方确认审计总额后</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8"/>
          <w:sz w:val="20"/>
          <w:szCs w:val="20"/>
          <w:highlight w:val="none"/>
          <w:u w:val="single" w:color="auto"/>
        </w:rPr>
        <w:t>28</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天</w:t>
      </w:r>
      <w:r>
        <w:rPr>
          <w:rFonts w:ascii="宋体" w:hAnsi="宋体" w:eastAsia="宋体" w:cs="宋体"/>
          <w:color w:val="auto"/>
          <w:spacing w:val="8"/>
          <w:sz w:val="20"/>
          <w:szCs w:val="20"/>
          <w:highlight w:val="none"/>
        </w:rPr>
        <w:t>。</w:t>
      </w:r>
    </w:p>
    <w:p w14:paraId="1C5EC2BA">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14.4.2 最终结清证书和支付</w:t>
      </w:r>
    </w:p>
    <w:p w14:paraId="5FF9923D">
      <w:pPr>
        <w:spacing w:before="221" w:line="228" w:lineRule="auto"/>
        <w:ind w:right="29"/>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（1）发包人完成最终结清申请单的审批并</w:t>
      </w:r>
      <w:r>
        <w:rPr>
          <w:rFonts w:ascii="宋体" w:hAnsi="宋体" w:eastAsia="宋体" w:cs="宋体"/>
          <w:color w:val="auto"/>
          <w:spacing w:val="8"/>
          <w:sz w:val="20"/>
          <w:szCs w:val="20"/>
          <w:highlight w:val="none"/>
        </w:rPr>
        <w:t>颁发最终结清证书的期限：</w:t>
      </w:r>
      <w:r>
        <w:rPr>
          <w:rFonts w:ascii="宋体" w:hAnsi="宋体" w:eastAsia="宋体" w:cs="宋体"/>
          <w:color w:val="auto"/>
          <w:spacing w:val="8"/>
          <w:sz w:val="20"/>
          <w:szCs w:val="20"/>
          <w:highlight w:val="none"/>
          <w:u w:val="single" w:color="auto"/>
        </w:rPr>
        <w:t>双方确认审计总额后</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8"/>
          <w:sz w:val="20"/>
          <w:szCs w:val="20"/>
          <w:highlight w:val="none"/>
          <w:u w:val="single" w:color="auto"/>
        </w:rPr>
        <w:t>28</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8"/>
          <w:sz w:val="20"/>
          <w:szCs w:val="20"/>
          <w:highlight w:val="none"/>
          <w:u w:val="single" w:color="auto"/>
        </w:rPr>
        <w:t>天</w:t>
      </w:r>
      <w:r>
        <w:rPr>
          <w:rFonts w:ascii="宋体" w:hAnsi="宋体" w:eastAsia="宋体" w:cs="宋体"/>
          <w:color w:val="auto"/>
          <w:spacing w:val="8"/>
          <w:sz w:val="20"/>
          <w:szCs w:val="20"/>
          <w:highlight w:val="none"/>
        </w:rPr>
        <w:t>。</w:t>
      </w:r>
    </w:p>
    <w:p w14:paraId="223C0FB1">
      <w:pPr>
        <w:spacing w:before="222" w:line="330" w:lineRule="auto"/>
        <w:ind w:left="9" w:right="18" w:firstLine="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（2）发包人完成支付的期限：</w:t>
      </w:r>
      <w:r>
        <w:rPr>
          <w:rFonts w:ascii="宋体" w:hAnsi="宋体" w:eastAsia="宋体" w:cs="宋体"/>
          <w:color w:val="auto"/>
          <w:spacing w:val="9"/>
          <w:sz w:val="20"/>
          <w:szCs w:val="20"/>
          <w:highlight w:val="none"/>
          <w:u w:val="single" w:color="auto"/>
        </w:rPr>
        <w:t>双方确认审计总额后45</w:t>
      </w:r>
      <w:r>
        <w:rPr>
          <w:rFonts w:ascii="宋体" w:hAnsi="宋体" w:eastAsia="宋体" w:cs="宋体"/>
          <w:color w:val="auto"/>
          <w:spacing w:val="-27"/>
          <w:sz w:val="20"/>
          <w:szCs w:val="20"/>
          <w:highlight w:val="none"/>
          <w:u w:val="single" w:color="auto"/>
        </w:rPr>
        <w:t xml:space="preserve"> </w:t>
      </w:r>
      <w:r>
        <w:rPr>
          <w:rFonts w:ascii="宋体" w:hAnsi="宋体" w:eastAsia="宋体" w:cs="宋体"/>
          <w:color w:val="auto"/>
          <w:spacing w:val="9"/>
          <w:sz w:val="20"/>
          <w:szCs w:val="20"/>
          <w:highlight w:val="none"/>
          <w:u w:val="single" w:color="auto"/>
        </w:rPr>
        <w:t>天，</w:t>
      </w:r>
      <w:r>
        <w:rPr>
          <w:rFonts w:ascii="宋体" w:hAnsi="宋体" w:eastAsia="宋体" w:cs="宋体"/>
          <w:color w:val="auto"/>
          <w:spacing w:val="-60"/>
          <w:sz w:val="20"/>
          <w:szCs w:val="20"/>
          <w:highlight w:val="none"/>
          <w:u w:val="single" w:color="auto"/>
        </w:rPr>
        <w:t xml:space="preserve"> </w:t>
      </w:r>
      <w:r>
        <w:rPr>
          <w:rFonts w:ascii="宋体" w:hAnsi="宋体" w:eastAsia="宋体" w:cs="宋体"/>
          <w:color w:val="auto"/>
          <w:spacing w:val="9"/>
          <w:sz w:val="20"/>
          <w:szCs w:val="20"/>
          <w:highlight w:val="none"/>
          <w:u w:val="single" w:color="auto"/>
        </w:rPr>
        <w:t>由承包人提出书面申请，具体时间以市</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财政拨付到位为准</w:t>
      </w:r>
      <w:r>
        <w:rPr>
          <w:rFonts w:ascii="宋体" w:hAnsi="宋体" w:eastAsia="宋体" w:cs="宋体"/>
          <w:color w:val="auto"/>
          <w:spacing w:val="7"/>
          <w:sz w:val="20"/>
          <w:szCs w:val="20"/>
          <w:highlight w:val="none"/>
        </w:rPr>
        <w:t>。</w:t>
      </w:r>
    </w:p>
    <w:p w14:paraId="5F3676BE">
      <w:pPr>
        <w:pStyle w:val="2"/>
        <w:spacing w:line="400" w:lineRule="auto"/>
        <w:rPr>
          <w:color w:val="auto"/>
          <w:highlight w:val="none"/>
        </w:rPr>
      </w:pPr>
    </w:p>
    <w:p w14:paraId="678160BC">
      <w:pPr>
        <w:spacing w:before="101" w:line="225" w:lineRule="auto"/>
        <w:ind w:left="36"/>
        <w:outlineLvl w:val="1"/>
        <w:rPr>
          <w:rFonts w:ascii="宋体" w:hAnsi="宋体" w:eastAsia="宋体" w:cs="宋体"/>
          <w:color w:val="auto"/>
          <w:sz w:val="31"/>
          <w:szCs w:val="31"/>
          <w:highlight w:val="none"/>
        </w:rPr>
      </w:pPr>
      <w:bookmarkStart w:id="118" w:name="_Toc15118"/>
      <w:r>
        <w:rPr>
          <w:rFonts w:ascii="宋体" w:hAnsi="宋体" w:eastAsia="宋体" w:cs="宋体"/>
          <w:b/>
          <w:bCs/>
          <w:color w:val="auto"/>
          <w:spacing w:val="3"/>
          <w:sz w:val="31"/>
          <w:szCs w:val="31"/>
          <w:highlight w:val="none"/>
        </w:rPr>
        <w:t>15.</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缺陷责任期与保修</w:t>
      </w:r>
      <w:bookmarkEnd w:id="118"/>
    </w:p>
    <w:p w14:paraId="7A6099F4">
      <w:pPr>
        <w:pStyle w:val="2"/>
        <w:spacing w:line="404" w:lineRule="auto"/>
        <w:rPr>
          <w:color w:val="auto"/>
          <w:highlight w:val="none"/>
        </w:rPr>
      </w:pPr>
    </w:p>
    <w:p w14:paraId="09DA5977">
      <w:pPr>
        <w:spacing w:before="101" w:line="225" w:lineRule="auto"/>
        <w:ind w:left="36"/>
        <w:outlineLvl w:val="2"/>
        <w:rPr>
          <w:rFonts w:ascii="宋体" w:hAnsi="宋体" w:eastAsia="宋体" w:cs="宋体"/>
          <w:color w:val="auto"/>
          <w:sz w:val="31"/>
          <w:szCs w:val="31"/>
          <w:highlight w:val="none"/>
        </w:rPr>
      </w:pPr>
      <w:bookmarkStart w:id="119" w:name="_Toc22960"/>
      <w:r>
        <w:rPr>
          <w:rFonts w:ascii="宋体" w:hAnsi="宋体" w:eastAsia="宋体" w:cs="宋体"/>
          <w:b/>
          <w:bCs/>
          <w:color w:val="auto"/>
          <w:spacing w:val="1"/>
          <w:sz w:val="31"/>
          <w:szCs w:val="31"/>
          <w:highlight w:val="none"/>
        </w:rPr>
        <w:t>15.2</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缺陷责任期</w:t>
      </w:r>
      <w:bookmarkEnd w:id="119"/>
    </w:p>
    <w:p w14:paraId="0B3606CD">
      <w:pPr>
        <w:pStyle w:val="2"/>
        <w:spacing w:line="335" w:lineRule="auto"/>
        <w:rPr>
          <w:color w:val="auto"/>
          <w:highlight w:val="none"/>
        </w:rPr>
      </w:pPr>
    </w:p>
    <w:p w14:paraId="57311768">
      <w:pPr>
        <w:spacing w:before="66"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缺陷责任期的具体期限：</w:t>
      </w:r>
      <w:r>
        <w:rPr>
          <w:rFonts w:ascii="宋体" w:hAnsi="宋体" w:eastAsia="宋体" w:cs="宋体"/>
          <w:color w:val="auto"/>
          <w:spacing w:val="8"/>
          <w:sz w:val="20"/>
          <w:szCs w:val="20"/>
          <w:highlight w:val="none"/>
          <w:u w:val="single" w:color="auto"/>
        </w:rPr>
        <w:t>竣工验收合格之日起</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24</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pacing w:val="7"/>
          <w:sz w:val="20"/>
          <w:szCs w:val="20"/>
          <w:highlight w:val="none"/>
          <w:u w:val="single" w:color="auto"/>
        </w:rPr>
        <w:t>个月</w:t>
      </w:r>
      <w:r>
        <w:rPr>
          <w:rFonts w:ascii="宋体" w:hAnsi="宋体" w:eastAsia="宋体" w:cs="宋体"/>
          <w:color w:val="auto"/>
          <w:spacing w:val="7"/>
          <w:sz w:val="20"/>
          <w:szCs w:val="20"/>
          <w:highlight w:val="none"/>
        </w:rPr>
        <w:t>。</w:t>
      </w:r>
    </w:p>
    <w:p w14:paraId="58A0B2FB">
      <w:pPr>
        <w:pStyle w:val="2"/>
        <w:spacing w:line="323" w:lineRule="auto"/>
        <w:rPr>
          <w:color w:val="auto"/>
          <w:highlight w:val="none"/>
        </w:rPr>
      </w:pPr>
    </w:p>
    <w:p w14:paraId="2C2358BD">
      <w:pPr>
        <w:spacing w:before="101" w:line="226" w:lineRule="auto"/>
        <w:ind w:left="36"/>
        <w:outlineLvl w:val="2"/>
        <w:rPr>
          <w:rFonts w:ascii="宋体" w:hAnsi="宋体" w:eastAsia="宋体" w:cs="宋体"/>
          <w:color w:val="auto"/>
          <w:sz w:val="31"/>
          <w:szCs w:val="31"/>
          <w:highlight w:val="none"/>
        </w:rPr>
      </w:pPr>
      <w:bookmarkStart w:id="120" w:name="_Toc15449"/>
      <w:r>
        <w:rPr>
          <w:rFonts w:ascii="宋体" w:hAnsi="宋体" w:eastAsia="宋体" w:cs="宋体"/>
          <w:b/>
          <w:bCs/>
          <w:color w:val="auto"/>
          <w:spacing w:val="1"/>
          <w:sz w:val="31"/>
          <w:szCs w:val="31"/>
          <w:highlight w:val="none"/>
        </w:rPr>
        <w:t>15.3</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质量保证金</w:t>
      </w:r>
      <w:bookmarkEnd w:id="120"/>
    </w:p>
    <w:p w14:paraId="33306FC4">
      <w:pPr>
        <w:pStyle w:val="2"/>
        <w:spacing w:line="412" w:lineRule="auto"/>
        <w:rPr>
          <w:color w:val="auto"/>
          <w:highlight w:val="none"/>
        </w:rPr>
      </w:pPr>
    </w:p>
    <w:p w14:paraId="159057C5">
      <w:pPr>
        <w:spacing w:before="66" w:line="229"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关于是否扣留质量保证金的约定：</w:t>
      </w:r>
      <w:r>
        <w:rPr>
          <w:rFonts w:ascii="宋体" w:hAnsi="宋体" w:eastAsia="宋体" w:cs="宋体"/>
          <w:color w:val="auto"/>
          <w:spacing w:val="9"/>
          <w:sz w:val="20"/>
          <w:szCs w:val="20"/>
          <w:highlight w:val="none"/>
          <w:u w:val="single" w:color="auto"/>
        </w:rPr>
        <w:t>扣留质量保证</w:t>
      </w:r>
      <w:r>
        <w:rPr>
          <w:rFonts w:ascii="宋体" w:hAnsi="宋体" w:eastAsia="宋体" w:cs="宋体"/>
          <w:color w:val="auto"/>
          <w:spacing w:val="8"/>
          <w:sz w:val="20"/>
          <w:szCs w:val="20"/>
          <w:highlight w:val="none"/>
          <w:u w:val="single" w:color="auto"/>
        </w:rPr>
        <w:t>金</w:t>
      </w:r>
      <w:r>
        <w:rPr>
          <w:rFonts w:ascii="宋体" w:hAnsi="宋体" w:eastAsia="宋体" w:cs="宋体"/>
          <w:color w:val="auto"/>
          <w:spacing w:val="8"/>
          <w:sz w:val="20"/>
          <w:szCs w:val="20"/>
          <w:highlight w:val="none"/>
        </w:rPr>
        <w:t>。</w:t>
      </w:r>
    </w:p>
    <w:p w14:paraId="0059EADC">
      <w:pPr>
        <w:spacing w:before="220" w:line="432" w:lineRule="auto"/>
        <w:ind w:left="8" w:right="18" w:firstLine="41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在工程项目竣工前，承包人按专用合同条款第</w:t>
      </w:r>
      <w:r>
        <w:rPr>
          <w:rFonts w:ascii="宋体" w:hAnsi="宋体" w:eastAsia="宋体" w:cs="宋体"/>
          <w:color w:val="auto"/>
          <w:spacing w:val="-32"/>
          <w:sz w:val="20"/>
          <w:szCs w:val="20"/>
          <w:highlight w:val="none"/>
        </w:rPr>
        <w:t xml:space="preserve"> </w:t>
      </w:r>
      <w:r>
        <w:rPr>
          <w:rFonts w:ascii="宋体" w:hAnsi="宋体" w:eastAsia="宋体" w:cs="宋体"/>
          <w:color w:val="auto"/>
          <w:spacing w:val="9"/>
          <w:sz w:val="20"/>
          <w:szCs w:val="20"/>
          <w:highlight w:val="none"/>
        </w:rPr>
        <w:t>3.7</w:t>
      </w:r>
      <w:r>
        <w:rPr>
          <w:rFonts w:ascii="宋体" w:hAnsi="宋体" w:eastAsia="宋体" w:cs="宋体"/>
          <w:color w:val="auto"/>
          <w:spacing w:val="-39"/>
          <w:sz w:val="20"/>
          <w:szCs w:val="20"/>
          <w:highlight w:val="none"/>
        </w:rPr>
        <w:t xml:space="preserve"> </w:t>
      </w:r>
      <w:r>
        <w:rPr>
          <w:rFonts w:ascii="宋体" w:hAnsi="宋体" w:eastAsia="宋体" w:cs="宋体"/>
          <w:color w:val="auto"/>
          <w:spacing w:val="9"/>
          <w:sz w:val="20"/>
          <w:szCs w:val="20"/>
          <w:highlight w:val="none"/>
        </w:rPr>
        <w:t>条提供履约担保的，发包人不得同时</w:t>
      </w:r>
      <w:r>
        <w:rPr>
          <w:rFonts w:ascii="宋体" w:hAnsi="宋体" w:eastAsia="宋体" w:cs="宋体"/>
          <w:color w:val="auto"/>
          <w:spacing w:val="8"/>
          <w:sz w:val="20"/>
          <w:szCs w:val="20"/>
          <w:highlight w:val="none"/>
        </w:rPr>
        <w:t>预留工程质</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量保证金。</w:t>
      </w:r>
    </w:p>
    <w:p w14:paraId="41284562">
      <w:pPr>
        <w:spacing w:before="1" w:line="227" w:lineRule="auto"/>
        <w:ind w:left="443"/>
        <w:outlineLvl w:val="0"/>
        <w:rPr>
          <w:rFonts w:ascii="宋体" w:hAnsi="宋体" w:eastAsia="宋体" w:cs="宋体"/>
          <w:color w:val="auto"/>
          <w:sz w:val="20"/>
          <w:szCs w:val="20"/>
          <w:highlight w:val="none"/>
        </w:rPr>
      </w:pPr>
      <w:bookmarkStart w:id="121" w:name="_Toc22310"/>
      <w:r>
        <w:rPr>
          <w:rFonts w:ascii="宋体" w:hAnsi="宋体" w:eastAsia="宋体" w:cs="宋体"/>
          <w:color w:val="auto"/>
          <w:spacing w:val="6"/>
          <w:sz w:val="20"/>
          <w:szCs w:val="20"/>
          <w:highlight w:val="none"/>
        </w:rPr>
        <w:t>15.3.1 承包人提供质量保证金的方式</w:t>
      </w:r>
      <w:bookmarkEnd w:id="121"/>
    </w:p>
    <w:p w14:paraId="00678DDF">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质量保证金采用以下第</w:t>
      </w:r>
      <w:r>
        <w:rPr>
          <w:rFonts w:ascii="宋体" w:hAnsi="宋体" w:eastAsia="宋体" w:cs="宋体"/>
          <w:color w:val="auto"/>
          <w:spacing w:val="7"/>
          <w:sz w:val="20"/>
          <w:szCs w:val="20"/>
          <w:highlight w:val="none"/>
          <w:u w:val="single" w:color="auto"/>
        </w:rPr>
        <w:t xml:space="preserve">   （2）  </w:t>
      </w:r>
      <w:r>
        <w:rPr>
          <w:rFonts w:ascii="宋体" w:hAnsi="宋体" w:eastAsia="宋体" w:cs="宋体"/>
          <w:color w:val="auto"/>
          <w:spacing w:val="-87"/>
          <w:sz w:val="20"/>
          <w:szCs w:val="20"/>
          <w:highlight w:val="none"/>
        </w:rPr>
        <w:t xml:space="preserve"> </w:t>
      </w:r>
      <w:r>
        <w:rPr>
          <w:rFonts w:ascii="宋体" w:hAnsi="宋体" w:eastAsia="宋体" w:cs="宋体"/>
          <w:color w:val="auto"/>
          <w:spacing w:val="7"/>
          <w:sz w:val="20"/>
          <w:szCs w:val="20"/>
          <w:highlight w:val="none"/>
        </w:rPr>
        <w:t>种方式：</w:t>
      </w:r>
    </w:p>
    <w:p w14:paraId="62317141">
      <w:pPr>
        <w:spacing w:before="221" w:line="364" w:lineRule="auto"/>
        <w:ind w:left="10" w:right="2" w:firstLine="427"/>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（1）质量保证金保函（银行保函、电子保函、保证保险保函、工程担保保函，工程担保保证人应将</w:t>
      </w:r>
      <w:r>
        <w:rPr>
          <w:rFonts w:ascii="宋体" w:hAnsi="宋体" w:eastAsia="宋体" w:cs="宋体"/>
          <w:color w:val="auto"/>
          <w:spacing w:val="18"/>
          <w:sz w:val="20"/>
          <w:szCs w:val="20"/>
          <w:highlight w:val="none"/>
        </w:rPr>
        <w:t xml:space="preserve"> </w:t>
      </w:r>
      <w:r>
        <w:rPr>
          <w:rFonts w:ascii="宋体" w:hAnsi="宋体" w:eastAsia="宋体" w:cs="宋体"/>
          <w:color w:val="auto"/>
          <w:spacing w:val="10"/>
          <w:sz w:val="20"/>
          <w:szCs w:val="20"/>
          <w:highlight w:val="none"/>
        </w:rPr>
        <w:t>出具的保函相关信息录入“广西建筑市场监管云”</w:t>
      </w:r>
      <w:r>
        <w:rPr>
          <w:rFonts w:ascii="宋体" w:hAnsi="宋体" w:eastAsia="宋体" w:cs="宋体"/>
          <w:color w:val="auto"/>
          <w:spacing w:val="9"/>
          <w:sz w:val="20"/>
          <w:szCs w:val="20"/>
          <w:highlight w:val="none"/>
        </w:rPr>
        <w:t>平台（</w:t>
      </w:r>
      <w:r>
        <w:rPr>
          <w:color w:val="auto"/>
          <w:highlight w:val="none"/>
        </w:rPr>
        <w:fldChar w:fldCharType="begin"/>
      </w:r>
      <w:r>
        <w:rPr>
          <w:color w:val="auto"/>
          <w:highlight w:val="none"/>
        </w:rPr>
        <w:instrText xml:space="preserve"> HYPERLINK "http://gxjzsc.caihcloud.com" </w:instrText>
      </w:r>
      <w:r>
        <w:rPr>
          <w:color w:val="auto"/>
          <w:highlight w:val="none"/>
        </w:rPr>
        <w:fldChar w:fldCharType="separate"/>
      </w:r>
      <w:r>
        <w:rPr>
          <w:rFonts w:ascii="宋体" w:hAnsi="宋体" w:eastAsia="宋体" w:cs="宋体"/>
          <w:color w:val="auto"/>
          <w:sz w:val="20"/>
          <w:szCs w:val="20"/>
          <w:highlight w:val="none"/>
        </w:rPr>
        <w:t>http</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gxjzsc</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caihcloud</w:t>
      </w:r>
      <w:r>
        <w:rPr>
          <w:rFonts w:ascii="宋体" w:hAnsi="宋体" w:eastAsia="宋体" w:cs="宋体"/>
          <w:color w:val="auto"/>
          <w:spacing w:val="9"/>
          <w:sz w:val="20"/>
          <w:szCs w:val="20"/>
          <w:highlight w:val="none"/>
        </w:rPr>
        <w:t>.</w:t>
      </w:r>
      <w:r>
        <w:rPr>
          <w:rFonts w:ascii="宋体" w:hAnsi="宋体" w:eastAsia="宋体" w:cs="宋体"/>
          <w:color w:val="auto"/>
          <w:sz w:val="20"/>
          <w:szCs w:val="20"/>
          <w:highlight w:val="none"/>
        </w:rPr>
        <w:t>com</w:t>
      </w:r>
      <w:r>
        <w:rPr>
          <w:rFonts w:ascii="宋体" w:hAnsi="宋体" w:eastAsia="宋体" w:cs="宋体"/>
          <w:color w:val="auto"/>
          <w:sz w:val="20"/>
          <w:szCs w:val="20"/>
          <w:highlight w:val="none"/>
        </w:rPr>
        <w:fldChar w:fldCharType="end"/>
      </w:r>
      <w:r>
        <w:rPr>
          <w:rFonts w:ascii="宋体" w:hAnsi="宋体" w:eastAsia="宋体" w:cs="宋体"/>
          <w:color w:val="auto"/>
          <w:spacing w:val="8"/>
          <w:sz w:val="20"/>
          <w:szCs w:val="20"/>
          <w:highlight w:val="none"/>
        </w:rPr>
        <w:t>），</w:t>
      </w:r>
      <w:r>
        <w:rPr>
          <w:rFonts w:ascii="宋体" w:hAnsi="宋体" w:eastAsia="宋体" w:cs="宋体"/>
          <w:color w:val="auto"/>
          <w:spacing w:val="9"/>
          <w:sz w:val="20"/>
          <w:szCs w:val="20"/>
          <w:highlight w:val="none"/>
        </w:rPr>
        <w:t>以实现保函</w:t>
      </w:r>
      <w:r>
        <w:rPr>
          <w:rFonts w:ascii="宋体" w:hAnsi="宋体" w:eastAsia="宋体" w:cs="宋体"/>
          <w:color w:val="auto"/>
          <w:spacing w:val="1"/>
          <w:sz w:val="20"/>
          <w:szCs w:val="20"/>
          <w:highlight w:val="none"/>
        </w:rPr>
        <w:t xml:space="preserve"> </w:t>
      </w:r>
      <w:r>
        <w:rPr>
          <w:rFonts w:ascii="宋体" w:hAnsi="宋体" w:eastAsia="宋体" w:cs="宋体"/>
          <w:color w:val="auto"/>
          <w:spacing w:val="8"/>
          <w:sz w:val="20"/>
          <w:szCs w:val="20"/>
          <w:highlight w:val="none"/>
        </w:rPr>
        <w:t>查询及验真功能。</w:t>
      </w:r>
      <w:r>
        <w:rPr>
          <w:rFonts w:ascii="宋体" w:hAnsi="宋体" w:eastAsia="宋体" w:cs="宋体"/>
          <w:color w:val="auto"/>
          <w:sz w:val="20"/>
          <w:szCs w:val="20"/>
          <w:highlight w:val="none"/>
        </w:rPr>
        <w:t>），</w:t>
      </w:r>
      <w:r>
        <w:rPr>
          <w:rFonts w:ascii="宋体" w:hAnsi="宋体" w:eastAsia="宋体" w:cs="宋体"/>
          <w:color w:val="auto"/>
          <w:spacing w:val="8"/>
          <w:sz w:val="20"/>
          <w:szCs w:val="20"/>
          <w:highlight w:val="none"/>
        </w:rPr>
        <w:t>保证金额为：</w:t>
      </w:r>
      <w:r>
        <w:rPr>
          <w:rFonts w:ascii="宋体" w:hAnsi="宋体" w:eastAsia="宋体" w:cs="宋体"/>
          <w:color w:val="auto"/>
          <w:spacing w:val="8"/>
          <w:sz w:val="20"/>
          <w:szCs w:val="20"/>
          <w:highlight w:val="none"/>
          <w:u w:val="single" w:color="auto"/>
        </w:rPr>
        <w:t xml:space="preserve">      /  </w:t>
      </w:r>
      <w:r>
        <w:rPr>
          <w:rFonts w:ascii="宋体" w:hAnsi="宋体" w:eastAsia="宋体" w:cs="宋体"/>
          <w:color w:val="auto"/>
          <w:spacing w:val="8"/>
          <w:sz w:val="20"/>
          <w:szCs w:val="20"/>
          <w:highlight w:val="none"/>
        </w:rPr>
        <w:t>；</w:t>
      </w:r>
    </w:p>
    <w:p w14:paraId="12C89940">
      <w:pPr>
        <w:spacing w:before="221" w:line="330" w:lineRule="auto"/>
        <w:ind w:left="7" w:right="21" w:firstLine="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（2）发包人按工程价款结算总额的</w:t>
      </w:r>
      <w:r>
        <w:rPr>
          <w:rFonts w:ascii="宋体" w:hAnsi="宋体" w:eastAsia="宋体" w:cs="宋体"/>
          <w:color w:val="auto"/>
          <w:spacing w:val="9"/>
          <w:sz w:val="20"/>
          <w:szCs w:val="20"/>
          <w:highlight w:val="none"/>
          <w:u w:val="single" w:color="auto"/>
        </w:rPr>
        <w:t xml:space="preserve">3 </w:t>
      </w:r>
      <w:r>
        <w:rPr>
          <w:rFonts w:ascii="宋体" w:hAnsi="宋体" w:eastAsia="宋体" w:cs="宋体"/>
          <w:color w:val="auto"/>
          <w:spacing w:val="9"/>
          <w:sz w:val="20"/>
          <w:szCs w:val="20"/>
          <w:highlight w:val="none"/>
        </w:rPr>
        <w:t>%（不得超过3%）预留工程质量保证金，待缺</w:t>
      </w:r>
      <w:r>
        <w:rPr>
          <w:rFonts w:ascii="宋体" w:hAnsi="宋体" w:eastAsia="宋体" w:cs="宋体"/>
          <w:color w:val="auto"/>
          <w:spacing w:val="8"/>
          <w:sz w:val="20"/>
          <w:szCs w:val="20"/>
          <w:highlight w:val="none"/>
        </w:rPr>
        <w:t>陷责任期满后返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还，是否付息及利息计算方式为：</w:t>
      </w:r>
      <w:r>
        <w:rPr>
          <w:rFonts w:ascii="宋体" w:hAnsi="宋体" w:eastAsia="宋体" w:cs="宋体"/>
          <w:color w:val="auto"/>
          <w:spacing w:val="8"/>
          <w:sz w:val="20"/>
          <w:szCs w:val="20"/>
          <w:highlight w:val="none"/>
          <w:u w:val="single" w:color="auto"/>
        </w:rPr>
        <w:t>否</w:t>
      </w:r>
      <w:r>
        <w:rPr>
          <w:rFonts w:ascii="宋体" w:hAnsi="宋体" w:eastAsia="宋体" w:cs="宋体"/>
          <w:color w:val="auto"/>
          <w:spacing w:val="8"/>
          <w:sz w:val="20"/>
          <w:szCs w:val="20"/>
          <w:highlight w:val="none"/>
        </w:rPr>
        <w:t>；</w:t>
      </w:r>
    </w:p>
    <w:p w14:paraId="313133B9">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（3）其他方式：银行转账、电汇或网上支付等形式。</w:t>
      </w:r>
    </w:p>
    <w:p w14:paraId="4B5C5883">
      <w:pPr>
        <w:spacing w:before="221"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15.3.2 质量保证金的扣留</w:t>
      </w:r>
    </w:p>
    <w:p w14:paraId="00D5DA44">
      <w:pPr>
        <w:spacing w:before="219" w:line="228" w:lineRule="auto"/>
        <w:ind w:left="42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质量保证金的扣留采取以下第</w:t>
      </w:r>
      <w:r>
        <w:rPr>
          <w:rFonts w:ascii="宋体" w:hAnsi="宋体" w:eastAsia="宋体" w:cs="宋体"/>
          <w:color w:val="auto"/>
          <w:spacing w:val="7"/>
          <w:sz w:val="20"/>
          <w:szCs w:val="20"/>
          <w:highlight w:val="none"/>
          <w:u w:val="single" w:color="auto"/>
        </w:rPr>
        <w:t xml:space="preserve">   （2）  </w:t>
      </w:r>
      <w:r>
        <w:rPr>
          <w:rFonts w:ascii="宋体" w:hAnsi="宋体" w:eastAsia="宋体" w:cs="宋体"/>
          <w:color w:val="auto"/>
          <w:spacing w:val="-77"/>
          <w:sz w:val="20"/>
          <w:szCs w:val="20"/>
          <w:highlight w:val="none"/>
        </w:rPr>
        <w:t xml:space="preserve"> </w:t>
      </w:r>
      <w:r>
        <w:rPr>
          <w:rFonts w:ascii="宋体" w:hAnsi="宋体" w:eastAsia="宋体" w:cs="宋体"/>
          <w:color w:val="auto"/>
          <w:spacing w:val="7"/>
          <w:sz w:val="20"/>
          <w:szCs w:val="20"/>
          <w:highlight w:val="none"/>
        </w:rPr>
        <w:t>种方式：</w:t>
      </w:r>
    </w:p>
    <w:p w14:paraId="2786EAF7">
      <w:pPr>
        <w:spacing w:before="222" w:line="228" w:lineRule="auto"/>
        <w:ind w:right="2"/>
        <w:jc w:val="right"/>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（1）在不缴纳履约保证金情况下，按支付工程进度款时逐次扣留，质量保证金的计算基数不包括预</w:t>
      </w:r>
    </w:p>
    <w:p w14:paraId="79ADB6F5">
      <w:pPr>
        <w:spacing w:line="228" w:lineRule="auto"/>
        <w:rPr>
          <w:rFonts w:ascii="宋体" w:hAnsi="宋体" w:eastAsia="宋体" w:cs="宋体"/>
          <w:color w:val="auto"/>
          <w:sz w:val="20"/>
          <w:szCs w:val="20"/>
          <w:highlight w:val="none"/>
        </w:rPr>
        <w:sectPr>
          <w:headerReference r:id="rId229" w:type="default"/>
          <w:footerReference r:id="rId230" w:type="default"/>
          <w:pgSz w:w="11906" w:h="16839"/>
          <w:pgMar w:top="1091" w:right="1219" w:bottom="1158" w:left="1219" w:header="1076" w:footer="922" w:gutter="0"/>
          <w:cols w:space="720" w:num="1"/>
        </w:sectPr>
      </w:pPr>
    </w:p>
    <w:p w14:paraId="1A92A031">
      <w:pPr>
        <w:pStyle w:val="2"/>
        <w:spacing w:line="292" w:lineRule="auto"/>
        <w:rPr>
          <w:color w:val="auto"/>
          <w:highlight w:val="none"/>
        </w:rPr>
      </w:pPr>
    </w:p>
    <w:p w14:paraId="43DFF11F">
      <w:pPr>
        <w:pStyle w:val="2"/>
        <w:spacing w:line="292" w:lineRule="auto"/>
        <w:rPr>
          <w:color w:val="auto"/>
          <w:highlight w:val="none"/>
        </w:rPr>
      </w:pPr>
    </w:p>
    <w:p w14:paraId="70E32E11">
      <w:pPr>
        <w:pStyle w:val="2"/>
        <w:spacing w:line="293" w:lineRule="auto"/>
        <w:rPr>
          <w:color w:val="auto"/>
          <w:highlight w:val="none"/>
        </w:rPr>
      </w:pPr>
      <w:r>
        <w:rPr>
          <w:color w:val="auto"/>
          <w:highlight w:val="none"/>
        </w:rPr>
        <w:pict>
          <v:shape id="_x0000_s1047" o:spid="_x0000_s1047" style="position:absolute;left:0pt;margin-left:0pt;margin-top:4.45pt;height:0.75pt;width:473.4pt;z-index:251702272;mso-width-relative:page;mso-height-relative:page;" fillcolor="#000000" filled="t" stroked="f" coordsize="9467,15" path="m0,0l9467,0,9467,14,0,14,0,0xe">
            <v:path/>
            <v:fill on="t" focussize="0,0"/>
            <v:stroke on="f"/>
            <v:imagedata o:title=""/>
            <o:lock v:ext="edit"/>
          </v:shape>
        </w:pict>
      </w:r>
    </w:p>
    <w:p w14:paraId="4D10F13F">
      <w:pPr>
        <w:spacing w:before="65" w:line="227" w:lineRule="auto"/>
        <w:ind w:left="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付款的支付、扣回以及价格调整的金额；</w:t>
      </w:r>
    </w:p>
    <w:p w14:paraId="77862B6C">
      <w:pPr>
        <w:spacing w:before="223" w:line="329" w:lineRule="auto"/>
        <w:ind w:left="10" w:right="70" w:firstLine="42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（2）工程竣工结算时，一次性扣留质量保证金，由承包人以银行保函、保证保险替代预留质量保证</w:t>
      </w:r>
      <w:r>
        <w:rPr>
          <w:rFonts w:ascii="宋体" w:hAnsi="宋体" w:eastAsia="宋体" w:cs="宋体"/>
          <w:color w:val="auto"/>
          <w:spacing w:val="18"/>
          <w:sz w:val="20"/>
          <w:szCs w:val="20"/>
          <w:highlight w:val="none"/>
        </w:rPr>
        <w:t xml:space="preserve"> </w:t>
      </w:r>
      <w:r>
        <w:rPr>
          <w:rFonts w:ascii="宋体" w:hAnsi="宋体" w:eastAsia="宋体" w:cs="宋体"/>
          <w:color w:val="auto"/>
          <w:spacing w:val="8"/>
          <w:sz w:val="20"/>
          <w:szCs w:val="20"/>
          <w:highlight w:val="none"/>
        </w:rPr>
        <w:t>金，保函金额不得高于工程价款结算总额的3%；</w:t>
      </w:r>
    </w:p>
    <w:p w14:paraId="651FB463">
      <w:pPr>
        <w:spacing w:before="222" w:line="330" w:lineRule="auto"/>
        <w:ind w:left="7" w:right="70" w:firstLine="430"/>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（3）其他扣留方式</w:t>
      </w:r>
      <w:r>
        <w:rPr>
          <w:rFonts w:ascii="宋体" w:hAnsi="宋体" w:eastAsia="宋体" w:cs="宋体"/>
          <w:color w:val="auto"/>
          <w:spacing w:val="-44"/>
          <w:sz w:val="20"/>
          <w:szCs w:val="20"/>
          <w:highlight w:val="none"/>
        </w:rPr>
        <w:t xml:space="preserve"> </w:t>
      </w:r>
      <w:r>
        <w:rPr>
          <w:rFonts w:ascii="宋体" w:hAnsi="宋体" w:eastAsia="宋体" w:cs="宋体"/>
          <w:color w:val="auto"/>
          <w:spacing w:val="6"/>
          <w:sz w:val="20"/>
          <w:szCs w:val="20"/>
          <w:highlight w:val="none"/>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6"/>
          <w:sz w:val="20"/>
          <w:szCs w:val="20"/>
          <w:highlight w:val="none"/>
        </w:rPr>
        <w:t>银行转账、电汇或网上支付、保函（银行保函、电子保函、保证保险保函、工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程担保保函）等形式。</w:t>
      </w:r>
    </w:p>
    <w:p w14:paraId="3F30EA84">
      <w:pPr>
        <w:spacing w:before="220" w:line="229"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关于质量保证金的补充约定：</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25EDCBC8">
      <w:pPr>
        <w:pStyle w:val="2"/>
        <w:spacing w:line="402" w:lineRule="auto"/>
        <w:rPr>
          <w:color w:val="auto"/>
          <w:highlight w:val="none"/>
        </w:rPr>
      </w:pPr>
    </w:p>
    <w:p w14:paraId="64BA5F61">
      <w:pPr>
        <w:spacing w:before="100" w:line="225" w:lineRule="auto"/>
        <w:ind w:left="36"/>
        <w:outlineLvl w:val="1"/>
        <w:rPr>
          <w:rFonts w:ascii="宋体" w:hAnsi="宋体" w:eastAsia="宋体" w:cs="宋体"/>
          <w:color w:val="auto"/>
          <w:sz w:val="31"/>
          <w:szCs w:val="31"/>
          <w:highlight w:val="none"/>
        </w:rPr>
      </w:pPr>
      <w:bookmarkStart w:id="122" w:name="_Toc786"/>
      <w:r>
        <w:rPr>
          <w:rFonts w:ascii="宋体" w:hAnsi="宋体" w:eastAsia="宋体" w:cs="宋体"/>
          <w:b/>
          <w:bCs/>
          <w:color w:val="auto"/>
          <w:spacing w:val="-5"/>
          <w:sz w:val="31"/>
          <w:szCs w:val="31"/>
          <w:highlight w:val="none"/>
        </w:rPr>
        <w:t>15.4</w:t>
      </w:r>
      <w:r>
        <w:rPr>
          <w:rFonts w:ascii="宋体" w:hAnsi="宋体" w:eastAsia="宋体" w:cs="宋体"/>
          <w:color w:val="auto"/>
          <w:spacing w:val="23"/>
          <w:sz w:val="31"/>
          <w:szCs w:val="31"/>
          <w:highlight w:val="none"/>
        </w:rPr>
        <w:t xml:space="preserve"> </w:t>
      </w:r>
      <w:r>
        <w:rPr>
          <w:rFonts w:ascii="宋体" w:hAnsi="宋体" w:eastAsia="宋体" w:cs="宋体"/>
          <w:b/>
          <w:bCs/>
          <w:color w:val="auto"/>
          <w:spacing w:val="-5"/>
          <w:sz w:val="31"/>
          <w:szCs w:val="31"/>
          <w:highlight w:val="none"/>
        </w:rPr>
        <w:t>保修</w:t>
      </w:r>
      <w:bookmarkEnd w:id="122"/>
    </w:p>
    <w:p w14:paraId="01F9F2CF">
      <w:pPr>
        <w:pStyle w:val="2"/>
        <w:spacing w:line="414" w:lineRule="auto"/>
        <w:rPr>
          <w:color w:val="auto"/>
          <w:highlight w:val="none"/>
        </w:rPr>
      </w:pPr>
    </w:p>
    <w:p w14:paraId="6461D895">
      <w:pPr>
        <w:spacing w:before="66" w:line="228" w:lineRule="auto"/>
        <w:ind w:left="434"/>
        <w:outlineLvl w:val="0"/>
        <w:rPr>
          <w:rFonts w:ascii="宋体" w:hAnsi="宋体" w:eastAsia="宋体" w:cs="宋体"/>
          <w:color w:val="auto"/>
          <w:sz w:val="20"/>
          <w:szCs w:val="20"/>
          <w:highlight w:val="none"/>
        </w:rPr>
      </w:pPr>
      <w:bookmarkStart w:id="123" w:name="_Toc31810"/>
      <w:r>
        <w:rPr>
          <w:rFonts w:ascii="宋体" w:hAnsi="宋体" w:eastAsia="宋体" w:cs="宋体"/>
          <w:color w:val="auto"/>
          <w:spacing w:val="4"/>
          <w:sz w:val="20"/>
          <w:szCs w:val="20"/>
          <w:highlight w:val="none"/>
        </w:rPr>
        <w:t>15.4.1 保修责任</w:t>
      </w:r>
      <w:bookmarkEnd w:id="123"/>
    </w:p>
    <w:p w14:paraId="385576A5">
      <w:pPr>
        <w:spacing w:before="220" w:line="432" w:lineRule="auto"/>
        <w:ind w:left="11" w:firstLine="409"/>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工程保修期为：</w:t>
      </w:r>
      <w:r>
        <w:rPr>
          <w:rFonts w:ascii="宋体" w:hAnsi="宋体" w:eastAsia="宋体" w:cs="宋体"/>
          <w:color w:val="auto"/>
          <w:spacing w:val="8"/>
          <w:sz w:val="20"/>
          <w:szCs w:val="20"/>
          <w:highlight w:val="none"/>
          <w:u w:val="single" w:color="auto"/>
        </w:rPr>
        <w:t>地基基础工程和主体结构工程为设计文件规定的该工程的合理使用年限，</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8"/>
          <w:sz w:val="20"/>
          <w:szCs w:val="20"/>
          <w:highlight w:val="none"/>
          <w:u w:val="single" w:color="auto"/>
        </w:rPr>
        <w:t>本工程为</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50 年；屋面防水工程、有防水要求的卫生间、房间和外墙面的防</w:t>
      </w:r>
      <w:r>
        <w:rPr>
          <w:rFonts w:ascii="宋体" w:hAnsi="宋体" w:eastAsia="宋体" w:cs="宋体"/>
          <w:color w:val="auto"/>
          <w:spacing w:val="6"/>
          <w:sz w:val="20"/>
          <w:szCs w:val="20"/>
          <w:highlight w:val="none"/>
          <w:u w:val="single" w:color="auto"/>
        </w:rPr>
        <w:t>渗漏为 5 年；电气管线、给排水管道、</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u w:val="single" w:color="auto"/>
        </w:rPr>
        <w:t>设备安装为</w:t>
      </w:r>
      <w:r>
        <w:rPr>
          <w:rFonts w:ascii="宋体" w:hAnsi="宋体" w:eastAsia="宋体" w:cs="宋体"/>
          <w:color w:val="auto"/>
          <w:spacing w:val="-31"/>
          <w:sz w:val="20"/>
          <w:szCs w:val="20"/>
          <w:highlight w:val="none"/>
          <w:u w:val="single" w:color="auto"/>
        </w:rPr>
        <w:t xml:space="preserve"> </w:t>
      </w:r>
      <w:r>
        <w:rPr>
          <w:rFonts w:ascii="宋体" w:hAnsi="宋体" w:eastAsia="宋体" w:cs="宋体"/>
          <w:color w:val="auto"/>
          <w:spacing w:val="3"/>
          <w:sz w:val="20"/>
          <w:szCs w:val="20"/>
          <w:highlight w:val="none"/>
          <w:u w:val="single" w:color="auto"/>
        </w:rPr>
        <w:t>2</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3"/>
          <w:sz w:val="20"/>
          <w:szCs w:val="20"/>
          <w:highlight w:val="none"/>
          <w:u w:val="single" w:color="auto"/>
        </w:rPr>
        <w:t>年</w:t>
      </w:r>
      <w:r>
        <w:rPr>
          <w:rFonts w:ascii="宋体" w:hAnsi="宋体" w:eastAsia="宋体" w:cs="宋体"/>
          <w:color w:val="auto"/>
          <w:spacing w:val="3"/>
          <w:sz w:val="20"/>
          <w:szCs w:val="20"/>
          <w:highlight w:val="none"/>
        </w:rPr>
        <w:t>。</w:t>
      </w:r>
    </w:p>
    <w:p w14:paraId="43BFDC0E">
      <w:pPr>
        <w:spacing w:before="1" w:line="227" w:lineRule="auto"/>
        <w:ind w:left="42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工程保修书具体内容见合同附件</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2。</w:t>
      </w:r>
    </w:p>
    <w:p w14:paraId="19443757">
      <w:pPr>
        <w:spacing w:before="222" w:line="228" w:lineRule="auto"/>
        <w:ind w:left="434"/>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15.4.3 修复通知</w:t>
      </w:r>
    </w:p>
    <w:p w14:paraId="712B87F4">
      <w:pPr>
        <w:spacing w:before="141" w:line="228" w:lineRule="auto"/>
        <w:ind w:left="41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承包人收到保修通知并到达工程现场的合理时间：</w:t>
      </w:r>
      <w:r>
        <w:rPr>
          <w:rFonts w:ascii="宋体" w:hAnsi="宋体" w:eastAsia="宋体" w:cs="宋体"/>
          <w:color w:val="auto"/>
          <w:spacing w:val="8"/>
          <w:sz w:val="20"/>
          <w:szCs w:val="20"/>
          <w:highlight w:val="none"/>
          <w:u w:val="single" w:color="auto"/>
        </w:rPr>
        <w:t>收到通知后</w:t>
      </w:r>
      <w:r>
        <w:rPr>
          <w:rFonts w:ascii="宋体" w:hAnsi="宋体" w:eastAsia="宋体" w:cs="宋体"/>
          <w:color w:val="auto"/>
          <w:spacing w:val="-27"/>
          <w:sz w:val="20"/>
          <w:szCs w:val="20"/>
          <w:highlight w:val="none"/>
          <w:u w:val="single" w:color="auto"/>
        </w:rPr>
        <w:t xml:space="preserve"> </w:t>
      </w:r>
      <w:r>
        <w:rPr>
          <w:rFonts w:ascii="宋体" w:hAnsi="宋体" w:eastAsia="宋体" w:cs="宋体"/>
          <w:color w:val="auto"/>
          <w:spacing w:val="8"/>
          <w:sz w:val="20"/>
          <w:szCs w:val="20"/>
          <w:highlight w:val="none"/>
          <w:u w:val="single" w:color="auto"/>
        </w:rPr>
        <w:t>24</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8"/>
          <w:sz w:val="20"/>
          <w:szCs w:val="20"/>
          <w:highlight w:val="none"/>
          <w:u w:val="single" w:color="auto"/>
        </w:rPr>
        <w:t>小时内</w:t>
      </w:r>
      <w:r>
        <w:rPr>
          <w:rFonts w:ascii="宋体" w:hAnsi="宋体" w:eastAsia="宋体" w:cs="宋体"/>
          <w:color w:val="auto"/>
          <w:spacing w:val="8"/>
          <w:sz w:val="20"/>
          <w:szCs w:val="20"/>
          <w:highlight w:val="none"/>
        </w:rPr>
        <w:t>。</w:t>
      </w:r>
    </w:p>
    <w:p w14:paraId="02A58FEA">
      <w:pPr>
        <w:pStyle w:val="2"/>
        <w:spacing w:line="326" w:lineRule="auto"/>
        <w:rPr>
          <w:color w:val="auto"/>
          <w:highlight w:val="none"/>
        </w:rPr>
      </w:pPr>
    </w:p>
    <w:p w14:paraId="5FE024EA">
      <w:pPr>
        <w:spacing w:before="102" w:line="230" w:lineRule="auto"/>
        <w:ind w:left="36"/>
        <w:outlineLvl w:val="1"/>
        <w:rPr>
          <w:rFonts w:ascii="宋体" w:hAnsi="宋体" w:eastAsia="宋体" w:cs="宋体"/>
          <w:color w:val="auto"/>
          <w:sz w:val="31"/>
          <w:szCs w:val="31"/>
          <w:highlight w:val="none"/>
        </w:rPr>
      </w:pPr>
      <w:bookmarkStart w:id="124" w:name="_Toc1028"/>
      <w:r>
        <w:rPr>
          <w:rFonts w:ascii="宋体" w:hAnsi="宋体" w:eastAsia="宋体" w:cs="宋体"/>
          <w:b/>
          <w:bCs/>
          <w:color w:val="auto"/>
          <w:spacing w:val="-6"/>
          <w:sz w:val="31"/>
          <w:szCs w:val="31"/>
          <w:highlight w:val="none"/>
        </w:rPr>
        <w:t>16.</w:t>
      </w:r>
      <w:r>
        <w:rPr>
          <w:rFonts w:ascii="宋体" w:hAnsi="宋体" w:eastAsia="宋体" w:cs="宋体"/>
          <w:color w:val="auto"/>
          <w:spacing w:val="20"/>
          <w:sz w:val="31"/>
          <w:szCs w:val="31"/>
          <w:highlight w:val="none"/>
        </w:rPr>
        <w:t xml:space="preserve"> </w:t>
      </w:r>
      <w:r>
        <w:rPr>
          <w:rFonts w:ascii="宋体" w:hAnsi="宋体" w:eastAsia="宋体" w:cs="宋体"/>
          <w:b/>
          <w:bCs/>
          <w:color w:val="auto"/>
          <w:spacing w:val="-6"/>
          <w:sz w:val="31"/>
          <w:szCs w:val="31"/>
          <w:highlight w:val="none"/>
        </w:rPr>
        <w:t>违约</w:t>
      </w:r>
      <w:bookmarkEnd w:id="124"/>
    </w:p>
    <w:p w14:paraId="0590134C">
      <w:pPr>
        <w:pStyle w:val="2"/>
        <w:spacing w:line="393" w:lineRule="auto"/>
        <w:rPr>
          <w:color w:val="auto"/>
          <w:highlight w:val="none"/>
        </w:rPr>
      </w:pPr>
    </w:p>
    <w:p w14:paraId="5EF9F8D5">
      <w:pPr>
        <w:spacing w:before="101" w:line="226" w:lineRule="auto"/>
        <w:ind w:left="36"/>
        <w:outlineLvl w:val="2"/>
        <w:rPr>
          <w:rFonts w:ascii="宋体" w:hAnsi="宋体" w:eastAsia="宋体" w:cs="宋体"/>
          <w:color w:val="auto"/>
          <w:sz w:val="31"/>
          <w:szCs w:val="31"/>
          <w:highlight w:val="none"/>
        </w:rPr>
      </w:pPr>
      <w:bookmarkStart w:id="125" w:name="_Toc5179"/>
      <w:r>
        <w:rPr>
          <w:rFonts w:ascii="宋体" w:hAnsi="宋体" w:eastAsia="宋体" w:cs="宋体"/>
          <w:b/>
          <w:bCs/>
          <w:color w:val="auto"/>
          <w:spacing w:val="1"/>
          <w:sz w:val="31"/>
          <w:szCs w:val="31"/>
          <w:highlight w:val="none"/>
        </w:rPr>
        <w:t>16.1</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发包人违约</w:t>
      </w:r>
      <w:bookmarkEnd w:id="125"/>
    </w:p>
    <w:p w14:paraId="5536D09E">
      <w:pPr>
        <w:pStyle w:val="2"/>
        <w:spacing w:line="334" w:lineRule="auto"/>
        <w:rPr>
          <w:color w:val="auto"/>
          <w:highlight w:val="none"/>
        </w:rPr>
      </w:pPr>
    </w:p>
    <w:p w14:paraId="6E923E8A">
      <w:pPr>
        <w:spacing w:before="65" w:line="229"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16.1.1</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发包人违约的情形</w:t>
      </w:r>
    </w:p>
    <w:p w14:paraId="151F5DFD">
      <w:pPr>
        <w:spacing w:before="143"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 xml:space="preserve">发包人违约的其他情形： </w:t>
      </w:r>
      <w:r>
        <w:rPr>
          <w:rFonts w:ascii="宋体" w:hAnsi="宋体" w:eastAsia="宋体" w:cs="宋体"/>
          <w:color w:val="auto"/>
          <w:spacing w:val="-81"/>
          <w:sz w:val="20"/>
          <w:szCs w:val="20"/>
          <w:highlight w:val="none"/>
          <w:u w:val="single" w:color="auto"/>
        </w:rPr>
        <w:t xml:space="preserve"> </w:t>
      </w:r>
      <w:r>
        <w:rPr>
          <w:rFonts w:ascii="宋体" w:hAnsi="宋体" w:eastAsia="宋体" w:cs="宋体"/>
          <w:color w:val="auto"/>
          <w:spacing w:val="8"/>
          <w:sz w:val="20"/>
          <w:szCs w:val="20"/>
          <w:highlight w:val="none"/>
          <w:u w:val="single" w:color="auto"/>
        </w:rPr>
        <w:t>按本合同《通用条款》执行</w:t>
      </w:r>
      <w:r>
        <w:rPr>
          <w:rFonts w:ascii="宋体" w:hAnsi="宋体" w:eastAsia="宋体" w:cs="宋体"/>
          <w:color w:val="auto"/>
          <w:spacing w:val="8"/>
          <w:sz w:val="20"/>
          <w:szCs w:val="20"/>
          <w:highlight w:val="none"/>
        </w:rPr>
        <w:t>。</w:t>
      </w:r>
    </w:p>
    <w:p w14:paraId="6A5938DF">
      <w:pPr>
        <w:spacing w:before="221" w:line="228" w:lineRule="auto"/>
        <w:ind w:left="443"/>
        <w:outlineLvl w:val="0"/>
        <w:rPr>
          <w:rFonts w:ascii="宋体" w:hAnsi="宋体" w:eastAsia="宋体" w:cs="宋体"/>
          <w:color w:val="auto"/>
          <w:sz w:val="20"/>
          <w:szCs w:val="20"/>
          <w:highlight w:val="none"/>
        </w:rPr>
      </w:pPr>
      <w:bookmarkStart w:id="126" w:name="_Toc10453"/>
      <w:r>
        <w:rPr>
          <w:rFonts w:ascii="宋体" w:hAnsi="宋体" w:eastAsia="宋体" w:cs="宋体"/>
          <w:color w:val="auto"/>
          <w:spacing w:val="5"/>
          <w:sz w:val="20"/>
          <w:szCs w:val="20"/>
          <w:highlight w:val="none"/>
        </w:rPr>
        <w:t>16.1.2 发包人违约的责任</w:t>
      </w:r>
      <w:bookmarkEnd w:id="126"/>
    </w:p>
    <w:p w14:paraId="06112A50">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发包人违约责任的承担方式和计算方法：</w:t>
      </w:r>
    </w:p>
    <w:p w14:paraId="0295B78D">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（1）因发包人原因未能在计划开工日期前</w:t>
      </w:r>
      <w:r>
        <w:rPr>
          <w:rFonts w:ascii="宋体" w:hAnsi="宋体" w:eastAsia="宋体" w:cs="宋体"/>
          <w:color w:val="auto"/>
          <w:spacing w:val="-26"/>
          <w:sz w:val="20"/>
          <w:szCs w:val="20"/>
          <w:highlight w:val="none"/>
        </w:rPr>
        <w:t xml:space="preserve"> </w:t>
      </w:r>
      <w:r>
        <w:rPr>
          <w:rFonts w:ascii="宋体" w:hAnsi="宋体" w:eastAsia="宋体" w:cs="宋体"/>
          <w:color w:val="auto"/>
          <w:spacing w:val="8"/>
          <w:sz w:val="20"/>
          <w:szCs w:val="20"/>
          <w:highlight w:val="none"/>
        </w:rPr>
        <w:t>7</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天内下达开工通知的违约责任：</w:t>
      </w:r>
      <w:r>
        <w:rPr>
          <w:rFonts w:ascii="宋体" w:hAnsi="宋体" w:eastAsia="宋体" w:cs="宋体"/>
          <w:color w:val="auto"/>
          <w:spacing w:val="8"/>
          <w:sz w:val="20"/>
          <w:szCs w:val="20"/>
          <w:highlight w:val="none"/>
          <w:u w:val="single" w:color="auto"/>
        </w:rPr>
        <w:t>顺延工期</w:t>
      </w:r>
      <w:r>
        <w:rPr>
          <w:rFonts w:ascii="宋体" w:hAnsi="宋体" w:eastAsia="宋体" w:cs="宋体"/>
          <w:color w:val="auto"/>
          <w:spacing w:val="8"/>
          <w:sz w:val="20"/>
          <w:szCs w:val="20"/>
          <w:highlight w:val="none"/>
        </w:rPr>
        <w:t>。</w:t>
      </w:r>
    </w:p>
    <w:p w14:paraId="4170757F">
      <w:pPr>
        <w:spacing w:before="221" w:line="330" w:lineRule="auto"/>
        <w:ind w:left="9" w:right="31" w:firstLine="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（2）因发包人原因未能按合同约定支付合同价款的违约责任：</w:t>
      </w:r>
      <w:r>
        <w:rPr>
          <w:rFonts w:ascii="宋体" w:hAnsi="宋体" w:eastAsia="宋体" w:cs="宋体"/>
          <w:color w:val="auto"/>
          <w:spacing w:val="8"/>
          <w:sz w:val="20"/>
          <w:szCs w:val="20"/>
          <w:highlight w:val="none"/>
          <w:u w:val="single" w:color="auto"/>
        </w:rPr>
        <w:t>承包人与发包人签订延期付款协议，</w:t>
      </w:r>
      <w:r>
        <w:rPr>
          <w:rFonts w:ascii="宋体" w:hAnsi="宋体" w:eastAsia="宋体" w:cs="宋体"/>
          <w:color w:val="auto"/>
          <w:spacing w:val="13"/>
          <w:sz w:val="20"/>
          <w:szCs w:val="20"/>
          <w:highlight w:val="none"/>
        </w:rPr>
        <w:t xml:space="preserve"> </w:t>
      </w:r>
      <w:r>
        <w:rPr>
          <w:rFonts w:ascii="宋体" w:hAnsi="宋体" w:eastAsia="宋体" w:cs="宋体"/>
          <w:color w:val="auto"/>
          <w:spacing w:val="8"/>
          <w:sz w:val="20"/>
          <w:szCs w:val="20"/>
          <w:highlight w:val="none"/>
          <w:u w:val="single" w:color="auto"/>
        </w:rPr>
        <w:t>延期付款协议须经财政部门及双方认可</w:t>
      </w:r>
      <w:r>
        <w:rPr>
          <w:rFonts w:ascii="宋体" w:hAnsi="宋体" w:eastAsia="宋体" w:cs="宋体"/>
          <w:color w:val="auto"/>
          <w:spacing w:val="8"/>
          <w:sz w:val="20"/>
          <w:szCs w:val="20"/>
          <w:highlight w:val="none"/>
        </w:rPr>
        <w:t>。</w:t>
      </w:r>
    </w:p>
    <w:p w14:paraId="4DDC7837">
      <w:pPr>
        <w:spacing w:before="221" w:line="330" w:lineRule="auto"/>
        <w:ind w:left="9" w:right="70" w:firstLine="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（3）发包人违反《专用合同条款》第</w:t>
      </w:r>
      <w:r>
        <w:rPr>
          <w:rFonts w:ascii="宋体" w:hAnsi="宋体" w:eastAsia="宋体" w:cs="宋体"/>
          <w:color w:val="auto"/>
          <w:spacing w:val="-13"/>
          <w:sz w:val="20"/>
          <w:szCs w:val="20"/>
          <w:highlight w:val="none"/>
        </w:rPr>
        <w:t xml:space="preserve"> </w:t>
      </w:r>
      <w:r>
        <w:rPr>
          <w:rFonts w:ascii="宋体" w:hAnsi="宋体" w:eastAsia="宋体" w:cs="宋体"/>
          <w:color w:val="auto"/>
          <w:spacing w:val="6"/>
          <w:sz w:val="20"/>
          <w:szCs w:val="20"/>
          <w:highlight w:val="none"/>
        </w:rPr>
        <w:t>10.1</w:t>
      </w:r>
      <w:r>
        <w:rPr>
          <w:rFonts w:ascii="宋体" w:hAnsi="宋体" w:eastAsia="宋体" w:cs="宋体"/>
          <w:color w:val="auto"/>
          <w:spacing w:val="-37"/>
          <w:sz w:val="20"/>
          <w:szCs w:val="20"/>
          <w:highlight w:val="none"/>
        </w:rPr>
        <w:t xml:space="preserve"> </w:t>
      </w:r>
      <w:r>
        <w:rPr>
          <w:rFonts w:ascii="宋体" w:hAnsi="宋体" w:eastAsia="宋体" w:cs="宋体"/>
          <w:color w:val="auto"/>
          <w:spacing w:val="6"/>
          <w:sz w:val="20"/>
          <w:szCs w:val="20"/>
          <w:highlight w:val="none"/>
        </w:rPr>
        <w:t>款〔变更的范围〕第（2）项约定，自行实施被取消的工</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作或转由他人实施的违约责任：</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5DA80245">
      <w:pPr>
        <w:spacing w:before="221" w:line="330" w:lineRule="auto"/>
        <w:ind w:left="44" w:right="70" w:firstLine="39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（4）发包人提供的材料、工程设备的规格、数量或质量不符合合同约定，或因发包人原因导致交货</w:t>
      </w:r>
      <w:r>
        <w:rPr>
          <w:rFonts w:ascii="宋体" w:hAnsi="宋体" w:eastAsia="宋体" w:cs="宋体"/>
          <w:color w:val="auto"/>
          <w:spacing w:val="18"/>
          <w:sz w:val="20"/>
          <w:szCs w:val="20"/>
          <w:highlight w:val="none"/>
        </w:rPr>
        <w:t xml:space="preserve"> </w:t>
      </w:r>
      <w:r>
        <w:rPr>
          <w:rFonts w:ascii="宋体" w:hAnsi="宋体" w:eastAsia="宋体" w:cs="宋体"/>
          <w:color w:val="auto"/>
          <w:spacing w:val="7"/>
          <w:sz w:val="20"/>
          <w:szCs w:val="20"/>
          <w:highlight w:val="none"/>
        </w:rPr>
        <w:t>日期延误或交货地点变更等情况的违约责任：</w:t>
      </w:r>
      <w:r>
        <w:rPr>
          <w:rFonts w:ascii="宋体" w:hAnsi="宋体" w:eastAsia="宋体" w:cs="宋体"/>
          <w:color w:val="auto"/>
          <w:spacing w:val="7"/>
          <w:sz w:val="20"/>
          <w:szCs w:val="20"/>
          <w:highlight w:val="none"/>
          <w:u w:val="single" w:color="auto"/>
        </w:rPr>
        <w:t>无</w:t>
      </w:r>
      <w:r>
        <w:rPr>
          <w:rFonts w:ascii="宋体" w:hAnsi="宋体" w:eastAsia="宋体" w:cs="宋体"/>
          <w:color w:val="auto"/>
          <w:spacing w:val="7"/>
          <w:sz w:val="20"/>
          <w:szCs w:val="20"/>
          <w:highlight w:val="none"/>
        </w:rPr>
        <w:t>。</w:t>
      </w:r>
    </w:p>
    <w:p w14:paraId="2B665A1A">
      <w:pPr>
        <w:spacing w:line="330" w:lineRule="auto"/>
        <w:rPr>
          <w:rFonts w:ascii="宋体" w:hAnsi="宋体" w:eastAsia="宋体" w:cs="宋体"/>
          <w:color w:val="auto"/>
          <w:sz w:val="20"/>
          <w:szCs w:val="20"/>
          <w:highlight w:val="none"/>
        </w:rPr>
        <w:sectPr>
          <w:headerReference r:id="rId231" w:type="default"/>
          <w:footerReference r:id="rId232" w:type="default"/>
          <w:pgSz w:w="11906" w:h="16839"/>
          <w:pgMar w:top="400" w:right="1150" w:bottom="1158" w:left="1219" w:header="0" w:footer="922" w:gutter="0"/>
          <w:cols w:space="720" w:num="1"/>
        </w:sectPr>
      </w:pPr>
    </w:p>
    <w:p w14:paraId="66C57590">
      <w:pPr>
        <w:pStyle w:val="2"/>
        <w:spacing w:line="292" w:lineRule="auto"/>
        <w:rPr>
          <w:color w:val="auto"/>
          <w:highlight w:val="none"/>
        </w:rPr>
      </w:pPr>
    </w:p>
    <w:p w14:paraId="6B8A4A0D">
      <w:pPr>
        <w:pStyle w:val="2"/>
        <w:spacing w:line="292" w:lineRule="auto"/>
        <w:rPr>
          <w:color w:val="auto"/>
          <w:highlight w:val="none"/>
        </w:rPr>
      </w:pPr>
    </w:p>
    <w:p w14:paraId="759BDBBB">
      <w:pPr>
        <w:pStyle w:val="2"/>
        <w:spacing w:line="293" w:lineRule="auto"/>
        <w:rPr>
          <w:color w:val="auto"/>
          <w:highlight w:val="none"/>
        </w:rPr>
      </w:pPr>
      <w:r>
        <w:rPr>
          <w:color w:val="auto"/>
          <w:highlight w:val="none"/>
        </w:rPr>
        <w:pict>
          <v:shape id="_x0000_s1048" o:spid="_x0000_s1048" style="position:absolute;left:0pt;margin-left:0pt;margin-top:4.45pt;height:0.75pt;width:473.4pt;z-index:251703296;mso-width-relative:page;mso-height-relative:page;" fillcolor="#000000" filled="t" stroked="f" coordsize="9467,15" path="m0,0l9467,0,9467,14,0,14,0,0xe">
            <v:path/>
            <v:fill on="t" focussize="0,0"/>
            <v:stroke on="f"/>
            <v:imagedata o:title=""/>
            <o:lock v:ext="edit"/>
          </v:shape>
        </w:pict>
      </w:r>
    </w:p>
    <w:p w14:paraId="3FB78AF8">
      <w:pPr>
        <w:spacing w:before="65" w:line="228" w:lineRule="auto"/>
        <w:ind w:left="43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（5）因发包人违反合同约定造成暂停施工的违约责任：</w:t>
      </w:r>
      <w:r>
        <w:rPr>
          <w:rFonts w:ascii="宋体" w:hAnsi="宋体" w:eastAsia="宋体" w:cs="宋体"/>
          <w:color w:val="auto"/>
          <w:spacing w:val="9"/>
          <w:sz w:val="20"/>
          <w:szCs w:val="20"/>
          <w:highlight w:val="none"/>
          <w:u w:val="single" w:color="auto"/>
        </w:rPr>
        <w:t>影响关键线路工期的工期相应顺延</w:t>
      </w:r>
      <w:r>
        <w:rPr>
          <w:rFonts w:ascii="宋体" w:hAnsi="宋体" w:eastAsia="宋体" w:cs="宋体"/>
          <w:color w:val="auto"/>
          <w:spacing w:val="9"/>
          <w:sz w:val="20"/>
          <w:szCs w:val="20"/>
          <w:highlight w:val="none"/>
        </w:rPr>
        <w:t>。</w:t>
      </w:r>
    </w:p>
    <w:p w14:paraId="638B3554">
      <w:pPr>
        <w:spacing w:before="219" w:line="331" w:lineRule="auto"/>
        <w:ind w:left="25" w:right="56" w:firstLine="41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（6）发包人无正当理由没有在约定期限内发出复工指示，导致承包人无法复工的违约责任：</w:t>
      </w:r>
      <w:r>
        <w:rPr>
          <w:rFonts w:ascii="宋体" w:hAnsi="宋体" w:eastAsia="宋体" w:cs="宋体"/>
          <w:color w:val="auto"/>
          <w:spacing w:val="7"/>
          <w:sz w:val="20"/>
          <w:szCs w:val="20"/>
          <w:highlight w:val="none"/>
          <w:u w:val="single" w:color="auto"/>
        </w:rPr>
        <w:t>所耽误</w:t>
      </w:r>
      <w:r>
        <w:rPr>
          <w:rFonts w:ascii="宋体" w:hAnsi="宋体" w:eastAsia="宋体" w:cs="宋体"/>
          <w:color w:val="auto"/>
          <w:spacing w:val="18"/>
          <w:sz w:val="20"/>
          <w:szCs w:val="20"/>
          <w:highlight w:val="none"/>
        </w:rPr>
        <w:t xml:space="preserve"> </w:t>
      </w:r>
      <w:r>
        <w:rPr>
          <w:rFonts w:ascii="宋体" w:hAnsi="宋体" w:eastAsia="宋体" w:cs="宋体"/>
          <w:color w:val="auto"/>
          <w:spacing w:val="5"/>
          <w:sz w:val="20"/>
          <w:szCs w:val="20"/>
          <w:highlight w:val="none"/>
          <w:u w:val="single" w:color="auto"/>
        </w:rPr>
        <w:t>的工期相应顺延</w:t>
      </w:r>
      <w:r>
        <w:rPr>
          <w:rFonts w:ascii="宋体" w:hAnsi="宋体" w:eastAsia="宋体" w:cs="宋体"/>
          <w:color w:val="auto"/>
          <w:spacing w:val="5"/>
          <w:sz w:val="20"/>
          <w:szCs w:val="20"/>
          <w:highlight w:val="none"/>
        </w:rPr>
        <w:t>。</w:t>
      </w:r>
    </w:p>
    <w:p w14:paraId="66E94174">
      <w:pPr>
        <w:spacing w:before="219" w:line="229" w:lineRule="auto"/>
        <w:ind w:left="438"/>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（7）其他：</w:t>
      </w:r>
      <w:r>
        <w:rPr>
          <w:rFonts w:ascii="宋体" w:hAnsi="宋体" w:eastAsia="宋体" w:cs="宋体"/>
          <w:color w:val="auto"/>
          <w:spacing w:val="5"/>
          <w:sz w:val="20"/>
          <w:szCs w:val="20"/>
          <w:highlight w:val="none"/>
          <w:u w:val="single" w:color="auto"/>
        </w:rPr>
        <w:t>无</w:t>
      </w:r>
      <w:r>
        <w:rPr>
          <w:rFonts w:ascii="宋体" w:hAnsi="宋体" w:eastAsia="宋体" w:cs="宋体"/>
          <w:color w:val="auto"/>
          <w:spacing w:val="5"/>
          <w:sz w:val="20"/>
          <w:szCs w:val="20"/>
          <w:highlight w:val="none"/>
        </w:rPr>
        <w:t>。</w:t>
      </w:r>
    </w:p>
    <w:p w14:paraId="2B10675D">
      <w:pPr>
        <w:spacing w:before="220"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16.1.3</w:t>
      </w:r>
      <w:r>
        <w:rPr>
          <w:rFonts w:ascii="宋体" w:hAnsi="宋体" w:eastAsia="宋体" w:cs="宋体"/>
          <w:color w:val="auto"/>
          <w:spacing w:val="43"/>
          <w:sz w:val="20"/>
          <w:szCs w:val="20"/>
          <w:highlight w:val="none"/>
        </w:rPr>
        <w:t xml:space="preserve"> </w:t>
      </w:r>
      <w:r>
        <w:rPr>
          <w:rFonts w:ascii="宋体" w:hAnsi="宋体" w:eastAsia="宋体" w:cs="宋体"/>
          <w:color w:val="auto"/>
          <w:spacing w:val="4"/>
          <w:sz w:val="20"/>
          <w:szCs w:val="20"/>
          <w:highlight w:val="none"/>
        </w:rPr>
        <w:t>因发包人违约解除合同</w:t>
      </w:r>
    </w:p>
    <w:p w14:paraId="3059FD1B">
      <w:pPr>
        <w:spacing w:before="221" w:line="433" w:lineRule="auto"/>
        <w:ind w:left="9" w:right="56" w:firstLine="419"/>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承包人按16.1.1项〔发包人违约的情形〕约定暂停施工满</w:t>
      </w:r>
      <w:r>
        <w:rPr>
          <w:rFonts w:ascii="宋体" w:hAnsi="宋体" w:eastAsia="宋体" w:cs="宋体"/>
          <w:color w:val="auto"/>
          <w:spacing w:val="7"/>
          <w:sz w:val="20"/>
          <w:szCs w:val="20"/>
          <w:highlight w:val="none"/>
          <w:u w:val="single" w:color="auto"/>
        </w:rPr>
        <w:t xml:space="preserve"> / </w:t>
      </w:r>
      <w:r>
        <w:rPr>
          <w:rFonts w:ascii="宋体" w:hAnsi="宋体" w:eastAsia="宋体" w:cs="宋体"/>
          <w:color w:val="auto"/>
          <w:spacing w:val="7"/>
          <w:sz w:val="20"/>
          <w:szCs w:val="20"/>
          <w:highlight w:val="none"/>
        </w:rPr>
        <w:t>天后发包人仍不纠正其违约行为并致使</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合同目的不能实现的，承包人有权解除合同。</w:t>
      </w:r>
    </w:p>
    <w:p w14:paraId="0535258B">
      <w:pPr>
        <w:spacing w:before="283" w:line="225" w:lineRule="auto"/>
        <w:ind w:left="36"/>
        <w:outlineLvl w:val="1"/>
        <w:rPr>
          <w:rFonts w:ascii="宋体" w:hAnsi="宋体" w:eastAsia="宋体" w:cs="宋体"/>
          <w:color w:val="auto"/>
          <w:sz w:val="31"/>
          <w:szCs w:val="31"/>
          <w:highlight w:val="none"/>
        </w:rPr>
      </w:pPr>
      <w:bookmarkStart w:id="127" w:name="_Toc10300"/>
      <w:r>
        <w:rPr>
          <w:rFonts w:ascii="宋体" w:hAnsi="宋体" w:eastAsia="宋体" w:cs="宋体"/>
          <w:b/>
          <w:bCs/>
          <w:color w:val="auto"/>
          <w:spacing w:val="1"/>
          <w:sz w:val="31"/>
          <w:szCs w:val="31"/>
          <w:highlight w:val="none"/>
        </w:rPr>
        <w:t>16.2</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承包人违约</w:t>
      </w:r>
      <w:bookmarkEnd w:id="127"/>
    </w:p>
    <w:p w14:paraId="5FE9AE77">
      <w:pPr>
        <w:pStyle w:val="2"/>
        <w:spacing w:line="414" w:lineRule="auto"/>
        <w:rPr>
          <w:color w:val="auto"/>
          <w:highlight w:val="none"/>
        </w:rPr>
      </w:pPr>
    </w:p>
    <w:p w14:paraId="7487D16C">
      <w:pPr>
        <w:spacing w:before="65" w:line="228" w:lineRule="auto"/>
        <w:ind w:left="443"/>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16.2.1 承包人违约的情形</w:t>
      </w:r>
    </w:p>
    <w:p w14:paraId="13EAA7A7">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承包人违约的其他情形：</w:t>
      </w:r>
    </w:p>
    <w:p w14:paraId="77CE6C6E">
      <w:pPr>
        <w:spacing w:before="221" w:line="330" w:lineRule="auto"/>
        <w:ind w:left="6" w:right="73" w:firstLine="45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(1) 承包人在保修期内拒绝按规定进行修复，</w:t>
      </w:r>
      <w:r>
        <w:rPr>
          <w:rFonts w:ascii="宋体" w:hAnsi="宋体" w:eastAsia="宋体" w:cs="宋体"/>
          <w:color w:val="auto"/>
          <w:spacing w:val="8"/>
          <w:sz w:val="20"/>
          <w:szCs w:val="20"/>
          <w:highlight w:val="none"/>
          <w:u w:val="single" w:color="auto"/>
        </w:rPr>
        <w:t>或经监理人检验认为修复质量不合格而承包人拒绝再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进行修补的， 发包人将扣除承包人全部质量保修金；</w:t>
      </w:r>
    </w:p>
    <w:p w14:paraId="4876AA27">
      <w:pPr>
        <w:spacing w:before="221" w:line="331" w:lineRule="auto"/>
        <w:ind w:left="9" w:right="75" w:firstLine="45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u w:val="single" w:color="auto"/>
        </w:rPr>
        <w:t>(2）承包人违约有以下情况之一者，发包人有权采取合同规定</w:t>
      </w:r>
      <w:r>
        <w:rPr>
          <w:rFonts w:ascii="宋体" w:hAnsi="宋体" w:eastAsia="宋体" w:cs="宋体"/>
          <w:color w:val="auto"/>
          <w:spacing w:val="8"/>
          <w:sz w:val="20"/>
          <w:szCs w:val="20"/>
          <w:highlight w:val="none"/>
          <w:u w:val="single" w:color="auto"/>
        </w:rPr>
        <w:t>的以下措施处理并视情节轻重予以罚</w:t>
      </w:r>
      <w:r>
        <w:rPr>
          <w:rFonts w:ascii="宋体" w:hAnsi="宋体" w:eastAsia="宋体" w:cs="宋体"/>
          <w:color w:val="auto"/>
          <w:sz w:val="20"/>
          <w:szCs w:val="20"/>
          <w:highlight w:val="none"/>
        </w:rPr>
        <w:t xml:space="preserve"> </w:t>
      </w:r>
      <w:r>
        <w:rPr>
          <w:rFonts w:ascii="宋体" w:hAnsi="宋体" w:eastAsia="宋体" w:cs="宋体"/>
          <w:color w:val="auto"/>
          <w:spacing w:val="12"/>
          <w:sz w:val="20"/>
          <w:szCs w:val="20"/>
          <w:highlight w:val="none"/>
          <w:u w:val="single" w:color="auto"/>
        </w:rPr>
        <w:t>款：</w:t>
      </w:r>
    </w:p>
    <w:p w14:paraId="4D28267C">
      <w:pPr>
        <w:spacing w:before="220" w:line="329" w:lineRule="auto"/>
        <w:ind w:left="8" w:right="56" w:firstLine="41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u w:val="single" w:color="auto"/>
        </w:rPr>
        <w:t>A、未经监理工程师审查批准，施工期内自行调走主要施工机械，经发现不及时</w:t>
      </w:r>
      <w:r>
        <w:rPr>
          <w:rFonts w:ascii="宋体" w:hAnsi="宋体" w:eastAsia="宋体" w:cs="宋体"/>
          <w:color w:val="auto"/>
          <w:spacing w:val="7"/>
          <w:sz w:val="20"/>
          <w:szCs w:val="20"/>
          <w:highlight w:val="none"/>
          <w:u w:val="single" w:color="auto"/>
        </w:rPr>
        <w:t>调回的，视为承包人</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违约，发包人有权收取违约金，金额为合同价的</w:t>
      </w:r>
      <w:r>
        <w:rPr>
          <w:rFonts w:ascii="宋体" w:hAnsi="宋体" w:eastAsia="宋体" w:cs="宋体"/>
          <w:color w:val="auto"/>
          <w:spacing w:val="-24"/>
          <w:sz w:val="20"/>
          <w:szCs w:val="20"/>
          <w:highlight w:val="none"/>
          <w:u w:val="single" w:color="auto"/>
        </w:rPr>
        <w:t xml:space="preserve"> </w:t>
      </w:r>
      <w:r>
        <w:rPr>
          <w:rFonts w:ascii="宋体" w:hAnsi="宋体" w:eastAsia="宋体" w:cs="宋体"/>
          <w:color w:val="auto"/>
          <w:spacing w:val="10"/>
          <w:sz w:val="20"/>
          <w:szCs w:val="20"/>
          <w:highlight w:val="none"/>
          <w:u w:val="single" w:color="auto"/>
        </w:rPr>
        <w:t>10-50</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22"/>
          <w:sz w:val="20"/>
          <w:szCs w:val="20"/>
          <w:highlight w:val="none"/>
          <w:u w:val="single" w:color="auto"/>
        </w:rPr>
        <w:t>％（</w:t>
      </w:r>
      <w:r>
        <w:rPr>
          <w:rFonts w:ascii="宋体" w:hAnsi="宋体" w:eastAsia="宋体" w:cs="宋体"/>
          <w:color w:val="auto"/>
          <w:spacing w:val="9"/>
          <w:sz w:val="20"/>
          <w:szCs w:val="20"/>
          <w:highlight w:val="none"/>
          <w:u w:val="single" w:color="auto"/>
        </w:rPr>
        <w:t>视情节严重而定）。</w:t>
      </w:r>
    </w:p>
    <w:p w14:paraId="45C8C955">
      <w:pPr>
        <w:spacing w:before="222" w:line="228" w:lineRule="auto"/>
        <w:ind w:left="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u w:val="single" w:color="auto"/>
        </w:rPr>
        <w:t>B、违约金金额可在承包人的计量支付款内扣除，也可就违约责任向承包人索赔。</w:t>
      </w:r>
    </w:p>
    <w:p w14:paraId="71EE1BC1">
      <w:pPr>
        <w:spacing w:before="221" w:line="330" w:lineRule="auto"/>
        <w:ind w:left="10" w:right="56" w:firstLine="41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u w:val="single" w:color="auto"/>
        </w:rPr>
        <w:t>C、承包人在合同期内完成合同规定的全部工程且质量合格可于工程竣工验收后 15 天内申请返还全</w:t>
      </w:r>
      <w:r>
        <w:rPr>
          <w:rFonts w:ascii="宋体" w:hAnsi="宋体" w:eastAsia="宋体" w:cs="宋体"/>
          <w:color w:val="auto"/>
          <w:spacing w:val="16"/>
          <w:sz w:val="20"/>
          <w:szCs w:val="20"/>
          <w:highlight w:val="none"/>
        </w:rPr>
        <w:t xml:space="preserve"> </w:t>
      </w:r>
      <w:r>
        <w:rPr>
          <w:rFonts w:ascii="宋体" w:hAnsi="宋体" w:eastAsia="宋体" w:cs="宋体"/>
          <w:color w:val="auto"/>
          <w:spacing w:val="9"/>
          <w:sz w:val="20"/>
          <w:szCs w:val="20"/>
          <w:highlight w:val="none"/>
          <w:u w:val="single" w:color="auto"/>
        </w:rPr>
        <w:t>部或部分罚款，返还金额由监理工程师审核， 发包人批准，罚款金额返还时不包括银行利息；</w:t>
      </w:r>
      <w:r>
        <w:rPr>
          <w:rFonts w:ascii="宋体" w:hAnsi="宋体" w:eastAsia="宋体" w:cs="宋体"/>
          <w:color w:val="auto"/>
          <w:spacing w:val="6"/>
          <w:sz w:val="20"/>
          <w:szCs w:val="20"/>
          <w:highlight w:val="none"/>
          <w:u w:val="single" w:color="auto"/>
        </w:rPr>
        <w:t xml:space="preserve">  </w:t>
      </w:r>
    </w:p>
    <w:p w14:paraId="43B6C1D0">
      <w:pPr>
        <w:spacing w:before="221" w:line="432" w:lineRule="auto"/>
        <w:ind w:left="10" w:firstLine="455"/>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u w:val="single" w:color="auto"/>
        </w:rPr>
        <w:t>(3）承包人有违反《南宁市建设工程造价管理办法》（南宁市人民政府令</w:t>
      </w:r>
      <w:r>
        <w:rPr>
          <w:rFonts w:ascii="宋体" w:hAnsi="宋体" w:eastAsia="宋体" w:cs="宋体"/>
          <w:color w:val="auto"/>
          <w:spacing w:val="-27"/>
          <w:sz w:val="20"/>
          <w:szCs w:val="20"/>
          <w:highlight w:val="none"/>
          <w:u w:val="single" w:color="auto"/>
        </w:rPr>
        <w:t xml:space="preserve"> </w:t>
      </w:r>
      <w:r>
        <w:rPr>
          <w:rFonts w:ascii="宋体" w:hAnsi="宋体" w:eastAsia="宋体" w:cs="宋体"/>
          <w:color w:val="auto"/>
          <w:spacing w:val="4"/>
          <w:sz w:val="20"/>
          <w:szCs w:val="20"/>
          <w:highlight w:val="none"/>
          <w:u w:val="single" w:color="auto"/>
        </w:rPr>
        <w:t>2007</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pacing w:val="4"/>
          <w:sz w:val="20"/>
          <w:szCs w:val="20"/>
          <w:highlight w:val="none"/>
          <w:u w:val="single" w:color="auto"/>
        </w:rPr>
        <w:t>年第</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4"/>
          <w:sz w:val="20"/>
          <w:szCs w:val="20"/>
          <w:highlight w:val="none"/>
          <w:u w:val="single" w:color="auto"/>
        </w:rPr>
        <w:t>5</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4"/>
          <w:sz w:val="20"/>
          <w:szCs w:val="20"/>
          <w:highlight w:val="none"/>
          <w:u w:val="single" w:color="auto"/>
        </w:rPr>
        <w:t>号） 规定的，</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按规定给予处罚。</w:t>
      </w:r>
    </w:p>
    <w:p w14:paraId="3686CA17">
      <w:pPr>
        <w:spacing w:line="228" w:lineRule="auto"/>
        <w:ind w:left="443"/>
        <w:outlineLvl w:val="0"/>
        <w:rPr>
          <w:rFonts w:ascii="宋体" w:hAnsi="宋体" w:eastAsia="宋体" w:cs="宋体"/>
          <w:color w:val="auto"/>
          <w:sz w:val="20"/>
          <w:szCs w:val="20"/>
          <w:highlight w:val="none"/>
        </w:rPr>
      </w:pPr>
      <w:bookmarkStart w:id="128" w:name="_Toc2969"/>
      <w:r>
        <w:rPr>
          <w:rFonts w:ascii="宋体" w:hAnsi="宋体" w:eastAsia="宋体" w:cs="宋体"/>
          <w:color w:val="auto"/>
          <w:spacing w:val="5"/>
          <w:sz w:val="20"/>
          <w:szCs w:val="20"/>
          <w:highlight w:val="none"/>
        </w:rPr>
        <w:t>16.2.2</w:t>
      </w:r>
      <w:r>
        <w:rPr>
          <w:rFonts w:ascii="宋体" w:hAnsi="宋体" w:eastAsia="宋体" w:cs="宋体"/>
          <w:color w:val="auto"/>
          <w:spacing w:val="-36"/>
          <w:sz w:val="20"/>
          <w:szCs w:val="20"/>
          <w:highlight w:val="none"/>
        </w:rPr>
        <w:t xml:space="preserve"> </w:t>
      </w:r>
      <w:r>
        <w:rPr>
          <w:rFonts w:ascii="宋体" w:hAnsi="宋体" w:eastAsia="宋体" w:cs="宋体"/>
          <w:color w:val="auto"/>
          <w:spacing w:val="5"/>
          <w:sz w:val="20"/>
          <w:szCs w:val="20"/>
          <w:highlight w:val="none"/>
        </w:rPr>
        <w:t>承包人违约的责任</w:t>
      </w:r>
      <w:bookmarkEnd w:id="128"/>
    </w:p>
    <w:p w14:paraId="5ED43F10">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承包人违约责任的承担方式和计算方法：</w:t>
      </w:r>
    </w:p>
    <w:p w14:paraId="0A4C2A5C">
      <w:pPr>
        <w:spacing w:before="222" w:line="364" w:lineRule="auto"/>
        <w:ind w:left="7" w:right="73" w:firstLine="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（1）承包人有本合同通用条款第</w:t>
      </w:r>
      <w:r>
        <w:rPr>
          <w:rFonts w:ascii="宋体" w:hAnsi="宋体" w:eastAsia="宋体" w:cs="宋体"/>
          <w:color w:val="auto"/>
          <w:spacing w:val="-22"/>
          <w:sz w:val="20"/>
          <w:szCs w:val="20"/>
          <w:highlight w:val="none"/>
        </w:rPr>
        <w:t xml:space="preserve"> </w:t>
      </w:r>
      <w:r>
        <w:rPr>
          <w:rFonts w:ascii="宋体" w:hAnsi="宋体" w:eastAsia="宋体" w:cs="宋体"/>
          <w:color w:val="auto"/>
          <w:spacing w:val="8"/>
          <w:sz w:val="20"/>
          <w:szCs w:val="20"/>
          <w:highlight w:val="none"/>
        </w:rPr>
        <w:t>16.2.1（2）、（3）条内容情形的，承包人无条件返工处理，修</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复至工程质量要求并承担相关费用，并在发包人规定的时间内完成返工，否则发</w:t>
      </w:r>
      <w:r>
        <w:rPr>
          <w:rFonts w:ascii="宋体" w:hAnsi="宋体" w:eastAsia="宋体" w:cs="宋体"/>
          <w:color w:val="auto"/>
          <w:spacing w:val="9"/>
          <w:sz w:val="20"/>
          <w:szCs w:val="20"/>
          <w:highlight w:val="none"/>
        </w:rPr>
        <w:t>包人有权扣罚该分项工</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程</w:t>
      </w:r>
      <w:r>
        <w:rPr>
          <w:rFonts w:ascii="宋体" w:hAnsi="宋体" w:eastAsia="宋体" w:cs="宋体"/>
          <w:color w:val="auto"/>
          <w:spacing w:val="-20"/>
          <w:sz w:val="20"/>
          <w:szCs w:val="20"/>
          <w:highlight w:val="none"/>
        </w:rPr>
        <w:t xml:space="preserve"> </w:t>
      </w:r>
      <w:r>
        <w:rPr>
          <w:rFonts w:ascii="宋体" w:hAnsi="宋体" w:eastAsia="宋体" w:cs="宋体"/>
          <w:color w:val="auto"/>
          <w:spacing w:val="5"/>
          <w:sz w:val="20"/>
          <w:szCs w:val="20"/>
          <w:highlight w:val="none"/>
        </w:rPr>
        <w:t>10%的工程款作为处罚。</w:t>
      </w:r>
    </w:p>
    <w:p w14:paraId="25F440ED">
      <w:pPr>
        <w:spacing w:before="220" w:line="330" w:lineRule="auto"/>
        <w:ind w:left="8" w:right="56" w:firstLine="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（2）承包人有本合同通用条款第</w:t>
      </w:r>
      <w:r>
        <w:rPr>
          <w:rFonts w:ascii="宋体" w:hAnsi="宋体" w:eastAsia="宋体" w:cs="宋体"/>
          <w:color w:val="auto"/>
          <w:spacing w:val="-3"/>
          <w:sz w:val="20"/>
          <w:szCs w:val="20"/>
          <w:highlight w:val="none"/>
        </w:rPr>
        <w:t xml:space="preserve"> </w:t>
      </w:r>
      <w:r>
        <w:rPr>
          <w:rFonts w:ascii="宋体" w:hAnsi="宋体" w:eastAsia="宋体" w:cs="宋体"/>
          <w:color w:val="auto"/>
          <w:spacing w:val="7"/>
          <w:sz w:val="20"/>
          <w:szCs w:val="20"/>
          <w:highlight w:val="none"/>
        </w:rPr>
        <w:t>16.2.1（6）条情形的，或经监理人检验认为修复质量不合格而承</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包人拒绝再进行修补的，发包人将扣除承包人全部质量保证金。</w:t>
      </w:r>
    </w:p>
    <w:p w14:paraId="4EEA14E6">
      <w:pPr>
        <w:spacing w:before="221" w:line="228" w:lineRule="auto"/>
        <w:ind w:left="43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（3）承包人有本专用合同条款</w:t>
      </w:r>
      <w:r>
        <w:rPr>
          <w:rFonts w:ascii="宋体" w:hAnsi="宋体" w:eastAsia="宋体" w:cs="宋体"/>
          <w:color w:val="auto"/>
          <w:spacing w:val="-20"/>
          <w:sz w:val="20"/>
          <w:szCs w:val="20"/>
          <w:highlight w:val="none"/>
        </w:rPr>
        <w:t xml:space="preserve"> </w:t>
      </w:r>
      <w:r>
        <w:rPr>
          <w:rFonts w:ascii="宋体" w:hAnsi="宋体" w:eastAsia="宋体" w:cs="宋体"/>
          <w:color w:val="auto"/>
          <w:spacing w:val="8"/>
          <w:sz w:val="20"/>
          <w:szCs w:val="20"/>
          <w:highlight w:val="none"/>
        </w:rPr>
        <w:t>3.2、3.3</w:t>
      </w:r>
      <w:r>
        <w:rPr>
          <w:rFonts w:ascii="宋体" w:hAnsi="宋体" w:eastAsia="宋体" w:cs="宋体"/>
          <w:color w:val="auto"/>
          <w:spacing w:val="-39"/>
          <w:sz w:val="20"/>
          <w:szCs w:val="20"/>
          <w:highlight w:val="none"/>
        </w:rPr>
        <w:t xml:space="preserve"> </w:t>
      </w:r>
      <w:r>
        <w:rPr>
          <w:rFonts w:ascii="宋体" w:hAnsi="宋体" w:eastAsia="宋体" w:cs="宋体"/>
          <w:color w:val="auto"/>
          <w:spacing w:val="8"/>
          <w:sz w:val="20"/>
          <w:szCs w:val="20"/>
          <w:highlight w:val="none"/>
        </w:rPr>
        <w:t>条违约责任的，发包人有权扣除承包人的违约金。违约金</w:t>
      </w:r>
    </w:p>
    <w:p w14:paraId="2385FFB4">
      <w:pPr>
        <w:spacing w:line="228" w:lineRule="auto"/>
        <w:rPr>
          <w:rFonts w:ascii="宋体" w:hAnsi="宋体" w:eastAsia="宋体" w:cs="宋体"/>
          <w:color w:val="auto"/>
          <w:sz w:val="20"/>
          <w:szCs w:val="20"/>
          <w:highlight w:val="none"/>
        </w:rPr>
        <w:sectPr>
          <w:footerReference r:id="rId233" w:type="default"/>
          <w:pgSz w:w="11906" w:h="16839"/>
          <w:pgMar w:top="400" w:right="1164" w:bottom="1158" w:left="1219" w:header="0" w:footer="922" w:gutter="0"/>
          <w:cols w:space="720" w:num="1"/>
        </w:sectPr>
      </w:pPr>
    </w:p>
    <w:p w14:paraId="5F5CB60C">
      <w:pPr>
        <w:pStyle w:val="2"/>
        <w:spacing w:line="292" w:lineRule="auto"/>
        <w:rPr>
          <w:color w:val="auto"/>
          <w:highlight w:val="none"/>
        </w:rPr>
      </w:pPr>
    </w:p>
    <w:p w14:paraId="79EB2562">
      <w:pPr>
        <w:pStyle w:val="2"/>
        <w:spacing w:line="292" w:lineRule="auto"/>
        <w:rPr>
          <w:color w:val="auto"/>
          <w:highlight w:val="none"/>
        </w:rPr>
      </w:pPr>
    </w:p>
    <w:p w14:paraId="421B332B">
      <w:pPr>
        <w:pStyle w:val="2"/>
        <w:spacing w:line="293" w:lineRule="auto"/>
        <w:rPr>
          <w:color w:val="auto"/>
          <w:highlight w:val="none"/>
        </w:rPr>
      </w:pPr>
      <w:r>
        <w:rPr>
          <w:color w:val="auto"/>
          <w:highlight w:val="none"/>
        </w:rPr>
        <w:pict>
          <v:shape id="_x0000_s1049" o:spid="_x0000_s1049" style="position:absolute;left:0pt;margin-left:0pt;margin-top:4.45pt;height:0.75pt;width:473.4pt;z-index:251704320;mso-width-relative:page;mso-height-relative:page;" fillcolor="#000000" filled="t" stroked="f" coordsize="9467,15" path="m0,0l9467,0,9467,14,0,14,0,0xe">
            <v:path/>
            <v:fill on="t" focussize="0,0"/>
            <v:stroke on="f"/>
            <v:imagedata o:title=""/>
            <o:lock v:ext="edit"/>
          </v:shape>
        </w:pict>
      </w:r>
    </w:p>
    <w:p w14:paraId="1ACCC4C2">
      <w:pPr>
        <w:spacing w:before="65" w:line="432" w:lineRule="auto"/>
        <w:ind w:left="9" w:right="56"/>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金额均在承包人计量支付款内扣除。监理人预先下发含有罚款意向的指令</w:t>
      </w:r>
      <w:r>
        <w:rPr>
          <w:rFonts w:ascii="宋体" w:hAnsi="宋体" w:eastAsia="宋体" w:cs="宋体"/>
          <w:color w:val="auto"/>
          <w:spacing w:val="9"/>
          <w:sz w:val="20"/>
          <w:szCs w:val="20"/>
          <w:highlight w:val="none"/>
        </w:rPr>
        <w:t>，如承包人不及时采取措施纠</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正，则在指令下达后十五天下发罚款通知书（不再陈述罚款理由）。承包人</w:t>
      </w:r>
      <w:r>
        <w:rPr>
          <w:rFonts w:ascii="宋体" w:hAnsi="宋体" w:eastAsia="宋体" w:cs="宋体"/>
          <w:color w:val="auto"/>
          <w:spacing w:val="9"/>
          <w:sz w:val="20"/>
          <w:szCs w:val="20"/>
          <w:highlight w:val="none"/>
        </w:rPr>
        <w:t>在合同期内，完成合同规定</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的全部工程，且质量合格，在本工程施工竣工验收后十五天内可申请返还全</w:t>
      </w:r>
      <w:r>
        <w:rPr>
          <w:rFonts w:ascii="宋体" w:hAnsi="宋体" w:eastAsia="宋体" w:cs="宋体"/>
          <w:color w:val="auto"/>
          <w:spacing w:val="9"/>
          <w:sz w:val="20"/>
          <w:szCs w:val="20"/>
          <w:highlight w:val="none"/>
        </w:rPr>
        <w:t>部或部分罚款，返还金额由</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监理人审核，发包人批准。罚款金额返还时不包括银行利息。</w:t>
      </w:r>
    </w:p>
    <w:p w14:paraId="3F895137">
      <w:pPr>
        <w:spacing w:line="228" w:lineRule="auto"/>
        <w:ind w:left="44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16.2.3</w:t>
      </w:r>
      <w:r>
        <w:rPr>
          <w:rFonts w:ascii="宋体" w:hAnsi="宋体" w:eastAsia="宋体" w:cs="宋体"/>
          <w:color w:val="auto"/>
          <w:spacing w:val="43"/>
          <w:sz w:val="20"/>
          <w:szCs w:val="20"/>
          <w:highlight w:val="none"/>
        </w:rPr>
        <w:t xml:space="preserve"> </w:t>
      </w:r>
      <w:r>
        <w:rPr>
          <w:rFonts w:ascii="宋体" w:hAnsi="宋体" w:eastAsia="宋体" w:cs="宋体"/>
          <w:color w:val="auto"/>
          <w:spacing w:val="4"/>
          <w:sz w:val="20"/>
          <w:szCs w:val="20"/>
          <w:highlight w:val="none"/>
        </w:rPr>
        <w:t>因承包人违约解除合同</w:t>
      </w:r>
    </w:p>
    <w:p w14:paraId="1EF187B1">
      <w:pPr>
        <w:spacing w:before="220" w:line="432" w:lineRule="auto"/>
        <w:ind w:left="9" w:right="58"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关于承包人违约解除合同的特别约定：</w:t>
      </w:r>
      <w:r>
        <w:rPr>
          <w:rFonts w:ascii="宋体" w:hAnsi="宋体" w:eastAsia="宋体" w:cs="宋体"/>
          <w:color w:val="auto"/>
          <w:spacing w:val="10"/>
          <w:sz w:val="20"/>
          <w:szCs w:val="20"/>
          <w:highlight w:val="none"/>
          <w:u w:val="single" w:color="auto"/>
        </w:rPr>
        <w:t>承包人有违反以下情</w:t>
      </w:r>
      <w:r>
        <w:rPr>
          <w:rFonts w:ascii="宋体" w:hAnsi="宋体" w:eastAsia="宋体" w:cs="宋体"/>
          <w:color w:val="auto"/>
          <w:spacing w:val="9"/>
          <w:sz w:val="20"/>
          <w:szCs w:val="20"/>
          <w:highlight w:val="none"/>
          <w:u w:val="single" w:color="auto"/>
        </w:rPr>
        <w:t>况之一的，发包人有权解除合同，并按</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规定追究承包人违约责任</w:t>
      </w:r>
      <w:r>
        <w:rPr>
          <w:rFonts w:ascii="宋体" w:hAnsi="宋体" w:eastAsia="宋体" w:cs="宋体"/>
          <w:color w:val="auto"/>
          <w:spacing w:val="8"/>
          <w:sz w:val="20"/>
          <w:szCs w:val="20"/>
          <w:highlight w:val="none"/>
        </w:rPr>
        <w:t>。</w:t>
      </w:r>
    </w:p>
    <w:p w14:paraId="5247A04F">
      <w:pPr>
        <w:spacing w:before="1" w:line="330" w:lineRule="auto"/>
        <w:ind w:left="9" w:right="162" w:firstLine="455"/>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(1)承包人无正当理由不按开工通知的要求及时进场组</w:t>
      </w:r>
      <w:r>
        <w:rPr>
          <w:rFonts w:ascii="宋体" w:hAnsi="宋体" w:eastAsia="宋体" w:cs="宋体"/>
          <w:color w:val="auto"/>
          <w:spacing w:val="8"/>
          <w:sz w:val="20"/>
          <w:szCs w:val="20"/>
          <w:highlight w:val="none"/>
        </w:rPr>
        <w:t>织施工和不按签订协议书时商定的进度计划</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有效地开展施工准备，造成工期延误的；</w:t>
      </w:r>
    </w:p>
    <w:p w14:paraId="6DE462EB">
      <w:pPr>
        <w:spacing w:before="220" w:line="330" w:lineRule="auto"/>
        <w:ind w:left="10" w:right="161" w:firstLine="45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(2)承包人违反本合同通用条款第</w:t>
      </w:r>
      <w:r>
        <w:rPr>
          <w:rFonts w:ascii="宋体" w:hAnsi="宋体" w:eastAsia="宋体" w:cs="宋体"/>
          <w:color w:val="auto"/>
          <w:spacing w:val="-35"/>
          <w:sz w:val="20"/>
          <w:szCs w:val="20"/>
          <w:highlight w:val="none"/>
        </w:rPr>
        <w:t xml:space="preserve"> </w:t>
      </w:r>
      <w:r>
        <w:rPr>
          <w:rFonts w:ascii="宋体" w:hAnsi="宋体" w:eastAsia="宋体" w:cs="宋体"/>
          <w:color w:val="auto"/>
          <w:spacing w:val="8"/>
          <w:sz w:val="20"/>
          <w:szCs w:val="20"/>
          <w:highlight w:val="none"/>
        </w:rPr>
        <w:t>3.5</w:t>
      </w:r>
      <w:r>
        <w:rPr>
          <w:rFonts w:ascii="宋体" w:hAnsi="宋体" w:eastAsia="宋体" w:cs="宋体"/>
          <w:color w:val="auto"/>
          <w:spacing w:val="-36"/>
          <w:sz w:val="20"/>
          <w:szCs w:val="20"/>
          <w:highlight w:val="none"/>
        </w:rPr>
        <w:t xml:space="preserve"> </w:t>
      </w:r>
      <w:r>
        <w:rPr>
          <w:rFonts w:ascii="宋体" w:hAnsi="宋体" w:eastAsia="宋体" w:cs="宋体"/>
          <w:color w:val="auto"/>
          <w:spacing w:val="8"/>
          <w:sz w:val="20"/>
          <w:szCs w:val="20"/>
          <w:highlight w:val="none"/>
        </w:rPr>
        <w:t>条规定私自将合同或合同的任何</w:t>
      </w:r>
      <w:r>
        <w:rPr>
          <w:rFonts w:ascii="宋体" w:hAnsi="宋体" w:eastAsia="宋体" w:cs="宋体"/>
          <w:color w:val="auto"/>
          <w:spacing w:val="7"/>
          <w:sz w:val="20"/>
          <w:szCs w:val="20"/>
          <w:highlight w:val="none"/>
        </w:rPr>
        <w:t>部分或任何权利转让给其他</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人，或私自将工程或工程的一部分分包出去的；</w:t>
      </w:r>
    </w:p>
    <w:p w14:paraId="68A1A886">
      <w:pPr>
        <w:spacing w:before="220" w:line="330" w:lineRule="auto"/>
        <w:ind w:left="8" w:right="39" w:firstLine="45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(3)未经监理人批准，承包人私自将已按合同文件承诺进入工地</w:t>
      </w:r>
      <w:r>
        <w:rPr>
          <w:rFonts w:ascii="宋体" w:hAnsi="宋体" w:eastAsia="宋体" w:cs="宋体"/>
          <w:color w:val="auto"/>
          <w:spacing w:val="6"/>
          <w:sz w:val="20"/>
          <w:szCs w:val="20"/>
          <w:highlight w:val="none"/>
        </w:rPr>
        <w:t>的工程设备、施工设备、临时工程或</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rPr>
        <w:t>材料撤离工地的；</w:t>
      </w:r>
    </w:p>
    <w:p w14:paraId="73158E55">
      <w:pPr>
        <w:spacing w:before="220" w:line="331" w:lineRule="auto"/>
        <w:ind w:left="7" w:firstLine="45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(4)由于承包人原因拒绝按合同进度计划及时完成合</w:t>
      </w:r>
      <w:r>
        <w:rPr>
          <w:rFonts w:ascii="宋体" w:hAnsi="宋体" w:eastAsia="宋体" w:cs="宋体"/>
          <w:color w:val="auto"/>
          <w:spacing w:val="7"/>
          <w:sz w:val="20"/>
          <w:szCs w:val="20"/>
          <w:highlight w:val="none"/>
        </w:rPr>
        <w:t>同规定的工程，而又未采取有效措施赶上进度，</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rPr>
        <w:t>造成工期严重延误的；</w:t>
      </w:r>
    </w:p>
    <w:p w14:paraId="644825A9">
      <w:pPr>
        <w:spacing w:before="220" w:line="330" w:lineRule="auto"/>
        <w:ind w:left="9" w:right="39" w:firstLine="45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(5)承包人否认合同有效或拒绝履行合同规定的承包人义务，或</w:t>
      </w:r>
      <w:r>
        <w:rPr>
          <w:rFonts w:ascii="宋体" w:hAnsi="宋体" w:eastAsia="宋体" w:cs="宋体"/>
          <w:color w:val="auto"/>
          <w:spacing w:val="6"/>
          <w:sz w:val="20"/>
          <w:szCs w:val="20"/>
          <w:highlight w:val="none"/>
        </w:rPr>
        <w:t>由于法律、财务等原因导致承包人无</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法继续履行或实质上已停止履行合同的义务</w:t>
      </w:r>
      <w:r>
        <w:rPr>
          <w:rFonts w:ascii="宋体" w:hAnsi="宋体" w:eastAsia="宋体" w:cs="宋体"/>
          <w:color w:val="auto"/>
          <w:spacing w:val="8"/>
          <w:sz w:val="20"/>
          <w:szCs w:val="20"/>
          <w:highlight w:val="none"/>
        </w:rPr>
        <w:t>的；</w:t>
      </w:r>
    </w:p>
    <w:p w14:paraId="56CCB6FC">
      <w:pPr>
        <w:spacing w:before="220" w:line="330" w:lineRule="auto"/>
        <w:ind w:left="10" w:right="39" w:firstLine="455"/>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(6)合同签订且具备法定开工条件后之日起十五日内，承包人无</w:t>
      </w:r>
      <w:r>
        <w:rPr>
          <w:rFonts w:ascii="宋体" w:hAnsi="宋体" w:eastAsia="宋体" w:cs="宋体"/>
          <w:color w:val="auto"/>
          <w:spacing w:val="6"/>
          <w:sz w:val="20"/>
          <w:szCs w:val="20"/>
          <w:highlight w:val="none"/>
        </w:rPr>
        <w:t>法按合同规定及合同文件的承诺进场</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经监理工程师认可的该施工阶段应有的全部人员和机械的。</w:t>
      </w:r>
    </w:p>
    <w:p w14:paraId="218ED838">
      <w:pPr>
        <w:spacing w:before="223" w:line="433" w:lineRule="auto"/>
        <w:ind w:left="9" w:right="39" w:firstLine="422"/>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发包人继续使用承包人在施工现场的材料、设备、临时工程、承包人文件和由承包人或以其名义编</w:t>
      </w:r>
      <w:r>
        <w:rPr>
          <w:rFonts w:ascii="宋体" w:hAnsi="宋体" w:eastAsia="宋体" w:cs="宋体"/>
          <w:color w:val="auto"/>
          <w:spacing w:val="2"/>
          <w:sz w:val="20"/>
          <w:szCs w:val="20"/>
          <w:highlight w:val="none"/>
        </w:rPr>
        <w:t xml:space="preserve"> </w:t>
      </w:r>
      <w:r>
        <w:rPr>
          <w:rFonts w:ascii="宋体" w:hAnsi="宋体" w:eastAsia="宋体" w:cs="宋体"/>
          <w:color w:val="auto"/>
          <w:spacing w:val="8"/>
          <w:sz w:val="20"/>
          <w:szCs w:val="20"/>
          <w:highlight w:val="none"/>
        </w:rPr>
        <w:t>制的其他文件的费用承担方式：</w:t>
      </w:r>
      <w:r>
        <w:rPr>
          <w:rFonts w:ascii="宋体" w:hAnsi="宋体" w:eastAsia="宋体" w:cs="宋体"/>
          <w:color w:val="auto"/>
          <w:spacing w:val="8"/>
          <w:sz w:val="20"/>
          <w:szCs w:val="20"/>
          <w:highlight w:val="none"/>
          <w:u w:val="single" w:color="auto"/>
        </w:rPr>
        <w:t>承包人承担</w:t>
      </w:r>
      <w:r>
        <w:rPr>
          <w:rFonts w:ascii="宋体" w:hAnsi="宋体" w:eastAsia="宋体" w:cs="宋体"/>
          <w:color w:val="auto"/>
          <w:spacing w:val="8"/>
          <w:sz w:val="20"/>
          <w:szCs w:val="20"/>
          <w:highlight w:val="none"/>
        </w:rPr>
        <w:t>。</w:t>
      </w:r>
    </w:p>
    <w:p w14:paraId="056F6011">
      <w:pPr>
        <w:spacing w:before="282" w:line="225" w:lineRule="auto"/>
        <w:ind w:left="36"/>
        <w:outlineLvl w:val="1"/>
        <w:rPr>
          <w:rFonts w:ascii="宋体" w:hAnsi="宋体" w:eastAsia="宋体" w:cs="宋体"/>
          <w:color w:val="auto"/>
          <w:sz w:val="31"/>
          <w:szCs w:val="31"/>
          <w:highlight w:val="none"/>
        </w:rPr>
      </w:pPr>
      <w:bookmarkStart w:id="129" w:name="_Toc12603"/>
      <w:r>
        <w:rPr>
          <w:rFonts w:ascii="宋体" w:hAnsi="宋体" w:eastAsia="宋体" w:cs="宋体"/>
          <w:b/>
          <w:bCs/>
          <w:color w:val="auto"/>
          <w:spacing w:val="-3"/>
          <w:sz w:val="31"/>
          <w:szCs w:val="31"/>
          <w:highlight w:val="none"/>
        </w:rPr>
        <w:t>17.</w:t>
      </w:r>
      <w:r>
        <w:rPr>
          <w:rFonts w:ascii="宋体" w:hAnsi="宋体" w:eastAsia="宋体" w:cs="宋体"/>
          <w:color w:val="auto"/>
          <w:spacing w:val="28"/>
          <w:sz w:val="31"/>
          <w:szCs w:val="31"/>
          <w:highlight w:val="none"/>
        </w:rPr>
        <w:t xml:space="preserve"> </w:t>
      </w:r>
      <w:r>
        <w:rPr>
          <w:rFonts w:ascii="宋体" w:hAnsi="宋体" w:eastAsia="宋体" w:cs="宋体"/>
          <w:b/>
          <w:bCs/>
          <w:color w:val="auto"/>
          <w:spacing w:val="-3"/>
          <w:sz w:val="31"/>
          <w:szCs w:val="31"/>
          <w:highlight w:val="none"/>
        </w:rPr>
        <w:t>不可抗力</w:t>
      </w:r>
      <w:bookmarkEnd w:id="129"/>
    </w:p>
    <w:p w14:paraId="1059620B">
      <w:pPr>
        <w:pStyle w:val="2"/>
        <w:spacing w:line="402" w:lineRule="auto"/>
        <w:rPr>
          <w:color w:val="auto"/>
          <w:highlight w:val="none"/>
        </w:rPr>
      </w:pPr>
    </w:p>
    <w:p w14:paraId="3EC8340B">
      <w:pPr>
        <w:spacing w:before="101" w:line="225" w:lineRule="auto"/>
        <w:ind w:left="36"/>
        <w:outlineLvl w:val="2"/>
        <w:rPr>
          <w:rFonts w:ascii="宋体" w:hAnsi="宋体" w:eastAsia="宋体" w:cs="宋体"/>
          <w:color w:val="auto"/>
          <w:sz w:val="31"/>
          <w:szCs w:val="31"/>
          <w:highlight w:val="none"/>
        </w:rPr>
      </w:pPr>
      <w:bookmarkStart w:id="130" w:name="_Toc13273"/>
      <w:r>
        <w:rPr>
          <w:rFonts w:ascii="宋体" w:hAnsi="宋体" w:eastAsia="宋体" w:cs="宋体"/>
          <w:b/>
          <w:bCs/>
          <w:color w:val="auto"/>
          <w:spacing w:val="2"/>
          <w:sz w:val="31"/>
          <w:szCs w:val="31"/>
          <w:highlight w:val="none"/>
        </w:rPr>
        <w:t>17.1</w:t>
      </w:r>
      <w:r>
        <w:rPr>
          <w:rFonts w:ascii="宋体" w:hAnsi="宋体" w:eastAsia="宋体" w:cs="宋体"/>
          <w:color w:val="auto"/>
          <w:spacing w:val="2"/>
          <w:sz w:val="31"/>
          <w:szCs w:val="31"/>
          <w:highlight w:val="none"/>
        </w:rPr>
        <w:t xml:space="preserve"> </w:t>
      </w:r>
      <w:r>
        <w:rPr>
          <w:rFonts w:ascii="宋体" w:hAnsi="宋体" w:eastAsia="宋体" w:cs="宋体"/>
          <w:b/>
          <w:bCs/>
          <w:color w:val="auto"/>
          <w:spacing w:val="2"/>
          <w:sz w:val="31"/>
          <w:szCs w:val="31"/>
          <w:highlight w:val="none"/>
        </w:rPr>
        <w:t>不可抗力的确认</w:t>
      </w:r>
      <w:bookmarkEnd w:id="130"/>
    </w:p>
    <w:p w14:paraId="0791240B">
      <w:pPr>
        <w:pStyle w:val="2"/>
        <w:spacing w:line="416" w:lineRule="auto"/>
        <w:rPr>
          <w:color w:val="auto"/>
          <w:highlight w:val="none"/>
        </w:rPr>
      </w:pPr>
    </w:p>
    <w:p w14:paraId="0266B943">
      <w:pPr>
        <w:spacing w:before="65" w:line="432" w:lineRule="auto"/>
        <w:ind w:left="7" w:right="39" w:firstLine="43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除通用合同条款约定的不可抗力事件之外，视为不可抗力的其他情形：</w:t>
      </w:r>
      <w:r>
        <w:rPr>
          <w:rFonts w:ascii="宋体" w:hAnsi="宋体" w:eastAsia="宋体" w:cs="宋体"/>
          <w:color w:val="auto"/>
          <w:spacing w:val="9"/>
          <w:sz w:val="20"/>
          <w:szCs w:val="20"/>
          <w:highlight w:val="none"/>
          <w:u w:val="single" w:color="auto"/>
        </w:rPr>
        <w:t>① 6 级以上的地震；②</w:t>
      </w:r>
      <w:r>
        <w:rPr>
          <w:rFonts w:ascii="宋体" w:hAnsi="宋体" w:eastAsia="宋体" w:cs="宋体"/>
          <w:color w:val="auto"/>
          <w:spacing w:val="8"/>
          <w:sz w:val="20"/>
          <w:szCs w:val="20"/>
          <w:highlight w:val="none"/>
          <w:u w:val="single" w:color="auto"/>
        </w:rPr>
        <w:t>10</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级以上的持续</w:t>
      </w:r>
      <w:r>
        <w:rPr>
          <w:rFonts w:ascii="宋体" w:hAnsi="宋体" w:eastAsia="宋体" w:cs="宋体"/>
          <w:color w:val="auto"/>
          <w:spacing w:val="-32"/>
          <w:sz w:val="20"/>
          <w:szCs w:val="20"/>
          <w:highlight w:val="none"/>
          <w:u w:val="single" w:color="auto"/>
        </w:rPr>
        <w:t xml:space="preserve"> </w:t>
      </w:r>
      <w:r>
        <w:rPr>
          <w:rFonts w:ascii="宋体" w:hAnsi="宋体" w:eastAsia="宋体" w:cs="宋体"/>
          <w:color w:val="auto"/>
          <w:spacing w:val="7"/>
          <w:sz w:val="20"/>
          <w:szCs w:val="20"/>
          <w:highlight w:val="none"/>
          <w:u w:val="single" w:color="auto"/>
        </w:rPr>
        <w:t>3</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7"/>
          <w:sz w:val="20"/>
          <w:szCs w:val="20"/>
          <w:highlight w:val="none"/>
          <w:u w:val="single" w:color="auto"/>
        </w:rPr>
        <w:t>天的大风；③暴雨级以上的持续</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7"/>
          <w:sz w:val="20"/>
          <w:szCs w:val="20"/>
          <w:highlight w:val="none"/>
          <w:u w:val="single" w:color="auto"/>
        </w:rPr>
        <w:t>3</w:t>
      </w:r>
      <w:r>
        <w:rPr>
          <w:rFonts w:ascii="宋体" w:hAnsi="宋体" w:eastAsia="宋体" w:cs="宋体"/>
          <w:color w:val="auto"/>
          <w:spacing w:val="-34"/>
          <w:sz w:val="20"/>
          <w:szCs w:val="20"/>
          <w:highlight w:val="none"/>
          <w:u w:val="single" w:color="auto"/>
        </w:rPr>
        <w:t xml:space="preserve"> </w:t>
      </w:r>
      <w:r>
        <w:rPr>
          <w:rFonts w:ascii="宋体" w:hAnsi="宋体" w:eastAsia="宋体" w:cs="宋体"/>
          <w:color w:val="auto"/>
          <w:spacing w:val="7"/>
          <w:sz w:val="20"/>
          <w:szCs w:val="20"/>
          <w:highlight w:val="none"/>
          <w:u w:val="single" w:color="auto"/>
        </w:rPr>
        <w:t>天的</w:t>
      </w:r>
      <w:r>
        <w:rPr>
          <w:rFonts w:ascii="宋体" w:hAnsi="宋体" w:eastAsia="宋体" w:cs="宋体"/>
          <w:color w:val="auto"/>
          <w:spacing w:val="6"/>
          <w:sz w:val="20"/>
          <w:szCs w:val="20"/>
          <w:highlight w:val="none"/>
          <w:u w:val="single" w:color="auto"/>
        </w:rPr>
        <w:t>大雨；④50</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6"/>
          <w:sz w:val="20"/>
          <w:szCs w:val="20"/>
          <w:highlight w:val="none"/>
          <w:u w:val="single" w:color="auto"/>
        </w:rPr>
        <w:t>年以上未发生过，持续</w:t>
      </w:r>
      <w:r>
        <w:rPr>
          <w:rFonts w:ascii="宋体" w:hAnsi="宋体" w:eastAsia="宋体" w:cs="宋体"/>
          <w:color w:val="auto"/>
          <w:spacing w:val="-33"/>
          <w:sz w:val="20"/>
          <w:szCs w:val="20"/>
          <w:highlight w:val="none"/>
          <w:u w:val="single" w:color="auto"/>
        </w:rPr>
        <w:t xml:space="preserve"> </w:t>
      </w:r>
      <w:r>
        <w:rPr>
          <w:rFonts w:ascii="宋体" w:hAnsi="宋体" w:eastAsia="宋体" w:cs="宋体"/>
          <w:color w:val="auto"/>
          <w:spacing w:val="6"/>
          <w:sz w:val="20"/>
          <w:szCs w:val="20"/>
          <w:highlight w:val="none"/>
          <w:u w:val="single" w:color="auto"/>
        </w:rPr>
        <w:t>3</w:t>
      </w:r>
      <w:r>
        <w:rPr>
          <w:rFonts w:ascii="宋体" w:hAnsi="宋体" w:eastAsia="宋体" w:cs="宋体"/>
          <w:color w:val="auto"/>
          <w:spacing w:val="-36"/>
          <w:sz w:val="20"/>
          <w:szCs w:val="20"/>
          <w:highlight w:val="none"/>
          <w:u w:val="single" w:color="auto"/>
        </w:rPr>
        <w:t xml:space="preserve"> </w:t>
      </w:r>
      <w:r>
        <w:rPr>
          <w:rFonts w:ascii="宋体" w:hAnsi="宋体" w:eastAsia="宋体" w:cs="宋体"/>
          <w:color w:val="auto"/>
          <w:spacing w:val="6"/>
          <w:sz w:val="20"/>
          <w:szCs w:val="20"/>
          <w:highlight w:val="none"/>
          <w:u w:val="single" w:color="auto"/>
        </w:rPr>
        <w:t>天的高温天</w:t>
      </w:r>
      <w:r>
        <w:rPr>
          <w:rFonts w:ascii="宋体" w:hAnsi="宋体" w:eastAsia="宋体" w:cs="宋体"/>
          <w:color w:val="auto"/>
          <w:sz w:val="20"/>
          <w:szCs w:val="20"/>
          <w:highlight w:val="none"/>
        </w:rPr>
        <w:t xml:space="preserve"> </w:t>
      </w:r>
      <w:r>
        <w:rPr>
          <w:rFonts w:ascii="宋体" w:hAnsi="宋体" w:eastAsia="宋体" w:cs="宋体"/>
          <w:color w:val="auto"/>
          <w:spacing w:val="7"/>
          <w:sz w:val="20"/>
          <w:szCs w:val="20"/>
          <w:highlight w:val="none"/>
          <w:u w:val="single" w:color="auto"/>
        </w:rPr>
        <w:t>气⑤50</w:t>
      </w:r>
      <w:r>
        <w:rPr>
          <w:rFonts w:ascii="宋体" w:hAnsi="宋体" w:eastAsia="宋体" w:cs="宋体"/>
          <w:color w:val="auto"/>
          <w:spacing w:val="-39"/>
          <w:sz w:val="20"/>
          <w:szCs w:val="20"/>
          <w:highlight w:val="none"/>
          <w:u w:val="single" w:color="auto"/>
        </w:rPr>
        <w:t xml:space="preserve"> </w:t>
      </w:r>
      <w:r>
        <w:rPr>
          <w:rFonts w:ascii="宋体" w:hAnsi="宋体" w:eastAsia="宋体" w:cs="宋体"/>
          <w:color w:val="auto"/>
          <w:spacing w:val="7"/>
          <w:sz w:val="20"/>
          <w:szCs w:val="20"/>
          <w:highlight w:val="none"/>
          <w:u w:val="single" w:color="auto"/>
        </w:rPr>
        <w:t>年以上未发生过，持续 3 天的严寒天气；⑥50</w:t>
      </w:r>
      <w:r>
        <w:rPr>
          <w:rFonts w:ascii="宋体" w:hAnsi="宋体" w:eastAsia="宋体" w:cs="宋体"/>
          <w:color w:val="auto"/>
          <w:spacing w:val="-40"/>
          <w:sz w:val="20"/>
          <w:szCs w:val="20"/>
          <w:highlight w:val="none"/>
          <w:u w:val="single" w:color="auto"/>
        </w:rPr>
        <w:t xml:space="preserve"> </w:t>
      </w:r>
      <w:r>
        <w:rPr>
          <w:rFonts w:ascii="宋体" w:hAnsi="宋体" w:eastAsia="宋体" w:cs="宋体"/>
          <w:color w:val="auto"/>
          <w:spacing w:val="7"/>
          <w:sz w:val="20"/>
          <w:szCs w:val="20"/>
          <w:highlight w:val="none"/>
          <w:u w:val="single" w:color="auto"/>
        </w:rPr>
        <w:t>年以上未发生过的洪水；⑦ 战争</w:t>
      </w:r>
      <w:r>
        <w:rPr>
          <w:rFonts w:ascii="宋体" w:hAnsi="宋体" w:eastAsia="宋体" w:cs="宋体"/>
          <w:color w:val="auto"/>
          <w:spacing w:val="6"/>
          <w:sz w:val="20"/>
          <w:szCs w:val="20"/>
          <w:highlight w:val="none"/>
          <w:u w:val="single" w:color="auto"/>
        </w:rPr>
        <w:t>、战乱、空中巨</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型物坠落；⑧其他不可预见的不可抗力；⑨由于任何爆炸性核装置或其看 不见</w:t>
      </w:r>
      <w:r>
        <w:rPr>
          <w:rFonts w:ascii="宋体" w:hAnsi="宋体" w:eastAsia="宋体" w:cs="宋体"/>
          <w:color w:val="auto"/>
          <w:spacing w:val="7"/>
          <w:sz w:val="20"/>
          <w:szCs w:val="20"/>
          <w:highlight w:val="none"/>
          <w:u w:val="single" w:color="auto"/>
        </w:rPr>
        <w:t>的任何核燃料或核燃料燃</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烧后的核废物、放射性有毒炸药，或其他有害物质所引起的放射性污染</w:t>
      </w:r>
      <w:r>
        <w:rPr>
          <w:rFonts w:ascii="宋体" w:hAnsi="宋体" w:eastAsia="宋体" w:cs="宋体"/>
          <w:color w:val="auto"/>
          <w:spacing w:val="9"/>
          <w:sz w:val="20"/>
          <w:szCs w:val="20"/>
          <w:highlight w:val="none"/>
        </w:rPr>
        <w:t>。</w:t>
      </w:r>
    </w:p>
    <w:p w14:paraId="5C0D2133">
      <w:pPr>
        <w:spacing w:line="432" w:lineRule="auto"/>
        <w:rPr>
          <w:rFonts w:ascii="宋体" w:hAnsi="宋体" w:eastAsia="宋体" w:cs="宋体"/>
          <w:color w:val="auto"/>
          <w:sz w:val="20"/>
          <w:szCs w:val="20"/>
          <w:highlight w:val="none"/>
        </w:rPr>
        <w:sectPr>
          <w:footerReference r:id="rId234" w:type="default"/>
          <w:pgSz w:w="11906" w:h="16839"/>
          <w:pgMar w:top="400" w:right="1181" w:bottom="1158" w:left="1219" w:header="0" w:footer="922" w:gutter="0"/>
          <w:cols w:space="720" w:num="1"/>
        </w:sectPr>
      </w:pPr>
    </w:p>
    <w:p w14:paraId="748369BD">
      <w:pPr>
        <w:pStyle w:val="2"/>
        <w:spacing w:line="289" w:lineRule="auto"/>
        <w:rPr>
          <w:color w:val="auto"/>
          <w:highlight w:val="none"/>
        </w:rPr>
      </w:pPr>
    </w:p>
    <w:p w14:paraId="4C2F1597">
      <w:pPr>
        <w:pStyle w:val="2"/>
        <w:spacing w:line="289" w:lineRule="auto"/>
        <w:rPr>
          <w:color w:val="auto"/>
          <w:highlight w:val="none"/>
        </w:rPr>
      </w:pPr>
    </w:p>
    <w:p w14:paraId="389FB20F">
      <w:pPr>
        <w:pStyle w:val="2"/>
        <w:spacing w:line="290" w:lineRule="auto"/>
        <w:rPr>
          <w:color w:val="auto"/>
          <w:highlight w:val="none"/>
        </w:rPr>
      </w:pPr>
      <w:r>
        <w:rPr>
          <w:color w:val="auto"/>
          <w:highlight w:val="none"/>
        </w:rPr>
        <w:pict>
          <v:shape id="_x0000_s1050" o:spid="_x0000_s1050" style="position:absolute;left:0pt;margin-left:0pt;margin-top:4.8pt;height:0.75pt;width:473.4pt;z-index:251705344;mso-width-relative:page;mso-height-relative:page;" fillcolor="#000000" filled="t" stroked="f" coordsize="9467,15" path="m0,0l9467,0,9467,14,0,14,0,0xe">
            <v:path/>
            <v:fill on="t" focussize="0,0"/>
            <v:stroke on="f"/>
            <v:imagedata o:title=""/>
            <o:lock v:ext="edit"/>
          </v:shape>
        </w:pict>
      </w:r>
    </w:p>
    <w:p w14:paraId="4A776BF8">
      <w:pPr>
        <w:spacing w:before="100" w:line="225" w:lineRule="auto"/>
        <w:ind w:left="36"/>
        <w:outlineLvl w:val="2"/>
        <w:rPr>
          <w:rFonts w:ascii="宋体" w:hAnsi="宋体" w:eastAsia="宋体" w:cs="宋体"/>
          <w:color w:val="auto"/>
          <w:sz w:val="31"/>
          <w:szCs w:val="31"/>
          <w:highlight w:val="none"/>
        </w:rPr>
      </w:pPr>
      <w:bookmarkStart w:id="131" w:name="_Toc26974"/>
      <w:r>
        <w:rPr>
          <w:rFonts w:ascii="宋体" w:hAnsi="宋体" w:eastAsia="宋体" w:cs="宋体"/>
          <w:b/>
          <w:bCs/>
          <w:color w:val="auto"/>
          <w:sz w:val="31"/>
          <w:szCs w:val="31"/>
          <w:highlight w:val="none"/>
        </w:rPr>
        <w:t>17.4</w:t>
      </w:r>
      <w:r>
        <w:rPr>
          <w:rFonts w:ascii="宋体" w:hAnsi="宋体" w:eastAsia="宋体" w:cs="宋体"/>
          <w:color w:val="auto"/>
          <w:spacing w:val="48"/>
          <w:sz w:val="31"/>
          <w:szCs w:val="31"/>
          <w:highlight w:val="none"/>
        </w:rPr>
        <w:t xml:space="preserve"> </w:t>
      </w:r>
      <w:r>
        <w:rPr>
          <w:rFonts w:ascii="宋体" w:hAnsi="宋体" w:eastAsia="宋体" w:cs="宋体"/>
          <w:b/>
          <w:bCs/>
          <w:color w:val="auto"/>
          <w:sz w:val="31"/>
          <w:szCs w:val="31"/>
          <w:highlight w:val="none"/>
        </w:rPr>
        <w:t>因不可抗力解除合同</w:t>
      </w:r>
      <w:bookmarkEnd w:id="131"/>
    </w:p>
    <w:p w14:paraId="40647589">
      <w:pPr>
        <w:pStyle w:val="2"/>
        <w:spacing w:line="335" w:lineRule="auto"/>
        <w:rPr>
          <w:color w:val="auto"/>
          <w:highlight w:val="none"/>
        </w:rPr>
      </w:pPr>
    </w:p>
    <w:p w14:paraId="6322A7F2">
      <w:pPr>
        <w:spacing w:before="65" w:line="228" w:lineRule="auto"/>
        <w:ind w:left="42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合同解除后，发包人应在商定或确定发包人应支付款</w:t>
      </w:r>
      <w:r>
        <w:rPr>
          <w:rFonts w:ascii="宋体" w:hAnsi="宋体" w:eastAsia="宋体" w:cs="宋体"/>
          <w:color w:val="auto"/>
          <w:spacing w:val="8"/>
          <w:sz w:val="20"/>
          <w:szCs w:val="20"/>
          <w:highlight w:val="none"/>
        </w:rPr>
        <w:t>项后</w:t>
      </w:r>
      <w:r>
        <w:rPr>
          <w:rFonts w:ascii="宋体" w:hAnsi="宋体" w:eastAsia="宋体" w:cs="宋体"/>
          <w:color w:val="auto"/>
          <w:spacing w:val="8"/>
          <w:sz w:val="20"/>
          <w:szCs w:val="20"/>
          <w:highlight w:val="none"/>
          <w:u w:val="single" w:color="auto"/>
        </w:rPr>
        <w:t xml:space="preserve"> /  </w:t>
      </w:r>
      <w:r>
        <w:rPr>
          <w:rFonts w:ascii="宋体" w:hAnsi="宋体" w:eastAsia="宋体" w:cs="宋体"/>
          <w:color w:val="auto"/>
          <w:spacing w:val="-88"/>
          <w:sz w:val="20"/>
          <w:szCs w:val="20"/>
          <w:highlight w:val="none"/>
        </w:rPr>
        <w:t xml:space="preserve"> </w:t>
      </w:r>
      <w:r>
        <w:rPr>
          <w:rFonts w:ascii="宋体" w:hAnsi="宋体" w:eastAsia="宋体" w:cs="宋体"/>
          <w:color w:val="auto"/>
          <w:spacing w:val="8"/>
          <w:sz w:val="20"/>
          <w:szCs w:val="20"/>
          <w:highlight w:val="none"/>
        </w:rPr>
        <w:t>天内完成款项的支付。</w:t>
      </w:r>
    </w:p>
    <w:p w14:paraId="40A34FC7">
      <w:pPr>
        <w:pStyle w:val="2"/>
        <w:spacing w:line="323" w:lineRule="auto"/>
        <w:rPr>
          <w:color w:val="auto"/>
          <w:highlight w:val="none"/>
        </w:rPr>
      </w:pPr>
    </w:p>
    <w:p w14:paraId="59375BAF">
      <w:pPr>
        <w:spacing w:before="101" w:line="226" w:lineRule="auto"/>
        <w:ind w:left="36"/>
        <w:outlineLvl w:val="1"/>
        <w:rPr>
          <w:rFonts w:ascii="宋体" w:hAnsi="宋体" w:eastAsia="宋体" w:cs="宋体"/>
          <w:color w:val="auto"/>
          <w:sz w:val="31"/>
          <w:szCs w:val="31"/>
          <w:highlight w:val="none"/>
        </w:rPr>
      </w:pPr>
      <w:bookmarkStart w:id="132" w:name="_Toc2270"/>
      <w:r>
        <w:rPr>
          <w:rFonts w:ascii="宋体" w:hAnsi="宋体" w:eastAsia="宋体" w:cs="宋体"/>
          <w:b/>
          <w:bCs/>
          <w:color w:val="auto"/>
          <w:spacing w:val="-6"/>
          <w:sz w:val="31"/>
          <w:szCs w:val="31"/>
          <w:highlight w:val="none"/>
        </w:rPr>
        <w:t>18.</w:t>
      </w:r>
      <w:r>
        <w:rPr>
          <w:rFonts w:ascii="宋体" w:hAnsi="宋体" w:eastAsia="宋体" w:cs="宋体"/>
          <w:color w:val="auto"/>
          <w:spacing w:val="20"/>
          <w:sz w:val="31"/>
          <w:szCs w:val="31"/>
          <w:highlight w:val="none"/>
        </w:rPr>
        <w:t xml:space="preserve"> </w:t>
      </w:r>
      <w:r>
        <w:rPr>
          <w:rFonts w:ascii="宋体" w:hAnsi="宋体" w:eastAsia="宋体" w:cs="宋体"/>
          <w:b/>
          <w:bCs/>
          <w:color w:val="auto"/>
          <w:spacing w:val="-6"/>
          <w:sz w:val="31"/>
          <w:szCs w:val="31"/>
          <w:highlight w:val="none"/>
        </w:rPr>
        <w:t>保险</w:t>
      </w:r>
      <w:bookmarkEnd w:id="132"/>
    </w:p>
    <w:p w14:paraId="76FC1EF9">
      <w:pPr>
        <w:pStyle w:val="2"/>
        <w:spacing w:line="402" w:lineRule="auto"/>
        <w:rPr>
          <w:color w:val="auto"/>
          <w:highlight w:val="none"/>
        </w:rPr>
      </w:pPr>
    </w:p>
    <w:p w14:paraId="506FD276">
      <w:pPr>
        <w:spacing w:before="101" w:line="226" w:lineRule="auto"/>
        <w:ind w:left="36"/>
        <w:outlineLvl w:val="2"/>
        <w:rPr>
          <w:rFonts w:ascii="宋体" w:hAnsi="宋体" w:eastAsia="宋体" w:cs="宋体"/>
          <w:color w:val="auto"/>
          <w:sz w:val="31"/>
          <w:szCs w:val="31"/>
          <w:highlight w:val="none"/>
        </w:rPr>
      </w:pPr>
      <w:bookmarkStart w:id="133" w:name="_Toc16802"/>
      <w:r>
        <w:rPr>
          <w:rFonts w:ascii="宋体" w:hAnsi="宋体" w:eastAsia="宋体" w:cs="宋体"/>
          <w:b/>
          <w:bCs/>
          <w:color w:val="auto"/>
          <w:spacing w:val="-2"/>
          <w:sz w:val="31"/>
          <w:szCs w:val="31"/>
          <w:highlight w:val="none"/>
        </w:rPr>
        <w:t>18.1</w:t>
      </w:r>
      <w:r>
        <w:rPr>
          <w:rFonts w:ascii="宋体" w:hAnsi="宋体" w:eastAsia="宋体" w:cs="宋体"/>
          <w:color w:val="auto"/>
          <w:spacing w:val="25"/>
          <w:sz w:val="31"/>
          <w:szCs w:val="31"/>
          <w:highlight w:val="none"/>
        </w:rPr>
        <w:t xml:space="preserve"> </w:t>
      </w:r>
      <w:r>
        <w:rPr>
          <w:rFonts w:ascii="宋体" w:hAnsi="宋体" w:eastAsia="宋体" w:cs="宋体"/>
          <w:b/>
          <w:bCs/>
          <w:color w:val="auto"/>
          <w:spacing w:val="-2"/>
          <w:sz w:val="31"/>
          <w:szCs w:val="31"/>
          <w:highlight w:val="none"/>
        </w:rPr>
        <w:t>工程保险</w:t>
      </w:r>
      <w:bookmarkEnd w:id="133"/>
    </w:p>
    <w:p w14:paraId="33428015">
      <w:pPr>
        <w:pStyle w:val="2"/>
        <w:spacing w:line="412" w:lineRule="auto"/>
        <w:rPr>
          <w:color w:val="auto"/>
          <w:highlight w:val="none"/>
        </w:rPr>
      </w:pPr>
    </w:p>
    <w:p w14:paraId="4D2FF293">
      <w:pPr>
        <w:spacing w:before="65" w:line="434" w:lineRule="auto"/>
        <w:ind w:left="8" w:right="19" w:firstLine="423"/>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关于工程保险的特别约定：</w:t>
      </w:r>
      <w:r>
        <w:rPr>
          <w:rFonts w:ascii="宋体" w:hAnsi="宋体" w:eastAsia="宋体" w:cs="宋体"/>
          <w:color w:val="auto"/>
          <w:spacing w:val="10"/>
          <w:sz w:val="20"/>
          <w:szCs w:val="20"/>
          <w:highlight w:val="none"/>
          <w:u w:val="single" w:color="auto"/>
        </w:rPr>
        <w:t>发包人可根据需要投保工程质量保险；</w:t>
      </w:r>
      <w:r>
        <w:rPr>
          <w:rFonts w:ascii="宋体" w:hAnsi="宋体" w:eastAsia="宋体" w:cs="宋体"/>
          <w:color w:val="auto"/>
          <w:spacing w:val="9"/>
          <w:sz w:val="20"/>
          <w:szCs w:val="20"/>
          <w:highlight w:val="none"/>
          <w:u w:val="single" w:color="auto"/>
        </w:rPr>
        <w:t>对已投保的工程项目，承包人应</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积极配合保险公司开展相关工作</w:t>
      </w:r>
      <w:r>
        <w:rPr>
          <w:rFonts w:ascii="宋体" w:hAnsi="宋体" w:eastAsia="宋体" w:cs="宋体"/>
          <w:color w:val="auto"/>
          <w:spacing w:val="8"/>
          <w:sz w:val="20"/>
          <w:szCs w:val="20"/>
          <w:highlight w:val="none"/>
        </w:rPr>
        <w:t>。</w:t>
      </w:r>
    </w:p>
    <w:p w14:paraId="5F7DA3EA">
      <w:pPr>
        <w:spacing w:before="279" w:line="226" w:lineRule="auto"/>
        <w:ind w:left="36"/>
        <w:outlineLvl w:val="2"/>
        <w:rPr>
          <w:rFonts w:ascii="宋体" w:hAnsi="宋体" w:eastAsia="宋体" w:cs="宋体"/>
          <w:color w:val="auto"/>
          <w:sz w:val="31"/>
          <w:szCs w:val="31"/>
          <w:highlight w:val="none"/>
        </w:rPr>
      </w:pPr>
      <w:bookmarkStart w:id="134" w:name="_Toc2879"/>
      <w:r>
        <w:rPr>
          <w:rFonts w:ascii="宋体" w:hAnsi="宋体" w:eastAsia="宋体" w:cs="宋体"/>
          <w:b/>
          <w:bCs/>
          <w:color w:val="auto"/>
          <w:spacing w:val="1"/>
          <w:sz w:val="31"/>
          <w:szCs w:val="31"/>
          <w:highlight w:val="none"/>
        </w:rPr>
        <w:t>18.3</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其他保险</w:t>
      </w:r>
      <w:bookmarkEnd w:id="134"/>
    </w:p>
    <w:p w14:paraId="3BBFB8A6">
      <w:pPr>
        <w:pStyle w:val="2"/>
        <w:spacing w:line="414" w:lineRule="auto"/>
        <w:rPr>
          <w:color w:val="auto"/>
          <w:highlight w:val="none"/>
        </w:rPr>
      </w:pPr>
    </w:p>
    <w:p w14:paraId="62B138EA">
      <w:pPr>
        <w:spacing w:before="65" w:line="432" w:lineRule="auto"/>
        <w:ind w:left="7" w:right="2" w:firstLine="424"/>
        <w:jc w:val="both"/>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关于工程保险的特别约定：</w:t>
      </w:r>
      <w:r>
        <w:rPr>
          <w:rFonts w:ascii="宋体" w:hAnsi="宋体" w:eastAsia="宋体" w:cs="宋体"/>
          <w:color w:val="auto"/>
          <w:spacing w:val="8"/>
          <w:sz w:val="20"/>
          <w:szCs w:val="20"/>
          <w:highlight w:val="none"/>
          <w:u w:val="single" w:color="auto"/>
        </w:rPr>
        <w:t xml:space="preserve">  依据广西壮族自治区住房和城</w:t>
      </w:r>
      <w:r>
        <w:rPr>
          <w:rFonts w:ascii="宋体" w:hAnsi="宋体" w:eastAsia="宋体" w:cs="宋体"/>
          <w:color w:val="auto"/>
          <w:spacing w:val="7"/>
          <w:sz w:val="20"/>
          <w:szCs w:val="20"/>
          <w:highlight w:val="none"/>
          <w:u w:val="single" w:color="auto"/>
        </w:rPr>
        <w:t>乡建设厅文件桂建发</w:t>
      </w:r>
      <w:r>
        <w:rPr>
          <w:rFonts w:ascii="宋体" w:hAnsi="宋体" w:eastAsia="宋体" w:cs="宋体"/>
          <w:color w:val="auto"/>
          <w:spacing w:val="53"/>
          <w:sz w:val="20"/>
          <w:szCs w:val="20"/>
          <w:highlight w:val="none"/>
          <w:u w:val="single" w:color="auto"/>
        </w:rPr>
        <w:t xml:space="preserve"> </w:t>
      </w:r>
      <w:r>
        <w:rPr>
          <w:rFonts w:ascii="宋体" w:hAnsi="宋体" w:eastAsia="宋体" w:cs="宋体"/>
          <w:color w:val="auto"/>
          <w:spacing w:val="7"/>
          <w:sz w:val="20"/>
          <w:szCs w:val="20"/>
          <w:highlight w:val="none"/>
          <w:u w:val="single" w:color="auto"/>
        </w:rPr>
        <w:t>(2023) 6 号文件</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规定，安全生产责任保险费按分部分项工程费及措施项目费（含单价及总价措施</w:t>
      </w:r>
      <w:r>
        <w:rPr>
          <w:rFonts w:ascii="宋体" w:hAnsi="宋体" w:eastAsia="宋体" w:cs="宋体"/>
          <w:color w:val="auto"/>
          <w:spacing w:val="9"/>
          <w:sz w:val="20"/>
          <w:szCs w:val="20"/>
          <w:highlight w:val="none"/>
          <w:u w:val="single" w:color="auto"/>
        </w:rPr>
        <w:t>项目费）为计算基数乘</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以 0.2%计入暂估价，工程结算时，由发承</w:t>
      </w:r>
      <w:r>
        <w:rPr>
          <w:rFonts w:ascii="宋体" w:hAnsi="宋体" w:eastAsia="宋体" w:cs="宋体"/>
          <w:color w:val="auto"/>
          <w:spacing w:val="7"/>
          <w:sz w:val="20"/>
          <w:szCs w:val="20"/>
          <w:highlight w:val="none"/>
          <w:u w:val="single" w:color="auto"/>
        </w:rPr>
        <w:t>包双方根据工程实际情况确认的安全生产责任保险费计入工程</w:t>
      </w:r>
      <w:r>
        <w:rPr>
          <w:rFonts w:ascii="宋体" w:hAnsi="宋体" w:eastAsia="宋体" w:cs="宋体"/>
          <w:color w:val="auto"/>
          <w:sz w:val="20"/>
          <w:szCs w:val="20"/>
          <w:highlight w:val="none"/>
        </w:rPr>
        <w:t xml:space="preserve"> </w:t>
      </w:r>
      <w:r>
        <w:rPr>
          <w:rFonts w:ascii="宋体" w:hAnsi="宋体" w:eastAsia="宋体" w:cs="宋体"/>
          <w:color w:val="auto"/>
          <w:spacing w:val="3"/>
          <w:sz w:val="20"/>
          <w:szCs w:val="20"/>
          <w:highlight w:val="none"/>
          <w:u w:val="single" w:color="auto"/>
        </w:rPr>
        <w:t>造价</w:t>
      </w:r>
      <w:r>
        <w:rPr>
          <w:rFonts w:ascii="宋体" w:hAnsi="宋体" w:eastAsia="宋体" w:cs="宋体"/>
          <w:color w:val="auto"/>
          <w:spacing w:val="3"/>
          <w:sz w:val="20"/>
          <w:szCs w:val="20"/>
          <w:highlight w:val="none"/>
        </w:rPr>
        <w:t>。</w:t>
      </w:r>
    </w:p>
    <w:p w14:paraId="4B10F668">
      <w:pPr>
        <w:spacing w:before="284" w:line="225" w:lineRule="auto"/>
        <w:ind w:left="36"/>
        <w:outlineLvl w:val="2"/>
        <w:rPr>
          <w:rFonts w:ascii="宋体" w:hAnsi="宋体" w:eastAsia="宋体" w:cs="宋体"/>
          <w:color w:val="auto"/>
          <w:sz w:val="31"/>
          <w:szCs w:val="31"/>
          <w:highlight w:val="none"/>
        </w:rPr>
      </w:pPr>
      <w:bookmarkStart w:id="135" w:name="_Toc26015"/>
      <w:r>
        <w:rPr>
          <w:rFonts w:ascii="宋体" w:hAnsi="宋体" w:eastAsia="宋体" w:cs="宋体"/>
          <w:b/>
          <w:bCs/>
          <w:color w:val="auto"/>
          <w:spacing w:val="1"/>
          <w:sz w:val="31"/>
          <w:szCs w:val="31"/>
          <w:highlight w:val="none"/>
        </w:rPr>
        <w:t>18.7</w:t>
      </w:r>
      <w:r>
        <w:rPr>
          <w:rFonts w:ascii="宋体" w:hAnsi="宋体" w:eastAsia="宋体" w:cs="宋体"/>
          <w:color w:val="auto"/>
          <w:spacing w:val="1"/>
          <w:sz w:val="31"/>
          <w:szCs w:val="31"/>
          <w:highlight w:val="none"/>
        </w:rPr>
        <w:t xml:space="preserve"> </w:t>
      </w:r>
      <w:r>
        <w:rPr>
          <w:rFonts w:ascii="宋体" w:hAnsi="宋体" w:eastAsia="宋体" w:cs="宋体"/>
          <w:b/>
          <w:bCs/>
          <w:color w:val="auto"/>
          <w:spacing w:val="1"/>
          <w:sz w:val="31"/>
          <w:szCs w:val="31"/>
          <w:highlight w:val="none"/>
        </w:rPr>
        <w:t>通知义务</w:t>
      </w:r>
      <w:bookmarkEnd w:id="135"/>
    </w:p>
    <w:p w14:paraId="27F83AE1">
      <w:pPr>
        <w:pStyle w:val="2"/>
        <w:spacing w:line="413" w:lineRule="auto"/>
        <w:rPr>
          <w:color w:val="auto"/>
          <w:highlight w:val="none"/>
        </w:rPr>
      </w:pPr>
    </w:p>
    <w:p w14:paraId="0F4FA0CE">
      <w:pPr>
        <w:spacing w:before="66" w:line="433" w:lineRule="auto"/>
        <w:ind w:left="8" w:right="19" w:firstLine="423"/>
        <w:jc w:val="both"/>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关于变更保险合同时的通知义务的约定：</w:t>
      </w:r>
      <w:r>
        <w:rPr>
          <w:rFonts w:ascii="宋体" w:hAnsi="宋体" w:eastAsia="宋体" w:cs="宋体"/>
          <w:color w:val="auto"/>
          <w:spacing w:val="10"/>
          <w:sz w:val="20"/>
          <w:szCs w:val="20"/>
          <w:highlight w:val="none"/>
          <w:u w:val="single" w:color="auto"/>
        </w:rPr>
        <w:t>发包人变更除工伤保险之</w:t>
      </w:r>
      <w:r>
        <w:rPr>
          <w:rFonts w:ascii="宋体" w:hAnsi="宋体" w:eastAsia="宋体" w:cs="宋体"/>
          <w:color w:val="auto"/>
          <w:spacing w:val="9"/>
          <w:sz w:val="20"/>
          <w:szCs w:val="20"/>
          <w:highlight w:val="none"/>
          <w:u w:val="single" w:color="auto"/>
        </w:rPr>
        <w:t>外的保险合同时，应事先征得承</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包人同意，并通知监理人；承包人变更除工伤保险之外的保险合同时，应事先</w:t>
      </w:r>
      <w:r>
        <w:rPr>
          <w:rFonts w:ascii="宋体" w:hAnsi="宋体" w:eastAsia="宋体" w:cs="宋体"/>
          <w:color w:val="auto"/>
          <w:spacing w:val="9"/>
          <w:sz w:val="20"/>
          <w:szCs w:val="20"/>
          <w:highlight w:val="none"/>
          <w:u w:val="single" w:color="auto"/>
        </w:rPr>
        <w:t>征得发包人同意，并通知</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u w:val="single" w:color="auto"/>
        </w:rPr>
        <w:t>监理人。保险事故发生时，投保人应按照保险合同规定的条件和期限及时向保</w:t>
      </w:r>
      <w:r>
        <w:rPr>
          <w:rFonts w:ascii="宋体" w:hAnsi="宋体" w:eastAsia="宋体" w:cs="宋体"/>
          <w:color w:val="auto"/>
          <w:spacing w:val="9"/>
          <w:sz w:val="20"/>
          <w:szCs w:val="20"/>
          <w:highlight w:val="none"/>
          <w:u w:val="single" w:color="auto"/>
        </w:rPr>
        <w:t>险人报告。发包人和承包</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u w:val="single" w:color="auto"/>
        </w:rPr>
        <w:t>人应当在知道保险事故发生后及时通知对方</w:t>
      </w:r>
      <w:r>
        <w:rPr>
          <w:rFonts w:ascii="宋体" w:hAnsi="宋体" w:eastAsia="宋体" w:cs="宋体"/>
          <w:color w:val="auto"/>
          <w:spacing w:val="9"/>
          <w:sz w:val="20"/>
          <w:szCs w:val="20"/>
          <w:highlight w:val="none"/>
        </w:rPr>
        <w:t>。</w:t>
      </w:r>
    </w:p>
    <w:p w14:paraId="5D0929F8">
      <w:pPr>
        <w:spacing w:before="281" w:line="225" w:lineRule="auto"/>
        <w:ind w:left="16"/>
        <w:outlineLvl w:val="1"/>
        <w:rPr>
          <w:rFonts w:ascii="宋体" w:hAnsi="宋体" w:eastAsia="宋体" w:cs="宋体"/>
          <w:color w:val="auto"/>
          <w:sz w:val="31"/>
          <w:szCs w:val="31"/>
          <w:highlight w:val="none"/>
        </w:rPr>
      </w:pPr>
      <w:bookmarkStart w:id="136" w:name="_Toc14344"/>
      <w:r>
        <w:rPr>
          <w:rFonts w:ascii="宋体" w:hAnsi="宋体" w:eastAsia="宋体" w:cs="宋体"/>
          <w:b/>
          <w:bCs/>
          <w:color w:val="auto"/>
          <w:sz w:val="31"/>
          <w:szCs w:val="31"/>
          <w:highlight w:val="none"/>
        </w:rPr>
        <w:t>20.</w:t>
      </w:r>
      <w:r>
        <w:rPr>
          <w:rFonts w:ascii="宋体" w:hAnsi="宋体" w:eastAsia="宋体" w:cs="宋体"/>
          <w:color w:val="auto"/>
          <w:spacing w:val="26"/>
          <w:sz w:val="31"/>
          <w:szCs w:val="31"/>
          <w:highlight w:val="none"/>
        </w:rPr>
        <w:t xml:space="preserve"> </w:t>
      </w:r>
      <w:r>
        <w:rPr>
          <w:rFonts w:ascii="宋体" w:hAnsi="宋体" w:eastAsia="宋体" w:cs="宋体"/>
          <w:b/>
          <w:bCs/>
          <w:color w:val="auto"/>
          <w:sz w:val="31"/>
          <w:szCs w:val="31"/>
          <w:highlight w:val="none"/>
        </w:rPr>
        <w:t>争议解决</w:t>
      </w:r>
      <w:bookmarkEnd w:id="136"/>
    </w:p>
    <w:p w14:paraId="7153A752">
      <w:pPr>
        <w:pStyle w:val="2"/>
        <w:spacing w:line="402" w:lineRule="auto"/>
        <w:rPr>
          <w:color w:val="auto"/>
          <w:highlight w:val="none"/>
        </w:rPr>
      </w:pPr>
    </w:p>
    <w:p w14:paraId="6EC5F4FF">
      <w:pPr>
        <w:spacing w:before="101" w:line="225" w:lineRule="auto"/>
        <w:ind w:left="16"/>
        <w:outlineLvl w:val="2"/>
        <w:rPr>
          <w:rFonts w:ascii="宋体" w:hAnsi="宋体" w:eastAsia="宋体" w:cs="宋体"/>
          <w:color w:val="auto"/>
          <w:sz w:val="31"/>
          <w:szCs w:val="31"/>
          <w:highlight w:val="none"/>
        </w:rPr>
      </w:pPr>
      <w:bookmarkStart w:id="137" w:name="_Toc18085"/>
      <w:r>
        <w:rPr>
          <w:rFonts w:ascii="宋体" w:hAnsi="宋体" w:eastAsia="宋体" w:cs="宋体"/>
          <w:b/>
          <w:bCs/>
          <w:color w:val="auto"/>
          <w:sz w:val="31"/>
          <w:szCs w:val="31"/>
          <w:highlight w:val="none"/>
        </w:rPr>
        <w:t>20.3</w:t>
      </w:r>
      <w:r>
        <w:rPr>
          <w:rFonts w:ascii="宋体" w:hAnsi="宋体" w:eastAsia="宋体" w:cs="宋体"/>
          <w:color w:val="auto"/>
          <w:spacing w:val="29"/>
          <w:sz w:val="31"/>
          <w:szCs w:val="31"/>
          <w:highlight w:val="none"/>
        </w:rPr>
        <w:t xml:space="preserve"> </w:t>
      </w:r>
      <w:r>
        <w:rPr>
          <w:rFonts w:ascii="宋体" w:hAnsi="宋体" w:eastAsia="宋体" w:cs="宋体"/>
          <w:b/>
          <w:bCs/>
          <w:color w:val="auto"/>
          <w:sz w:val="31"/>
          <w:szCs w:val="31"/>
          <w:highlight w:val="none"/>
        </w:rPr>
        <w:t>争议评审</w:t>
      </w:r>
      <w:bookmarkEnd w:id="137"/>
    </w:p>
    <w:p w14:paraId="66E55CC0">
      <w:pPr>
        <w:pStyle w:val="2"/>
        <w:spacing w:line="414" w:lineRule="auto"/>
        <w:rPr>
          <w:color w:val="auto"/>
          <w:highlight w:val="none"/>
        </w:rPr>
      </w:pPr>
    </w:p>
    <w:p w14:paraId="2D2C99DE">
      <w:pPr>
        <w:spacing w:before="66" w:line="228" w:lineRule="auto"/>
        <w:ind w:left="47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合同当事人是否同意将工程争议提交争议评审小组决定：</w:t>
      </w:r>
      <w:r>
        <w:rPr>
          <w:rFonts w:ascii="宋体" w:hAnsi="宋体" w:eastAsia="宋体" w:cs="宋体"/>
          <w:color w:val="auto"/>
          <w:spacing w:val="7"/>
          <w:sz w:val="20"/>
          <w:szCs w:val="20"/>
          <w:highlight w:val="none"/>
          <w:u w:val="single" w:color="auto"/>
        </w:rPr>
        <w:t xml:space="preserve">           /             </w:t>
      </w:r>
      <w:r>
        <w:rPr>
          <w:rFonts w:ascii="宋体" w:hAnsi="宋体" w:eastAsia="宋体" w:cs="宋体"/>
          <w:color w:val="auto"/>
          <w:spacing w:val="7"/>
          <w:sz w:val="20"/>
          <w:szCs w:val="20"/>
          <w:highlight w:val="none"/>
        </w:rPr>
        <w:t>。</w:t>
      </w:r>
    </w:p>
    <w:p w14:paraId="51C064EA">
      <w:pPr>
        <w:spacing w:before="221" w:line="228" w:lineRule="auto"/>
        <w:ind w:left="430"/>
        <w:outlineLvl w:val="0"/>
        <w:rPr>
          <w:rFonts w:ascii="宋体" w:hAnsi="宋体" w:eastAsia="宋体" w:cs="宋体"/>
          <w:color w:val="auto"/>
          <w:sz w:val="20"/>
          <w:szCs w:val="20"/>
          <w:highlight w:val="none"/>
        </w:rPr>
      </w:pPr>
      <w:bookmarkStart w:id="138" w:name="_Toc18931"/>
      <w:r>
        <w:rPr>
          <w:rFonts w:ascii="宋体" w:hAnsi="宋体" w:eastAsia="宋体" w:cs="宋体"/>
          <w:color w:val="auto"/>
          <w:spacing w:val="7"/>
          <w:sz w:val="20"/>
          <w:szCs w:val="20"/>
          <w:highlight w:val="none"/>
        </w:rPr>
        <w:t>20.3.1 争议评审小组的确定</w:t>
      </w:r>
      <w:bookmarkEnd w:id="138"/>
    </w:p>
    <w:p w14:paraId="0ECA49E7">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争议评审小组成员的确定：</w:t>
      </w:r>
      <w:r>
        <w:rPr>
          <w:rFonts w:ascii="宋体" w:hAnsi="宋体" w:eastAsia="宋体" w:cs="宋体"/>
          <w:color w:val="auto"/>
          <w:spacing w:val="6"/>
          <w:sz w:val="20"/>
          <w:szCs w:val="20"/>
          <w:highlight w:val="none"/>
          <w:u w:val="single" w:color="auto"/>
        </w:rPr>
        <w:t xml:space="preserve">              /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p>
    <w:p w14:paraId="313E79F7">
      <w:pPr>
        <w:spacing w:before="221" w:line="228"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选定争议评审员的期限：</w:t>
      </w:r>
      <w:r>
        <w:rPr>
          <w:rFonts w:ascii="宋体" w:hAnsi="宋体" w:eastAsia="宋体" w:cs="宋体"/>
          <w:color w:val="auto"/>
          <w:spacing w:val="6"/>
          <w:sz w:val="20"/>
          <w:szCs w:val="20"/>
          <w:highlight w:val="none"/>
          <w:u w:val="single" w:color="auto"/>
        </w:rPr>
        <w:t xml:space="preserve">               /             </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5"/>
          <w:sz w:val="20"/>
          <w:szCs w:val="20"/>
          <w:highlight w:val="none"/>
        </w:rPr>
        <w:t>。</w:t>
      </w:r>
    </w:p>
    <w:p w14:paraId="1BD96824">
      <w:pPr>
        <w:spacing w:line="228" w:lineRule="auto"/>
        <w:rPr>
          <w:rFonts w:ascii="宋体" w:hAnsi="宋体" w:eastAsia="宋体" w:cs="宋体"/>
          <w:color w:val="auto"/>
          <w:sz w:val="20"/>
          <w:szCs w:val="20"/>
          <w:highlight w:val="none"/>
        </w:rPr>
        <w:sectPr>
          <w:footerReference r:id="rId235" w:type="default"/>
          <w:pgSz w:w="11906" w:h="16839"/>
          <w:pgMar w:top="400" w:right="1219" w:bottom="1158" w:left="1219" w:header="0" w:footer="922" w:gutter="0"/>
          <w:cols w:space="720" w:num="1"/>
        </w:sectPr>
      </w:pPr>
    </w:p>
    <w:p w14:paraId="36AC2FF1">
      <w:pPr>
        <w:spacing w:before="256" w:line="228" w:lineRule="auto"/>
        <w:ind w:left="43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争议评审小组成员的报酬承担方式：</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6"/>
          <w:sz w:val="20"/>
          <w:szCs w:val="20"/>
          <w:highlight w:val="none"/>
          <w:u w:val="single" w:color="auto"/>
        </w:rPr>
        <w:t xml:space="preserve">     /           </w:t>
      </w:r>
      <w:r>
        <w:rPr>
          <w:rFonts w:ascii="宋体" w:hAnsi="宋体" w:eastAsia="宋体" w:cs="宋体"/>
          <w:color w:val="auto"/>
          <w:spacing w:val="6"/>
          <w:sz w:val="20"/>
          <w:szCs w:val="20"/>
          <w:highlight w:val="none"/>
        </w:rPr>
        <w:t>。</w:t>
      </w:r>
    </w:p>
    <w:p w14:paraId="45804405">
      <w:pPr>
        <w:spacing w:before="220" w:line="229" w:lineRule="auto"/>
        <w:ind w:left="429"/>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其他事项的约定：</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5"/>
          <w:sz w:val="20"/>
          <w:szCs w:val="20"/>
          <w:highlight w:val="none"/>
          <w:u w:val="single" w:color="auto"/>
        </w:rPr>
        <w:t>/</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5"/>
          <w:sz w:val="20"/>
          <w:szCs w:val="20"/>
          <w:highlight w:val="none"/>
        </w:rPr>
        <w:t>。</w:t>
      </w:r>
    </w:p>
    <w:p w14:paraId="3471043F">
      <w:pPr>
        <w:spacing w:before="220" w:line="228" w:lineRule="auto"/>
        <w:ind w:left="430"/>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20.3.2 争议评审小组的决定</w:t>
      </w:r>
    </w:p>
    <w:p w14:paraId="29EBF040">
      <w:pPr>
        <w:spacing w:before="220"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合同当事人关于本项的约定：</w:t>
      </w:r>
      <w:r>
        <w:rPr>
          <w:rFonts w:ascii="宋体" w:hAnsi="宋体" w:eastAsia="宋体" w:cs="宋体"/>
          <w:color w:val="auto"/>
          <w:spacing w:val="8"/>
          <w:sz w:val="20"/>
          <w:szCs w:val="20"/>
          <w:highlight w:val="none"/>
          <w:u w:val="single" w:color="auto"/>
        </w:rPr>
        <w:t>另行商定</w:t>
      </w:r>
      <w:r>
        <w:rPr>
          <w:rFonts w:ascii="宋体" w:hAnsi="宋体" w:eastAsia="宋体" w:cs="宋体"/>
          <w:color w:val="auto"/>
          <w:spacing w:val="8"/>
          <w:sz w:val="20"/>
          <w:szCs w:val="20"/>
          <w:highlight w:val="none"/>
        </w:rPr>
        <w:t>。</w:t>
      </w:r>
    </w:p>
    <w:p w14:paraId="37720434">
      <w:pPr>
        <w:pStyle w:val="2"/>
        <w:spacing w:line="403" w:lineRule="auto"/>
        <w:rPr>
          <w:color w:val="auto"/>
          <w:highlight w:val="none"/>
        </w:rPr>
      </w:pPr>
    </w:p>
    <w:p w14:paraId="066A7BAA">
      <w:pPr>
        <w:spacing w:before="101" w:line="225" w:lineRule="auto"/>
        <w:ind w:left="16"/>
        <w:outlineLvl w:val="1"/>
        <w:rPr>
          <w:rFonts w:ascii="宋体" w:hAnsi="宋体" w:eastAsia="宋体" w:cs="宋体"/>
          <w:color w:val="auto"/>
          <w:sz w:val="31"/>
          <w:szCs w:val="31"/>
          <w:highlight w:val="none"/>
        </w:rPr>
      </w:pPr>
      <w:bookmarkStart w:id="139" w:name="_Toc12422"/>
      <w:r>
        <w:rPr>
          <w:rFonts w:ascii="宋体" w:hAnsi="宋体" w:eastAsia="宋体" w:cs="宋体"/>
          <w:b/>
          <w:bCs/>
          <w:color w:val="auto"/>
          <w:spacing w:val="3"/>
          <w:sz w:val="31"/>
          <w:szCs w:val="31"/>
          <w:highlight w:val="none"/>
        </w:rPr>
        <w:t>20.4</w:t>
      </w:r>
      <w:r>
        <w:rPr>
          <w:rFonts w:ascii="宋体" w:hAnsi="宋体" w:eastAsia="宋体" w:cs="宋体"/>
          <w:color w:val="auto"/>
          <w:spacing w:val="3"/>
          <w:sz w:val="31"/>
          <w:szCs w:val="31"/>
          <w:highlight w:val="none"/>
        </w:rPr>
        <w:t xml:space="preserve"> </w:t>
      </w:r>
      <w:r>
        <w:rPr>
          <w:rFonts w:ascii="宋体" w:hAnsi="宋体" w:eastAsia="宋体" w:cs="宋体"/>
          <w:b/>
          <w:bCs/>
          <w:color w:val="auto"/>
          <w:spacing w:val="3"/>
          <w:sz w:val="31"/>
          <w:szCs w:val="31"/>
          <w:highlight w:val="none"/>
        </w:rPr>
        <w:t>仲裁或诉讼</w:t>
      </w:r>
      <w:bookmarkEnd w:id="139"/>
    </w:p>
    <w:p w14:paraId="1C3C7B98">
      <w:pPr>
        <w:pStyle w:val="2"/>
        <w:spacing w:line="414" w:lineRule="auto"/>
        <w:rPr>
          <w:color w:val="auto"/>
          <w:highlight w:val="none"/>
        </w:rPr>
      </w:pPr>
    </w:p>
    <w:p w14:paraId="7E7F4F35">
      <w:pPr>
        <w:spacing w:before="65" w:line="228" w:lineRule="auto"/>
        <w:ind w:left="444"/>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因合同及合同有关事项发生的争议，按下列第</w:t>
      </w:r>
      <w:r>
        <w:rPr>
          <w:rFonts w:ascii="宋体" w:hAnsi="宋体" w:eastAsia="宋体" w:cs="宋体"/>
          <w:color w:val="auto"/>
          <w:spacing w:val="8"/>
          <w:sz w:val="20"/>
          <w:szCs w:val="20"/>
          <w:highlight w:val="none"/>
          <w:u w:val="single" w:color="auto"/>
        </w:rPr>
        <w:t xml:space="preserve">  （2） </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pacing w:val="-92"/>
          <w:sz w:val="20"/>
          <w:szCs w:val="20"/>
          <w:highlight w:val="none"/>
        </w:rPr>
        <w:t xml:space="preserve"> </w:t>
      </w:r>
      <w:r>
        <w:rPr>
          <w:rFonts w:ascii="宋体" w:hAnsi="宋体" w:eastAsia="宋体" w:cs="宋体"/>
          <w:color w:val="auto"/>
          <w:spacing w:val="7"/>
          <w:sz w:val="20"/>
          <w:szCs w:val="20"/>
          <w:highlight w:val="none"/>
        </w:rPr>
        <w:t>种方式解决：</w:t>
      </w:r>
    </w:p>
    <w:p w14:paraId="5849156C">
      <w:pPr>
        <w:spacing w:before="221" w:line="330" w:lineRule="auto"/>
        <w:ind w:left="11" w:right="2" w:firstLine="426"/>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（1）提请</w:t>
      </w:r>
      <w:r>
        <w:rPr>
          <w:rFonts w:ascii="宋体" w:hAnsi="宋体" w:eastAsia="宋体" w:cs="宋体"/>
          <w:color w:val="auto"/>
          <w:spacing w:val="7"/>
          <w:sz w:val="20"/>
          <w:szCs w:val="20"/>
          <w:highlight w:val="none"/>
          <w:u w:val="single" w:color="auto"/>
        </w:rPr>
        <w:t xml:space="preserve">   /  </w:t>
      </w:r>
      <w:r>
        <w:rPr>
          <w:rFonts w:ascii="宋体" w:hAnsi="宋体" w:eastAsia="宋体" w:cs="宋体"/>
          <w:color w:val="auto"/>
          <w:spacing w:val="-92"/>
          <w:sz w:val="20"/>
          <w:szCs w:val="20"/>
          <w:highlight w:val="none"/>
        </w:rPr>
        <w:t xml:space="preserve"> </w:t>
      </w:r>
      <w:r>
        <w:rPr>
          <w:rFonts w:ascii="宋体" w:hAnsi="宋体" w:eastAsia="宋体" w:cs="宋体"/>
          <w:color w:val="auto"/>
          <w:spacing w:val="7"/>
          <w:sz w:val="20"/>
          <w:szCs w:val="20"/>
          <w:highlight w:val="none"/>
        </w:rPr>
        <w:t>仲裁委员会按照该会仲裁规则进行仲裁，仲裁裁决是终局</w:t>
      </w:r>
      <w:r>
        <w:rPr>
          <w:rFonts w:ascii="宋体" w:hAnsi="宋体" w:eastAsia="宋体" w:cs="宋体"/>
          <w:color w:val="auto"/>
          <w:spacing w:val="6"/>
          <w:sz w:val="20"/>
          <w:szCs w:val="20"/>
          <w:highlight w:val="none"/>
        </w:rPr>
        <w:t>的，对合同双方均有约束</w:t>
      </w:r>
      <w:r>
        <w:rPr>
          <w:rFonts w:ascii="宋体" w:hAnsi="宋体" w:eastAsia="宋体" w:cs="宋体"/>
          <w:color w:val="auto"/>
          <w:sz w:val="20"/>
          <w:szCs w:val="20"/>
          <w:highlight w:val="none"/>
        </w:rPr>
        <w:t xml:space="preserve"> </w:t>
      </w:r>
      <w:r>
        <w:rPr>
          <w:rFonts w:ascii="宋体" w:hAnsi="宋体" w:eastAsia="宋体" w:cs="宋体"/>
          <w:color w:val="auto"/>
          <w:spacing w:val="-2"/>
          <w:sz w:val="20"/>
          <w:szCs w:val="20"/>
          <w:highlight w:val="none"/>
        </w:rPr>
        <w:t>力。</w:t>
      </w:r>
    </w:p>
    <w:p w14:paraId="4EE235C6">
      <w:pPr>
        <w:spacing w:before="220" w:line="228" w:lineRule="auto"/>
        <w:ind w:left="438"/>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（2）向</w:t>
      </w:r>
      <w:r>
        <w:rPr>
          <w:rFonts w:ascii="宋体" w:hAnsi="宋体" w:eastAsia="宋体" w:cs="宋体"/>
          <w:color w:val="auto"/>
          <w:spacing w:val="7"/>
          <w:sz w:val="20"/>
          <w:szCs w:val="20"/>
          <w:highlight w:val="none"/>
          <w:u w:val="single" w:color="auto"/>
        </w:rPr>
        <w:t>横州市</w:t>
      </w:r>
      <w:r>
        <w:rPr>
          <w:rFonts w:ascii="宋体" w:hAnsi="宋体" w:eastAsia="宋体" w:cs="宋体"/>
          <w:color w:val="auto"/>
          <w:spacing w:val="7"/>
          <w:sz w:val="20"/>
          <w:szCs w:val="20"/>
          <w:highlight w:val="none"/>
        </w:rPr>
        <w:t>人民法院起诉。</w:t>
      </w:r>
    </w:p>
    <w:p w14:paraId="348E0B79">
      <w:pPr>
        <w:spacing w:before="221" w:line="228" w:lineRule="auto"/>
        <w:ind w:left="45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以上条款的违约金或罚款等，经监理和发包人确认签字</w:t>
      </w:r>
      <w:r>
        <w:rPr>
          <w:rFonts w:ascii="宋体" w:hAnsi="宋体" w:eastAsia="宋体" w:cs="宋体"/>
          <w:color w:val="auto"/>
          <w:spacing w:val="8"/>
          <w:sz w:val="20"/>
          <w:szCs w:val="20"/>
          <w:highlight w:val="none"/>
        </w:rPr>
        <w:t>后从本期工程款中扣除。</w:t>
      </w:r>
    </w:p>
    <w:p w14:paraId="7E5121A6">
      <w:pPr>
        <w:spacing w:before="263" w:line="220" w:lineRule="auto"/>
        <w:ind w:left="33"/>
        <w:rPr>
          <w:rFonts w:ascii="宋体" w:hAnsi="宋体" w:eastAsia="宋体" w:cs="宋体"/>
          <w:color w:val="auto"/>
          <w:sz w:val="28"/>
          <w:szCs w:val="28"/>
          <w:highlight w:val="none"/>
        </w:rPr>
      </w:pPr>
      <w:r>
        <w:rPr>
          <w:rFonts w:ascii="宋体" w:hAnsi="宋体" w:eastAsia="宋体" w:cs="宋体"/>
          <w:b/>
          <w:bCs/>
          <w:color w:val="auto"/>
          <w:spacing w:val="-19"/>
          <w:sz w:val="28"/>
          <w:szCs w:val="28"/>
          <w:highlight w:val="none"/>
        </w:rPr>
        <w:t>附件</w:t>
      </w:r>
    </w:p>
    <w:p w14:paraId="64AA55E5">
      <w:pPr>
        <w:spacing w:before="249" w:line="228" w:lineRule="auto"/>
        <w:ind w:left="24"/>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附件</w:t>
      </w:r>
      <w:r>
        <w:rPr>
          <w:rFonts w:ascii="宋体" w:hAnsi="宋体" w:eastAsia="宋体" w:cs="宋体"/>
          <w:color w:val="auto"/>
          <w:spacing w:val="-17"/>
          <w:sz w:val="20"/>
          <w:szCs w:val="20"/>
          <w:highlight w:val="none"/>
        </w:rPr>
        <w:t xml:space="preserve"> </w:t>
      </w:r>
      <w:r>
        <w:rPr>
          <w:rFonts w:ascii="宋体" w:hAnsi="宋体" w:eastAsia="宋体" w:cs="宋体"/>
          <w:color w:val="auto"/>
          <w:spacing w:val="6"/>
          <w:sz w:val="20"/>
          <w:szCs w:val="20"/>
          <w:highlight w:val="none"/>
        </w:rPr>
        <w:t>1：承包人承揽工程项目一览表</w:t>
      </w:r>
    </w:p>
    <w:p w14:paraId="47E7432C">
      <w:pPr>
        <w:spacing w:before="221" w:line="228" w:lineRule="auto"/>
        <w:ind w:left="2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附件</w:t>
      </w:r>
      <w:r>
        <w:rPr>
          <w:rFonts w:ascii="宋体" w:hAnsi="宋体" w:eastAsia="宋体" w:cs="宋体"/>
          <w:color w:val="auto"/>
          <w:spacing w:val="-27"/>
          <w:sz w:val="20"/>
          <w:szCs w:val="20"/>
          <w:highlight w:val="none"/>
        </w:rPr>
        <w:t xml:space="preserve"> </w:t>
      </w:r>
      <w:r>
        <w:rPr>
          <w:rFonts w:ascii="宋体" w:hAnsi="宋体" w:eastAsia="宋体" w:cs="宋体"/>
          <w:color w:val="auto"/>
          <w:spacing w:val="5"/>
          <w:sz w:val="20"/>
          <w:szCs w:val="20"/>
          <w:highlight w:val="none"/>
        </w:rPr>
        <w:t>2：工程质量保修书</w:t>
      </w:r>
    </w:p>
    <w:p w14:paraId="0CB8AF28">
      <w:pPr>
        <w:spacing w:before="221" w:line="228" w:lineRule="auto"/>
        <w:ind w:left="2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附件</w:t>
      </w:r>
      <w:r>
        <w:rPr>
          <w:rFonts w:ascii="宋体" w:hAnsi="宋体" w:eastAsia="宋体" w:cs="宋体"/>
          <w:color w:val="auto"/>
          <w:spacing w:val="-21"/>
          <w:sz w:val="20"/>
          <w:szCs w:val="20"/>
          <w:highlight w:val="none"/>
        </w:rPr>
        <w:t xml:space="preserve"> </w:t>
      </w:r>
      <w:r>
        <w:rPr>
          <w:rFonts w:ascii="宋体" w:hAnsi="宋体" w:eastAsia="宋体" w:cs="宋体"/>
          <w:color w:val="auto"/>
          <w:spacing w:val="7"/>
          <w:sz w:val="20"/>
          <w:szCs w:val="20"/>
          <w:highlight w:val="none"/>
        </w:rPr>
        <w:t>3：承包人用于本工程施工的机械设备表</w:t>
      </w:r>
    </w:p>
    <w:p w14:paraId="5552D779">
      <w:pPr>
        <w:spacing w:before="221" w:line="228" w:lineRule="auto"/>
        <w:ind w:left="24"/>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附件4：承包人主要施工管理人员表</w:t>
      </w:r>
    </w:p>
    <w:p w14:paraId="46CA0A2C">
      <w:pPr>
        <w:spacing w:before="221" w:line="228" w:lineRule="auto"/>
        <w:ind w:left="24"/>
        <w:rPr>
          <w:rFonts w:ascii="宋体" w:hAnsi="宋体" w:eastAsia="宋体" w:cs="宋体"/>
          <w:color w:val="auto"/>
          <w:spacing w:val="11"/>
          <w:sz w:val="20"/>
          <w:szCs w:val="20"/>
          <w:highlight w:val="none"/>
        </w:rPr>
      </w:pPr>
      <w:r>
        <w:rPr>
          <w:rFonts w:ascii="宋体" w:hAnsi="宋体" w:eastAsia="宋体" w:cs="宋体"/>
          <w:color w:val="auto"/>
          <w:spacing w:val="11"/>
          <w:sz w:val="20"/>
          <w:szCs w:val="20"/>
          <w:highlight w:val="none"/>
        </w:rPr>
        <w:t>附件 5：施工单位资质证书正本及营业执照正本（彩色扫描）</w:t>
      </w:r>
    </w:p>
    <w:p w14:paraId="2B1D8201">
      <w:pPr>
        <w:spacing w:before="221" w:line="228" w:lineRule="auto"/>
        <w:ind w:left="24"/>
        <w:rPr>
          <w:rFonts w:ascii="宋体" w:hAnsi="宋体" w:eastAsia="宋体" w:cs="宋体"/>
          <w:color w:val="auto"/>
          <w:spacing w:val="11"/>
          <w:sz w:val="20"/>
          <w:szCs w:val="20"/>
          <w:highlight w:val="none"/>
        </w:rPr>
      </w:pPr>
      <w:r>
        <w:rPr>
          <w:rFonts w:ascii="宋体" w:hAnsi="宋体" w:eastAsia="宋体" w:cs="宋体"/>
          <w:color w:val="auto"/>
          <w:spacing w:val="11"/>
          <w:sz w:val="20"/>
          <w:szCs w:val="20"/>
          <w:highlight w:val="none"/>
        </w:rPr>
        <w:t>附件 6：中标通知书</w:t>
      </w:r>
    </w:p>
    <w:p w14:paraId="3A6DE5BD">
      <w:pPr>
        <w:spacing w:before="221" w:line="228" w:lineRule="auto"/>
        <w:ind w:left="24"/>
        <w:rPr>
          <w:rFonts w:hint="eastAsia" w:ascii="宋体" w:hAnsi="宋体" w:eastAsia="宋体" w:cs="宋体"/>
          <w:color w:val="auto"/>
          <w:spacing w:val="11"/>
          <w:sz w:val="20"/>
          <w:szCs w:val="20"/>
          <w:highlight w:val="none"/>
        </w:rPr>
      </w:pPr>
      <w:r>
        <w:rPr>
          <w:rFonts w:hint="eastAsia" w:ascii="宋体" w:hAnsi="宋体" w:eastAsia="宋体" w:cs="宋体"/>
          <w:color w:val="auto"/>
          <w:spacing w:val="11"/>
          <w:sz w:val="20"/>
          <w:szCs w:val="20"/>
          <w:highlight w:val="none"/>
        </w:rPr>
        <w:t>附件</w:t>
      </w:r>
      <w:r>
        <w:rPr>
          <w:rFonts w:hint="eastAsia" w:ascii="宋体" w:hAnsi="宋体" w:eastAsia="宋体" w:cs="宋体"/>
          <w:color w:val="auto"/>
          <w:spacing w:val="11"/>
          <w:sz w:val="20"/>
          <w:szCs w:val="20"/>
          <w:highlight w:val="none"/>
          <w:lang w:val="en-US" w:eastAsia="zh-CN"/>
        </w:rPr>
        <w:t>7</w:t>
      </w:r>
      <w:r>
        <w:rPr>
          <w:rFonts w:hint="eastAsia" w:ascii="宋体" w:hAnsi="宋体" w:eastAsia="宋体" w:cs="宋体"/>
          <w:color w:val="auto"/>
          <w:spacing w:val="11"/>
          <w:sz w:val="20"/>
          <w:szCs w:val="20"/>
          <w:highlight w:val="none"/>
        </w:rPr>
        <w:t>：预付款担保格式（独立保函、非独立保函）</w:t>
      </w:r>
    </w:p>
    <w:p w14:paraId="12BA2B55">
      <w:pPr>
        <w:spacing w:before="221" w:line="228" w:lineRule="auto"/>
        <w:ind w:left="24"/>
        <w:rPr>
          <w:rFonts w:hint="eastAsia" w:ascii="宋体" w:hAnsi="宋体" w:eastAsia="宋体" w:cs="宋体"/>
          <w:color w:val="auto"/>
          <w:spacing w:val="11"/>
          <w:sz w:val="20"/>
          <w:szCs w:val="20"/>
          <w:highlight w:val="none"/>
        </w:rPr>
      </w:pPr>
      <w:r>
        <w:rPr>
          <w:rFonts w:hint="eastAsia" w:ascii="宋体" w:hAnsi="宋体" w:eastAsia="宋体" w:cs="宋体"/>
          <w:color w:val="auto"/>
          <w:spacing w:val="11"/>
          <w:sz w:val="20"/>
          <w:szCs w:val="20"/>
          <w:highlight w:val="none"/>
        </w:rPr>
        <w:t>附件</w:t>
      </w:r>
      <w:r>
        <w:rPr>
          <w:rFonts w:hint="eastAsia" w:ascii="宋体" w:hAnsi="宋体" w:eastAsia="宋体" w:cs="宋体"/>
          <w:color w:val="auto"/>
          <w:spacing w:val="11"/>
          <w:sz w:val="20"/>
          <w:szCs w:val="20"/>
          <w:highlight w:val="none"/>
          <w:lang w:val="en-US" w:eastAsia="zh-CN"/>
        </w:rPr>
        <w:t>8</w:t>
      </w:r>
      <w:r>
        <w:rPr>
          <w:rFonts w:hint="eastAsia" w:ascii="宋体" w:hAnsi="宋体" w:eastAsia="宋体" w:cs="宋体"/>
          <w:color w:val="auto"/>
          <w:spacing w:val="11"/>
          <w:sz w:val="20"/>
          <w:szCs w:val="20"/>
          <w:highlight w:val="none"/>
        </w:rPr>
        <w:t>：预付款支付申请（核准）表</w:t>
      </w:r>
    </w:p>
    <w:p w14:paraId="1FE7CEF8">
      <w:pPr>
        <w:spacing w:before="221" w:line="228" w:lineRule="auto"/>
        <w:ind w:left="24"/>
        <w:rPr>
          <w:rFonts w:ascii="宋体" w:hAnsi="宋体" w:eastAsia="宋体" w:cs="宋体"/>
          <w:color w:val="auto"/>
          <w:spacing w:val="4"/>
          <w:sz w:val="20"/>
          <w:szCs w:val="20"/>
          <w:highlight w:val="none"/>
        </w:rPr>
      </w:pPr>
    </w:p>
    <w:p w14:paraId="11130284">
      <w:pPr>
        <w:spacing w:line="228" w:lineRule="auto"/>
        <w:rPr>
          <w:rFonts w:ascii="宋体" w:hAnsi="宋体" w:eastAsia="宋体" w:cs="宋体"/>
          <w:color w:val="auto"/>
          <w:sz w:val="20"/>
          <w:szCs w:val="20"/>
          <w:highlight w:val="none"/>
        </w:rPr>
        <w:sectPr>
          <w:headerReference r:id="rId236" w:type="default"/>
          <w:footerReference r:id="rId237" w:type="default"/>
          <w:pgSz w:w="11906" w:h="16839"/>
          <w:pgMar w:top="1091" w:right="1219" w:bottom="1158" w:left="1219" w:header="1076" w:footer="922" w:gutter="0"/>
          <w:cols w:space="720" w:num="1"/>
        </w:sectPr>
      </w:pPr>
    </w:p>
    <w:p w14:paraId="22312A4E">
      <w:pPr>
        <w:spacing w:before="224" w:line="219" w:lineRule="auto"/>
        <w:ind w:left="250"/>
        <w:rPr>
          <w:rFonts w:ascii="宋体" w:hAnsi="宋体" w:eastAsia="宋体" w:cs="宋体"/>
          <w:color w:val="auto"/>
          <w:sz w:val="30"/>
          <w:szCs w:val="30"/>
          <w:highlight w:val="none"/>
        </w:rPr>
      </w:pPr>
      <w:r>
        <w:rPr>
          <w:rFonts w:ascii="宋体" w:hAnsi="宋体" w:eastAsia="宋体" w:cs="宋体"/>
          <w:color w:val="auto"/>
          <w:spacing w:val="-18"/>
          <w:sz w:val="30"/>
          <w:szCs w:val="30"/>
          <w:highlight w:val="none"/>
        </w:rPr>
        <w:t>附件</w:t>
      </w:r>
      <w:r>
        <w:rPr>
          <w:rFonts w:ascii="宋体" w:hAnsi="宋体" w:eastAsia="宋体" w:cs="宋体"/>
          <w:color w:val="auto"/>
          <w:spacing w:val="-40"/>
          <w:sz w:val="30"/>
          <w:szCs w:val="30"/>
          <w:highlight w:val="none"/>
        </w:rPr>
        <w:t xml:space="preserve"> </w:t>
      </w:r>
      <w:r>
        <w:rPr>
          <w:rFonts w:ascii="宋体" w:hAnsi="宋体" w:eastAsia="宋体" w:cs="宋体"/>
          <w:color w:val="auto"/>
          <w:spacing w:val="-18"/>
          <w:sz w:val="30"/>
          <w:szCs w:val="30"/>
          <w:highlight w:val="none"/>
        </w:rPr>
        <w:t>1：</w:t>
      </w:r>
    </w:p>
    <w:p w14:paraId="0C9C65EA">
      <w:pPr>
        <w:spacing w:before="238" w:line="220" w:lineRule="auto"/>
        <w:ind w:left="3159"/>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rPr>
        <w:t>承包人承揽工程项目一览表</w:t>
      </w:r>
    </w:p>
    <w:p w14:paraId="624C6343">
      <w:pPr>
        <w:spacing w:line="142" w:lineRule="exact"/>
        <w:rPr>
          <w:color w:val="auto"/>
          <w:highlight w:val="none"/>
        </w:rPr>
      </w:pPr>
    </w:p>
    <w:tbl>
      <w:tblPr>
        <w:tblStyle w:val="8"/>
        <w:tblW w:w="98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976"/>
        <w:gridCol w:w="1454"/>
        <w:gridCol w:w="870"/>
        <w:gridCol w:w="930"/>
        <w:gridCol w:w="847"/>
        <w:gridCol w:w="989"/>
        <w:gridCol w:w="1019"/>
        <w:gridCol w:w="870"/>
        <w:gridCol w:w="799"/>
      </w:tblGrid>
      <w:tr w14:paraId="6704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1138" w:type="dxa"/>
            <w:vAlign w:val="top"/>
          </w:tcPr>
          <w:p w14:paraId="7678A912">
            <w:pPr>
              <w:pStyle w:val="9"/>
              <w:spacing w:before="150" w:line="280" w:lineRule="auto"/>
              <w:ind w:left="98" w:right="90" w:firstLine="2"/>
              <w:rPr>
                <w:color w:val="auto"/>
                <w:sz w:val="20"/>
                <w:szCs w:val="20"/>
                <w:highlight w:val="none"/>
              </w:rPr>
            </w:pPr>
            <w:r>
              <w:rPr>
                <w:color w:val="auto"/>
                <w:spacing w:val="-11"/>
                <w:sz w:val="20"/>
                <w:szCs w:val="20"/>
                <w:highlight w:val="none"/>
              </w:rPr>
              <w:t>单</w:t>
            </w:r>
            <w:r>
              <w:rPr>
                <w:color w:val="auto"/>
                <w:spacing w:val="4"/>
                <w:sz w:val="20"/>
                <w:szCs w:val="20"/>
                <w:highlight w:val="none"/>
              </w:rPr>
              <w:t xml:space="preserve"> </w:t>
            </w:r>
            <w:r>
              <w:rPr>
                <w:color w:val="auto"/>
                <w:spacing w:val="-11"/>
                <w:sz w:val="20"/>
                <w:szCs w:val="20"/>
                <w:highlight w:val="none"/>
              </w:rPr>
              <w:t>位</w:t>
            </w:r>
            <w:r>
              <w:rPr>
                <w:color w:val="auto"/>
                <w:spacing w:val="9"/>
                <w:sz w:val="20"/>
                <w:szCs w:val="20"/>
                <w:highlight w:val="none"/>
              </w:rPr>
              <w:t xml:space="preserve"> </w:t>
            </w:r>
            <w:r>
              <w:rPr>
                <w:color w:val="auto"/>
                <w:spacing w:val="-11"/>
                <w:sz w:val="20"/>
                <w:szCs w:val="20"/>
                <w:highlight w:val="none"/>
              </w:rPr>
              <w:t>工</w:t>
            </w:r>
            <w:r>
              <w:rPr>
                <w:color w:val="auto"/>
                <w:sz w:val="20"/>
                <w:szCs w:val="20"/>
                <w:highlight w:val="none"/>
              </w:rPr>
              <w:t xml:space="preserve"> </w:t>
            </w:r>
            <w:r>
              <w:rPr>
                <w:color w:val="auto"/>
                <w:spacing w:val="-3"/>
                <w:sz w:val="20"/>
                <w:szCs w:val="20"/>
                <w:highlight w:val="none"/>
              </w:rPr>
              <w:t>程名称</w:t>
            </w:r>
          </w:p>
        </w:tc>
        <w:tc>
          <w:tcPr>
            <w:tcW w:w="976" w:type="dxa"/>
            <w:vAlign w:val="top"/>
          </w:tcPr>
          <w:p w14:paraId="4848D848">
            <w:pPr>
              <w:pStyle w:val="9"/>
              <w:spacing w:before="150" w:line="280" w:lineRule="auto"/>
              <w:ind w:left="95" w:right="89" w:firstLine="3"/>
              <w:rPr>
                <w:color w:val="auto"/>
                <w:sz w:val="20"/>
                <w:szCs w:val="20"/>
                <w:highlight w:val="none"/>
              </w:rPr>
            </w:pPr>
            <w:r>
              <w:rPr>
                <w:color w:val="auto"/>
                <w:spacing w:val="20"/>
                <w:sz w:val="20"/>
                <w:szCs w:val="20"/>
                <w:highlight w:val="none"/>
              </w:rPr>
              <w:t>建设规</w:t>
            </w:r>
            <w:r>
              <w:rPr>
                <w:color w:val="auto"/>
                <w:spacing w:val="1"/>
                <w:sz w:val="20"/>
                <w:szCs w:val="20"/>
                <w:highlight w:val="none"/>
              </w:rPr>
              <w:t xml:space="preserve"> </w:t>
            </w:r>
            <w:r>
              <w:rPr>
                <w:color w:val="auto"/>
                <w:sz w:val="20"/>
                <w:szCs w:val="20"/>
                <w:highlight w:val="none"/>
              </w:rPr>
              <w:t>模</w:t>
            </w:r>
          </w:p>
        </w:tc>
        <w:tc>
          <w:tcPr>
            <w:tcW w:w="1454" w:type="dxa"/>
            <w:vAlign w:val="top"/>
          </w:tcPr>
          <w:p w14:paraId="098FDF3F">
            <w:pPr>
              <w:pStyle w:val="9"/>
              <w:spacing w:before="150" w:line="280" w:lineRule="auto"/>
              <w:ind w:left="139" w:right="89" w:hanging="39"/>
              <w:rPr>
                <w:color w:val="auto"/>
                <w:sz w:val="20"/>
                <w:szCs w:val="20"/>
                <w:highlight w:val="none"/>
              </w:rPr>
            </w:pPr>
            <w:r>
              <w:rPr>
                <w:color w:val="auto"/>
                <w:spacing w:val="-9"/>
                <w:sz w:val="20"/>
                <w:szCs w:val="20"/>
                <w:highlight w:val="none"/>
              </w:rPr>
              <w:t>建 筑 面 积</w:t>
            </w:r>
            <w:r>
              <w:rPr>
                <w:color w:val="auto"/>
                <w:spacing w:val="1"/>
                <w:sz w:val="20"/>
                <w:szCs w:val="20"/>
                <w:highlight w:val="none"/>
              </w:rPr>
              <w:t xml:space="preserve"> </w:t>
            </w:r>
            <w:r>
              <w:rPr>
                <w:color w:val="auto"/>
                <w:spacing w:val="-11"/>
                <w:sz w:val="20"/>
                <w:szCs w:val="20"/>
                <w:highlight w:val="none"/>
              </w:rPr>
              <w:t>(平方米)</w:t>
            </w:r>
          </w:p>
        </w:tc>
        <w:tc>
          <w:tcPr>
            <w:tcW w:w="870" w:type="dxa"/>
            <w:vAlign w:val="top"/>
          </w:tcPr>
          <w:p w14:paraId="26405F0E">
            <w:pPr>
              <w:pStyle w:val="9"/>
              <w:spacing w:before="150" w:line="280" w:lineRule="auto"/>
              <w:ind w:left="100" w:right="87" w:firstLine="2"/>
              <w:rPr>
                <w:color w:val="auto"/>
                <w:sz w:val="20"/>
                <w:szCs w:val="20"/>
                <w:highlight w:val="none"/>
              </w:rPr>
            </w:pPr>
            <w:r>
              <w:rPr>
                <w:color w:val="auto"/>
                <w:spacing w:val="-14"/>
                <w:sz w:val="20"/>
                <w:szCs w:val="20"/>
                <w:highlight w:val="none"/>
              </w:rPr>
              <w:t>结</w:t>
            </w:r>
            <w:r>
              <w:rPr>
                <w:color w:val="auto"/>
                <w:spacing w:val="101"/>
                <w:sz w:val="20"/>
                <w:szCs w:val="20"/>
                <w:highlight w:val="none"/>
              </w:rPr>
              <w:t xml:space="preserve"> </w:t>
            </w:r>
            <w:r>
              <w:rPr>
                <w:color w:val="auto"/>
                <w:spacing w:val="-14"/>
                <w:sz w:val="20"/>
                <w:szCs w:val="20"/>
                <w:highlight w:val="none"/>
              </w:rPr>
              <w:t>构</w:t>
            </w:r>
            <w:r>
              <w:rPr>
                <w:color w:val="auto"/>
                <w:sz w:val="20"/>
                <w:szCs w:val="20"/>
                <w:highlight w:val="none"/>
              </w:rPr>
              <w:t xml:space="preserve"> </w:t>
            </w:r>
            <w:r>
              <w:rPr>
                <w:color w:val="auto"/>
                <w:spacing w:val="-7"/>
                <w:sz w:val="20"/>
                <w:szCs w:val="20"/>
                <w:highlight w:val="none"/>
              </w:rPr>
              <w:t>形式</w:t>
            </w:r>
          </w:p>
        </w:tc>
        <w:tc>
          <w:tcPr>
            <w:tcW w:w="930" w:type="dxa"/>
            <w:vAlign w:val="top"/>
          </w:tcPr>
          <w:p w14:paraId="6ED5BCE9">
            <w:pPr>
              <w:spacing w:line="291" w:lineRule="auto"/>
              <w:rPr>
                <w:rFonts w:ascii="Arial"/>
                <w:color w:val="auto"/>
                <w:sz w:val="20"/>
                <w:szCs w:val="20"/>
                <w:highlight w:val="none"/>
              </w:rPr>
            </w:pPr>
          </w:p>
          <w:p w14:paraId="0AFA7C91">
            <w:pPr>
              <w:pStyle w:val="9"/>
              <w:spacing w:before="78" w:line="220" w:lineRule="auto"/>
              <w:ind w:left="98"/>
              <w:rPr>
                <w:color w:val="auto"/>
                <w:sz w:val="20"/>
                <w:szCs w:val="20"/>
                <w:highlight w:val="none"/>
              </w:rPr>
            </w:pPr>
            <w:r>
              <w:rPr>
                <w:color w:val="auto"/>
                <w:spacing w:val="-5"/>
                <w:sz w:val="20"/>
                <w:szCs w:val="20"/>
                <w:highlight w:val="none"/>
              </w:rPr>
              <w:t>层数</w:t>
            </w:r>
          </w:p>
        </w:tc>
        <w:tc>
          <w:tcPr>
            <w:tcW w:w="847" w:type="dxa"/>
            <w:vAlign w:val="top"/>
          </w:tcPr>
          <w:p w14:paraId="2AF41909">
            <w:pPr>
              <w:pStyle w:val="9"/>
              <w:spacing w:before="150" w:line="280" w:lineRule="auto"/>
              <w:ind w:left="106" w:right="88" w:hanging="7"/>
              <w:rPr>
                <w:color w:val="auto"/>
                <w:sz w:val="20"/>
                <w:szCs w:val="20"/>
                <w:highlight w:val="none"/>
              </w:rPr>
            </w:pPr>
            <w:r>
              <w:rPr>
                <w:color w:val="auto"/>
                <w:spacing w:val="-11"/>
                <w:sz w:val="20"/>
                <w:szCs w:val="20"/>
                <w:highlight w:val="none"/>
              </w:rPr>
              <w:t>生</w:t>
            </w:r>
            <w:r>
              <w:rPr>
                <w:color w:val="auto"/>
                <w:spacing w:val="74"/>
                <w:sz w:val="20"/>
                <w:szCs w:val="20"/>
                <w:highlight w:val="none"/>
              </w:rPr>
              <w:t xml:space="preserve"> </w:t>
            </w:r>
            <w:r>
              <w:rPr>
                <w:color w:val="auto"/>
                <w:spacing w:val="-11"/>
                <w:sz w:val="20"/>
                <w:szCs w:val="20"/>
                <w:highlight w:val="none"/>
              </w:rPr>
              <w:t>产</w:t>
            </w:r>
            <w:r>
              <w:rPr>
                <w:color w:val="auto"/>
                <w:sz w:val="20"/>
                <w:szCs w:val="20"/>
                <w:highlight w:val="none"/>
              </w:rPr>
              <w:t xml:space="preserve"> </w:t>
            </w:r>
            <w:r>
              <w:rPr>
                <w:color w:val="auto"/>
                <w:spacing w:val="-10"/>
                <w:sz w:val="20"/>
                <w:szCs w:val="20"/>
                <w:highlight w:val="none"/>
              </w:rPr>
              <w:t>能力</w:t>
            </w:r>
          </w:p>
        </w:tc>
        <w:tc>
          <w:tcPr>
            <w:tcW w:w="989" w:type="dxa"/>
            <w:vAlign w:val="top"/>
          </w:tcPr>
          <w:p w14:paraId="0CE8E1CA">
            <w:pPr>
              <w:pStyle w:val="9"/>
              <w:spacing w:before="150" w:line="222" w:lineRule="auto"/>
              <w:ind w:left="101"/>
              <w:rPr>
                <w:color w:val="auto"/>
                <w:sz w:val="20"/>
                <w:szCs w:val="20"/>
                <w:highlight w:val="none"/>
              </w:rPr>
            </w:pPr>
            <w:r>
              <w:rPr>
                <w:color w:val="auto"/>
                <w:spacing w:val="29"/>
                <w:sz w:val="20"/>
                <w:szCs w:val="20"/>
                <w:highlight w:val="none"/>
              </w:rPr>
              <w:t>设备安</w:t>
            </w:r>
          </w:p>
          <w:p w14:paraId="7B1B69C9">
            <w:pPr>
              <w:pStyle w:val="9"/>
              <w:spacing w:before="153" w:line="220" w:lineRule="auto"/>
              <w:ind w:left="97"/>
              <w:rPr>
                <w:color w:val="auto"/>
                <w:sz w:val="20"/>
                <w:szCs w:val="20"/>
                <w:highlight w:val="none"/>
              </w:rPr>
            </w:pPr>
            <w:r>
              <w:rPr>
                <w:color w:val="auto"/>
                <w:spacing w:val="-4"/>
                <w:sz w:val="20"/>
                <w:szCs w:val="20"/>
                <w:highlight w:val="none"/>
              </w:rPr>
              <w:t>装内容</w:t>
            </w:r>
          </w:p>
        </w:tc>
        <w:tc>
          <w:tcPr>
            <w:tcW w:w="1019" w:type="dxa"/>
            <w:vAlign w:val="top"/>
          </w:tcPr>
          <w:p w14:paraId="6466DEEE">
            <w:pPr>
              <w:pStyle w:val="9"/>
              <w:spacing w:before="150" w:line="280" w:lineRule="auto"/>
              <w:ind w:left="100"/>
              <w:rPr>
                <w:color w:val="auto"/>
                <w:sz w:val="20"/>
                <w:szCs w:val="20"/>
                <w:highlight w:val="none"/>
              </w:rPr>
            </w:pPr>
            <w:r>
              <w:rPr>
                <w:color w:val="auto"/>
                <w:spacing w:val="31"/>
                <w:sz w:val="20"/>
                <w:szCs w:val="20"/>
                <w:highlight w:val="none"/>
              </w:rPr>
              <w:t>合同价</w:t>
            </w:r>
            <w:r>
              <w:rPr>
                <w:color w:val="auto"/>
                <w:spacing w:val="1"/>
                <w:sz w:val="20"/>
                <w:szCs w:val="20"/>
                <w:highlight w:val="none"/>
              </w:rPr>
              <w:t xml:space="preserve"> </w:t>
            </w:r>
            <w:r>
              <w:rPr>
                <w:color w:val="auto"/>
                <w:spacing w:val="-12"/>
                <w:sz w:val="20"/>
                <w:szCs w:val="20"/>
                <w:highlight w:val="none"/>
              </w:rPr>
              <w:t>格（元）</w:t>
            </w:r>
          </w:p>
        </w:tc>
        <w:tc>
          <w:tcPr>
            <w:tcW w:w="870" w:type="dxa"/>
            <w:vAlign w:val="top"/>
          </w:tcPr>
          <w:p w14:paraId="014D9DDE">
            <w:pPr>
              <w:pStyle w:val="9"/>
              <w:spacing w:before="150" w:line="222" w:lineRule="auto"/>
              <w:ind w:left="102"/>
              <w:rPr>
                <w:color w:val="auto"/>
                <w:sz w:val="20"/>
                <w:szCs w:val="20"/>
                <w:highlight w:val="none"/>
              </w:rPr>
            </w:pPr>
            <w:r>
              <w:rPr>
                <w:color w:val="auto"/>
                <w:spacing w:val="-6"/>
                <w:sz w:val="20"/>
                <w:szCs w:val="20"/>
                <w:highlight w:val="none"/>
              </w:rPr>
              <w:t>开</w:t>
            </w:r>
            <w:r>
              <w:rPr>
                <w:color w:val="auto"/>
                <w:spacing w:val="101"/>
                <w:sz w:val="20"/>
                <w:szCs w:val="20"/>
                <w:highlight w:val="none"/>
              </w:rPr>
              <w:t xml:space="preserve"> </w:t>
            </w:r>
            <w:r>
              <w:rPr>
                <w:color w:val="auto"/>
                <w:spacing w:val="-6"/>
                <w:sz w:val="20"/>
                <w:szCs w:val="20"/>
                <w:highlight w:val="none"/>
              </w:rPr>
              <w:t>工</w:t>
            </w:r>
          </w:p>
          <w:p w14:paraId="37EF52E1">
            <w:pPr>
              <w:pStyle w:val="9"/>
              <w:spacing w:before="153" w:line="220" w:lineRule="auto"/>
              <w:ind w:left="142"/>
              <w:rPr>
                <w:color w:val="auto"/>
                <w:sz w:val="20"/>
                <w:szCs w:val="20"/>
                <w:highlight w:val="none"/>
              </w:rPr>
            </w:pPr>
            <w:r>
              <w:rPr>
                <w:color w:val="auto"/>
                <w:spacing w:val="-26"/>
                <w:sz w:val="20"/>
                <w:szCs w:val="20"/>
                <w:highlight w:val="none"/>
              </w:rPr>
              <w:t>日期</w:t>
            </w:r>
          </w:p>
        </w:tc>
        <w:tc>
          <w:tcPr>
            <w:tcW w:w="799" w:type="dxa"/>
            <w:vAlign w:val="top"/>
          </w:tcPr>
          <w:p w14:paraId="455E4538">
            <w:pPr>
              <w:pStyle w:val="9"/>
              <w:spacing w:before="150" w:line="220" w:lineRule="auto"/>
              <w:ind w:left="100"/>
              <w:rPr>
                <w:color w:val="auto"/>
                <w:sz w:val="20"/>
                <w:szCs w:val="20"/>
                <w:highlight w:val="none"/>
              </w:rPr>
            </w:pPr>
            <w:r>
              <w:rPr>
                <w:color w:val="auto"/>
                <w:spacing w:val="-6"/>
                <w:sz w:val="20"/>
                <w:szCs w:val="20"/>
                <w:highlight w:val="none"/>
              </w:rPr>
              <w:t>竣</w:t>
            </w:r>
            <w:r>
              <w:rPr>
                <w:color w:val="auto"/>
                <w:spacing w:val="24"/>
                <w:sz w:val="20"/>
                <w:szCs w:val="20"/>
                <w:highlight w:val="none"/>
              </w:rPr>
              <w:t xml:space="preserve"> </w:t>
            </w:r>
            <w:r>
              <w:rPr>
                <w:color w:val="auto"/>
                <w:spacing w:val="-6"/>
                <w:sz w:val="20"/>
                <w:szCs w:val="20"/>
                <w:highlight w:val="none"/>
              </w:rPr>
              <w:t>工</w:t>
            </w:r>
          </w:p>
          <w:p w14:paraId="7917A554">
            <w:pPr>
              <w:pStyle w:val="9"/>
              <w:spacing w:before="155" w:line="220" w:lineRule="auto"/>
              <w:ind w:left="141"/>
              <w:rPr>
                <w:color w:val="auto"/>
                <w:sz w:val="20"/>
                <w:szCs w:val="20"/>
                <w:highlight w:val="none"/>
              </w:rPr>
            </w:pPr>
            <w:r>
              <w:rPr>
                <w:color w:val="auto"/>
                <w:spacing w:val="-26"/>
                <w:sz w:val="20"/>
                <w:szCs w:val="20"/>
                <w:highlight w:val="none"/>
              </w:rPr>
              <w:t>日期</w:t>
            </w:r>
          </w:p>
        </w:tc>
      </w:tr>
      <w:tr w14:paraId="738E1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8" w:type="dxa"/>
            <w:vAlign w:val="top"/>
          </w:tcPr>
          <w:p w14:paraId="1DCFE52B">
            <w:pPr>
              <w:pStyle w:val="9"/>
              <w:spacing w:before="210" w:line="225" w:lineRule="auto"/>
              <w:ind w:left="98"/>
              <w:rPr>
                <w:color w:val="auto"/>
                <w:sz w:val="20"/>
                <w:szCs w:val="20"/>
                <w:highlight w:val="none"/>
              </w:rPr>
            </w:pPr>
            <w:r>
              <w:rPr>
                <w:color w:val="auto"/>
                <w:sz w:val="20"/>
                <w:szCs w:val="20"/>
                <w:highlight w:val="none"/>
              </w:rPr>
              <w:t>/</w:t>
            </w:r>
          </w:p>
        </w:tc>
        <w:tc>
          <w:tcPr>
            <w:tcW w:w="976" w:type="dxa"/>
            <w:vAlign w:val="top"/>
          </w:tcPr>
          <w:p w14:paraId="18D7AF31">
            <w:pPr>
              <w:pStyle w:val="9"/>
              <w:spacing w:before="210" w:line="225" w:lineRule="auto"/>
              <w:ind w:left="95"/>
              <w:rPr>
                <w:color w:val="auto"/>
                <w:sz w:val="20"/>
                <w:szCs w:val="20"/>
                <w:highlight w:val="none"/>
              </w:rPr>
            </w:pPr>
            <w:r>
              <w:rPr>
                <w:color w:val="auto"/>
                <w:sz w:val="20"/>
                <w:szCs w:val="20"/>
                <w:highlight w:val="none"/>
              </w:rPr>
              <w:t>/</w:t>
            </w:r>
          </w:p>
        </w:tc>
        <w:tc>
          <w:tcPr>
            <w:tcW w:w="1454" w:type="dxa"/>
            <w:vAlign w:val="top"/>
          </w:tcPr>
          <w:p w14:paraId="321D1DEE">
            <w:pPr>
              <w:pStyle w:val="9"/>
              <w:spacing w:before="210" w:line="225" w:lineRule="auto"/>
              <w:ind w:left="96"/>
              <w:rPr>
                <w:color w:val="auto"/>
                <w:sz w:val="20"/>
                <w:szCs w:val="20"/>
                <w:highlight w:val="none"/>
              </w:rPr>
            </w:pPr>
            <w:r>
              <w:rPr>
                <w:color w:val="auto"/>
                <w:sz w:val="20"/>
                <w:szCs w:val="20"/>
                <w:highlight w:val="none"/>
              </w:rPr>
              <w:t>/</w:t>
            </w:r>
          </w:p>
        </w:tc>
        <w:tc>
          <w:tcPr>
            <w:tcW w:w="870" w:type="dxa"/>
            <w:vAlign w:val="top"/>
          </w:tcPr>
          <w:p w14:paraId="51276E23">
            <w:pPr>
              <w:pStyle w:val="9"/>
              <w:spacing w:before="210" w:line="225" w:lineRule="auto"/>
              <w:ind w:left="96"/>
              <w:rPr>
                <w:color w:val="auto"/>
                <w:sz w:val="20"/>
                <w:szCs w:val="20"/>
                <w:highlight w:val="none"/>
              </w:rPr>
            </w:pPr>
            <w:r>
              <w:rPr>
                <w:color w:val="auto"/>
                <w:sz w:val="20"/>
                <w:szCs w:val="20"/>
                <w:highlight w:val="none"/>
              </w:rPr>
              <w:t>/</w:t>
            </w:r>
          </w:p>
        </w:tc>
        <w:tc>
          <w:tcPr>
            <w:tcW w:w="930" w:type="dxa"/>
            <w:vAlign w:val="top"/>
          </w:tcPr>
          <w:p w14:paraId="1D663C9F">
            <w:pPr>
              <w:pStyle w:val="9"/>
              <w:spacing w:before="210" w:line="225" w:lineRule="auto"/>
              <w:ind w:left="98"/>
              <w:rPr>
                <w:color w:val="auto"/>
                <w:sz w:val="20"/>
                <w:szCs w:val="20"/>
                <w:highlight w:val="none"/>
              </w:rPr>
            </w:pPr>
            <w:r>
              <w:rPr>
                <w:color w:val="auto"/>
                <w:sz w:val="20"/>
                <w:szCs w:val="20"/>
                <w:highlight w:val="none"/>
              </w:rPr>
              <w:t>/</w:t>
            </w:r>
          </w:p>
        </w:tc>
        <w:tc>
          <w:tcPr>
            <w:tcW w:w="847" w:type="dxa"/>
            <w:vAlign w:val="top"/>
          </w:tcPr>
          <w:p w14:paraId="3CC2A4A8">
            <w:pPr>
              <w:pStyle w:val="9"/>
              <w:spacing w:before="210" w:line="225" w:lineRule="auto"/>
              <w:ind w:left="96"/>
              <w:rPr>
                <w:color w:val="auto"/>
                <w:sz w:val="20"/>
                <w:szCs w:val="20"/>
                <w:highlight w:val="none"/>
              </w:rPr>
            </w:pPr>
            <w:r>
              <w:rPr>
                <w:color w:val="auto"/>
                <w:sz w:val="20"/>
                <w:szCs w:val="20"/>
                <w:highlight w:val="none"/>
              </w:rPr>
              <w:t>/</w:t>
            </w:r>
          </w:p>
        </w:tc>
        <w:tc>
          <w:tcPr>
            <w:tcW w:w="989" w:type="dxa"/>
            <w:vAlign w:val="top"/>
          </w:tcPr>
          <w:p w14:paraId="6C27B2BA">
            <w:pPr>
              <w:pStyle w:val="9"/>
              <w:spacing w:before="210" w:line="225" w:lineRule="auto"/>
              <w:ind w:left="97"/>
              <w:rPr>
                <w:color w:val="auto"/>
                <w:sz w:val="20"/>
                <w:szCs w:val="20"/>
                <w:highlight w:val="none"/>
              </w:rPr>
            </w:pPr>
            <w:r>
              <w:rPr>
                <w:color w:val="auto"/>
                <w:sz w:val="20"/>
                <w:szCs w:val="20"/>
                <w:highlight w:val="none"/>
              </w:rPr>
              <w:t>/</w:t>
            </w:r>
          </w:p>
        </w:tc>
        <w:tc>
          <w:tcPr>
            <w:tcW w:w="1019" w:type="dxa"/>
            <w:vAlign w:val="top"/>
          </w:tcPr>
          <w:p w14:paraId="78087A22">
            <w:pPr>
              <w:pStyle w:val="9"/>
              <w:spacing w:before="210" w:line="225" w:lineRule="auto"/>
              <w:ind w:left="99"/>
              <w:rPr>
                <w:color w:val="auto"/>
                <w:sz w:val="20"/>
                <w:szCs w:val="20"/>
                <w:highlight w:val="none"/>
              </w:rPr>
            </w:pPr>
            <w:r>
              <w:rPr>
                <w:color w:val="auto"/>
                <w:sz w:val="20"/>
                <w:szCs w:val="20"/>
                <w:highlight w:val="none"/>
              </w:rPr>
              <w:t>/</w:t>
            </w:r>
          </w:p>
        </w:tc>
        <w:tc>
          <w:tcPr>
            <w:tcW w:w="870" w:type="dxa"/>
            <w:vAlign w:val="top"/>
          </w:tcPr>
          <w:p w14:paraId="274B54CD">
            <w:pPr>
              <w:pStyle w:val="9"/>
              <w:spacing w:before="210" w:line="225" w:lineRule="auto"/>
              <w:ind w:left="100"/>
              <w:rPr>
                <w:color w:val="auto"/>
                <w:sz w:val="20"/>
                <w:szCs w:val="20"/>
                <w:highlight w:val="none"/>
              </w:rPr>
            </w:pPr>
            <w:r>
              <w:rPr>
                <w:color w:val="auto"/>
                <w:sz w:val="20"/>
                <w:szCs w:val="20"/>
                <w:highlight w:val="none"/>
              </w:rPr>
              <w:t>/</w:t>
            </w:r>
          </w:p>
        </w:tc>
        <w:tc>
          <w:tcPr>
            <w:tcW w:w="799" w:type="dxa"/>
            <w:vAlign w:val="top"/>
          </w:tcPr>
          <w:p w14:paraId="045F6DAA">
            <w:pPr>
              <w:pStyle w:val="9"/>
              <w:spacing w:before="210" w:line="225" w:lineRule="auto"/>
              <w:ind w:left="99"/>
              <w:rPr>
                <w:color w:val="auto"/>
                <w:sz w:val="20"/>
                <w:szCs w:val="20"/>
                <w:highlight w:val="none"/>
              </w:rPr>
            </w:pPr>
            <w:r>
              <w:rPr>
                <w:color w:val="auto"/>
                <w:sz w:val="20"/>
                <w:szCs w:val="20"/>
                <w:highlight w:val="none"/>
              </w:rPr>
              <w:t>/</w:t>
            </w:r>
          </w:p>
        </w:tc>
      </w:tr>
      <w:tr w14:paraId="7940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138" w:type="dxa"/>
            <w:vAlign w:val="top"/>
          </w:tcPr>
          <w:p w14:paraId="2C149455">
            <w:pPr>
              <w:rPr>
                <w:rFonts w:ascii="Arial"/>
                <w:color w:val="auto"/>
                <w:sz w:val="20"/>
                <w:szCs w:val="20"/>
                <w:highlight w:val="none"/>
              </w:rPr>
            </w:pPr>
          </w:p>
        </w:tc>
        <w:tc>
          <w:tcPr>
            <w:tcW w:w="976" w:type="dxa"/>
            <w:vAlign w:val="top"/>
          </w:tcPr>
          <w:p w14:paraId="54E8C7D2">
            <w:pPr>
              <w:rPr>
                <w:rFonts w:ascii="Arial"/>
                <w:color w:val="auto"/>
                <w:sz w:val="20"/>
                <w:szCs w:val="20"/>
                <w:highlight w:val="none"/>
              </w:rPr>
            </w:pPr>
          </w:p>
        </w:tc>
        <w:tc>
          <w:tcPr>
            <w:tcW w:w="1454" w:type="dxa"/>
            <w:vAlign w:val="top"/>
          </w:tcPr>
          <w:p w14:paraId="2946CB9B">
            <w:pPr>
              <w:rPr>
                <w:rFonts w:ascii="Arial"/>
                <w:color w:val="auto"/>
                <w:sz w:val="20"/>
                <w:szCs w:val="20"/>
                <w:highlight w:val="none"/>
              </w:rPr>
            </w:pPr>
          </w:p>
        </w:tc>
        <w:tc>
          <w:tcPr>
            <w:tcW w:w="870" w:type="dxa"/>
            <w:vAlign w:val="top"/>
          </w:tcPr>
          <w:p w14:paraId="337F0582">
            <w:pPr>
              <w:rPr>
                <w:rFonts w:ascii="Arial"/>
                <w:color w:val="auto"/>
                <w:sz w:val="20"/>
                <w:szCs w:val="20"/>
                <w:highlight w:val="none"/>
              </w:rPr>
            </w:pPr>
          </w:p>
        </w:tc>
        <w:tc>
          <w:tcPr>
            <w:tcW w:w="930" w:type="dxa"/>
            <w:vAlign w:val="top"/>
          </w:tcPr>
          <w:p w14:paraId="65CDA26F">
            <w:pPr>
              <w:rPr>
                <w:rFonts w:ascii="Arial"/>
                <w:color w:val="auto"/>
                <w:sz w:val="20"/>
                <w:szCs w:val="20"/>
                <w:highlight w:val="none"/>
              </w:rPr>
            </w:pPr>
          </w:p>
        </w:tc>
        <w:tc>
          <w:tcPr>
            <w:tcW w:w="847" w:type="dxa"/>
            <w:vAlign w:val="top"/>
          </w:tcPr>
          <w:p w14:paraId="321AB917">
            <w:pPr>
              <w:rPr>
                <w:rFonts w:ascii="Arial"/>
                <w:color w:val="auto"/>
                <w:sz w:val="20"/>
                <w:szCs w:val="20"/>
                <w:highlight w:val="none"/>
              </w:rPr>
            </w:pPr>
          </w:p>
        </w:tc>
        <w:tc>
          <w:tcPr>
            <w:tcW w:w="989" w:type="dxa"/>
            <w:vAlign w:val="top"/>
          </w:tcPr>
          <w:p w14:paraId="71032C72">
            <w:pPr>
              <w:rPr>
                <w:rFonts w:ascii="Arial"/>
                <w:color w:val="auto"/>
                <w:sz w:val="20"/>
                <w:szCs w:val="20"/>
                <w:highlight w:val="none"/>
              </w:rPr>
            </w:pPr>
          </w:p>
        </w:tc>
        <w:tc>
          <w:tcPr>
            <w:tcW w:w="1019" w:type="dxa"/>
            <w:vAlign w:val="top"/>
          </w:tcPr>
          <w:p w14:paraId="72993500">
            <w:pPr>
              <w:rPr>
                <w:rFonts w:ascii="Arial"/>
                <w:color w:val="auto"/>
                <w:sz w:val="20"/>
                <w:szCs w:val="20"/>
                <w:highlight w:val="none"/>
              </w:rPr>
            </w:pPr>
          </w:p>
        </w:tc>
        <w:tc>
          <w:tcPr>
            <w:tcW w:w="870" w:type="dxa"/>
            <w:vAlign w:val="top"/>
          </w:tcPr>
          <w:p w14:paraId="28805645">
            <w:pPr>
              <w:rPr>
                <w:rFonts w:ascii="Arial"/>
                <w:color w:val="auto"/>
                <w:sz w:val="20"/>
                <w:szCs w:val="20"/>
                <w:highlight w:val="none"/>
              </w:rPr>
            </w:pPr>
          </w:p>
        </w:tc>
        <w:tc>
          <w:tcPr>
            <w:tcW w:w="799" w:type="dxa"/>
            <w:vAlign w:val="top"/>
          </w:tcPr>
          <w:p w14:paraId="12EBF092">
            <w:pPr>
              <w:rPr>
                <w:rFonts w:ascii="Arial"/>
                <w:color w:val="auto"/>
                <w:sz w:val="20"/>
                <w:szCs w:val="20"/>
                <w:highlight w:val="none"/>
              </w:rPr>
            </w:pPr>
          </w:p>
        </w:tc>
      </w:tr>
      <w:tr w14:paraId="5E249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138" w:type="dxa"/>
            <w:vAlign w:val="top"/>
          </w:tcPr>
          <w:p w14:paraId="30E06B56">
            <w:pPr>
              <w:rPr>
                <w:rFonts w:ascii="Arial"/>
                <w:color w:val="auto"/>
                <w:sz w:val="20"/>
                <w:szCs w:val="20"/>
                <w:highlight w:val="none"/>
              </w:rPr>
            </w:pPr>
          </w:p>
        </w:tc>
        <w:tc>
          <w:tcPr>
            <w:tcW w:w="976" w:type="dxa"/>
            <w:vAlign w:val="top"/>
          </w:tcPr>
          <w:p w14:paraId="3DB9FD1D">
            <w:pPr>
              <w:rPr>
                <w:rFonts w:ascii="Arial"/>
                <w:color w:val="auto"/>
                <w:sz w:val="20"/>
                <w:szCs w:val="20"/>
                <w:highlight w:val="none"/>
              </w:rPr>
            </w:pPr>
          </w:p>
        </w:tc>
        <w:tc>
          <w:tcPr>
            <w:tcW w:w="1454" w:type="dxa"/>
            <w:vAlign w:val="top"/>
          </w:tcPr>
          <w:p w14:paraId="401685CC">
            <w:pPr>
              <w:rPr>
                <w:rFonts w:ascii="Arial"/>
                <w:color w:val="auto"/>
                <w:sz w:val="20"/>
                <w:szCs w:val="20"/>
                <w:highlight w:val="none"/>
              </w:rPr>
            </w:pPr>
          </w:p>
        </w:tc>
        <w:tc>
          <w:tcPr>
            <w:tcW w:w="870" w:type="dxa"/>
            <w:vAlign w:val="top"/>
          </w:tcPr>
          <w:p w14:paraId="398B5C9A">
            <w:pPr>
              <w:rPr>
                <w:rFonts w:ascii="Arial"/>
                <w:color w:val="auto"/>
                <w:sz w:val="20"/>
                <w:szCs w:val="20"/>
                <w:highlight w:val="none"/>
              </w:rPr>
            </w:pPr>
          </w:p>
        </w:tc>
        <w:tc>
          <w:tcPr>
            <w:tcW w:w="930" w:type="dxa"/>
            <w:vAlign w:val="top"/>
          </w:tcPr>
          <w:p w14:paraId="587E268D">
            <w:pPr>
              <w:rPr>
                <w:rFonts w:ascii="Arial"/>
                <w:color w:val="auto"/>
                <w:sz w:val="20"/>
                <w:szCs w:val="20"/>
                <w:highlight w:val="none"/>
              </w:rPr>
            </w:pPr>
          </w:p>
        </w:tc>
        <w:tc>
          <w:tcPr>
            <w:tcW w:w="847" w:type="dxa"/>
            <w:vAlign w:val="top"/>
          </w:tcPr>
          <w:p w14:paraId="5B0B242A">
            <w:pPr>
              <w:rPr>
                <w:rFonts w:ascii="Arial"/>
                <w:color w:val="auto"/>
                <w:sz w:val="20"/>
                <w:szCs w:val="20"/>
                <w:highlight w:val="none"/>
              </w:rPr>
            </w:pPr>
          </w:p>
        </w:tc>
        <w:tc>
          <w:tcPr>
            <w:tcW w:w="989" w:type="dxa"/>
            <w:vAlign w:val="top"/>
          </w:tcPr>
          <w:p w14:paraId="63146A7C">
            <w:pPr>
              <w:rPr>
                <w:rFonts w:ascii="Arial"/>
                <w:color w:val="auto"/>
                <w:sz w:val="20"/>
                <w:szCs w:val="20"/>
                <w:highlight w:val="none"/>
              </w:rPr>
            </w:pPr>
          </w:p>
        </w:tc>
        <w:tc>
          <w:tcPr>
            <w:tcW w:w="1019" w:type="dxa"/>
            <w:vAlign w:val="top"/>
          </w:tcPr>
          <w:p w14:paraId="42B2C8A3">
            <w:pPr>
              <w:rPr>
                <w:rFonts w:ascii="Arial"/>
                <w:color w:val="auto"/>
                <w:sz w:val="20"/>
                <w:szCs w:val="20"/>
                <w:highlight w:val="none"/>
              </w:rPr>
            </w:pPr>
          </w:p>
        </w:tc>
        <w:tc>
          <w:tcPr>
            <w:tcW w:w="870" w:type="dxa"/>
            <w:vAlign w:val="top"/>
          </w:tcPr>
          <w:p w14:paraId="556C5A25">
            <w:pPr>
              <w:rPr>
                <w:rFonts w:ascii="Arial"/>
                <w:color w:val="auto"/>
                <w:sz w:val="20"/>
                <w:szCs w:val="20"/>
                <w:highlight w:val="none"/>
              </w:rPr>
            </w:pPr>
          </w:p>
        </w:tc>
        <w:tc>
          <w:tcPr>
            <w:tcW w:w="799" w:type="dxa"/>
            <w:vAlign w:val="top"/>
          </w:tcPr>
          <w:p w14:paraId="612A50F9">
            <w:pPr>
              <w:rPr>
                <w:rFonts w:ascii="Arial"/>
                <w:color w:val="auto"/>
                <w:sz w:val="20"/>
                <w:szCs w:val="20"/>
                <w:highlight w:val="none"/>
              </w:rPr>
            </w:pPr>
          </w:p>
        </w:tc>
      </w:tr>
    </w:tbl>
    <w:p w14:paraId="68485460">
      <w:pPr>
        <w:pStyle w:val="2"/>
        <w:rPr>
          <w:color w:val="auto"/>
          <w:highlight w:val="none"/>
        </w:rPr>
      </w:pPr>
    </w:p>
    <w:p w14:paraId="1E94B4A5">
      <w:pPr>
        <w:rPr>
          <w:color w:val="auto"/>
          <w:highlight w:val="none"/>
        </w:rPr>
        <w:sectPr>
          <w:headerReference r:id="rId238" w:type="default"/>
          <w:footerReference r:id="rId239" w:type="default"/>
          <w:pgSz w:w="11906" w:h="16839"/>
          <w:pgMar w:top="1091" w:right="1004" w:bottom="1158" w:left="1004" w:header="1076" w:footer="922" w:gutter="0"/>
          <w:cols w:space="720" w:num="1"/>
        </w:sectPr>
      </w:pPr>
    </w:p>
    <w:p w14:paraId="59D34511">
      <w:pPr>
        <w:pStyle w:val="2"/>
        <w:spacing w:line="295" w:lineRule="auto"/>
        <w:rPr>
          <w:color w:val="auto"/>
          <w:highlight w:val="none"/>
        </w:rPr>
      </w:pPr>
    </w:p>
    <w:p w14:paraId="1391596F">
      <w:pPr>
        <w:pStyle w:val="2"/>
        <w:spacing w:line="296" w:lineRule="auto"/>
        <w:rPr>
          <w:color w:val="auto"/>
          <w:highlight w:val="none"/>
        </w:rPr>
      </w:pPr>
    </w:p>
    <w:p w14:paraId="4296E96B">
      <w:pPr>
        <w:spacing w:before="97" w:line="219" w:lineRule="auto"/>
        <w:ind w:left="35"/>
        <w:rPr>
          <w:rFonts w:ascii="宋体" w:hAnsi="宋体" w:eastAsia="宋体" w:cs="宋体"/>
          <w:color w:val="auto"/>
          <w:sz w:val="30"/>
          <w:szCs w:val="30"/>
          <w:highlight w:val="none"/>
        </w:rPr>
      </w:pPr>
      <w:r>
        <w:rPr>
          <w:rFonts w:ascii="宋体" w:hAnsi="宋体" w:eastAsia="宋体" w:cs="宋体"/>
          <w:color w:val="auto"/>
          <w:spacing w:val="-13"/>
          <w:sz w:val="30"/>
          <w:szCs w:val="30"/>
          <w:highlight w:val="none"/>
        </w:rPr>
        <w:t>附件</w:t>
      </w:r>
      <w:r>
        <w:rPr>
          <w:rFonts w:ascii="宋体" w:hAnsi="宋体" w:eastAsia="宋体" w:cs="宋体"/>
          <w:color w:val="auto"/>
          <w:spacing w:val="-60"/>
          <w:sz w:val="30"/>
          <w:szCs w:val="30"/>
          <w:highlight w:val="none"/>
        </w:rPr>
        <w:t xml:space="preserve"> </w:t>
      </w:r>
      <w:r>
        <w:rPr>
          <w:rFonts w:ascii="宋体" w:hAnsi="宋体" w:eastAsia="宋体" w:cs="宋体"/>
          <w:color w:val="auto"/>
          <w:spacing w:val="-13"/>
          <w:sz w:val="30"/>
          <w:szCs w:val="30"/>
          <w:highlight w:val="none"/>
        </w:rPr>
        <w:t>2：</w:t>
      </w:r>
    </w:p>
    <w:p w14:paraId="5B58B823">
      <w:pPr>
        <w:spacing w:before="221" w:line="225" w:lineRule="auto"/>
        <w:ind w:left="2349"/>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rPr>
        <w:t>工程质量保修书（房屋建筑工程）</w:t>
      </w:r>
    </w:p>
    <w:p w14:paraId="30928634">
      <w:pPr>
        <w:pStyle w:val="2"/>
        <w:spacing w:line="245" w:lineRule="auto"/>
        <w:rPr>
          <w:color w:val="auto"/>
          <w:highlight w:val="none"/>
        </w:rPr>
      </w:pPr>
    </w:p>
    <w:p w14:paraId="64907FB3">
      <w:pPr>
        <w:spacing w:before="65"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发包人（全称</w:t>
      </w:r>
      <w:r>
        <w:rPr>
          <w:rFonts w:ascii="宋体" w:hAnsi="宋体" w:eastAsia="宋体" w:cs="宋体"/>
          <w:color w:val="auto"/>
          <w:spacing w:val="16"/>
          <w:sz w:val="20"/>
          <w:szCs w:val="20"/>
          <w:highlight w:val="none"/>
        </w:rPr>
        <w:t>）：</w:t>
      </w:r>
      <w:r>
        <w:rPr>
          <w:rFonts w:ascii="宋体" w:hAnsi="宋体" w:eastAsia="宋体" w:cs="宋体"/>
          <w:color w:val="auto"/>
          <w:spacing w:val="13"/>
          <w:sz w:val="20"/>
          <w:szCs w:val="20"/>
          <w:highlight w:val="none"/>
          <w:u w:val="single" w:color="auto"/>
        </w:rPr>
        <w:t xml:space="preserve"> </w:t>
      </w:r>
      <w:r>
        <w:rPr>
          <w:rFonts w:hint="eastAsia" w:ascii="宋体" w:hAnsi="宋体" w:eastAsia="宋体" w:cs="宋体"/>
          <w:color w:val="auto"/>
          <w:spacing w:val="7"/>
          <w:sz w:val="20"/>
          <w:szCs w:val="20"/>
          <w:highlight w:val="none"/>
          <w:u w:val="single" w:color="auto"/>
          <w:lang w:eastAsia="zh-CN"/>
        </w:rPr>
        <w:t>横州市莲塘镇初级中学</w:t>
      </w:r>
      <w:r>
        <w:rPr>
          <w:rFonts w:ascii="宋体" w:hAnsi="宋体" w:eastAsia="宋体" w:cs="宋体"/>
          <w:color w:val="auto"/>
          <w:spacing w:val="7"/>
          <w:sz w:val="20"/>
          <w:szCs w:val="20"/>
          <w:highlight w:val="none"/>
          <w:u w:val="single" w:color="auto"/>
        </w:rPr>
        <w:t xml:space="preserve">  </w:t>
      </w:r>
    </w:p>
    <w:p w14:paraId="387A6C28">
      <w:pPr>
        <w:spacing w:before="193" w:line="228" w:lineRule="auto"/>
        <w:ind w:left="428"/>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承包人（全称</w:t>
      </w:r>
      <w:r>
        <w:rPr>
          <w:rFonts w:ascii="宋体" w:hAnsi="宋体" w:eastAsia="宋体" w:cs="宋体"/>
          <w:color w:val="auto"/>
          <w:spacing w:val="11"/>
          <w:sz w:val="20"/>
          <w:szCs w:val="20"/>
          <w:highlight w:val="none"/>
        </w:rPr>
        <w:t>）：</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z w:val="20"/>
          <w:szCs w:val="20"/>
          <w:highlight w:val="none"/>
          <w:u w:val="single" w:color="auto"/>
        </w:rPr>
        <w:t xml:space="preserve">XXXXXXXXXXXX       </w:t>
      </w:r>
    </w:p>
    <w:p w14:paraId="4451780F">
      <w:pPr>
        <w:pStyle w:val="2"/>
        <w:spacing w:line="260" w:lineRule="auto"/>
        <w:rPr>
          <w:color w:val="auto"/>
          <w:highlight w:val="none"/>
        </w:rPr>
      </w:pPr>
    </w:p>
    <w:p w14:paraId="5FB3A0B3">
      <w:pPr>
        <w:pStyle w:val="2"/>
        <w:spacing w:line="261" w:lineRule="auto"/>
        <w:rPr>
          <w:color w:val="auto"/>
          <w:highlight w:val="none"/>
        </w:rPr>
      </w:pPr>
    </w:p>
    <w:p w14:paraId="49169DF0">
      <w:pPr>
        <w:spacing w:before="66" w:line="432" w:lineRule="auto"/>
        <w:ind w:left="13" w:right="54" w:firstLine="41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发包人和承包人根据《中华人民共和国建筑法》和《建设</w:t>
      </w:r>
      <w:r>
        <w:rPr>
          <w:rFonts w:ascii="宋体" w:hAnsi="宋体" w:eastAsia="宋体" w:cs="宋体"/>
          <w:color w:val="auto"/>
          <w:spacing w:val="7"/>
          <w:sz w:val="20"/>
          <w:szCs w:val="20"/>
          <w:highlight w:val="none"/>
        </w:rPr>
        <w:t>工程质量管理条例》，经协商一致就</w:t>
      </w:r>
      <w:r>
        <w:rPr>
          <w:rFonts w:ascii="宋体" w:hAnsi="宋体" w:eastAsia="宋体" w:cs="宋体"/>
          <w:color w:val="auto"/>
          <w:spacing w:val="7"/>
          <w:sz w:val="20"/>
          <w:szCs w:val="20"/>
          <w:highlight w:val="none"/>
          <w:u w:val="single" w:color="auto"/>
        </w:rPr>
        <w:t xml:space="preserve"> 横州</w:t>
      </w:r>
      <w:r>
        <w:rPr>
          <w:rFonts w:ascii="宋体" w:hAnsi="宋体" w:eastAsia="宋体" w:cs="宋体"/>
          <w:color w:val="auto"/>
          <w:sz w:val="20"/>
          <w:szCs w:val="20"/>
          <w:highlight w:val="none"/>
        </w:rPr>
        <w:t xml:space="preserve"> </w:t>
      </w:r>
      <w:r>
        <w:rPr>
          <w:rFonts w:ascii="宋体" w:hAnsi="宋体" w:eastAsia="宋体" w:cs="宋体"/>
          <w:color w:val="auto"/>
          <w:spacing w:val="8"/>
          <w:sz w:val="20"/>
          <w:szCs w:val="20"/>
          <w:highlight w:val="none"/>
          <w:u w:val="single" w:color="auto"/>
        </w:rPr>
        <w:t>市</w:t>
      </w:r>
      <w:r>
        <w:rPr>
          <w:rFonts w:ascii="宋体" w:hAnsi="宋体" w:eastAsia="宋体" w:cs="宋体"/>
          <w:color w:val="auto"/>
          <w:spacing w:val="-27"/>
          <w:sz w:val="20"/>
          <w:szCs w:val="20"/>
          <w:highlight w:val="none"/>
          <w:u w:val="single" w:color="auto"/>
        </w:rPr>
        <w:t xml:space="preserve"> </w:t>
      </w:r>
      <w:r>
        <w:rPr>
          <w:rFonts w:ascii="宋体" w:hAnsi="宋体" w:eastAsia="宋体" w:cs="宋体"/>
          <w:color w:val="auto"/>
          <w:sz w:val="20"/>
          <w:szCs w:val="20"/>
          <w:highlight w:val="none"/>
          <w:u w:val="single" w:color="auto"/>
        </w:rPr>
        <w:t>xxxx</w:t>
      </w:r>
      <w:r>
        <w:rPr>
          <w:rFonts w:ascii="宋体" w:hAnsi="宋体" w:eastAsia="宋体" w:cs="宋体"/>
          <w:color w:val="auto"/>
          <w:spacing w:val="-37"/>
          <w:sz w:val="20"/>
          <w:szCs w:val="20"/>
          <w:highlight w:val="none"/>
          <w:u w:val="single" w:color="auto"/>
        </w:rPr>
        <w:t xml:space="preserve"> </w:t>
      </w:r>
      <w:r>
        <w:rPr>
          <w:rFonts w:ascii="宋体" w:hAnsi="宋体" w:eastAsia="宋体" w:cs="宋体"/>
          <w:color w:val="auto"/>
          <w:spacing w:val="8"/>
          <w:sz w:val="20"/>
          <w:szCs w:val="20"/>
          <w:highlight w:val="none"/>
          <w:u w:val="single" w:color="auto"/>
        </w:rPr>
        <w:t>项目</w:t>
      </w:r>
      <w:r>
        <w:rPr>
          <w:rFonts w:ascii="宋体" w:hAnsi="宋体" w:eastAsia="宋体" w:cs="宋体"/>
          <w:color w:val="auto"/>
          <w:spacing w:val="8"/>
          <w:sz w:val="20"/>
          <w:szCs w:val="20"/>
          <w:highlight w:val="none"/>
        </w:rPr>
        <w:t>（工程全称）签订工程质量保修书。</w:t>
      </w:r>
    </w:p>
    <w:p w14:paraId="7E1E7E4A">
      <w:pPr>
        <w:spacing w:line="228" w:lineRule="auto"/>
        <w:ind w:left="43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一、工程质量保修范围和内容</w:t>
      </w:r>
    </w:p>
    <w:p w14:paraId="29091FB7">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承包人在质量保修期内，按照有关法律规定和合同约定，承担工程质量保修责任。</w:t>
      </w:r>
    </w:p>
    <w:p w14:paraId="1EBCC809">
      <w:pPr>
        <w:spacing w:before="221" w:line="432" w:lineRule="auto"/>
        <w:ind w:left="8" w:right="55" w:firstLine="42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质量保修范围包括地基基础工程、主体结构工程，屋面防水工程、有防水要求的卫生间、房间和外</w:t>
      </w:r>
      <w:r>
        <w:rPr>
          <w:rFonts w:ascii="宋体" w:hAnsi="宋体" w:eastAsia="宋体" w:cs="宋体"/>
          <w:color w:val="auto"/>
          <w:spacing w:val="5"/>
          <w:sz w:val="20"/>
          <w:szCs w:val="20"/>
          <w:highlight w:val="none"/>
        </w:rPr>
        <w:t xml:space="preserve"> </w:t>
      </w:r>
      <w:r>
        <w:rPr>
          <w:rFonts w:ascii="宋体" w:hAnsi="宋体" w:eastAsia="宋体" w:cs="宋体"/>
          <w:color w:val="auto"/>
          <w:spacing w:val="10"/>
          <w:sz w:val="20"/>
          <w:szCs w:val="20"/>
          <w:highlight w:val="none"/>
        </w:rPr>
        <w:t>墙面的防渗漏，供热与供冷系统，电气管线、给排水管道、设备安装和装修工程，以及双方约定的其他</w:t>
      </w:r>
      <w:r>
        <w:rPr>
          <w:rFonts w:ascii="宋体" w:hAnsi="宋体" w:eastAsia="宋体" w:cs="宋体"/>
          <w:color w:val="auto"/>
          <w:spacing w:val="6"/>
          <w:sz w:val="20"/>
          <w:szCs w:val="20"/>
          <w:highlight w:val="none"/>
        </w:rPr>
        <w:t xml:space="preserve"> </w:t>
      </w:r>
      <w:r>
        <w:rPr>
          <w:rFonts w:ascii="宋体" w:hAnsi="宋体" w:eastAsia="宋体" w:cs="宋体"/>
          <w:color w:val="auto"/>
          <w:spacing w:val="9"/>
          <w:sz w:val="20"/>
          <w:szCs w:val="20"/>
          <w:highlight w:val="none"/>
        </w:rPr>
        <w:t>项目。具体保修的内容，双方约定如下：</w:t>
      </w:r>
      <w:r>
        <w:rPr>
          <w:rFonts w:ascii="宋体" w:hAnsi="宋体" w:eastAsia="宋体" w:cs="宋体"/>
          <w:color w:val="auto"/>
          <w:spacing w:val="9"/>
          <w:sz w:val="20"/>
          <w:szCs w:val="20"/>
          <w:highlight w:val="none"/>
          <w:u w:val="single" w:color="auto"/>
        </w:rPr>
        <w:t>无</w:t>
      </w:r>
      <w:r>
        <w:rPr>
          <w:rFonts w:ascii="宋体" w:hAnsi="宋体" w:eastAsia="宋体" w:cs="宋体"/>
          <w:color w:val="auto"/>
          <w:spacing w:val="9"/>
          <w:sz w:val="20"/>
          <w:szCs w:val="20"/>
          <w:highlight w:val="none"/>
        </w:rPr>
        <w:t>。</w:t>
      </w:r>
    </w:p>
    <w:p w14:paraId="12AD156D">
      <w:pPr>
        <w:spacing w:line="228" w:lineRule="auto"/>
        <w:ind w:left="431"/>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二、质量保修期</w:t>
      </w:r>
    </w:p>
    <w:p w14:paraId="1F4F45F8">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根据《建设工程质量管理条例》及有关规定，工程的质量保修期如下：</w:t>
      </w:r>
    </w:p>
    <w:p w14:paraId="228F8C6C">
      <w:pPr>
        <w:spacing w:before="221" w:line="228" w:lineRule="auto"/>
        <w:ind w:left="443"/>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1．地基基础工程和主体结构工程为设计文件规定</w:t>
      </w:r>
      <w:r>
        <w:rPr>
          <w:rFonts w:ascii="宋体" w:hAnsi="宋体" w:eastAsia="宋体" w:cs="宋体"/>
          <w:color w:val="auto"/>
          <w:spacing w:val="8"/>
          <w:sz w:val="20"/>
          <w:szCs w:val="20"/>
          <w:highlight w:val="none"/>
        </w:rPr>
        <w:t>的工程合理使用年限；</w:t>
      </w:r>
    </w:p>
    <w:p w14:paraId="7B3BDAA5">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2．屋面防水工程、有防水要求的卫生间、房间和外墙面</w:t>
      </w:r>
      <w:r>
        <w:rPr>
          <w:rFonts w:ascii="宋体" w:hAnsi="宋体" w:eastAsia="宋体" w:cs="宋体"/>
          <w:color w:val="auto"/>
          <w:spacing w:val="8"/>
          <w:sz w:val="20"/>
          <w:szCs w:val="20"/>
          <w:highlight w:val="none"/>
        </w:rPr>
        <w:t>的防渗为</w:t>
      </w:r>
      <w:r>
        <w:rPr>
          <w:rFonts w:ascii="宋体" w:hAnsi="宋体" w:eastAsia="宋体" w:cs="宋体"/>
          <w:color w:val="auto"/>
          <w:spacing w:val="8"/>
          <w:sz w:val="20"/>
          <w:szCs w:val="20"/>
          <w:highlight w:val="none"/>
          <w:u w:val="single" w:color="auto"/>
        </w:rPr>
        <w:t xml:space="preserve"> 5 </w:t>
      </w:r>
      <w:r>
        <w:rPr>
          <w:rFonts w:ascii="宋体" w:hAnsi="宋体" w:eastAsia="宋体" w:cs="宋体"/>
          <w:color w:val="auto"/>
          <w:spacing w:val="8"/>
          <w:sz w:val="20"/>
          <w:szCs w:val="20"/>
          <w:highlight w:val="none"/>
        </w:rPr>
        <w:t>年；</w:t>
      </w:r>
    </w:p>
    <w:p w14:paraId="376DD369">
      <w:pPr>
        <w:spacing w:before="221" w:line="228" w:lineRule="auto"/>
        <w:ind w:left="432"/>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3．装修工程为</w:t>
      </w:r>
      <w:r>
        <w:rPr>
          <w:rFonts w:ascii="宋体" w:hAnsi="宋体" w:eastAsia="宋体" w:cs="宋体"/>
          <w:color w:val="auto"/>
          <w:spacing w:val="5"/>
          <w:sz w:val="20"/>
          <w:szCs w:val="20"/>
          <w:highlight w:val="none"/>
          <w:u w:val="single" w:color="auto"/>
        </w:rPr>
        <w:t xml:space="preserve"> 2</w:t>
      </w:r>
      <w:r>
        <w:rPr>
          <w:rFonts w:ascii="宋体" w:hAnsi="宋体" w:eastAsia="宋体" w:cs="宋体"/>
          <w:color w:val="auto"/>
          <w:spacing w:val="20"/>
          <w:sz w:val="20"/>
          <w:szCs w:val="20"/>
          <w:highlight w:val="none"/>
          <w:u w:val="single" w:color="auto"/>
        </w:rPr>
        <w:t xml:space="preserve"> </w:t>
      </w:r>
      <w:r>
        <w:rPr>
          <w:rFonts w:ascii="宋体" w:hAnsi="宋体" w:eastAsia="宋体" w:cs="宋体"/>
          <w:color w:val="auto"/>
          <w:spacing w:val="5"/>
          <w:sz w:val="20"/>
          <w:szCs w:val="20"/>
          <w:highlight w:val="none"/>
        </w:rPr>
        <w:t>年；</w:t>
      </w:r>
    </w:p>
    <w:p w14:paraId="16F4DEB9">
      <w:pPr>
        <w:spacing w:before="221" w:line="228" w:lineRule="auto"/>
        <w:ind w:left="42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4．</w:t>
      </w:r>
      <w:r>
        <w:rPr>
          <w:rFonts w:ascii="宋体" w:hAnsi="宋体" w:eastAsia="宋体" w:cs="宋体"/>
          <w:color w:val="auto"/>
          <w:spacing w:val="-41"/>
          <w:sz w:val="20"/>
          <w:szCs w:val="20"/>
          <w:highlight w:val="none"/>
        </w:rPr>
        <w:t xml:space="preserve"> </w:t>
      </w:r>
      <w:r>
        <w:rPr>
          <w:rFonts w:ascii="宋体" w:hAnsi="宋体" w:eastAsia="宋体" w:cs="宋体"/>
          <w:color w:val="auto"/>
          <w:spacing w:val="6"/>
          <w:sz w:val="20"/>
          <w:szCs w:val="20"/>
          <w:highlight w:val="none"/>
        </w:rPr>
        <w:t>电气管线、给排水管道、设备安装工程为</w:t>
      </w:r>
      <w:r>
        <w:rPr>
          <w:rFonts w:ascii="宋体" w:hAnsi="宋体" w:eastAsia="宋体" w:cs="宋体"/>
          <w:color w:val="auto"/>
          <w:spacing w:val="6"/>
          <w:sz w:val="20"/>
          <w:szCs w:val="20"/>
          <w:highlight w:val="none"/>
          <w:u w:val="single" w:color="auto"/>
        </w:rPr>
        <w:t xml:space="preserve"> 2 </w:t>
      </w:r>
      <w:r>
        <w:rPr>
          <w:rFonts w:ascii="宋体" w:hAnsi="宋体" w:eastAsia="宋体" w:cs="宋体"/>
          <w:color w:val="auto"/>
          <w:spacing w:val="6"/>
          <w:sz w:val="20"/>
          <w:szCs w:val="20"/>
          <w:highlight w:val="none"/>
        </w:rPr>
        <w:t>年；</w:t>
      </w:r>
    </w:p>
    <w:p w14:paraId="0D1877F9">
      <w:pPr>
        <w:spacing w:before="220" w:line="228" w:lineRule="auto"/>
        <w:ind w:left="432"/>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5．供热与供冷系统为</w:t>
      </w:r>
      <w:r>
        <w:rPr>
          <w:rFonts w:ascii="宋体" w:hAnsi="宋体" w:eastAsia="宋体" w:cs="宋体"/>
          <w:color w:val="auto"/>
          <w:spacing w:val="8"/>
          <w:sz w:val="20"/>
          <w:szCs w:val="20"/>
          <w:highlight w:val="none"/>
          <w:u w:val="single" w:color="auto"/>
        </w:rPr>
        <w:t xml:space="preserve"> 2 </w:t>
      </w:r>
      <w:r>
        <w:rPr>
          <w:rFonts w:ascii="宋体" w:hAnsi="宋体" w:eastAsia="宋体" w:cs="宋体"/>
          <w:color w:val="auto"/>
          <w:spacing w:val="8"/>
          <w:sz w:val="20"/>
          <w:szCs w:val="20"/>
          <w:highlight w:val="none"/>
        </w:rPr>
        <w:t>个采暖期、供</w:t>
      </w:r>
      <w:r>
        <w:rPr>
          <w:rFonts w:ascii="宋体" w:hAnsi="宋体" w:eastAsia="宋体" w:cs="宋体"/>
          <w:color w:val="auto"/>
          <w:spacing w:val="7"/>
          <w:sz w:val="20"/>
          <w:szCs w:val="20"/>
          <w:highlight w:val="none"/>
        </w:rPr>
        <w:t>冷期；</w:t>
      </w:r>
    </w:p>
    <w:p w14:paraId="09AC33F2">
      <w:pPr>
        <w:spacing w:before="222"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6．住宅小区内的给排水设施、道路等配套工程为</w:t>
      </w:r>
      <w:r>
        <w:rPr>
          <w:rFonts w:ascii="宋体" w:hAnsi="宋体" w:eastAsia="宋体" w:cs="宋体"/>
          <w:color w:val="auto"/>
          <w:spacing w:val="8"/>
          <w:sz w:val="20"/>
          <w:szCs w:val="20"/>
          <w:highlight w:val="none"/>
          <w:u w:val="single" w:color="auto"/>
        </w:rPr>
        <w:t xml:space="preserve"> 2 </w:t>
      </w:r>
      <w:r>
        <w:rPr>
          <w:rFonts w:ascii="宋体" w:hAnsi="宋体" w:eastAsia="宋体" w:cs="宋体"/>
          <w:color w:val="auto"/>
          <w:spacing w:val="8"/>
          <w:sz w:val="20"/>
          <w:szCs w:val="20"/>
          <w:highlight w:val="none"/>
        </w:rPr>
        <w:t>年；</w:t>
      </w:r>
    </w:p>
    <w:p w14:paraId="276080CE">
      <w:pPr>
        <w:spacing w:before="221" w:line="228" w:lineRule="auto"/>
        <w:ind w:left="433"/>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7．其他项目保修期限约定如下：</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59F3F4CB">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质量保修期自工程竣工验收合格之日起计算。</w:t>
      </w:r>
    </w:p>
    <w:p w14:paraId="2BCBD3E8">
      <w:pPr>
        <w:spacing w:before="221"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三、缺陷责任期</w:t>
      </w:r>
    </w:p>
    <w:p w14:paraId="1138E7C8">
      <w:pPr>
        <w:spacing w:before="221" w:line="432" w:lineRule="auto"/>
        <w:ind w:left="10" w:firstLine="42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工程缺陷责任期为</w:t>
      </w:r>
      <w:r>
        <w:rPr>
          <w:rFonts w:ascii="宋体" w:hAnsi="宋体" w:eastAsia="宋体" w:cs="宋体"/>
          <w:color w:val="auto"/>
          <w:spacing w:val="8"/>
          <w:sz w:val="20"/>
          <w:szCs w:val="20"/>
          <w:highlight w:val="none"/>
          <w:u w:val="single" w:color="auto"/>
        </w:rPr>
        <w:t xml:space="preserve"> 24 </w:t>
      </w:r>
      <w:r>
        <w:rPr>
          <w:rFonts w:ascii="宋体" w:hAnsi="宋体" w:eastAsia="宋体" w:cs="宋体"/>
          <w:color w:val="auto"/>
          <w:spacing w:val="8"/>
          <w:sz w:val="20"/>
          <w:szCs w:val="20"/>
          <w:highlight w:val="none"/>
        </w:rPr>
        <w:t>个月（最长不超过</w:t>
      </w:r>
      <w:r>
        <w:rPr>
          <w:rFonts w:ascii="宋体" w:hAnsi="宋体" w:eastAsia="宋体" w:cs="宋体"/>
          <w:color w:val="auto"/>
          <w:spacing w:val="-34"/>
          <w:sz w:val="20"/>
          <w:szCs w:val="20"/>
          <w:highlight w:val="none"/>
        </w:rPr>
        <w:t xml:space="preserve"> </w:t>
      </w:r>
      <w:r>
        <w:rPr>
          <w:rFonts w:ascii="宋体" w:hAnsi="宋体" w:eastAsia="宋体" w:cs="宋体"/>
          <w:color w:val="auto"/>
          <w:spacing w:val="8"/>
          <w:sz w:val="20"/>
          <w:szCs w:val="20"/>
          <w:highlight w:val="none"/>
        </w:rPr>
        <w:t>24</w:t>
      </w:r>
      <w:r>
        <w:rPr>
          <w:rFonts w:ascii="宋体" w:hAnsi="宋体" w:eastAsia="宋体" w:cs="宋体"/>
          <w:color w:val="auto"/>
          <w:spacing w:val="-41"/>
          <w:sz w:val="20"/>
          <w:szCs w:val="20"/>
          <w:highlight w:val="none"/>
        </w:rPr>
        <w:t xml:space="preserve"> </w:t>
      </w:r>
      <w:r>
        <w:rPr>
          <w:rFonts w:ascii="宋体" w:hAnsi="宋体" w:eastAsia="宋体" w:cs="宋体"/>
          <w:color w:val="auto"/>
          <w:spacing w:val="8"/>
          <w:sz w:val="20"/>
          <w:szCs w:val="20"/>
          <w:highlight w:val="none"/>
        </w:rPr>
        <w:t>个月</w:t>
      </w:r>
      <w:r>
        <w:rPr>
          <w:rFonts w:ascii="宋体" w:hAnsi="宋体" w:eastAsia="宋体" w:cs="宋体"/>
          <w:color w:val="auto"/>
          <w:spacing w:val="15"/>
          <w:sz w:val="20"/>
          <w:szCs w:val="20"/>
          <w:highlight w:val="none"/>
        </w:rPr>
        <w:t>），</w:t>
      </w:r>
      <w:r>
        <w:rPr>
          <w:rFonts w:ascii="宋体" w:hAnsi="宋体" w:eastAsia="宋体" w:cs="宋体"/>
          <w:color w:val="auto"/>
          <w:spacing w:val="8"/>
          <w:sz w:val="20"/>
          <w:szCs w:val="20"/>
          <w:highlight w:val="none"/>
        </w:rPr>
        <w:t>缺</w:t>
      </w:r>
      <w:r>
        <w:rPr>
          <w:rFonts w:ascii="宋体" w:hAnsi="宋体" w:eastAsia="宋体" w:cs="宋体"/>
          <w:color w:val="auto"/>
          <w:spacing w:val="7"/>
          <w:sz w:val="20"/>
          <w:szCs w:val="20"/>
          <w:highlight w:val="none"/>
        </w:rPr>
        <w:t>陷责任期自工程竣工验收合格之日起计算。</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单位工程先于全部工程进行验收，单位工程缺陷责任期自单位工程验收合格之日起算。</w:t>
      </w:r>
    </w:p>
    <w:p w14:paraId="619DD17B">
      <w:pPr>
        <w:spacing w:line="228" w:lineRule="auto"/>
        <w:ind w:left="428"/>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缺陷责任期</w:t>
      </w:r>
      <w:r>
        <w:rPr>
          <w:rFonts w:ascii="宋体" w:hAnsi="宋体" w:eastAsia="宋体" w:cs="宋体"/>
          <w:color w:val="auto"/>
          <w:spacing w:val="8"/>
          <w:sz w:val="20"/>
          <w:szCs w:val="20"/>
          <w:highlight w:val="none"/>
          <w:u w:val="single" w:color="auto"/>
        </w:rPr>
        <w:t>满</w:t>
      </w:r>
      <w:r>
        <w:rPr>
          <w:rFonts w:ascii="宋体" w:hAnsi="宋体" w:eastAsia="宋体" w:cs="宋体"/>
          <w:color w:val="auto"/>
          <w:spacing w:val="8"/>
          <w:sz w:val="20"/>
          <w:szCs w:val="20"/>
          <w:highlight w:val="none"/>
        </w:rPr>
        <w:t>之日起</w:t>
      </w:r>
      <w:r>
        <w:rPr>
          <w:rFonts w:ascii="宋体" w:hAnsi="宋体" w:eastAsia="宋体" w:cs="宋体"/>
          <w:color w:val="auto"/>
          <w:spacing w:val="8"/>
          <w:sz w:val="20"/>
          <w:szCs w:val="20"/>
          <w:highlight w:val="none"/>
          <w:u w:val="single" w:color="auto"/>
        </w:rPr>
        <w:t xml:space="preserve"> 60 </w:t>
      </w:r>
      <w:r>
        <w:rPr>
          <w:rFonts w:ascii="宋体" w:hAnsi="宋体" w:eastAsia="宋体" w:cs="宋体"/>
          <w:color w:val="auto"/>
          <w:spacing w:val="8"/>
          <w:sz w:val="20"/>
          <w:szCs w:val="20"/>
          <w:highlight w:val="none"/>
        </w:rPr>
        <w:t>天</w:t>
      </w:r>
      <w:r>
        <w:rPr>
          <w:rFonts w:ascii="宋体" w:hAnsi="宋体" w:eastAsia="宋体" w:cs="宋体"/>
          <w:color w:val="auto"/>
          <w:spacing w:val="8"/>
          <w:sz w:val="20"/>
          <w:szCs w:val="20"/>
          <w:highlight w:val="none"/>
          <w:u w:val="single" w:color="auto"/>
        </w:rPr>
        <w:t>（按合同约定期限</w:t>
      </w:r>
      <w:r>
        <w:rPr>
          <w:rFonts w:ascii="宋体" w:hAnsi="宋体" w:eastAsia="宋体" w:cs="宋体"/>
          <w:color w:val="auto"/>
          <w:spacing w:val="26"/>
          <w:sz w:val="20"/>
          <w:szCs w:val="20"/>
          <w:highlight w:val="none"/>
          <w:u w:val="single" w:color="auto"/>
        </w:rPr>
        <w:t>），</w:t>
      </w:r>
      <w:r>
        <w:rPr>
          <w:rFonts w:ascii="宋体" w:hAnsi="宋体" w:eastAsia="宋体" w:cs="宋体"/>
          <w:color w:val="auto"/>
          <w:spacing w:val="8"/>
          <w:sz w:val="20"/>
          <w:szCs w:val="20"/>
          <w:highlight w:val="none"/>
        </w:rPr>
        <w:t>发包人应退还剩余的质量保证金。</w:t>
      </w:r>
    </w:p>
    <w:p w14:paraId="22B70D39">
      <w:pPr>
        <w:spacing w:before="221" w:line="228" w:lineRule="auto"/>
        <w:ind w:left="447"/>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四、质量保修责任</w:t>
      </w:r>
    </w:p>
    <w:p w14:paraId="311BCF0E">
      <w:pPr>
        <w:spacing w:before="221" w:line="433" w:lineRule="auto"/>
        <w:ind w:left="113" w:right="54" w:firstLine="445"/>
        <w:rPr>
          <w:rFonts w:ascii="宋体" w:hAnsi="宋体" w:eastAsia="宋体" w:cs="宋体"/>
          <w:color w:val="auto"/>
          <w:sz w:val="20"/>
          <w:szCs w:val="20"/>
          <w:highlight w:val="none"/>
        </w:rPr>
      </w:pPr>
      <w:r>
        <w:rPr>
          <w:rFonts w:ascii="宋体" w:hAnsi="宋体" w:eastAsia="宋体" w:cs="宋体"/>
          <w:color w:val="auto"/>
          <w:spacing w:val="6"/>
          <w:sz w:val="20"/>
          <w:szCs w:val="20"/>
          <w:highlight w:val="none"/>
        </w:rPr>
        <w:t>1．属于保修范围、内容的项目，承包人应当在接到保修通知之日起</w:t>
      </w:r>
      <w:r>
        <w:rPr>
          <w:rFonts w:ascii="宋体" w:hAnsi="宋体" w:eastAsia="宋体" w:cs="宋体"/>
          <w:color w:val="auto"/>
          <w:spacing w:val="6"/>
          <w:sz w:val="20"/>
          <w:szCs w:val="20"/>
          <w:highlight w:val="none"/>
          <w:u w:val="single" w:color="auto"/>
        </w:rPr>
        <w:t xml:space="preserve">  3  </w:t>
      </w:r>
      <w:r>
        <w:rPr>
          <w:rFonts w:ascii="宋体" w:hAnsi="宋体" w:eastAsia="宋体" w:cs="宋体"/>
          <w:color w:val="auto"/>
          <w:spacing w:val="-71"/>
          <w:sz w:val="20"/>
          <w:szCs w:val="20"/>
          <w:highlight w:val="none"/>
        </w:rPr>
        <w:t xml:space="preserve"> </w:t>
      </w:r>
      <w:r>
        <w:rPr>
          <w:rFonts w:ascii="宋体" w:hAnsi="宋体" w:eastAsia="宋体" w:cs="宋体"/>
          <w:color w:val="auto"/>
          <w:spacing w:val="6"/>
          <w:sz w:val="20"/>
          <w:szCs w:val="20"/>
          <w:highlight w:val="none"/>
        </w:rPr>
        <w:t>天内派人保修。承包人不</w:t>
      </w:r>
      <w:r>
        <w:rPr>
          <w:rFonts w:ascii="宋体" w:hAnsi="宋体" w:eastAsia="宋体" w:cs="宋体"/>
          <w:color w:val="auto"/>
          <w:sz w:val="20"/>
          <w:szCs w:val="20"/>
          <w:highlight w:val="none"/>
        </w:rPr>
        <w:t xml:space="preserve"> </w:t>
      </w:r>
      <w:r>
        <w:rPr>
          <w:rFonts w:ascii="宋体" w:hAnsi="宋体" w:eastAsia="宋体" w:cs="宋体"/>
          <w:color w:val="auto"/>
          <w:spacing w:val="9"/>
          <w:sz w:val="20"/>
          <w:szCs w:val="20"/>
          <w:highlight w:val="none"/>
        </w:rPr>
        <w:t>在约定期限内派人保修的，发包人可以委托他人修理，修理费用从质量保证金内扣除。</w:t>
      </w:r>
    </w:p>
    <w:p w14:paraId="5C9089C8">
      <w:pPr>
        <w:spacing w:line="433" w:lineRule="auto"/>
        <w:rPr>
          <w:rFonts w:ascii="宋体" w:hAnsi="宋体" w:eastAsia="宋体" w:cs="宋体"/>
          <w:color w:val="auto"/>
          <w:sz w:val="20"/>
          <w:szCs w:val="20"/>
          <w:highlight w:val="none"/>
        </w:rPr>
        <w:sectPr>
          <w:headerReference r:id="rId240" w:type="default"/>
          <w:footerReference r:id="rId241" w:type="default"/>
          <w:pgSz w:w="11906" w:h="16839"/>
          <w:pgMar w:top="1091" w:right="1166" w:bottom="1158" w:left="1219" w:header="1076" w:footer="922" w:gutter="0"/>
          <w:cols w:space="720" w:num="1"/>
        </w:sectPr>
      </w:pPr>
    </w:p>
    <w:p w14:paraId="3452E83F">
      <w:pPr>
        <w:spacing w:before="256" w:line="228" w:lineRule="auto"/>
        <w:ind w:left="430"/>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2．发生紧急事故需抢修的，承包人在接到事故通知后，应当立即到达事故现场抢修。</w:t>
      </w:r>
    </w:p>
    <w:p w14:paraId="03D32019">
      <w:pPr>
        <w:spacing w:before="221" w:line="364" w:lineRule="auto"/>
        <w:ind w:left="7" w:right="2" w:firstLine="425"/>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3．对于涉及结构安全的质量问题，应当按照《建设工</w:t>
      </w:r>
      <w:r>
        <w:rPr>
          <w:rFonts w:ascii="宋体" w:hAnsi="宋体" w:eastAsia="宋体" w:cs="宋体"/>
          <w:color w:val="auto"/>
          <w:spacing w:val="7"/>
          <w:sz w:val="20"/>
          <w:szCs w:val="20"/>
          <w:highlight w:val="none"/>
        </w:rPr>
        <w:t>程质量管理条例》的规定，立即向当地建设行</w:t>
      </w:r>
      <w:r>
        <w:rPr>
          <w:rFonts w:ascii="宋体" w:hAnsi="宋体" w:eastAsia="宋体" w:cs="宋体"/>
          <w:color w:val="auto"/>
          <w:sz w:val="20"/>
          <w:szCs w:val="20"/>
          <w:highlight w:val="none"/>
        </w:rPr>
        <w:t xml:space="preserve"> </w:t>
      </w:r>
      <w:r>
        <w:rPr>
          <w:rFonts w:ascii="宋体" w:hAnsi="宋体" w:eastAsia="宋体" w:cs="宋体"/>
          <w:color w:val="auto"/>
          <w:spacing w:val="10"/>
          <w:sz w:val="20"/>
          <w:szCs w:val="20"/>
          <w:highlight w:val="none"/>
        </w:rPr>
        <w:t>政主管部门和有关部门报告，采取安全防范措施，并由原设计人或者具有相应资质等级的设计人提出保</w:t>
      </w:r>
      <w:r>
        <w:rPr>
          <w:rFonts w:ascii="宋体" w:hAnsi="宋体" w:eastAsia="宋体" w:cs="宋体"/>
          <w:color w:val="auto"/>
          <w:spacing w:val="7"/>
          <w:sz w:val="20"/>
          <w:szCs w:val="20"/>
          <w:highlight w:val="none"/>
        </w:rPr>
        <w:t xml:space="preserve"> </w:t>
      </w:r>
      <w:r>
        <w:rPr>
          <w:rFonts w:ascii="宋体" w:hAnsi="宋体" w:eastAsia="宋体" w:cs="宋体"/>
          <w:color w:val="auto"/>
          <w:spacing w:val="8"/>
          <w:sz w:val="20"/>
          <w:szCs w:val="20"/>
          <w:highlight w:val="none"/>
        </w:rPr>
        <w:t>修方案，承包人实施保修。</w:t>
      </w:r>
    </w:p>
    <w:p w14:paraId="37564B57">
      <w:pPr>
        <w:spacing w:before="220" w:line="228" w:lineRule="auto"/>
        <w:ind w:left="42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4．质量保修完成后，由发包人组织验收。</w:t>
      </w:r>
    </w:p>
    <w:p w14:paraId="5CB6945E">
      <w:pPr>
        <w:spacing w:before="221" w:line="228" w:lineRule="auto"/>
        <w:ind w:left="431"/>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五、保修费用</w:t>
      </w:r>
    </w:p>
    <w:p w14:paraId="078B5BF8">
      <w:pPr>
        <w:spacing w:before="221" w:line="228" w:lineRule="auto"/>
        <w:ind w:left="429"/>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保修费用由造成质量缺陷的责任方承担。</w:t>
      </w:r>
    </w:p>
    <w:p w14:paraId="1A323B59">
      <w:pPr>
        <w:spacing w:before="221" w:line="228" w:lineRule="auto"/>
        <w:ind w:left="430"/>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六、双方约定的其他工程质量保修事项：</w:t>
      </w:r>
      <w:r>
        <w:rPr>
          <w:rFonts w:ascii="宋体" w:hAnsi="宋体" w:eastAsia="宋体" w:cs="宋体"/>
          <w:color w:val="auto"/>
          <w:spacing w:val="8"/>
          <w:sz w:val="20"/>
          <w:szCs w:val="20"/>
          <w:highlight w:val="none"/>
          <w:u w:val="single" w:color="auto"/>
        </w:rPr>
        <w:t>无</w:t>
      </w:r>
      <w:r>
        <w:rPr>
          <w:rFonts w:ascii="宋体" w:hAnsi="宋体" w:eastAsia="宋体" w:cs="宋体"/>
          <w:color w:val="auto"/>
          <w:spacing w:val="8"/>
          <w:sz w:val="20"/>
          <w:szCs w:val="20"/>
          <w:highlight w:val="none"/>
        </w:rPr>
        <w:t>。</w:t>
      </w:r>
    </w:p>
    <w:p w14:paraId="70E4F969">
      <w:pPr>
        <w:spacing w:before="221" w:line="433" w:lineRule="auto"/>
        <w:ind w:left="9" w:right="2" w:firstLine="400"/>
        <w:rPr>
          <w:rFonts w:ascii="宋体" w:hAnsi="宋体" w:eastAsia="宋体" w:cs="宋体"/>
          <w:color w:val="auto"/>
          <w:sz w:val="20"/>
          <w:szCs w:val="20"/>
          <w:highlight w:val="none"/>
        </w:rPr>
      </w:pPr>
      <w:r>
        <w:rPr>
          <w:rFonts w:ascii="宋体" w:hAnsi="宋体" w:eastAsia="宋体" w:cs="宋体"/>
          <w:color w:val="auto"/>
          <w:spacing w:val="11"/>
          <w:sz w:val="20"/>
          <w:szCs w:val="20"/>
          <w:highlight w:val="none"/>
        </w:rPr>
        <w:t>工程质量保修书由发包人、承包人在工程竣工验收前共同</w:t>
      </w:r>
      <w:r>
        <w:rPr>
          <w:rFonts w:ascii="宋体" w:hAnsi="宋体" w:eastAsia="宋体" w:cs="宋体"/>
          <w:color w:val="auto"/>
          <w:spacing w:val="10"/>
          <w:sz w:val="20"/>
          <w:szCs w:val="20"/>
          <w:highlight w:val="none"/>
        </w:rPr>
        <w:t>签署，作为施工合同附件，其有效期限至</w:t>
      </w:r>
      <w:r>
        <w:rPr>
          <w:rFonts w:ascii="宋体" w:hAnsi="宋体" w:eastAsia="宋体" w:cs="宋体"/>
          <w:color w:val="auto"/>
          <w:sz w:val="20"/>
          <w:szCs w:val="20"/>
          <w:highlight w:val="none"/>
        </w:rPr>
        <w:t xml:space="preserve"> </w:t>
      </w:r>
      <w:r>
        <w:rPr>
          <w:rFonts w:ascii="宋体" w:hAnsi="宋体" w:eastAsia="宋体" w:cs="宋体"/>
          <w:color w:val="auto"/>
          <w:spacing w:val="5"/>
          <w:sz w:val="20"/>
          <w:szCs w:val="20"/>
          <w:highlight w:val="none"/>
        </w:rPr>
        <w:t>保修期满。</w:t>
      </w:r>
    </w:p>
    <w:p w14:paraId="1061ED26">
      <w:pPr>
        <w:pStyle w:val="2"/>
        <w:spacing w:line="397" w:lineRule="auto"/>
        <w:rPr>
          <w:color w:val="auto"/>
          <w:highlight w:val="none"/>
        </w:rPr>
      </w:pPr>
    </w:p>
    <w:p w14:paraId="6914DA30">
      <w:pPr>
        <w:spacing w:before="65" w:line="228" w:lineRule="auto"/>
        <w:ind w:left="11"/>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发包人（公章</w:t>
      </w:r>
      <w:r>
        <w:rPr>
          <w:rFonts w:ascii="宋体" w:hAnsi="宋体" w:eastAsia="宋体" w:cs="宋体"/>
          <w:color w:val="auto"/>
          <w:spacing w:val="13"/>
          <w:sz w:val="20"/>
          <w:szCs w:val="20"/>
          <w:highlight w:val="none"/>
        </w:rPr>
        <w:t>）：</w:t>
      </w:r>
      <w:r>
        <w:rPr>
          <w:rFonts w:hint="eastAsia" w:ascii="宋体" w:hAnsi="宋体" w:eastAsia="宋体" w:cs="宋体"/>
          <w:color w:val="auto"/>
          <w:spacing w:val="9"/>
          <w:sz w:val="20"/>
          <w:szCs w:val="20"/>
          <w:highlight w:val="none"/>
          <w:u w:val="single" w:color="auto"/>
          <w:lang w:eastAsia="zh-CN"/>
        </w:rPr>
        <w:t>横州市莲塘镇初级中学</w:t>
      </w:r>
      <w:r>
        <w:rPr>
          <w:rFonts w:ascii="宋体" w:hAnsi="宋体" w:eastAsia="宋体" w:cs="宋体"/>
          <w:color w:val="auto"/>
          <w:spacing w:val="9"/>
          <w:sz w:val="20"/>
          <w:szCs w:val="20"/>
          <w:highlight w:val="none"/>
          <w:u w:val="single" w:color="auto"/>
        </w:rPr>
        <w:t xml:space="preserve">  </w:t>
      </w:r>
      <w:r>
        <w:rPr>
          <w:rFonts w:ascii="宋体" w:hAnsi="宋体" w:eastAsia="宋体" w:cs="宋体"/>
          <w:color w:val="auto"/>
          <w:spacing w:val="9"/>
          <w:sz w:val="20"/>
          <w:szCs w:val="20"/>
          <w:highlight w:val="none"/>
        </w:rPr>
        <w:t xml:space="preserve">          承包人（</w:t>
      </w:r>
      <w:r>
        <w:rPr>
          <w:rFonts w:ascii="宋体" w:hAnsi="宋体" w:eastAsia="宋体" w:cs="宋体"/>
          <w:color w:val="auto"/>
          <w:spacing w:val="8"/>
          <w:sz w:val="20"/>
          <w:szCs w:val="20"/>
          <w:highlight w:val="none"/>
        </w:rPr>
        <w:t>公章</w:t>
      </w:r>
      <w:r>
        <w:rPr>
          <w:rFonts w:ascii="宋体" w:hAnsi="宋体" w:eastAsia="宋体" w:cs="宋体"/>
          <w:color w:val="auto"/>
          <w:spacing w:val="13"/>
          <w:sz w:val="20"/>
          <w:szCs w:val="20"/>
          <w:highlight w:val="none"/>
        </w:rPr>
        <w:t>）：</w:t>
      </w:r>
      <w:r>
        <w:rPr>
          <w:rFonts w:ascii="宋体" w:hAnsi="宋体" w:eastAsia="宋体" w:cs="宋体"/>
          <w:color w:val="auto"/>
          <w:spacing w:val="7"/>
          <w:sz w:val="20"/>
          <w:szCs w:val="20"/>
          <w:highlight w:val="none"/>
          <w:u w:val="single" w:color="auto"/>
        </w:rPr>
        <w:t xml:space="preserve">   </w:t>
      </w:r>
      <w:r>
        <w:rPr>
          <w:rFonts w:ascii="宋体" w:hAnsi="宋体" w:eastAsia="宋体" w:cs="宋体"/>
          <w:color w:val="auto"/>
          <w:sz w:val="20"/>
          <w:szCs w:val="20"/>
          <w:highlight w:val="none"/>
          <w:u w:val="single" w:color="auto"/>
        </w:rPr>
        <w:t xml:space="preserve">XXXXXXXXXXXX        </w:t>
      </w:r>
    </w:p>
    <w:p w14:paraId="79201C6F">
      <w:pPr>
        <w:spacing w:before="221" w:line="238" w:lineRule="auto"/>
        <w:ind w:left="8"/>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地</w:t>
      </w:r>
      <w:r>
        <w:rPr>
          <w:rFonts w:ascii="宋体" w:hAnsi="宋体" w:eastAsia="宋体" w:cs="宋体"/>
          <w:color w:val="auto"/>
          <w:spacing w:val="13"/>
          <w:sz w:val="20"/>
          <w:szCs w:val="20"/>
          <w:highlight w:val="none"/>
        </w:rPr>
        <w:t xml:space="preserve">  </w:t>
      </w:r>
      <w:r>
        <w:rPr>
          <w:rFonts w:ascii="宋体" w:hAnsi="宋体" w:eastAsia="宋体" w:cs="宋体"/>
          <w:color w:val="auto"/>
          <w:spacing w:val="-3"/>
          <w:sz w:val="20"/>
          <w:szCs w:val="20"/>
          <w:highlight w:val="none"/>
        </w:rPr>
        <w:t>址</w:t>
      </w:r>
      <w:r>
        <w:rPr>
          <w:rFonts w:ascii="宋体" w:hAnsi="宋体" w:eastAsia="宋体" w:cs="宋体"/>
          <w:color w:val="auto"/>
          <w:spacing w:val="-73"/>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3"/>
          <w:sz w:val="20"/>
          <w:szCs w:val="20"/>
          <w:highlight w:val="none"/>
        </w:rPr>
        <w:t xml:space="preserve">            地  址</w:t>
      </w:r>
      <w:r>
        <w:rPr>
          <w:rFonts w:ascii="宋体" w:hAnsi="宋体" w:eastAsia="宋体" w:cs="宋体"/>
          <w:color w:val="auto"/>
          <w:spacing w:val="-74"/>
          <w:sz w:val="20"/>
          <w:szCs w:val="20"/>
          <w:highlight w:val="none"/>
        </w:rPr>
        <w:t xml:space="preserve"> </w:t>
      </w:r>
      <w:r>
        <w:rPr>
          <w:rFonts w:ascii="宋体" w:hAnsi="宋体" w:eastAsia="宋体" w:cs="宋体"/>
          <w:color w:val="auto"/>
          <w:spacing w:val="-3"/>
          <w:sz w:val="20"/>
          <w:szCs w:val="20"/>
          <w:highlight w:val="none"/>
        </w:rPr>
        <w:t>：</w:t>
      </w:r>
      <w:r>
        <w:rPr>
          <w:rFonts w:ascii="宋体" w:hAnsi="宋体" w:eastAsia="宋体" w:cs="宋体"/>
          <w:color w:val="auto"/>
          <w:spacing w:val="-3"/>
          <w:sz w:val="20"/>
          <w:szCs w:val="20"/>
          <w:highlight w:val="none"/>
          <w:u w:val="single" w:color="auto"/>
        </w:rPr>
        <w:t xml:space="preserve">                                  </w:t>
      </w:r>
    </w:p>
    <w:p w14:paraId="695520A7">
      <w:pPr>
        <w:spacing w:before="210" w:line="228" w:lineRule="auto"/>
        <w:ind w:left="9"/>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法定代表人（签字或盖章</w:t>
      </w:r>
      <w:r>
        <w:rPr>
          <w:rFonts w:ascii="宋体" w:hAnsi="宋体" w:eastAsia="宋体" w:cs="宋体"/>
          <w:color w:val="auto"/>
          <w:spacing w:val="10"/>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7"/>
          <w:sz w:val="20"/>
          <w:szCs w:val="20"/>
          <w:highlight w:val="none"/>
        </w:rPr>
        <w:t xml:space="preserve">    </w:t>
      </w:r>
      <w:r>
        <w:rPr>
          <w:rFonts w:ascii="宋体" w:hAnsi="宋体" w:eastAsia="宋体" w:cs="宋体"/>
          <w:color w:val="auto"/>
          <w:spacing w:val="9"/>
          <w:sz w:val="20"/>
          <w:szCs w:val="20"/>
          <w:highlight w:val="none"/>
        </w:rPr>
        <w:t>法定代表人（签字或盖章</w:t>
      </w:r>
      <w:r>
        <w:rPr>
          <w:rFonts w:ascii="宋体" w:hAnsi="宋体" w:eastAsia="宋体" w:cs="宋体"/>
          <w:color w:val="auto"/>
          <w:spacing w:val="10"/>
          <w:sz w:val="20"/>
          <w:szCs w:val="20"/>
          <w:highlight w:val="none"/>
        </w:rPr>
        <w:t>）：</w:t>
      </w:r>
      <w:r>
        <w:rPr>
          <w:rFonts w:ascii="宋体" w:hAnsi="宋体" w:eastAsia="宋体" w:cs="宋体"/>
          <w:color w:val="auto"/>
          <w:sz w:val="20"/>
          <w:szCs w:val="20"/>
          <w:highlight w:val="none"/>
          <w:u w:val="single" w:color="auto"/>
        </w:rPr>
        <w:t xml:space="preserve">                       </w:t>
      </w:r>
    </w:p>
    <w:p w14:paraId="00ACF6E4">
      <w:pPr>
        <w:spacing w:before="222" w:line="228" w:lineRule="auto"/>
        <w:ind w:left="7"/>
        <w:rPr>
          <w:rFonts w:ascii="宋体" w:hAnsi="宋体" w:eastAsia="宋体" w:cs="宋体"/>
          <w:color w:val="auto"/>
          <w:sz w:val="20"/>
          <w:szCs w:val="20"/>
          <w:highlight w:val="none"/>
        </w:rPr>
      </w:pPr>
      <w:r>
        <w:rPr>
          <w:rFonts w:ascii="宋体" w:hAnsi="宋体" w:eastAsia="宋体" w:cs="宋体"/>
          <w:color w:val="auto"/>
          <w:spacing w:val="8"/>
          <w:sz w:val="20"/>
          <w:szCs w:val="20"/>
          <w:highlight w:val="none"/>
        </w:rPr>
        <w:t>委托代理人（签字</w:t>
      </w:r>
      <w:r>
        <w:rPr>
          <w:rFonts w:ascii="宋体" w:hAnsi="宋体" w:eastAsia="宋体" w:cs="宋体"/>
          <w:color w:val="auto"/>
          <w:spacing w:val="14"/>
          <w:sz w:val="20"/>
          <w:szCs w:val="20"/>
          <w:highlight w:val="none"/>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6"/>
          <w:sz w:val="20"/>
          <w:szCs w:val="20"/>
          <w:highlight w:val="none"/>
        </w:rPr>
        <w:t xml:space="preserve">    </w:t>
      </w:r>
      <w:r>
        <w:rPr>
          <w:rFonts w:ascii="宋体" w:hAnsi="宋体" w:eastAsia="宋体" w:cs="宋体"/>
          <w:color w:val="auto"/>
          <w:spacing w:val="8"/>
          <w:sz w:val="20"/>
          <w:szCs w:val="20"/>
          <w:highlight w:val="none"/>
        </w:rPr>
        <w:t>委托代理人（签字</w:t>
      </w:r>
      <w:r>
        <w:rPr>
          <w:rFonts w:ascii="宋体" w:hAnsi="宋体" w:eastAsia="宋体" w:cs="宋体"/>
          <w:color w:val="auto"/>
          <w:spacing w:val="14"/>
          <w:sz w:val="20"/>
          <w:szCs w:val="20"/>
          <w:highlight w:val="none"/>
        </w:rPr>
        <w:t>）：</w:t>
      </w:r>
      <w:r>
        <w:rPr>
          <w:rFonts w:ascii="宋体" w:hAnsi="宋体" w:eastAsia="宋体" w:cs="宋体"/>
          <w:color w:val="auto"/>
          <w:sz w:val="20"/>
          <w:szCs w:val="20"/>
          <w:highlight w:val="none"/>
          <w:u w:val="single" w:color="auto"/>
        </w:rPr>
        <w:t xml:space="preserve">                             </w:t>
      </w:r>
    </w:p>
    <w:p w14:paraId="08D57D04">
      <w:pPr>
        <w:spacing w:before="220" w:line="231" w:lineRule="auto"/>
        <w:ind w:left="32"/>
        <w:rPr>
          <w:rFonts w:ascii="宋体" w:hAnsi="宋体" w:eastAsia="宋体" w:cs="宋体"/>
          <w:color w:val="auto"/>
          <w:sz w:val="20"/>
          <w:szCs w:val="20"/>
          <w:highlight w:val="none"/>
        </w:rPr>
      </w:pPr>
      <w:r>
        <w:rPr>
          <w:rFonts w:ascii="宋体" w:hAnsi="宋体" w:eastAsia="宋体" w:cs="宋体"/>
          <w:color w:val="auto"/>
          <w:spacing w:val="-15"/>
          <w:sz w:val="20"/>
          <w:szCs w:val="20"/>
          <w:highlight w:val="none"/>
        </w:rPr>
        <w:t>电</w:t>
      </w:r>
      <w:r>
        <w:rPr>
          <w:rFonts w:ascii="宋体" w:hAnsi="宋体" w:eastAsia="宋体" w:cs="宋体"/>
          <w:color w:val="auto"/>
          <w:spacing w:val="11"/>
          <w:sz w:val="20"/>
          <w:szCs w:val="20"/>
          <w:highlight w:val="none"/>
        </w:rPr>
        <w:t xml:space="preserve">  </w:t>
      </w:r>
      <w:r>
        <w:rPr>
          <w:rFonts w:ascii="宋体" w:hAnsi="宋体" w:eastAsia="宋体" w:cs="宋体"/>
          <w:color w:val="auto"/>
          <w:spacing w:val="-15"/>
          <w:sz w:val="20"/>
          <w:szCs w:val="20"/>
          <w:highlight w:val="none"/>
        </w:rPr>
        <w:t>话</w:t>
      </w:r>
      <w:r>
        <w:rPr>
          <w:rFonts w:ascii="宋体" w:hAnsi="宋体" w:eastAsia="宋体" w:cs="宋体"/>
          <w:color w:val="auto"/>
          <w:spacing w:val="-73"/>
          <w:sz w:val="20"/>
          <w:szCs w:val="20"/>
          <w:highlight w:val="none"/>
        </w:rPr>
        <w:t xml:space="preserve"> </w:t>
      </w:r>
      <w:r>
        <w:rPr>
          <w:rFonts w:ascii="宋体" w:hAnsi="宋体" w:eastAsia="宋体" w:cs="宋体"/>
          <w:color w:val="auto"/>
          <w:spacing w:val="-15"/>
          <w:sz w:val="20"/>
          <w:szCs w:val="20"/>
          <w:highlight w:val="none"/>
        </w:rPr>
        <w:t>：</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9"/>
          <w:sz w:val="20"/>
          <w:szCs w:val="20"/>
          <w:highlight w:val="none"/>
        </w:rPr>
        <w:t xml:space="preserve">   </w:t>
      </w:r>
      <w:r>
        <w:rPr>
          <w:rFonts w:ascii="宋体" w:hAnsi="宋体" w:eastAsia="宋体" w:cs="宋体"/>
          <w:color w:val="auto"/>
          <w:spacing w:val="-15"/>
          <w:sz w:val="20"/>
          <w:szCs w:val="20"/>
          <w:highlight w:val="none"/>
        </w:rPr>
        <w:t>电</w:t>
      </w:r>
      <w:r>
        <w:rPr>
          <w:rFonts w:ascii="宋体" w:hAnsi="宋体" w:eastAsia="宋体" w:cs="宋体"/>
          <w:color w:val="auto"/>
          <w:spacing w:val="10"/>
          <w:sz w:val="20"/>
          <w:szCs w:val="20"/>
          <w:highlight w:val="none"/>
        </w:rPr>
        <w:t xml:space="preserve">  </w:t>
      </w:r>
      <w:r>
        <w:rPr>
          <w:rFonts w:ascii="宋体" w:hAnsi="宋体" w:eastAsia="宋体" w:cs="宋体"/>
          <w:color w:val="auto"/>
          <w:spacing w:val="-15"/>
          <w:sz w:val="20"/>
          <w:szCs w:val="20"/>
          <w:highlight w:val="none"/>
        </w:rPr>
        <w:t>话</w:t>
      </w:r>
      <w:r>
        <w:rPr>
          <w:rFonts w:ascii="宋体" w:hAnsi="宋体" w:eastAsia="宋体" w:cs="宋体"/>
          <w:color w:val="auto"/>
          <w:spacing w:val="-73"/>
          <w:sz w:val="20"/>
          <w:szCs w:val="20"/>
          <w:highlight w:val="none"/>
        </w:rPr>
        <w:t xml:space="preserve"> </w:t>
      </w:r>
      <w:r>
        <w:rPr>
          <w:rFonts w:ascii="宋体" w:hAnsi="宋体" w:eastAsia="宋体" w:cs="宋体"/>
          <w:color w:val="auto"/>
          <w:spacing w:val="-15"/>
          <w:sz w:val="20"/>
          <w:szCs w:val="20"/>
          <w:highlight w:val="none"/>
        </w:rPr>
        <w:t>：</w:t>
      </w:r>
      <w:r>
        <w:rPr>
          <w:rFonts w:ascii="宋体" w:hAnsi="宋体" w:eastAsia="宋体" w:cs="宋体"/>
          <w:color w:val="auto"/>
          <w:spacing w:val="14"/>
          <w:sz w:val="20"/>
          <w:szCs w:val="20"/>
          <w:highlight w:val="none"/>
        </w:rPr>
        <w:t xml:space="preserve"> </w:t>
      </w:r>
      <w:r>
        <w:rPr>
          <w:rFonts w:ascii="宋体" w:hAnsi="宋体" w:eastAsia="宋体" w:cs="宋体"/>
          <w:color w:val="auto"/>
          <w:sz w:val="20"/>
          <w:szCs w:val="20"/>
          <w:highlight w:val="none"/>
          <w:u w:val="single" w:color="auto"/>
        </w:rPr>
        <w:t xml:space="preserve">                                         </w:t>
      </w:r>
    </w:p>
    <w:p w14:paraId="769612E5">
      <w:pPr>
        <w:spacing w:before="218" w:line="228" w:lineRule="auto"/>
        <w:ind w:left="6"/>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传</w:t>
      </w:r>
      <w:r>
        <w:rPr>
          <w:rFonts w:ascii="宋体" w:hAnsi="宋体" w:eastAsia="宋体" w:cs="宋体"/>
          <w:color w:val="auto"/>
          <w:spacing w:val="12"/>
          <w:sz w:val="20"/>
          <w:szCs w:val="20"/>
          <w:highlight w:val="none"/>
        </w:rPr>
        <w:t xml:space="preserve">  </w:t>
      </w:r>
      <w:r>
        <w:rPr>
          <w:rFonts w:ascii="宋体" w:hAnsi="宋体" w:eastAsia="宋体" w:cs="宋体"/>
          <w:color w:val="auto"/>
          <w:spacing w:val="1"/>
          <w:sz w:val="20"/>
          <w:szCs w:val="20"/>
          <w:highlight w:val="none"/>
        </w:rPr>
        <w:t>真：</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1"/>
          <w:sz w:val="20"/>
          <w:szCs w:val="20"/>
          <w:highlight w:val="none"/>
          <w:u w:val="single" w:color="auto"/>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6"/>
          <w:sz w:val="20"/>
          <w:szCs w:val="20"/>
          <w:highlight w:val="none"/>
        </w:rPr>
        <w:t xml:space="preserve">    </w:t>
      </w:r>
      <w:r>
        <w:rPr>
          <w:rFonts w:ascii="宋体" w:hAnsi="宋体" w:eastAsia="宋体" w:cs="宋体"/>
          <w:color w:val="auto"/>
          <w:spacing w:val="1"/>
          <w:sz w:val="20"/>
          <w:szCs w:val="20"/>
          <w:highlight w:val="none"/>
        </w:rPr>
        <w:t>传</w:t>
      </w:r>
      <w:r>
        <w:rPr>
          <w:rFonts w:ascii="宋体" w:hAnsi="宋体" w:eastAsia="宋体" w:cs="宋体"/>
          <w:color w:val="auto"/>
          <w:spacing w:val="12"/>
          <w:sz w:val="20"/>
          <w:szCs w:val="20"/>
          <w:highlight w:val="none"/>
        </w:rPr>
        <w:t xml:space="preserve">  </w:t>
      </w:r>
      <w:r>
        <w:rPr>
          <w:rFonts w:ascii="宋体" w:hAnsi="宋体" w:eastAsia="宋体" w:cs="宋体"/>
          <w:color w:val="auto"/>
          <w:spacing w:val="1"/>
          <w:sz w:val="20"/>
          <w:szCs w:val="20"/>
          <w:highlight w:val="none"/>
        </w:rPr>
        <w:t>真：</w:t>
      </w:r>
      <w:r>
        <w:rPr>
          <w:rFonts w:ascii="宋体" w:hAnsi="宋体" w:eastAsia="宋体" w:cs="宋体"/>
          <w:color w:val="auto"/>
          <w:spacing w:val="15"/>
          <w:sz w:val="20"/>
          <w:szCs w:val="20"/>
          <w:highlight w:val="none"/>
        </w:rPr>
        <w:t xml:space="preserve"> </w:t>
      </w:r>
      <w:r>
        <w:rPr>
          <w:rFonts w:ascii="宋体" w:hAnsi="宋体" w:eastAsia="宋体" w:cs="宋体"/>
          <w:color w:val="auto"/>
          <w:sz w:val="20"/>
          <w:szCs w:val="20"/>
          <w:highlight w:val="none"/>
          <w:u w:val="single" w:color="auto"/>
        </w:rPr>
        <w:t xml:space="preserve">                                           </w:t>
      </w:r>
    </w:p>
    <w:p w14:paraId="12401DB5">
      <w:pPr>
        <w:spacing w:before="221" w:line="229" w:lineRule="auto"/>
        <w:ind w:left="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开户银行：</w:t>
      </w:r>
      <w:r>
        <w:rPr>
          <w:rFonts w:ascii="宋体" w:hAnsi="宋体" w:eastAsia="宋体" w:cs="宋体"/>
          <w:color w:val="auto"/>
          <w:spacing w:val="4"/>
          <w:sz w:val="20"/>
          <w:szCs w:val="20"/>
          <w:highlight w:val="none"/>
          <w:u w:val="single" w:color="auto"/>
        </w:rPr>
        <w:t xml:space="preserve">              /          </w:t>
      </w:r>
      <w:r>
        <w:rPr>
          <w:rFonts w:ascii="宋体" w:hAnsi="宋体" w:eastAsia="宋体" w:cs="宋体"/>
          <w:color w:val="auto"/>
          <w:spacing w:val="7"/>
          <w:sz w:val="20"/>
          <w:szCs w:val="20"/>
          <w:highlight w:val="none"/>
        </w:rPr>
        <w:t xml:space="preserve">     </w:t>
      </w:r>
      <w:r>
        <w:rPr>
          <w:rFonts w:ascii="宋体" w:hAnsi="宋体" w:eastAsia="宋体" w:cs="宋体"/>
          <w:color w:val="auto"/>
          <w:spacing w:val="4"/>
          <w:sz w:val="20"/>
          <w:szCs w:val="20"/>
          <w:highlight w:val="none"/>
        </w:rPr>
        <w:t>开户银行：</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7FCC34D0">
      <w:pPr>
        <w:spacing w:before="220" w:line="230" w:lineRule="auto"/>
        <w:ind w:left="11"/>
        <w:rPr>
          <w:rFonts w:ascii="宋体" w:hAnsi="宋体" w:eastAsia="宋体" w:cs="宋体"/>
          <w:color w:val="auto"/>
          <w:sz w:val="20"/>
          <w:szCs w:val="20"/>
          <w:highlight w:val="none"/>
        </w:rPr>
      </w:pPr>
      <w:r>
        <w:rPr>
          <w:rFonts w:ascii="宋体" w:hAnsi="宋体" w:eastAsia="宋体" w:cs="宋体"/>
          <w:color w:val="auto"/>
          <w:sz w:val="20"/>
          <w:szCs w:val="20"/>
          <w:highlight w:val="none"/>
        </w:rPr>
        <w:t>账</w:t>
      </w:r>
      <w:r>
        <w:rPr>
          <w:rFonts w:ascii="宋体" w:hAnsi="宋体" w:eastAsia="宋体" w:cs="宋体"/>
          <w:color w:val="auto"/>
          <w:spacing w:val="14"/>
          <w:sz w:val="20"/>
          <w:szCs w:val="20"/>
          <w:highlight w:val="none"/>
        </w:rPr>
        <w:t xml:space="preserve">  </w:t>
      </w:r>
      <w:r>
        <w:rPr>
          <w:rFonts w:ascii="宋体" w:hAnsi="宋体" w:eastAsia="宋体" w:cs="宋体"/>
          <w:color w:val="auto"/>
          <w:sz w:val="20"/>
          <w:szCs w:val="20"/>
          <w:highlight w:val="none"/>
        </w:rPr>
        <w:t>号：</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z w:val="20"/>
          <w:szCs w:val="20"/>
          <w:highlight w:val="none"/>
          <w:u w:val="single" w:color="auto"/>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9"/>
          <w:sz w:val="20"/>
          <w:szCs w:val="20"/>
          <w:highlight w:val="none"/>
        </w:rPr>
        <w:t xml:space="preserve">     </w:t>
      </w:r>
      <w:r>
        <w:rPr>
          <w:rFonts w:ascii="宋体" w:hAnsi="宋体" w:eastAsia="宋体" w:cs="宋体"/>
          <w:color w:val="auto"/>
          <w:sz w:val="20"/>
          <w:szCs w:val="20"/>
          <w:highlight w:val="none"/>
        </w:rPr>
        <w:t>账</w:t>
      </w:r>
      <w:r>
        <w:rPr>
          <w:rFonts w:ascii="宋体" w:hAnsi="宋体" w:eastAsia="宋体" w:cs="宋体"/>
          <w:color w:val="auto"/>
          <w:spacing w:val="12"/>
          <w:sz w:val="20"/>
          <w:szCs w:val="20"/>
          <w:highlight w:val="none"/>
        </w:rPr>
        <w:t xml:space="preserve">  </w:t>
      </w:r>
      <w:r>
        <w:rPr>
          <w:rFonts w:ascii="宋体" w:hAnsi="宋体" w:eastAsia="宋体" w:cs="宋体"/>
          <w:color w:val="auto"/>
          <w:sz w:val="20"/>
          <w:szCs w:val="20"/>
          <w:highlight w:val="none"/>
        </w:rPr>
        <w:t>号：</w:t>
      </w:r>
      <w:r>
        <w:rPr>
          <w:rFonts w:ascii="宋体" w:hAnsi="宋体" w:eastAsia="宋体" w:cs="宋体"/>
          <w:color w:val="auto"/>
          <w:sz w:val="20"/>
          <w:szCs w:val="20"/>
          <w:highlight w:val="none"/>
          <w:u w:val="single" w:color="auto"/>
        </w:rPr>
        <w:t xml:space="preserve">                                          </w:t>
      </w:r>
    </w:p>
    <w:p w14:paraId="4D993D98">
      <w:pPr>
        <w:spacing w:before="219" w:line="228" w:lineRule="auto"/>
        <w:ind w:left="2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邮政编码：</w:t>
      </w:r>
      <w:r>
        <w:rPr>
          <w:rFonts w:ascii="宋体" w:hAnsi="宋体" w:eastAsia="宋体" w:cs="宋体"/>
          <w:color w:val="auto"/>
          <w:spacing w:val="6"/>
          <w:sz w:val="20"/>
          <w:szCs w:val="20"/>
          <w:highlight w:val="none"/>
          <w:u w:val="single" w:color="auto"/>
        </w:rPr>
        <w:t xml:space="preserve">       </w:t>
      </w:r>
      <w:r>
        <w:rPr>
          <w:rFonts w:ascii="宋体" w:hAnsi="宋体" w:eastAsia="宋体" w:cs="宋体"/>
          <w:color w:val="auto"/>
          <w:spacing w:val="4"/>
          <w:sz w:val="20"/>
          <w:szCs w:val="20"/>
          <w:highlight w:val="none"/>
          <w:u w:val="single" w:color="auto"/>
        </w:rPr>
        <w:t>/</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10"/>
          <w:sz w:val="20"/>
          <w:szCs w:val="20"/>
          <w:highlight w:val="none"/>
        </w:rPr>
        <w:t xml:space="preserve">     </w:t>
      </w:r>
      <w:r>
        <w:rPr>
          <w:rFonts w:ascii="宋体" w:hAnsi="宋体" w:eastAsia="宋体" w:cs="宋体"/>
          <w:color w:val="auto"/>
          <w:spacing w:val="4"/>
          <w:sz w:val="20"/>
          <w:szCs w:val="20"/>
          <w:highlight w:val="none"/>
        </w:rPr>
        <w:t>邮政编码：</w:t>
      </w:r>
      <w:r>
        <w:rPr>
          <w:rFonts w:ascii="宋体" w:hAnsi="宋体" w:eastAsia="宋体" w:cs="宋体"/>
          <w:color w:val="auto"/>
          <w:sz w:val="20"/>
          <w:szCs w:val="20"/>
          <w:highlight w:val="none"/>
          <w:u w:val="single" w:color="000000"/>
        </w:rPr>
        <w:t xml:space="preserve">                                        </w:t>
      </w:r>
    </w:p>
    <w:p w14:paraId="5F1C8591">
      <w:pPr>
        <w:spacing w:line="228" w:lineRule="auto"/>
        <w:rPr>
          <w:rFonts w:ascii="宋体" w:hAnsi="宋体" w:eastAsia="宋体" w:cs="宋体"/>
          <w:color w:val="auto"/>
          <w:sz w:val="20"/>
          <w:szCs w:val="20"/>
          <w:highlight w:val="none"/>
        </w:rPr>
        <w:sectPr>
          <w:headerReference r:id="rId242" w:type="default"/>
          <w:footerReference r:id="rId243" w:type="default"/>
          <w:pgSz w:w="11906" w:h="16839"/>
          <w:pgMar w:top="1091" w:right="1219" w:bottom="1158" w:left="1219" w:header="1076" w:footer="922" w:gutter="0"/>
          <w:cols w:space="720" w:num="1"/>
        </w:sectPr>
      </w:pPr>
    </w:p>
    <w:p w14:paraId="732A8A72">
      <w:pPr>
        <w:pStyle w:val="2"/>
        <w:spacing w:line="345" w:lineRule="auto"/>
        <w:rPr>
          <w:color w:val="auto"/>
          <w:highlight w:val="none"/>
        </w:rPr>
      </w:pPr>
    </w:p>
    <w:p w14:paraId="26526589">
      <w:pPr>
        <w:spacing w:before="98" w:line="219" w:lineRule="auto"/>
        <w:ind w:left="801"/>
        <w:rPr>
          <w:rFonts w:ascii="宋体" w:hAnsi="宋体" w:eastAsia="宋体" w:cs="宋体"/>
          <w:color w:val="auto"/>
          <w:sz w:val="30"/>
          <w:szCs w:val="30"/>
          <w:highlight w:val="none"/>
        </w:rPr>
      </w:pPr>
      <w:r>
        <w:rPr>
          <w:rFonts w:ascii="宋体" w:hAnsi="宋体" w:eastAsia="宋体" w:cs="宋体"/>
          <w:color w:val="auto"/>
          <w:spacing w:val="-14"/>
          <w:sz w:val="30"/>
          <w:szCs w:val="30"/>
          <w:highlight w:val="none"/>
        </w:rPr>
        <w:t>附件</w:t>
      </w:r>
      <w:r>
        <w:rPr>
          <w:rFonts w:ascii="宋体" w:hAnsi="宋体" w:eastAsia="宋体" w:cs="宋体"/>
          <w:color w:val="auto"/>
          <w:spacing w:val="-56"/>
          <w:sz w:val="30"/>
          <w:szCs w:val="30"/>
          <w:highlight w:val="none"/>
        </w:rPr>
        <w:t xml:space="preserve"> </w:t>
      </w:r>
      <w:r>
        <w:rPr>
          <w:rFonts w:ascii="宋体" w:hAnsi="宋体" w:eastAsia="宋体" w:cs="宋体"/>
          <w:color w:val="auto"/>
          <w:spacing w:val="-14"/>
          <w:sz w:val="30"/>
          <w:szCs w:val="30"/>
          <w:highlight w:val="none"/>
        </w:rPr>
        <w:t>3：</w:t>
      </w:r>
    </w:p>
    <w:p w14:paraId="626C3FE3">
      <w:pPr>
        <w:spacing w:before="239" w:line="219" w:lineRule="auto"/>
        <w:ind w:left="2530"/>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rPr>
        <w:t>承包人用于本工程施工的机械设备表</w:t>
      </w:r>
    </w:p>
    <w:p w14:paraId="64E33D45">
      <w:pPr>
        <w:spacing w:line="144" w:lineRule="exact"/>
        <w:rPr>
          <w:color w:val="auto"/>
          <w:highlight w:val="none"/>
        </w:rPr>
      </w:pPr>
    </w:p>
    <w:tbl>
      <w:tblPr>
        <w:tblStyle w:val="8"/>
        <w:tblW w:w="98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3"/>
        <w:gridCol w:w="1414"/>
        <w:gridCol w:w="848"/>
        <w:gridCol w:w="1055"/>
        <w:gridCol w:w="878"/>
        <w:gridCol w:w="1017"/>
        <w:gridCol w:w="1476"/>
        <w:gridCol w:w="960"/>
        <w:gridCol w:w="991"/>
      </w:tblGrid>
      <w:tr w14:paraId="42BCA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173" w:type="dxa"/>
            <w:tcBorders>
              <w:top w:val="single" w:color="000000" w:sz="10" w:space="0"/>
              <w:left w:val="single" w:color="000000" w:sz="10" w:space="0"/>
            </w:tcBorders>
            <w:vAlign w:val="top"/>
          </w:tcPr>
          <w:p w14:paraId="05F2B73D">
            <w:pPr>
              <w:spacing w:line="243" w:lineRule="auto"/>
              <w:rPr>
                <w:rFonts w:ascii="Arial"/>
                <w:color w:val="auto"/>
                <w:sz w:val="20"/>
                <w:szCs w:val="20"/>
                <w:highlight w:val="none"/>
              </w:rPr>
            </w:pPr>
          </w:p>
          <w:p w14:paraId="4C684788">
            <w:pPr>
              <w:pStyle w:val="9"/>
              <w:spacing w:before="91" w:line="222" w:lineRule="auto"/>
              <w:ind w:left="91"/>
              <w:rPr>
                <w:color w:val="auto"/>
                <w:sz w:val="20"/>
                <w:szCs w:val="20"/>
                <w:highlight w:val="none"/>
              </w:rPr>
            </w:pPr>
            <w:r>
              <w:rPr>
                <w:color w:val="auto"/>
                <w:spacing w:val="-5"/>
                <w:sz w:val="20"/>
                <w:szCs w:val="20"/>
                <w:highlight w:val="none"/>
              </w:rPr>
              <w:t>序号</w:t>
            </w:r>
          </w:p>
        </w:tc>
        <w:tc>
          <w:tcPr>
            <w:tcW w:w="1414" w:type="dxa"/>
            <w:tcBorders>
              <w:top w:val="single" w:color="000000" w:sz="10" w:space="0"/>
            </w:tcBorders>
            <w:vAlign w:val="top"/>
          </w:tcPr>
          <w:p w14:paraId="61AB270D">
            <w:pPr>
              <w:pStyle w:val="9"/>
              <w:spacing w:before="115" w:line="252" w:lineRule="auto"/>
              <w:ind w:left="91" w:right="90" w:hanging="4"/>
              <w:rPr>
                <w:color w:val="auto"/>
                <w:sz w:val="20"/>
                <w:szCs w:val="20"/>
                <w:highlight w:val="none"/>
              </w:rPr>
            </w:pPr>
            <w:r>
              <w:rPr>
                <w:color w:val="auto"/>
                <w:spacing w:val="26"/>
                <w:sz w:val="20"/>
                <w:szCs w:val="20"/>
                <w:highlight w:val="none"/>
              </w:rPr>
              <w:t>机械或设</w:t>
            </w:r>
            <w:r>
              <w:rPr>
                <w:color w:val="auto"/>
                <w:spacing w:val="1"/>
                <w:sz w:val="20"/>
                <w:szCs w:val="20"/>
                <w:highlight w:val="none"/>
              </w:rPr>
              <w:t xml:space="preserve"> </w:t>
            </w:r>
            <w:r>
              <w:rPr>
                <w:color w:val="auto"/>
                <w:spacing w:val="-5"/>
                <w:sz w:val="20"/>
                <w:szCs w:val="20"/>
                <w:highlight w:val="none"/>
              </w:rPr>
              <w:t>备名称</w:t>
            </w:r>
          </w:p>
        </w:tc>
        <w:tc>
          <w:tcPr>
            <w:tcW w:w="848" w:type="dxa"/>
            <w:tcBorders>
              <w:top w:val="single" w:color="000000" w:sz="10" w:space="0"/>
            </w:tcBorders>
            <w:vAlign w:val="top"/>
          </w:tcPr>
          <w:p w14:paraId="4D4B33F1">
            <w:pPr>
              <w:pStyle w:val="9"/>
              <w:spacing w:before="116" w:line="221" w:lineRule="auto"/>
              <w:ind w:left="93"/>
              <w:rPr>
                <w:color w:val="auto"/>
                <w:sz w:val="20"/>
                <w:szCs w:val="20"/>
                <w:highlight w:val="none"/>
              </w:rPr>
            </w:pPr>
            <w:r>
              <w:rPr>
                <w:color w:val="auto"/>
                <w:spacing w:val="-6"/>
                <w:sz w:val="20"/>
                <w:szCs w:val="20"/>
                <w:highlight w:val="none"/>
              </w:rPr>
              <w:t>规</w:t>
            </w:r>
            <w:r>
              <w:rPr>
                <w:color w:val="auto"/>
                <w:spacing w:val="-22"/>
                <w:sz w:val="20"/>
                <w:szCs w:val="20"/>
                <w:highlight w:val="none"/>
              </w:rPr>
              <w:t xml:space="preserve"> </w:t>
            </w:r>
            <w:r>
              <w:rPr>
                <w:color w:val="auto"/>
                <w:spacing w:val="-6"/>
                <w:sz w:val="20"/>
                <w:szCs w:val="20"/>
                <w:highlight w:val="none"/>
              </w:rPr>
              <w:t>格</w:t>
            </w:r>
          </w:p>
          <w:p w14:paraId="2C908431">
            <w:pPr>
              <w:pStyle w:val="9"/>
              <w:spacing w:before="105" w:line="213" w:lineRule="auto"/>
              <w:ind w:left="101"/>
              <w:rPr>
                <w:color w:val="auto"/>
                <w:sz w:val="20"/>
                <w:szCs w:val="20"/>
                <w:highlight w:val="none"/>
              </w:rPr>
            </w:pPr>
            <w:r>
              <w:rPr>
                <w:color w:val="auto"/>
                <w:spacing w:val="-9"/>
                <w:sz w:val="20"/>
                <w:szCs w:val="20"/>
                <w:highlight w:val="none"/>
              </w:rPr>
              <w:t>型号</w:t>
            </w:r>
          </w:p>
        </w:tc>
        <w:tc>
          <w:tcPr>
            <w:tcW w:w="1055" w:type="dxa"/>
            <w:tcBorders>
              <w:top w:val="single" w:color="000000" w:sz="10" w:space="0"/>
            </w:tcBorders>
            <w:vAlign w:val="top"/>
          </w:tcPr>
          <w:p w14:paraId="0A1FB1AB">
            <w:pPr>
              <w:spacing w:line="242" w:lineRule="auto"/>
              <w:rPr>
                <w:rFonts w:ascii="Arial"/>
                <w:color w:val="auto"/>
                <w:sz w:val="20"/>
                <w:szCs w:val="20"/>
                <w:highlight w:val="none"/>
              </w:rPr>
            </w:pPr>
          </w:p>
          <w:p w14:paraId="51A21E02">
            <w:pPr>
              <w:pStyle w:val="9"/>
              <w:spacing w:before="91" w:line="221" w:lineRule="auto"/>
              <w:ind w:left="96"/>
              <w:rPr>
                <w:color w:val="auto"/>
                <w:sz w:val="20"/>
                <w:szCs w:val="20"/>
                <w:highlight w:val="none"/>
              </w:rPr>
            </w:pPr>
            <w:r>
              <w:rPr>
                <w:color w:val="auto"/>
                <w:spacing w:val="-6"/>
                <w:sz w:val="20"/>
                <w:szCs w:val="20"/>
                <w:highlight w:val="none"/>
              </w:rPr>
              <w:t>数量</w:t>
            </w:r>
          </w:p>
        </w:tc>
        <w:tc>
          <w:tcPr>
            <w:tcW w:w="878" w:type="dxa"/>
            <w:tcBorders>
              <w:top w:val="single" w:color="000000" w:sz="10" w:space="0"/>
            </w:tcBorders>
            <w:vAlign w:val="top"/>
          </w:tcPr>
          <w:p w14:paraId="0F68234C">
            <w:pPr>
              <w:spacing w:line="242" w:lineRule="auto"/>
              <w:rPr>
                <w:rFonts w:ascii="Arial"/>
                <w:color w:val="auto"/>
                <w:sz w:val="20"/>
                <w:szCs w:val="20"/>
                <w:highlight w:val="none"/>
              </w:rPr>
            </w:pPr>
          </w:p>
          <w:p w14:paraId="2DFDCA4D">
            <w:pPr>
              <w:pStyle w:val="9"/>
              <w:spacing w:before="91" w:line="221" w:lineRule="auto"/>
              <w:ind w:left="97"/>
              <w:rPr>
                <w:color w:val="auto"/>
                <w:sz w:val="20"/>
                <w:szCs w:val="20"/>
                <w:highlight w:val="none"/>
              </w:rPr>
            </w:pPr>
            <w:r>
              <w:rPr>
                <w:color w:val="auto"/>
                <w:spacing w:val="-5"/>
                <w:sz w:val="20"/>
                <w:szCs w:val="20"/>
                <w:highlight w:val="none"/>
              </w:rPr>
              <w:t>产地</w:t>
            </w:r>
          </w:p>
        </w:tc>
        <w:tc>
          <w:tcPr>
            <w:tcW w:w="1017" w:type="dxa"/>
            <w:tcBorders>
              <w:top w:val="single" w:color="000000" w:sz="10" w:space="0"/>
            </w:tcBorders>
            <w:vAlign w:val="top"/>
          </w:tcPr>
          <w:p w14:paraId="7F6F71AE">
            <w:pPr>
              <w:pStyle w:val="9"/>
              <w:spacing w:before="115" w:line="252" w:lineRule="auto"/>
              <w:ind w:left="99" w:right="81"/>
              <w:rPr>
                <w:color w:val="auto"/>
                <w:sz w:val="20"/>
                <w:szCs w:val="20"/>
                <w:highlight w:val="none"/>
              </w:rPr>
            </w:pPr>
            <w:r>
              <w:rPr>
                <w:color w:val="auto"/>
                <w:spacing w:val="-10"/>
                <w:sz w:val="20"/>
                <w:szCs w:val="20"/>
                <w:highlight w:val="none"/>
              </w:rPr>
              <w:t>制</w:t>
            </w:r>
            <w:r>
              <w:rPr>
                <w:color w:val="auto"/>
                <w:spacing w:val="2"/>
                <w:sz w:val="20"/>
                <w:szCs w:val="20"/>
                <w:highlight w:val="none"/>
              </w:rPr>
              <w:t xml:space="preserve">  </w:t>
            </w:r>
            <w:r>
              <w:rPr>
                <w:color w:val="auto"/>
                <w:spacing w:val="-10"/>
                <w:sz w:val="20"/>
                <w:szCs w:val="20"/>
                <w:highlight w:val="none"/>
              </w:rPr>
              <w:t>造</w:t>
            </w:r>
            <w:r>
              <w:rPr>
                <w:color w:val="auto"/>
                <w:sz w:val="20"/>
                <w:szCs w:val="20"/>
                <w:highlight w:val="none"/>
              </w:rPr>
              <w:t xml:space="preserve"> </w:t>
            </w:r>
            <w:r>
              <w:rPr>
                <w:color w:val="auto"/>
                <w:spacing w:val="-6"/>
                <w:sz w:val="20"/>
                <w:szCs w:val="20"/>
                <w:highlight w:val="none"/>
              </w:rPr>
              <w:t>年份</w:t>
            </w:r>
          </w:p>
        </w:tc>
        <w:tc>
          <w:tcPr>
            <w:tcW w:w="1476" w:type="dxa"/>
            <w:tcBorders>
              <w:top w:val="single" w:color="000000" w:sz="10" w:space="0"/>
            </w:tcBorders>
            <w:vAlign w:val="top"/>
          </w:tcPr>
          <w:p w14:paraId="7617A4CD">
            <w:pPr>
              <w:pStyle w:val="9"/>
              <w:spacing w:before="115" w:line="252" w:lineRule="auto"/>
              <w:ind w:left="150" w:right="77" w:hanging="49"/>
              <w:rPr>
                <w:color w:val="auto"/>
                <w:sz w:val="20"/>
                <w:szCs w:val="20"/>
                <w:highlight w:val="none"/>
              </w:rPr>
            </w:pPr>
            <w:r>
              <w:rPr>
                <w:color w:val="auto"/>
                <w:spacing w:val="41"/>
                <w:sz w:val="20"/>
                <w:szCs w:val="20"/>
                <w:highlight w:val="none"/>
              </w:rPr>
              <w:t>额定功率</w:t>
            </w:r>
            <w:r>
              <w:rPr>
                <w:color w:val="auto"/>
                <w:spacing w:val="2"/>
                <w:sz w:val="20"/>
                <w:szCs w:val="20"/>
                <w:highlight w:val="none"/>
              </w:rPr>
              <w:t xml:space="preserve"> </w:t>
            </w:r>
            <w:r>
              <w:rPr>
                <w:color w:val="auto"/>
                <w:spacing w:val="-15"/>
                <w:sz w:val="20"/>
                <w:szCs w:val="20"/>
                <w:highlight w:val="none"/>
              </w:rPr>
              <w:t>(kW)</w:t>
            </w:r>
          </w:p>
        </w:tc>
        <w:tc>
          <w:tcPr>
            <w:tcW w:w="960" w:type="dxa"/>
            <w:tcBorders>
              <w:top w:val="single" w:color="000000" w:sz="10" w:space="0"/>
            </w:tcBorders>
            <w:vAlign w:val="top"/>
          </w:tcPr>
          <w:p w14:paraId="17501587">
            <w:pPr>
              <w:pStyle w:val="9"/>
              <w:spacing w:before="115" w:line="252" w:lineRule="auto"/>
              <w:ind w:left="116" w:right="74" w:hanging="8"/>
              <w:rPr>
                <w:color w:val="auto"/>
                <w:sz w:val="20"/>
                <w:szCs w:val="20"/>
                <w:highlight w:val="none"/>
              </w:rPr>
            </w:pPr>
            <w:r>
              <w:rPr>
                <w:color w:val="auto"/>
                <w:spacing w:val="-12"/>
                <w:sz w:val="20"/>
                <w:szCs w:val="20"/>
                <w:highlight w:val="none"/>
              </w:rPr>
              <w:t>生</w:t>
            </w:r>
            <w:r>
              <w:rPr>
                <w:color w:val="auto"/>
                <w:spacing w:val="89"/>
                <w:sz w:val="20"/>
                <w:szCs w:val="20"/>
                <w:highlight w:val="none"/>
              </w:rPr>
              <w:t xml:space="preserve"> </w:t>
            </w:r>
            <w:r>
              <w:rPr>
                <w:color w:val="auto"/>
                <w:spacing w:val="-12"/>
                <w:sz w:val="20"/>
                <w:szCs w:val="20"/>
                <w:highlight w:val="none"/>
              </w:rPr>
              <w:t>产</w:t>
            </w:r>
            <w:r>
              <w:rPr>
                <w:color w:val="auto"/>
                <w:sz w:val="20"/>
                <w:szCs w:val="20"/>
                <w:highlight w:val="none"/>
              </w:rPr>
              <w:t xml:space="preserve"> </w:t>
            </w:r>
            <w:r>
              <w:rPr>
                <w:color w:val="auto"/>
                <w:spacing w:val="-11"/>
                <w:sz w:val="20"/>
                <w:szCs w:val="20"/>
                <w:highlight w:val="none"/>
              </w:rPr>
              <w:t>能力</w:t>
            </w:r>
          </w:p>
        </w:tc>
        <w:tc>
          <w:tcPr>
            <w:tcW w:w="991" w:type="dxa"/>
            <w:tcBorders>
              <w:top w:val="single" w:color="000000" w:sz="10" w:space="0"/>
              <w:right w:val="single" w:color="000000" w:sz="10" w:space="0"/>
            </w:tcBorders>
            <w:vAlign w:val="top"/>
          </w:tcPr>
          <w:p w14:paraId="6772748E">
            <w:pPr>
              <w:spacing w:line="243" w:lineRule="auto"/>
              <w:rPr>
                <w:rFonts w:ascii="Arial"/>
                <w:color w:val="auto"/>
                <w:sz w:val="20"/>
                <w:szCs w:val="20"/>
                <w:highlight w:val="none"/>
              </w:rPr>
            </w:pPr>
          </w:p>
          <w:p w14:paraId="0E17C875">
            <w:pPr>
              <w:pStyle w:val="9"/>
              <w:spacing w:before="91" w:line="222" w:lineRule="auto"/>
              <w:ind w:left="111"/>
              <w:rPr>
                <w:color w:val="auto"/>
                <w:sz w:val="20"/>
                <w:szCs w:val="20"/>
                <w:highlight w:val="none"/>
              </w:rPr>
            </w:pPr>
            <w:r>
              <w:rPr>
                <w:color w:val="auto"/>
                <w:spacing w:val="-7"/>
                <w:sz w:val="20"/>
                <w:szCs w:val="20"/>
                <w:highlight w:val="none"/>
              </w:rPr>
              <w:t>备注</w:t>
            </w:r>
          </w:p>
        </w:tc>
      </w:tr>
      <w:tr w14:paraId="0098C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173" w:type="dxa"/>
            <w:tcBorders>
              <w:left w:val="single" w:color="000000" w:sz="10" w:space="0"/>
            </w:tcBorders>
            <w:vAlign w:val="top"/>
          </w:tcPr>
          <w:p w14:paraId="010BF20A">
            <w:pPr>
              <w:rPr>
                <w:rFonts w:ascii="Arial"/>
                <w:color w:val="auto"/>
                <w:sz w:val="20"/>
                <w:szCs w:val="20"/>
                <w:highlight w:val="none"/>
              </w:rPr>
            </w:pPr>
          </w:p>
        </w:tc>
        <w:tc>
          <w:tcPr>
            <w:tcW w:w="1414" w:type="dxa"/>
            <w:vAlign w:val="top"/>
          </w:tcPr>
          <w:p w14:paraId="08661B1E">
            <w:pPr>
              <w:rPr>
                <w:rFonts w:ascii="Arial"/>
                <w:color w:val="auto"/>
                <w:sz w:val="20"/>
                <w:szCs w:val="20"/>
                <w:highlight w:val="none"/>
              </w:rPr>
            </w:pPr>
          </w:p>
        </w:tc>
        <w:tc>
          <w:tcPr>
            <w:tcW w:w="848" w:type="dxa"/>
            <w:vAlign w:val="top"/>
          </w:tcPr>
          <w:p w14:paraId="465BCC50">
            <w:pPr>
              <w:rPr>
                <w:rFonts w:ascii="Arial"/>
                <w:color w:val="auto"/>
                <w:sz w:val="20"/>
                <w:szCs w:val="20"/>
                <w:highlight w:val="none"/>
              </w:rPr>
            </w:pPr>
          </w:p>
        </w:tc>
        <w:tc>
          <w:tcPr>
            <w:tcW w:w="1055" w:type="dxa"/>
            <w:vAlign w:val="top"/>
          </w:tcPr>
          <w:p w14:paraId="07F951D3">
            <w:pPr>
              <w:rPr>
                <w:rFonts w:ascii="Arial"/>
                <w:color w:val="auto"/>
                <w:sz w:val="20"/>
                <w:szCs w:val="20"/>
                <w:highlight w:val="none"/>
              </w:rPr>
            </w:pPr>
          </w:p>
        </w:tc>
        <w:tc>
          <w:tcPr>
            <w:tcW w:w="878" w:type="dxa"/>
            <w:vAlign w:val="top"/>
          </w:tcPr>
          <w:p w14:paraId="278B5EE0">
            <w:pPr>
              <w:rPr>
                <w:rFonts w:ascii="Arial"/>
                <w:color w:val="auto"/>
                <w:sz w:val="20"/>
                <w:szCs w:val="20"/>
                <w:highlight w:val="none"/>
              </w:rPr>
            </w:pPr>
          </w:p>
        </w:tc>
        <w:tc>
          <w:tcPr>
            <w:tcW w:w="1017" w:type="dxa"/>
            <w:vAlign w:val="top"/>
          </w:tcPr>
          <w:p w14:paraId="0073AB43">
            <w:pPr>
              <w:rPr>
                <w:rFonts w:ascii="Arial"/>
                <w:color w:val="auto"/>
                <w:sz w:val="20"/>
                <w:szCs w:val="20"/>
                <w:highlight w:val="none"/>
              </w:rPr>
            </w:pPr>
          </w:p>
        </w:tc>
        <w:tc>
          <w:tcPr>
            <w:tcW w:w="1476" w:type="dxa"/>
            <w:vAlign w:val="top"/>
          </w:tcPr>
          <w:p w14:paraId="1071F473">
            <w:pPr>
              <w:rPr>
                <w:rFonts w:ascii="Arial"/>
                <w:color w:val="auto"/>
                <w:sz w:val="20"/>
                <w:szCs w:val="20"/>
                <w:highlight w:val="none"/>
              </w:rPr>
            </w:pPr>
          </w:p>
        </w:tc>
        <w:tc>
          <w:tcPr>
            <w:tcW w:w="960" w:type="dxa"/>
            <w:vAlign w:val="top"/>
          </w:tcPr>
          <w:p w14:paraId="6C3FECC9">
            <w:pPr>
              <w:rPr>
                <w:rFonts w:ascii="Arial"/>
                <w:color w:val="auto"/>
                <w:sz w:val="20"/>
                <w:szCs w:val="20"/>
                <w:highlight w:val="none"/>
              </w:rPr>
            </w:pPr>
          </w:p>
        </w:tc>
        <w:tc>
          <w:tcPr>
            <w:tcW w:w="991" w:type="dxa"/>
            <w:tcBorders>
              <w:right w:val="single" w:color="000000" w:sz="10" w:space="0"/>
            </w:tcBorders>
            <w:vAlign w:val="top"/>
          </w:tcPr>
          <w:p w14:paraId="259600B1">
            <w:pPr>
              <w:rPr>
                <w:rFonts w:ascii="Arial"/>
                <w:color w:val="auto"/>
                <w:sz w:val="20"/>
                <w:szCs w:val="20"/>
                <w:highlight w:val="none"/>
              </w:rPr>
            </w:pPr>
          </w:p>
        </w:tc>
      </w:tr>
      <w:tr w14:paraId="00189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71AAF632">
            <w:pPr>
              <w:rPr>
                <w:rFonts w:ascii="Arial"/>
                <w:color w:val="auto"/>
                <w:sz w:val="20"/>
                <w:szCs w:val="20"/>
                <w:highlight w:val="none"/>
              </w:rPr>
            </w:pPr>
          </w:p>
        </w:tc>
        <w:tc>
          <w:tcPr>
            <w:tcW w:w="1414" w:type="dxa"/>
            <w:vAlign w:val="top"/>
          </w:tcPr>
          <w:p w14:paraId="4155655C">
            <w:pPr>
              <w:rPr>
                <w:rFonts w:ascii="Arial"/>
                <w:color w:val="auto"/>
                <w:sz w:val="20"/>
                <w:szCs w:val="20"/>
                <w:highlight w:val="none"/>
              </w:rPr>
            </w:pPr>
          </w:p>
        </w:tc>
        <w:tc>
          <w:tcPr>
            <w:tcW w:w="848" w:type="dxa"/>
            <w:vAlign w:val="top"/>
          </w:tcPr>
          <w:p w14:paraId="3DA779CA">
            <w:pPr>
              <w:rPr>
                <w:rFonts w:ascii="Arial"/>
                <w:color w:val="auto"/>
                <w:sz w:val="20"/>
                <w:szCs w:val="20"/>
                <w:highlight w:val="none"/>
              </w:rPr>
            </w:pPr>
          </w:p>
        </w:tc>
        <w:tc>
          <w:tcPr>
            <w:tcW w:w="1055" w:type="dxa"/>
            <w:vAlign w:val="top"/>
          </w:tcPr>
          <w:p w14:paraId="07484529">
            <w:pPr>
              <w:rPr>
                <w:rFonts w:ascii="Arial"/>
                <w:color w:val="auto"/>
                <w:sz w:val="20"/>
                <w:szCs w:val="20"/>
                <w:highlight w:val="none"/>
              </w:rPr>
            </w:pPr>
          </w:p>
        </w:tc>
        <w:tc>
          <w:tcPr>
            <w:tcW w:w="878" w:type="dxa"/>
            <w:vAlign w:val="top"/>
          </w:tcPr>
          <w:p w14:paraId="42C5FFA7">
            <w:pPr>
              <w:rPr>
                <w:rFonts w:ascii="Arial"/>
                <w:color w:val="auto"/>
                <w:sz w:val="20"/>
                <w:szCs w:val="20"/>
                <w:highlight w:val="none"/>
              </w:rPr>
            </w:pPr>
          </w:p>
        </w:tc>
        <w:tc>
          <w:tcPr>
            <w:tcW w:w="1017" w:type="dxa"/>
            <w:vAlign w:val="top"/>
          </w:tcPr>
          <w:p w14:paraId="2EE21693">
            <w:pPr>
              <w:rPr>
                <w:rFonts w:ascii="Arial"/>
                <w:color w:val="auto"/>
                <w:sz w:val="20"/>
                <w:szCs w:val="20"/>
                <w:highlight w:val="none"/>
              </w:rPr>
            </w:pPr>
          </w:p>
        </w:tc>
        <w:tc>
          <w:tcPr>
            <w:tcW w:w="1476" w:type="dxa"/>
            <w:vAlign w:val="top"/>
          </w:tcPr>
          <w:p w14:paraId="3D51D641">
            <w:pPr>
              <w:rPr>
                <w:rFonts w:ascii="Arial"/>
                <w:color w:val="auto"/>
                <w:sz w:val="20"/>
                <w:szCs w:val="20"/>
                <w:highlight w:val="none"/>
              </w:rPr>
            </w:pPr>
          </w:p>
        </w:tc>
        <w:tc>
          <w:tcPr>
            <w:tcW w:w="960" w:type="dxa"/>
            <w:vAlign w:val="top"/>
          </w:tcPr>
          <w:p w14:paraId="246003FB">
            <w:pPr>
              <w:rPr>
                <w:rFonts w:ascii="Arial"/>
                <w:color w:val="auto"/>
                <w:sz w:val="20"/>
                <w:szCs w:val="20"/>
                <w:highlight w:val="none"/>
              </w:rPr>
            </w:pPr>
          </w:p>
        </w:tc>
        <w:tc>
          <w:tcPr>
            <w:tcW w:w="991" w:type="dxa"/>
            <w:tcBorders>
              <w:right w:val="single" w:color="000000" w:sz="10" w:space="0"/>
            </w:tcBorders>
            <w:vAlign w:val="top"/>
          </w:tcPr>
          <w:p w14:paraId="52158CB2">
            <w:pPr>
              <w:rPr>
                <w:rFonts w:ascii="Arial"/>
                <w:color w:val="auto"/>
                <w:sz w:val="20"/>
                <w:szCs w:val="20"/>
                <w:highlight w:val="none"/>
              </w:rPr>
            </w:pPr>
          </w:p>
        </w:tc>
      </w:tr>
      <w:tr w14:paraId="65690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1A5DC1D8">
            <w:pPr>
              <w:rPr>
                <w:rFonts w:ascii="Arial"/>
                <w:color w:val="auto"/>
                <w:sz w:val="20"/>
                <w:szCs w:val="20"/>
                <w:highlight w:val="none"/>
              </w:rPr>
            </w:pPr>
          </w:p>
        </w:tc>
        <w:tc>
          <w:tcPr>
            <w:tcW w:w="1414" w:type="dxa"/>
            <w:vAlign w:val="top"/>
          </w:tcPr>
          <w:p w14:paraId="7995F388">
            <w:pPr>
              <w:rPr>
                <w:rFonts w:ascii="Arial"/>
                <w:color w:val="auto"/>
                <w:sz w:val="20"/>
                <w:szCs w:val="20"/>
                <w:highlight w:val="none"/>
              </w:rPr>
            </w:pPr>
          </w:p>
        </w:tc>
        <w:tc>
          <w:tcPr>
            <w:tcW w:w="848" w:type="dxa"/>
            <w:vAlign w:val="top"/>
          </w:tcPr>
          <w:p w14:paraId="219897CD">
            <w:pPr>
              <w:rPr>
                <w:rFonts w:ascii="Arial"/>
                <w:color w:val="auto"/>
                <w:sz w:val="20"/>
                <w:szCs w:val="20"/>
                <w:highlight w:val="none"/>
              </w:rPr>
            </w:pPr>
          </w:p>
        </w:tc>
        <w:tc>
          <w:tcPr>
            <w:tcW w:w="1055" w:type="dxa"/>
            <w:vAlign w:val="top"/>
          </w:tcPr>
          <w:p w14:paraId="44F7D695">
            <w:pPr>
              <w:rPr>
                <w:rFonts w:ascii="Arial"/>
                <w:color w:val="auto"/>
                <w:sz w:val="20"/>
                <w:szCs w:val="20"/>
                <w:highlight w:val="none"/>
              </w:rPr>
            </w:pPr>
          </w:p>
        </w:tc>
        <w:tc>
          <w:tcPr>
            <w:tcW w:w="878" w:type="dxa"/>
            <w:vAlign w:val="top"/>
          </w:tcPr>
          <w:p w14:paraId="105A5C12">
            <w:pPr>
              <w:rPr>
                <w:rFonts w:ascii="Arial"/>
                <w:color w:val="auto"/>
                <w:sz w:val="20"/>
                <w:szCs w:val="20"/>
                <w:highlight w:val="none"/>
              </w:rPr>
            </w:pPr>
          </w:p>
        </w:tc>
        <w:tc>
          <w:tcPr>
            <w:tcW w:w="1017" w:type="dxa"/>
            <w:vAlign w:val="top"/>
          </w:tcPr>
          <w:p w14:paraId="57DC4485">
            <w:pPr>
              <w:rPr>
                <w:rFonts w:ascii="Arial"/>
                <w:color w:val="auto"/>
                <w:sz w:val="20"/>
                <w:szCs w:val="20"/>
                <w:highlight w:val="none"/>
              </w:rPr>
            </w:pPr>
          </w:p>
        </w:tc>
        <w:tc>
          <w:tcPr>
            <w:tcW w:w="1476" w:type="dxa"/>
            <w:vAlign w:val="top"/>
          </w:tcPr>
          <w:p w14:paraId="21CEE187">
            <w:pPr>
              <w:rPr>
                <w:rFonts w:ascii="Arial"/>
                <w:color w:val="auto"/>
                <w:sz w:val="20"/>
                <w:szCs w:val="20"/>
                <w:highlight w:val="none"/>
              </w:rPr>
            </w:pPr>
          </w:p>
        </w:tc>
        <w:tc>
          <w:tcPr>
            <w:tcW w:w="960" w:type="dxa"/>
            <w:vAlign w:val="top"/>
          </w:tcPr>
          <w:p w14:paraId="5D5F76EF">
            <w:pPr>
              <w:rPr>
                <w:rFonts w:ascii="Arial"/>
                <w:color w:val="auto"/>
                <w:sz w:val="20"/>
                <w:szCs w:val="20"/>
                <w:highlight w:val="none"/>
              </w:rPr>
            </w:pPr>
          </w:p>
        </w:tc>
        <w:tc>
          <w:tcPr>
            <w:tcW w:w="991" w:type="dxa"/>
            <w:tcBorders>
              <w:right w:val="single" w:color="000000" w:sz="10" w:space="0"/>
            </w:tcBorders>
            <w:vAlign w:val="top"/>
          </w:tcPr>
          <w:p w14:paraId="336E4819">
            <w:pPr>
              <w:rPr>
                <w:rFonts w:ascii="Arial"/>
                <w:color w:val="auto"/>
                <w:sz w:val="20"/>
                <w:szCs w:val="20"/>
                <w:highlight w:val="none"/>
              </w:rPr>
            </w:pPr>
          </w:p>
        </w:tc>
      </w:tr>
      <w:tr w14:paraId="0994D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729B4C0C">
            <w:pPr>
              <w:rPr>
                <w:rFonts w:ascii="Arial"/>
                <w:color w:val="auto"/>
                <w:sz w:val="20"/>
                <w:szCs w:val="20"/>
                <w:highlight w:val="none"/>
              </w:rPr>
            </w:pPr>
          </w:p>
        </w:tc>
        <w:tc>
          <w:tcPr>
            <w:tcW w:w="1414" w:type="dxa"/>
            <w:vAlign w:val="top"/>
          </w:tcPr>
          <w:p w14:paraId="3F80B7AA">
            <w:pPr>
              <w:rPr>
                <w:rFonts w:ascii="Arial"/>
                <w:color w:val="auto"/>
                <w:sz w:val="20"/>
                <w:szCs w:val="20"/>
                <w:highlight w:val="none"/>
              </w:rPr>
            </w:pPr>
          </w:p>
        </w:tc>
        <w:tc>
          <w:tcPr>
            <w:tcW w:w="848" w:type="dxa"/>
            <w:vAlign w:val="top"/>
          </w:tcPr>
          <w:p w14:paraId="0CFA40C3">
            <w:pPr>
              <w:rPr>
                <w:rFonts w:ascii="Arial"/>
                <w:color w:val="auto"/>
                <w:sz w:val="20"/>
                <w:szCs w:val="20"/>
                <w:highlight w:val="none"/>
              </w:rPr>
            </w:pPr>
          </w:p>
        </w:tc>
        <w:tc>
          <w:tcPr>
            <w:tcW w:w="1055" w:type="dxa"/>
            <w:vAlign w:val="top"/>
          </w:tcPr>
          <w:p w14:paraId="3084949E">
            <w:pPr>
              <w:rPr>
                <w:rFonts w:ascii="Arial"/>
                <w:color w:val="auto"/>
                <w:sz w:val="20"/>
                <w:szCs w:val="20"/>
                <w:highlight w:val="none"/>
              </w:rPr>
            </w:pPr>
          </w:p>
        </w:tc>
        <w:tc>
          <w:tcPr>
            <w:tcW w:w="878" w:type="dxa"/>
            <w:vAlign w:val="top"/>
          </w:tcPr>
          <w:p w14:paraId="4EE9BD14">
            <w:pPr>
              <w:rPr>
                <w:rFonts w:ascii="Arial"/>
                <w:color w:val="auto"/>
                <w:sz w:val="20"/>
                <w:szCs w:val="20"/>
                <w:highlight w:val="none"/>
              </w:rPr>
            </w:pPr>
          </w:p>
        </w:tc>
        <w:tc>
          <w:tcPr>
            <w:tcW w:w="1017" w:type="dxa"/>
            <w:vAlign w:val="top"/>
          </w:tcPr>
          <w:p w14:paraId="2CF774C0">
            <w:pPr>
              <w:rPr>
                <w:rFonts w:ascii="Arial"/>
                <w:color w:val="auto"/>
                <w:sz w:val="20"/>
                <w:szCs w:val="20"/>
                <w:highlight w:val="none"/>
              </w:rPr>
            </w:pPr>
          </w:p>
        </w:tc>
        <w:tc>
          <w:tcPr>
            <w:tcW w:w="1476" w:type="dxa"/>
            <w:vAlign w:val="top"/>
          </w:tcPr>
          <w:p w14:paraId="1D033C5E">
            <w:pPr>
              <w:rPr>
                <w:rFonts w:ascii="Arial"/>
                <w:color w:val="auto"/>
                <w:sz w:val="20"/>
                <w:szCs w:val="20"/>
                <w:highlight w:val="none"/>
              </w:rPr>
            </w:pPr>
          </w:p>
        </w:tc>
        <w:tc>
          <w:tcPr>
            <w:tcW w:w="960" w:type="dxa"/>
            <w:vAlign w:val="top"/>
          </w:tcPr>
          <w:p w14:paraId="724C6CF1">
            <w:pPr>
              <w:rPr>
                <w:rFonts w:ascii="Arial"/>
                <w:color w:val="auto"/>
                <w:sz w:val="20"/>
                <w:szCs w:val="20"/>
                <w:highlight w:val="none"/>
              </w:rPr>
            </w:pPr>
          </w:p>
        </w:tc>
        <w:tc>
          <w:tcPr>
            <w:tcW w:w="991" w:type="dxa"/>
            <w:tcBorders>
              <w:right w:val="single" w:color="000000" w:sz="10" w:space="0"/>
            </w:tcBorders>
            <w:vAlign w:val="top"/>
          </w:tcPr>
          <w:p w14:paraId="5623E8A0">
            <w:pPr>
              <w:rPr>
                <w:rFonts w:ascii="Arial"/>
                <w:color w:val="auto"/>
                <w:sz w:val="20"/>
                <w:szCs w:val="20"/>
                <w:highlight w:val="none"/>
              </w:rPr>
            </w:pPr>
          </w:p>
        </w:tc>
      </w:tr>
      <w:tr w14:paraId="74652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51BA4405">
            <w:pPr>
              <w:rPr>
                <w:rFonts w:ascii="Arial"/>
                <w:color w:val="auto"/>
                <w:sz w:val="20"/>
                <w:szCs w:val="20"/>
                <w:highlight w:val="none"/>
              </w:rPr>
            </w:pPr>
          </w:p>
        </w:tc>
        <w:tc>
          <w:tcPr>
            <w:tcW w:w="1414" w:type="dxa"/>
            <w:vAlign w:val="top"/>
          </w:tcPr>
          <w:p w14:paraId="727EEE81">
            <w:pPr>
              <w:rPr>
                <w:rFonts w:ascii="Arial"/>
                <w:color w:val="auto"/>
                <w:sz w:val="20"/>
                <w:szCs w:val="20"/>
                <w:highlight w:val="none"/>
              </w:rPr>
            </w:pPr>
          </w:p>
        </w:tc>
        <w:tc>
          <w:tcPr>
            <w:tcW w:w="848" w:type="dxa"/>
            <w:vAlign w:val="top"/>
          </w:tcPr>
          <w:p w14:paraId="2FF011AB">
            <w:pPr>
              <w:rPr>
                <w:rFonts w:ascii="Arial"/>
                <w:color w:val="auto"/>
                <w:sz w:val="20"/>
                <w:szCs w:val="20"/>
                <w:highlight w:val="none"/>
              </w:rPr>
            </w:pPr>
          </w:p>
        </w:tc>
        <w:tc>
          <w:tcPr>
            <w:tcW w:w="1055" w:type="dxa"/>
            <w:vAlign w:val="top"/>
          </w:tcPr>
          <w:p w14:paraId="39C97BF6">
            <w:pPr>
              <w:rPr>
                <w:rFonts w:ascii="Arial"/>
                <w:color w:val="auto"/>
                <w:sz w:val="20"/>
                <w:szCs w:val="20"/>
                <w:highlight w:val="none"/>
              </w:rPr>
            </w:pPr>
          </w:p>
        </w:tc>
        <w:tc>
          <w:tcPr>
            <w:tcW w:w="878" w:type="dxa"/>
            <w:vAlign w:val="top"/>
          </w:tcPr>
          <w:p w14:paraId="4F6F3E3D">
            <w:pPr>
              <w:rPr>
                <w:rFonts w:ascii="Arial"/>
                <w:color w:val="auto"/>
                <w:sz w:val="20"/>
                <w:szCs w:val="20"/>
                <w:highlight w:val="none"/>
              </w:rPr>
            </w:pPr>
          </w:p>
        </w:tc>
        <w:tc>
          <w:tcPr>
            <w:tcW w:w="1017" w:type="dxa"/>
            <w:vAlign w:val="top"/>
          </w:tcPr>
          <w:p w14:paraId="07726816">
            <w:pPr>
              <w:rPr>
                <w:rFonts w:ascii="Arial"/>
                <w:color w:val="auto"/>
                <w:sz w:val="20"/>
                <w:szCs w:val="20"/>
                <w:highlight w:val="none"/>
              </w:rPr>
            </w:pPr>
          </w:p>
        </w:tc>
        <w:tc>
          <w:tcPr>
            <w:tcW w:w="1476" w:type="dxa"/>
            <w:vAlign w:val="top"/>
          </w:tcPr>
          <w:p w14:paraId="1086A4F4">
            <w:pPr>
              <w:rPr>
                <w:rFonts w:ascii="Arial"/>
                <w:color w:val="auto"/>
                <w:sz w:val="20"/>
                <w:szCs w:val="20"/>
                <w:highlight w:val="none"/>
              </w:rPr>
            </w:pPr>
          </w:p>
        </w:tc>
        <w:tc>
          <w:tcPr>
            <w:tcW w:w="960" w:type="dxa"/>
            <w:vAlign w:val="top"/>
          </w:tcPr>
          <w:p w14:paraId="7EC9FD74">
            <w:pPr>
              <w:rPr>
                <w:rFonts w:ascii="Arial"/>
                <w:color w:val="auto"/>
                <w:sz w:val="20"/>
                <w:szCs w:val="20"/>
                <w:highlight w:val="none"/>
              </w:rPr>
            </w:pPr>
          </w:p>
        </w:tc>
        <w:tc>
          <w:tcPr>
            <w:tcW w:w="991" w:type="dxa"/>
            <w:tcBorders>
              <w:right w:val="single" w:color="000000" w:sz="10" w:space="0"/>
            </w:tcBorders>
            <w:vAlign w:val="top"/>
          </w:tcPr>
          <w:p w14:paraId="4D07728B">
            <w:pPr>
              <w:rPr>
                <w:rFonts w:ascii="Arial"/>
                <w:color w:val="auto"/>
                <w:sz w:val="20"/>
                <w:szCs w:val="20"/>
                <w:highlight w:val="none"/>
              </w:rPr>
            </w:pPr>
          </w:p>
        </w:tc>
      </w:tr>
      <w:tr w14:paraId="5C13F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52CAE32A">
            <w:pPr>
              <w:rPr>
                <w:rFonts w:ascii="Arial"/>
                <w:color w:val="auto"/>
                <w:sz w:val="20"/>
                <w:szCs w:val="20"/>
                <w:highlight w:val="none"/>
              </w:rPr>
            </w:pPr>
          </w:p>
        </w:tc>
        <w:tc>
          <w:tcPr>
            <w:tcW w:w="1414" w:type="dxa"/>
            <w:vAlign w:val="top"/>
          </w:tcPr>
          <w:p w14:paraId="31D3445C">
            <w:pPr>
              <w:rPr>
                <w:rFonts w:ascii="Arial"/>
                <w:color w:val="auto"/>
                <w:sz w:val="20"/>
                <w:szCs w:val="20"/>
                <w:highlight w:val="none"/>
              </w:rPr>
            </w:pPr>
          </w:p>
        </w:tc>
        <w:tc>
          <w:tcPr>
            <w:tcW w:w="848" w:type="dxa"/>
            <w:vAlign w:val="top"/>
          </w:tcPr>
          <w:p w14:paraId="5607C7AD">
            <w:pPr>
              <w:rPr>
                <w:rFonts w:ascii="Arial"/>
                <w:color w:val="auto"/>
                <w:sz w:val="20"/>
                <w:szCs w:val="20"/>
                <w:highlight w:val="none"/>
              </w:rPr>
            </w:pPr>
          </w:p>
        </w:tc>
        <w:tc>
          <w:tcPr>
            <w:tcW w:w="1055" w:type="dxa"/>
            <w:vAlign w:val="top"/>
          </w:tcPr>
          <w:p w14:paraId="0D9658D0">
            <w:pPr>
              <w:rPr>
                <w:rFonts w:ascii="Arial"/>
                <w:color w:val="auto"/>
                <w:sz w:val="20"/>
                <w:szCs w:val="20"/>
                <w:highlight w:val="none"/>
              </w:rPr>
            </w:pPr>
          </w:p>
        </w:tc>
        <w:tc>
          <w:tcPr>
            <w:tcW w:w="878" w:type="dxa"/>
            <w:vAlign w:val="top"/>
          </w:tcPr>
          <w:p w14:paraId="7ACE593F">
            <w:pPr>
              <w:rPr>
                <w:rFonts w:ascii="Arial"/>
                <w:color w:val="auto"/>
                <w:sz w:val="20"/>
                <w:szCs w:val="20"/>
                <w:highlight w:val="none"/>
              </w:rPr>
            </w:pPr>
          </w:p>
        </w:tc>
        <w:tc>
          <w:tcPr>
            <w:tcW w:w="1017" w:type="dxa"/>
            <w:vAlign w:val="top"/>
          </w:tcPr>
          <w:p w14:paraId="77B80BC7">
            <w:pPr>
              <w:rPr>
                <w:rFonts w:ascii="Arial"/>
                <w:color w:val="auto"/>
                <w:sz w:val="20"/>
                <w:szCs w:val="20"/>
                <w:highlight w:val="none"/>
              </w:rPr>
            </w:pPr>
          </w:p>
        </w:tc>
        <w:tc>
          <w:tcPr>
            <w:tcW w:w="1476" w:type="dxa"/>
            <w:vAlign w:val="top"/>
          </w:tcPr>
          <w:p w14:paraId="148D6BA1">
            <w:pPr>
              <w:rPr>
                <w:rFonts w:ascii="Arial"/>
                <w:color w:val="auto"/>
                <w:sz w:val="20"/>
                <w:szCs w:val="20"/>
                <w:highlight w:val="none"/>
              </w:rPr>
            </w:pPr>
          </w:p>
        </w:tc>
        <w:tc>
          <w:tcPr>
            <w:tcW w:w="960" w:type="dxa"/>
            <w:vAlign w:val="top"/>
          </w:tcPr>
          <w:p w14:paraId="11FE3ECF">
            <w:pPr>
              <w:rPr>
                <w:rFonts w:ascii="Arial"/>
                <w:color w:val="auto"/>
                <w:sz w:val="20"/>
                <w:szCs w:val="20"/>
                <w:highlight w:val="none"/>
              </w:rPr>
            </w:pPr>
          </w:p>
        </w:tc>
        <w:tc>
          <w:tcPr>
            <w:tcW w:w="991" w:type="dxa"/>
            <w:tcBorders>
              <w:right w:val="single" w:color="000000" w:sz="10" w:space="0"/>
            </w:tcBorders>
            <w:vAlign w:val="top"/>
          </w:tcPr>
          <w:p w14:paraId="1AB8C074">
            <w:pPr>
              <w:rPr>
                <w:rFonts w:ascii="Arial"/>
                <w:color w:val="auto"/>
                <w:sz w:val="20"/>
                <w:szCs w:val="20"/>
                <w:highlight w:val="none"/>
              </w:rPr>
            </w:pPr>
          </w:p>
        </w:tc>
      </w:tr>
      <w:tr w14:paraId="2880F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0DE97106">
            <w:pPr>
              <w:rPr>
                <w:rFonts w:ascii="Arial"/>
                <w:color w:val="auto"/>
                <w:sz w:val="20"/>
                <w:szCs w:val="20"/>
                <w:highlight w:val="none"/>
              </w:rPr>
            </w:pPr>
          </w:p>
        </w:tc>
        <w:tc>
          <w:tcPr>
            <w:tcW w:w="1414" w:type="dxa"/>
            <w:vAlign w:val="top"/>
          </w:tcPr>
          <w:p w14:paraId="0EC63051">
            <w:pPr>
              <w:rPr>
                <w:rFonts w:ascii="Arial"/>
                <w:color w:val="auto"/>
                <w:sz w:val="20"/>
                <w:szCs w:val="20"/>
                <w:highlight w:val="none"/>
              </w:rPr>
            </w:pPr>
          </w:p>
        </w:tc>
        <w:tc>
          <w:tcPr>
            <w:tcW w:w="848" w:type="dxa"/>
            <w:vAlign w:val="top"/>
          </w:tcPr>
          <w:p w14:paraId="1923F1FD">
            <w:pPr>
              <w:rPr>
                <w:rFonts w:ascii="Arial"/>
                <w:color w:val="auto"/>
                <w:sz w:val="20"/>
                <w:szCs w:val="20"/>
                <w:highlight w:val="none"/>
              </w:rPr>
            </w:pPr>
          </w:p>
        </w:tc>
        <w:tc>
          <w:tcPr>
            <w:tcW w:w="1055" w:type="dxa"/>
            <w:vAlign w:val="top"/>
          </w:tcPr>
          <w:p w14:paraId="738AE05E">
            <w:pPr>
              <w:rPr>
                <w:rFonts w:ascii="Arial"/>
                <w:color w:val="auto"/>
                <w:sz w:val="20"/>
                <w:szCs w:val="20"/>
                <w:highlight w:val="none"/>
              </w:rPr>
            </w:pPr>
          </w:p>
        </w:tc>
        <w:tc>
          <w:tcPr>
            <w:tcW w:w="878" w:type="dxa"/>
            <w:vAlign w:val="top"/>
          </w:tcPr>
          <w:p w14:paraId="592951B4">
            <w:pPr>
              <w:rPr>
                <w:rFonts w:ascii="Arial"/>
                <w:color w:val="auto"/>
                <w:sz w:val="20"/>
                <w:szCs w:val="20"/>
                <w:highlight w:val="none"/>
              </w:rPr>
            </w:pPr>
          </w:p>
        </w:tc>
        <w:tc>
          <w:tcPr>
            <w:tcW w:w="1017" w:type="dxa"/>
            <w:vAlign w:val="top"/>
          </w:tcPr>
          <w:p w14:paraId="3032E9C0">
            <w:pPr>
              <w:rPr>
                <w:rFonts w:ascii="Arial"/>
                <w:color w:val="auto"/>
                <w:sz w:val="20"/>
                <w:szCs w:val="20"/>
                <w:highlight w:val="none"/>
              </w:rPr>
            </w:pPr>
          </w:p>
        </w:tc>
        <w:tc>
          <w:tcPr>
            <w:tcW w:w="1476" w:type="dxa"/>
            <w:vAlign w:val="top"/>
          </w:tcPr>
          <w:p w14:paraId="5DC6416C">
            <w:pPr>
              <w:rPr>
                <w:rFonts w:ascii="Arial"/>
                <w:color w:val="auto"/>
                <w:sz w:val="20"/>
                <w:szCs w:val="20"/>
                <w:highlight w:val="none"/>
              </w:rPr>
            </w:pPr>
          </w:p>
        </w:tc>
        <w:tc>
          <w:tcPr>
            <w:tcW w:w="960" w:type="dxa"/>
            <w:vAlign w:val="top"/>
          </w:tcPr>
          <w:p w14:paraId="1D723823">
            <w:pPr>
              <w:rPr>
                <w:rFonts w:ascii="Arial"/>
                <w:color w:val="auto"/>
                <w:sz w:val="20"/>
                <w:szCs w:val="20"/>
                <w:highlight w:val="none"/>
              </w:rPr>
            </w:pPr>
          </w:p>
        </w:tc>
        <w:tc>
          <w:tcPr>
            <w:tcW w:w="991" w:type="dxa"/>
            <w:tcBorders>
              <w:right w:val="single" w:color="000000" w:sz="10" w:space="0"/>
            </w:tcBorders>
            <w:vAlign w:val="top"/>
          </w:tcPr>
          <w:p w14:paraId="423AFC19">
            <w:pPr>
              <w:rPr>
                <w:rFonts w:ascii="Arial"/>
                <w:color w:val="auto"/>
                <w:sz w:val="20"/>
                <w:szCs w:val="20"/>
                <w:highlight w:val="none"/>
              </w:rPr>
            </w:pPr>
          </w:p>
        </w:tc>
      </w:tr>
      <w:tr w14:paraId="01513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3D6E12DC">
            <w:pPr>
              <w:rPr>
                <w:rFonts w:ascii="Arial"/>
                <w:color w:val="auto"/>
                <w:sz w:val="20"/>
                <w:szCs w:val="20"/>
                <w:highlight w:val="none"/>
              </w:rPr>
            </w:pPr>
          </w:p>
        </w:tc>
        <w:tc>
          <w:tcPr>
            <w:tcW w:w="1414" w:type="dxa"/>
            <w:vAlign w:val="top"/>
          </w:tcPr>
          <w:p w14:paraId="2B8FFA19">
            <w:pPr>
              <w:rPr>
                <w:rFonts w:ascii="Arial"/>
                <w:color w:val="auto"/>
                <w:sz w:val="20"/>
                <w:szCs w:val="20"/>
                <w:highlight w:val="none"/>
              </w:rPr>
            </w:pPr>
          </w:p>
        </w:tc>
        <w:tc>
          <w:tcPr>
            <w:tcW w:w="848" w:type="dxa"/>
            <w:vAlign w:val="top"/>
          </w:tcPr>
          <w:p w14:paraId="7D6E74E7">
            <w:pPr>
              <w:rPr>
                <w:rFonts w:ascii="Arial"/>
                <w:color w:val="auto"/>
                <w:sz w:val="20"/>
                <w:szCs w:val="20"/>
                <w:highlight w:val="none"/>
              </w:rPr>
            </w:pPr>
          </w:p>
        </w:tc>
        <w:tc>
          <w:tcPr>
            <w:tcW w:w="1055" w:type="dxa"/>
            <w:vAlign w:val="top"/>
          </w:tcPr>
          <w:p w14:paraId="615558E4">
            <w:pPr>
              <w:rPr>
                <w:rFonts w:ascii="Arial"/>
                <w:color w:val="auto"/>
                <w:sz w:val="20"/>
                <w:szCs w:val="20"/>
                <w:highlight w:val="none"/>
              </w:rPr>
            </w:pPr>
          </w:p>
        </w:tc>
        <w:tc>
          <w:tcPr>
            <w:tcW w:w="878" w:type="dxa"/>
            <w:vAlign w:val="top"/>
          </w:tcPr>
          <w:p w14:paraId="433A277E">
            <w:pPr>
              <w:rPr>
                <w:rFonts w:ascii="Arial"/>
                <w:color w:val="auto"/>
                <w:sz w:val="20"/>
                <w:szCs w:val="20"/>
                <w:highlight w:val="none"/>
              </w:rPr>
            </w:pPr>
          </w:p>
        </w:tc>
        <w:tc>
          <w:tcPr>
            <w:tcW w:w="1017" w:type="dxa"/>
            <w:vAlign w:val="top"/>
          </w:tcPr>
          <w:p w14:paraId="3C32BB6F">
            <w:pPr>
              <w:rPr>
                <w:rFonts w:ascii="Arial"/>
                <w:color w:val="auto"/>
                <w:sz w:val="20"/>
                <w:szCs w:val="20"/>
                <w:highlight w:val="none"/>
              </w:rPr>
            </w:pPr>
          </w:p>
        </w:tc>
        <w:tc>
          <w:tcPr>
            <w:tcW w:w="1476" w:type="dxa"/>
            <w:vAlign w:val="top"/>
          </w:tcPr>
          <w:p w14:paraId="4AE5E374">
            <w:pPr>
              <w:rPr>
                <w:rFonts w:ascii="Arial"/>
                <w:color w:val="auto"/>
                <w:sz w:val="20"/>
                <w:szCs w:val="20"/>
                <w:highlight w:val="none"/>
              </w:rPr>
            </w:pPr>
          </w:p>
        </w:tc>
        <w:tc>
          <w:tcPr>
            <w:tcW w:w="960" w:type="dxa"/>
            <w:vAlign w:val="top"/>
          </w:tcPr>
          <w:p w14:paraId="782E044E">
            <w:pPr>
              <w:rPr>
                <w:rFonts w:ascii="Arial"/>
                <w:color w:val="auto"/>
                <w:sz w:val="20"/>
                <w:szCs w:val="20"/>
                <w:highlight w:val="none"/>
              </w:rPr>
            </w:pPr>
          </w:p>
        </w:tc>
        <w:tc>
          <w:tcPr>
            <w:tcW w:w="991" w:type="dxa"/>
            <w:tcBorders>
              <w:right w:val="single" w:color="000000" w:sz="10" w:space="0"/>
            </w:tcBorders>
            <w:vAlign w:val="top"/>
          </w:tcPr>
          <w:p w14:paraId="4FEA6CC5">
            <w:pPr>
              <w:rPr>
                <w:rFonts w:ascii="Arial"/>
                <w:color w:val="auto"/>
                <w:sz w:val="20"/>
                <w:szCs w:val="20"/>
                <w:highlight w:val="none"/>
              </w:rPr>
            </w:pPr>
          </w:p>
        </w:tc>
      </w:tr>
      <w:tr w14:paraId="740AB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3" w:type="dxa"/>
            <w:tcBorders>
              <w:left w:val="single" w:color="000000" w:sz="10" w:space="0"/>
            </w:tcBorders>
            <w:vAlign w:val="top"/>
          </w:tcPr>
          <w:p w14:paraId="3DB4DACE">
            <w:pPr>
              <w:rPr>
                <w:rFonts w:ascii="Arial"/>
                <w:color w:val="auto"/>
                <w:sz w:val="20"/>
                <w:szCs w:val="20"/>
                <w:highlight w:val="none"/>
              </w:rPr>
            </w:pPr>
          </w:p>
        </w:tc>
        <w:tc>
          <w:tcPr>
            <w:tcW w:w="1414" w:type="dxa"/>
            <w:vAlign w:val="top"/>
          </w:tcPr>
          <w:p w14:paraId="500472E1">
            <w:pPr>
              <w:rPr>
                <w:rFonts w:ascii="Arial"/>
                <w:color w:val="auto"/>
                <w:sz w:val="20"/>
                <w:szCs w:val="20"/>
                <w:highlight w:val="none"/>
              </w:rPr>
            </w:pPr>
          </w:p>
        </w:tc>
        <w:tc>
          <w:tcPr>
            <w:tcW w:w="848" w:type="dxa"/>
            <w:vAlign w:val="top"/>
          </w:tcPr>
          <w:p w14:paraId="6079E3B4">
            <w:pPr>
              <w:rPr>
                <w:rFonts w:ascii="Arial"/>
                <w:color w:val="auto"/>
                <w:sz w:val="20"/>
                <w:szCs w:val="20"/>
                <w:highlight w:val="none"/>
              </w:rPr>
            </w:pPr>
          </w:p>
        </w:tc>
        <w:tc>
          <w:tcPr>
            <w:tcW w:w="1055" w:type="dxa"/>
            <w:vAlign w:val="top"/>
          </w:tcPr>
          <w:p w14:paraId="2804E4D7">
            <w:pPr>
              <w:rPr>
                <w:rFonts w:ascii="Arial"/>
                <w:color w:val="auto"/>
                <w:sz w:val="20"/>
                <w:szCs w:val="20"/>
                <w:highlight w:val="none"/>
              </w:rPr>
            </w:pPr>
          </w:p>
        </w:tc>
        <w:tc>
          <w:tcPr>
            <w:tcW w:w="878" w:type="dxa"/>
            <w:vAlign w:val="top"/>
          </w:tcPr>
          <w:p w14:paraId="7821F943">
            <w:pPr>
              <w:rPr>
                <w:rFonts w:ascii="Arial"/>
                <w:color w:val="auto"/>
                <w:sz w:val="20"/>
                <w:szCs w:val="20"/>
                <w:highlight w:val="none"/>
              </w:rPr>
            </w:pPr>
          </w:p>
        </w:tc>
        <w:tc>
          <w:tcPr>
            <w:tcW w:w="1017" w:type="dxa"/>
            <w:vAlign w:val="top"/>
          </w:tcPr>
          <w:p w14:paraId="2F8707BB">
            <w:pPr>
              <w:rPr>
                <w:rFonts w:ascii="Arial"/>
                <w:color w:val="auto"/>
                <w:sz w:val="20"/>
                <w:szCs w:val="20"/>
                <w:highlight w:val="none"/>
              </w:rPr>
            </w:pPr>
          </w:p>
        </w:tc>
        <w:tc>
          <w:tcPr>
            <w:tcW w:w="1476" w:type="dxa"/>
            <w:vAlign w:val="top"/>
          </w:tcPr>
          <w:p w14:paraId="47D44FCF">
            <w:pPr>
              <w:rPr>
                <w:rFonts w:ascii="Arial"/>
                <w:color w:val="auto"/>
                <w:sz w:val="20"/>
                <w:szCs w:val="20"/>
                <w:highlight w:val="none"/>
              </w:rPr>
            </w:pPr>
          </w:p>
        </w:tc>
        <w:tc>
          <w:tcPr>
            <w:tcW w:w="960" w:type="dxa"/>
            <w:vAlign w:val="top"/>
          </w:tcPr>
          <w:p w14:paraId="49F688C4">
            <w:pPr>
              <w:rPr>
                <w:rFonts w:ascii="Arial"/>
                <w:color w:val="auto"/>
                <w:sz w:val="20"/>
                <w:szCs w:val="20"/>
                <w:highlight w:val="none"/>
              </w:rPr>
            </w:pPr>
          </w:p>
        </w:tc>
        <w:tc>
          <w:tcPr>
            <w:tcW w:w="991" w:type="dxa"/>
            <w:tcBorders>
              <w:right w:val="single" w:color="000000" w:sz="10" w:space="0"/>
            </w:tcBorders>
            <w:vAlign w:val="top"/>
          </w:tcPr>
          <w:p w14:paraId="5B88597C">
            <w:pPr>
              <w:rPr>
                <w:rFonts w:ascii="Arial"/>
                <w:color w:val="auto"/>
                <w:sz w:val="20"/>
                <w:szCs w:val="20"/>
                <w:highlight w:val="none"/>
              </w:rPr>
            </w:pPr>
          </w:p>
        </w:tc>
      </w:tr>
      <w:tr w14:paraId="06EDB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173" w:type="dxa"/>
            <w:tcBorders>
              <w:left w:val="single" w:color="000000" w:sz="10" w:space="0"/>
            </w:tcBorders>
            <w:vAlign w:val="top"/>
          </w:tcPr>
          <w:p w14:paraId="5F61882D">
            <w:pPr>
              <w:rPr>
                <w:rFonts w:ascii="Arial"/>
                <w:color w:val="auto"/>
                <w:sz w:val="20"/>
                <w:szCs w:val="20"/>
                <w:highlight w:val="none"/>
              </w:rPr>
            </w:pPr>
          </w:p>
        </w:tc>
        <w:tc>
          <w:tcPr>
            <w:tcW w:w="1414" w:type="dxa"/>
            <w:vAlign w:val="top"/>
          </w:tcPr>
          <w:p w14:paraId="2E7B010D">
            <w:pPr>
              <w:rPr>
                <w:rFonts w:ascii="Arial"/>
                <w:color w:val="auto"/>
                <w:sz w:val="20"/>
                <w:szCs w:val="20"/>
                <w:highlight w:val="none"/>
              </w:rPr>
            </w:pPr>
          </w:p>
        </w:tc>
        <w:tc>
          <w:tcPr>
            <w:tcW w:w="848" w:type="dxa"/>
            <w:vAlign w:val="top"/>
          </w:tcPr>
          <w:p w14:paraId="66A4FE74">
            <w:pPr>
              <w:rPr>
                <w:rFonts w:ascii="Arial"/>
                <w:color w:val="auto"/>
                <w:sz w:val="20"/>
                <w:szCs w:val="20"/>
                <w:highlight w:val="none"/>
              </w:rPr>
            </w:pPr>
          </w:p>
        </w:tc>
        <w:tc>
          <w:tcPr>
            <w:tcW w:w="1055" w:type="dxa"/>
            <w:vAlign w:val="top"/>
          </w:tcPr>
          <w:p w14:paraId="25E4D767">
            <w:pPr>
              <w:rPr>
                <w:rFonts w:ascii="Arial"/>
                <w:color w:val="auto"/>
                <w:sz w:val="20"/>
                <w:szCs w:val="20"/>
                <w:highlight w:val="none"/>
              </w:rPr>
            </w:pPr>
          </w:p>
        </w:tc>
        <w:tc>
          <w:tcPr>
            <w:tcW w:w="878" w:type="dxa"/>
            <w:vAlign w:val="top"/>
          </w:tcPr>
          <w:p w14:paraId="5EA7F62A">
            <w:pPr>
              <w:rPr>
                <w:rFonts w:ascii="Arial"/>
                <w:color w:val="auto"/>
                <w:sz w:val="20"/>
                <w:szCs w:val="20"/>
                <w:highlight w:val="none"/>
              </w:rPr>
            </w:pPr>
          </w:p>
        </w:tc>
        <w:tc>
          <w:tcPr>
            <w:tcW w:w="1017" w:type="dxa"/>
            <w:vAlign w:val="top"/>
          </w:tcPr>
          <w:p w14:paraId="11D5E834">
            <w:pPr>
              <w:rPr>
                <w:rFonts w:ascii="Arial"/>
                <w:color w:val="auto"/>
                <w:sz w:val="20"/>
                <w:szCs w:val="20"/>
                <w:highlight w:val="none"/>
              </w:rPr>
            </w:pPr>
          </w:p>
        </w:tc>
        <w:tc>
          <w:tcPr>
            <w:tcW w:w="1476" w:type="dxa"/>
            <w:vAlign w:val="top"/>
          </w:tcPr>
          <w:p w14:paraId="0C1B9562">
            <w:pPr>
              <w:rPr>
                <w:rFonts w:ascii="Arial"/>
                <w:color w:val="auto"/>
                <w:sz w:val="20"/>
                <w:szCs w:val="20"/>
                <w:highlight w:val="none"/>
              </w:rPr>
            </w:pPr>
          </w:p>
        </w:tc>
        <w:tc>
          <w:tcPr>
            <w:tcW w:w="960" w:type="dxa"/>
            <w:vAlign w:val="top"/>
          </w:tcPr>
          <w:p w14:paraId="5128F399">
            <w:pPr>
              <w:rPr>
                <w:rFonts w:ascii="Arial"/>
                <w:color w:val="auto"/>
                <w:sz w:val="20"/>
                <w:szCs w:val="20"/>
                <w:highlight w:val="none"/>
              </w:rPr>
            </w:pPr>
          </w:p>
        </w:tc>
        <w:tc>
          <w:tcPr>
            <w:tcW w:w="991" w:type="dxa"/>
            <w:tcBorders>
              <w:right w:val="single" w:color="000000" w:sz="10" w:space="0"/>
            </w:tcBorders>
            <w:vAlign w:val="top"/>
          </w:tcPr>
          <w:p w14:paraId="62EFF334">
            <w:pPr>
              <w:rPr>
                <w:rFonts w:ascii="Arial"/>
                <w:color w:val="auto"/>
                <w:sz w:val="20"/>
                <w:szCs w:val="20"/>
                <w:highlight w:val="none"/>
              </w:rPr>
            </w:pPr>
          </w:p>
        </w:tc>
      </w:tr>
      <w:tr w14:paraId="06AE8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3" w:type="dxa"/>
            <w:tcBorders>
              <w:left w:val="single" w:color="000000" w:sz="10" w:space="0"/>
            </w:tcBorders>
            <w:vAlign w:val="top"/>
          </w:tcPr>
          <w:p w14:paraId="54E1B299">
            <w:pPr>
              <w:rPr>
                <w:rFonts w:ascii="Arial"/>
                <w:color w:val="auto"/>
                <w:sz w:val="20"/>
                <w:szCs w:val="20"/>
                <w:highlight w:val="none"/>
              </w:rPr>
            </w:pPr>
          </w:p>
        </w:tc>
        <w:tc>
          <w:tcPr>
            <w:tcW w:w="1414" w:type="dxa"/>
            <w:vAlign w:val="top"/>
          </w:tcPr>
          <w:p w14:paraId="7AC7941A">
            <w:pPr>
              <w:rPr>
                <w:rFonts w:ascii="Arial"/>
                <w:color w:val="auto"/>
                <w:sz w:val="20"/>
                <w:szCs w:val="20"/>
                <w:highlight w:val="none"/>
              </w:rPr>
            </w:pPr>
          </w:p>
        </w:tc>
        <w:tc>
          <w:tcPr>
            <w:tcW w:w="848" w:type="dxa"/>
            <w:vAlign w:val="top"/>
          </w:tcPr>
          <w:p w14:paraId="72C9E3DA">
            <w:pPr>
              <w:rPr>
                <w:rFonts w:ascii="Arial"/>
                <w:color w:val="auto"/>
                <w:sz w:val="20"/>
                <w:szCs w:val="20"/>
                <w:highlight w:val="none"/>
              </w:rPr>
            </w:pPr>
          </w:p>
        </w:tc>
        <w:tc>
          <w:tcPr>
            <w:tcW w:w="1055" w:type="dxa"/>
            <w:vAlign w:val="top"/>
          </w:tcPr>
          <w:p w14:paraId="79321303">
            <w:pPr>
              <w:rPr>
                <w:rFonts w:ascii="Arial"/>
                <w:color w:val="auto"/>
                <w:sz w:val="20"/>
                <w:szCs w:val="20"/>
                <w:highlight w:val="none"/>
              </w:rPr>
            </w:pPr>
          </w:p>
        </w:tc>
        <w:tc>
          <w:tcPr>
            <w:tcW w:w="878" w:type="dxa"/>
            <w:vAlign w:val="top"/>
          </w:tcPr>
          <w:p w14:paraId="12948EEA">
            <w:pPr>
              <w:rPr>
                <w:rFonts w:ascii="Arial"/>
                <w:color w:val="auto"/>
                <w:sz w:val="20"/>
                <w:szCs w:val="20"/>
                <w:highlight w:val="none"/>
              </w:rPr>
            </w:pPr>
          </w:p>
        </w:tc>
        <w:tc>
          <w:tcPr>
            <w:tcW w:w="1017" w:type="dxa"/>
            <w:vAlign w:val="top"/>
          </w:tcPr>
          <w:p w14:paraId="7F9B5D89">
            <w:pPr>
              <w:rPr>
                <w:rFonts w:ascii="Arial"/>
                <w:color w:val="auto"/>
                <w:sz w:val="20"/>
                <w:szCs w:val="20"/>
                <w:highlight w:val="none"/>
              </w:rPr>
            </w:pPr>
          </w:p>
        </w:tc>
        <w:tc>
          <w:tcPr>
            <w:tcW w:w="1476" w:type="dxa"/>
            <w:vAlign w:val="top"/>
          </w:tcPr>
          <w:p w14:paraId="1FFE5985">
            <w:pPr>
              <w:rPr>
                <w:rFonts w:ascii="Arial"/>
                <w:color w:val="auto"/>
                <w:sz w:val="20"/>
                <w:szCs w:val="20"/>
                <w:highlight w:val="none"/>
              </w:rPr>
            </w:pPr>
          </w:p>
        </w:tc>
        <w:tc>
          <w:tcPr>
            <w:tcW w:w="960" w:type="dxa"/>
            <w:vAlign w:val="top"/>
          </w:tcPr>
          <w:p w14:paraId="5F1C0381">
            <w:pPr>
              <w:rPr>
                <w:rFonts w:ascii="Arial"/>
                <w:color w:val="auto"/>
                <w:sz w:val="20"/>
                <w:szCs w:val="20"/>
                <w:highlight w:val="none"/>
              </w:rPr>
            </w:pPr>
          </w:p>
        </w:tc>
        <w:tc>
          <w:tcPr>
            <w:tcW w:w="991" w:type="dxa"/>
            <w:tcBorders>
              <w:right w:val="single" w:color="000000" w:sz="10" w:space="0"/>
            </w:tcBorders>
            <w:vAlign w:val="top"/>
          </w:tcPr>
          <w:p w14:paraId="75FA1465">
            <w:pPr>
              <w:rPr>
                <w:rFonts w:ascii="Arial"/>
                <w:color w:val="auto"/>
                <w:sz w:val="20"/>
                <w:szCs w:val="20"/>
                <w:highlight w:val="none"/>
              </w:rPr>
            </w:pPr>
          </w:p>
        </w:tc>
      </w:tr>
      <w:tr w14:paraId="02708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3" w:type="dxa"/>
            <w:tcBorders>
              <w:left w:val="single" w:color="000000" w:sz="10" w:space="0"/>
            </w:tcBorders>
            <w:vAlign w:val="top"/>
          </w:tcPr>
          <w:p w14:paraId="7671DC56">
            <w:pPr>
              <w:rPr>
                <w:rFonts w:ascii="Arial"/>
                <w:color w:val="auto"/>
                <w:sz w:val="20"/>
                <w:szCs w:val="20"/>
                <w:highlight w:val="none"/>
              </w:rPr>
            </w:pPr>
          </w:p>
        </w:tc>
        <w:tc>
          <w:tcPr>
            <w:tcW w:w="1414" w:type="dxa"/>
            <w:vAlign w:val="top"/>
          </w:tcPr>
          <w:p w14:paraId="325EFF56">
            <w:pPr>
              <w:rPr>
                <w:rFonts w:ascii="Arial"/>
                <w:color w:val="auto"/>
                <w:sz w:val="20"/>
                <w:szCs w:val="20"/>
                <w:highlight w:val="none"/>
              </w:rPr>
            </w:pPr>
          </w:p>
        </w:tc>
        <w:tc>
          <w:tcPr>
            <w:tcW w:w="848" w:type="dxa"/>
            <w:vAlign w:val="top"/>
          </w:tcPr>
          <w:p w14:paraId="56558251">
            <w:pPr>
              <w:rPr>
                <w:rFonts w:ascii="Arial"/>
                <w:color w:val="auto"/>
                <w:sz w:val="20"/>
                <w:szCs w:val="20"/>
                <w:highlight w:val="none"/>
              </w:rPr>
            </w:pPr>
          </w:p>
        </w:tc>
        <w:tc>
          <w:tcPr>
            <w:tcW w:w="1055" w:type="dxa"/>
            <w:vAlign w:val="top"/>
          </w:tcPr>
          <w:p w14:paraId="6A4AB284">
            <w:pPr>
              <w:rPr>
                <w:rFonts w:ascii="Arial"/>
                <w:color w:val="auto"/>
                <w:sz w:val="20"/>
                <w:szCs w:val="20"/>
                <w:highlight w:val="none"/>
              </w:rPr>
            </w:pPr>
          </w:p>
        </w:tc>
        <w:tc>
          <w:tcPr>
            <w:tcW w:w="878" w:type="dxa"/>
            <w:vAlign w:val="top"/>
          </w:tcPr>
          <w:p w14:paraId="17BD1997">
            <w:pPr>
              <w:rPr>
                <w:rFonts w:ascii="Arial"/>
                <w:color w:val="auto"/>
                <w:sz w:val="20"/>
                <w:szCs w:val="20"/>
                <w:highlight w:val="none"/>
              </w:rPr>
            </w:pPr>
          </w:p>
        </w:tc>
        <w:tc>
          <w:tcPr>
            <w:tcW w:w="1017" w:type="dxa"/>
            <w:vAlign w:val="top"/>
          </w:tcPr>
          <w:p w14:paraId="15F6C348">
            <w:pPr>
              <w:rPr>
                <w:rFonts w:ascii="Arial"/>
                <w:color w:val="auto"/>
                <w:sz w:val="20"/>
                <w:szCs w:val="20"/>
                <w:highlight w:val="none"/>
              </w:rPr>
            </w:pPr>
          </w:p>
        </w:tc>
        <w:tc>
          <w:tcPr>
            <w:tcW w:w="1476" w:type="dxa"/>
            <w:vAlign w:val="top"/>
          </w:tcPr>
          <w:p w14:paraId="3DF15956">
            <w:pPr>
              <w:rPr>
                <w:rFonts w:ascii="Arial"/>
                <w:color w:val="auto"/>
                <w:sz w:val="20"/>
                <w:szCs w:val="20"/>
                <w:highlight w:val="none"/>
              </w:rPr>
            </w:pPr>
          </w:p>
        </w:tc>
        <w:tc>
          <w:tcPr>
            <w:tcW w:w="960" w:type="dxa"/>
            <w:vAlign w:val="top"/>
          </w:tcPr>
          <w:p w14:paraId="456FCA5B">
            <w:pPr>
              <w:rPr>
                <w:rFonts w:ascii="Arial"/>
                <w:color w:val="auto"/>
                <w:sz w:val="20"/>
                <w:szCs w:val="20"/>
                <w:highlight w:val="none"/>
              </w:rPr>
            </w:pPr>
          </w:p>
        </w:tc>
        <w:tc>
          <w:tcPr>
            <w:tcW w:w="991" w:type="dxa"/>
            <w:tcBorders>
              <w:right w:val="single" w:color="000000" w:sz="10" w:space="0"/>
            </w:tcBorders>
            <w:vAlign w:val="top"/>
          </w:tcPr>
          <w:p w14:paraId="15D48676">
            <w:pPr>
              <w:rPr>
                <w:rFonts w:ascii="Arial"/>
                <w:color w:val="auto"/>
                <w:sz w:val="20"/>
                <w:szCs w:val="20"/>
                <w:highlight w:val="none"/>
              </w:rPr>
            </w:pPr>
          </w:p>
        </w:tc>
      </w:tr>
      <w:tr w14:paraId="62EE7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1173" w:type="dxa"/>
            <w:tcBorders>
              <w:left w:val="single" w:color="000000" w:sz="10" w:space="0"/>
            </w:tcBorders>
            <w:vAlign w:val="top"/>
          </w:tcPr>
          <w:p w14:paraId="0CD68439">
            <w:pPr>
              <w:rPr>
                <w:rFonts w:ascii="Arial"/>
                <w:color w:val="auto"/>
                <w:sz w:val="20"/>
                <w:szCs w:val="20"/>
                <w:highlight w:val="none"/>
              </w:rPr>
            </w:pPr>
          </w:p>
        </w:tc>
        <w:tc>
          <w:tcPr>
            <w:tcW w:w="1414" w:type="dxa"/>
            <w:vAlign w:val="top"/>
          </w:tcPr>
          <w:p w14:paraId="270692E7">
            <w:pPr>
              <w:rPr>
                <w:rFonts w:ascii="Arial"/>
                <w:color w:val="auto"/>
                <w:sz w:val="20"/>
                <w:szCs w:val="20"/>
                <w:highlight w:val="none"/>
              </w:rPr>
            </w:pPr>
          </w:p>
        </w:tc>
        <w:tc>
          <w:tcPr>
            <w:tcW w:w="848" w:type="dxa"/>
            <w:vAlign w:val="top"/>
          </w:tcPr>
          <w:p w14:paraId="66E9824A">
            <w:pPr>
              <w:rPr>
                <w:rFonts w:ascii="Arial"/>
                <w:color w:val="auto"/>
                <w:sz w:val="20"/>
                <w:szCs w:val="20"/>
                <w:highlight w:val="none"/>
              </w:rPr>
            </w:pPr>
          </w:p>
        </w:tc>
        <w:tc>
          <w:tcPr>
            <w:tcW w:w="1055" w:type="dxa"/>
            <w:vAlign w:val="top"/>
          </w:tcPr>
          <w:p w14:paraId="17E7A44E">
            <w:pPr>
              <w:rPr>
                <w:rFonts w:ascii="Arial"/>
                <w:color w:val="auto"/>
                <w:sz w:val="20"/>
                <w:szCs w:val="20"/>
                <w:highlight w:val="none"/>
              </w:rPr>
            </w:pPr>
          </w:p>
        </w:tc>
        <w:tc>
          <w:tcPr>
            <w:tcW w:w="878" w:type="dxa"/>
            <w:vAlign w:val="top"/>
          </w:tcPr>
          <w:p w14:paraId="2C813038">
            <w:pPr>
              <w:rPr>
                <w:rFonts w:ascii="Arial"/>
                <w:color w:val="auto"/>
                <w:sz w:val="20"/>
                <w:szCs w:val="20"/>
                <w:highlight w:val="none"/>
              </w:rPr>
            </w:pPr>
          </w:p>
        </w:tc>
        <w:tc>
          <w:tcPr>
            <w:tcW w:w="1017" w:type="dxa"/>
            <w:vAlign w:val="top"/>
          </w:tcPr>
          <w:p w14:paraId="12196ED8">
            <w:pPr>
              <w:rPr>
                <w:rFonts w:ascii="Arial"/>
                <w:color w:val="auto"/>
                <w:sz w:val="20"/>
                <w:szCs w:val="20"/>
                <w:highlight w:val="none"/>
              </w:rPr>
            </w:pPr>
          </w:p>
        </w:tc>
        <w:tc>
          <w:tcPr>
            <w:tcW w:w="1476" w:type="dxa"/>
            <w:vAlign w:val="top"/>
          </w:tcPr>
          <w:p w14:paraId="0F1A2898">
            <w:pPr>
              <w:rPr>
                <w:rFonts w:ascii="Arial"/>
                <w:color w:val="auto"/>
                <w:sz w:val="20"/>
                <w:szCs w:val="20"/>
                <w:highlight w:val="none"/>
              </w:rPr>
            </w:pPr>
          </w:p>
        </w:tc>
        <w:tc>
          <w:tcPr>
            <w:tcW w:w="960" w:type="dxa"/>
            <w:vAlign w:val="top"/>
          </w:tcPr>
          <w:p w14:paraId="33416050">
            <w:pPr>
              <w:rPr>
                <w:rFonts w:ascii="Arial"/>
                <w:color w:val="auto"/>
                <w:sz w:val="20"/>
                <w:szCs w:val="20"/>
                <w:highlight w:val="none"/>
              </w:rPr>
            </w:pPr>
          </w:p>
        </w:tc>
        <w:tc>
          <w:tcPr>
            <w:tcW w:w="991" w:type="dxa"/>
            <w:tcBorders>
              <w:right w:val="single" w:color="000000" w:sz="10" w:space="0"/>
            </w:tcBorders>
            <w:vAlign w:val="top"/>
          </w:tcPr>
          <w:p w14:paraId="5BF83054">
            <w:pPr>
              <w:rPr>
                <w:rFonts w:ascii="Arial"/>
                <w:color w:val="auto"/>
                <w:sz w:val="20"/>
                <w:szCs w:val="20"/>
                <w:highlight w:val="none"/>
              </w:rPr>
            </w:pPr>
          </w:p>
        </w:tc>
      </w:tr>
      <w:tr w14:paraId="1B79E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73" w:type="dxa"/>
            <w:tcBorders>
              <w:left w:val="single" w:color="000000" w:sz="10" w:space="0"/>
            </w:tcBorders>
            <w:vAlign w:val="top"/>
          </w:tcPr>
          <w:p w14:paraId="2E805889">
            <w:pPr>
              <w:rPr>
                <w:rFonts w:ascii="Arial"/>
                <w:color w:val="auto"/>
                <w:sz w:val="20"/>
                <w:szCs w:val="20"/>
                <w:highlight w:val="none"/>
              </w:rPr>
            </w:pPr>
          </w:p>
        </w:tc>
        <w:tc>
          <w:tcPr>
            <w:tcW w:w="1414" w:type="dxa"/>
            <w:vAlign w:val="top"/>
          </w:tcPr>
          <w:p w14:paraId="4331464F">
            <w:pPr>
              <w:rPr>
                <w:rFonts w:ascii="Arial"/>
                <w:color w:val="auto"/>
                <w:sz w:val="20"/>
                <w:szCs w:val="20"/>
                <w:highlight w:val="none"/>
              </w:rPr>
            </w:pPr>
          </w:p>
        </w:tc>
        <w:tc>
          <w:tcPr>
            <w:tcW w:w="848" w:type="dxa"/>
            <w:vAlign w:val="top"/>
          </w:tcPr>
          <w:p w14:paraId="1A41CE4D">
            <w:pPr>
              <w:rPr>
                <w:rFonts w:ascii="Arial"/>
                <w:color w:val="auto"/>
                <w:sz w:val="20"/>
                <w:szCs w:val="20"/>
                <w:highlight w:val="none"/>
              </w:rPr>
            </w:pPr>
          </w:p>
        </w:tc>
        <w:tc>
          <w:tcPr>
            <w:tcW w:w="1055" w:type="dxa"/>
            <w:vAlign w:val="top"/>
          </w:tcPr>
          <w:p w14:paraId="09B30F54">
            <w:pPr>
              <w:rPr>
                <w:rFonts w:ascii="Arial"/>
                <w:color w:val="auto"/>
                <w:sz w:val="20"/>
                <w:szCs w:val="20"/>
                <w:highlight w:val="none"/>
              </w:rPr>
            </w:pPr>
          </w:p>
        </w:tc>
        <w:tc>
          <w:tcPr>
            <w:tcW w:w="878" w:type="dxa"/>
            <w:vAlign w:val="top"/>
          </w:tcPr>
          <w:p w14:paraId="33F24C06">
            <w:pPr>
              <w:rPr>
                <w:rFonts w:ascii="Arial"/>
                <w:color w:val="auto"/>
                <w:sz w:val="20"/>
                <w:szCs w:val="20"/>
                <w:highlight w:val="none"/>
              </w:rPr>
            </w:pPr>
          </w:p>
        </w:tc>
        <w:tc>
          <w:tcPr>
            <w:tcW w:w="1017" w:type="dxa"/>
            <w:vAlign w:val="top"/>
          </w:tcPr>
          <w:p w14:paraId="245AA419">
            <w:pPr>
              <w:rPr>
                <w:rFonts w:ascii="Arial"/>
                <w:color w:val="auto"/>
                <w:sz w:val="20"/>
                <w:szCs w:val="20"/>
                <w:highlight w:val="none"/>
              </w:rPr>
            </w:pPr>
          </w:p>
        </w:tc>
        <w:tc>
          <w:tcPr>
            <w:tcW w:w="1476" w:type="dxa"/>
            <w:vAlign w:val="top"/>
          </w:tcPr>
          <w:p w14:paraId="095B9BB7">
            <w:pPr>
              <w:rPr>
                <w:rFonts w:ascii="Arial"/>
                <w:color w:val="auto"/>
                <w:sz w:val="20"/>
                <w:szCs w:val="20"/>
                <w:highlight w:val="none"/>
              </w:rPr>
            </w:pPr>
          </w:p>
        </w:tc>
        <w:tc>
          <w:tcPr>
            <w:tcW w:w="960" w:type="dxa"/>
            <w:vAlign w:val="top"/>
          </w:tcPr>
          <w:p w14:paraId="7172AD26">
            <w:pPr>
              <w:rPr>
                <w:rFonts w:ascii="Arial"/>
                <w:color w:val="auto"/>
                <w:sz w:val="20"/>
                <w:szCs w:val="20"/>
                <w:highlight w:val="none"/>
              </w:rPr>
            </w:pPr>
          </w:p>
        </w:tc>
        <w:tc>
          <w:tcPr>
            <w:tcW w:w="991" w:type="dxa"/>
            <w:tcBorders>
              <w:right w:val="single" w:color="000000" w:sz="10" w:space="0"/>
            </w:tcBorders>
            <w:vAlign w:val="top"/>
          </w:tcPr>
          <w:p w14:paraId="76B3A898">
            <w:pPr>
              <w:rPr>
                <w:rFonts w:ascii="Arial"/>
                <w:color w:val="auto"/>
                <w:sz w:val="20"/>
                <w:szCs w:val="20"/>
                <w:highlight w:val="none"/>
              </w:rPr>
            </w:pPr>
          </w:p>
        </w:tc>
      </w:tr>
      <w:tr w14:paraId="70910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73" w:type="dxa"/>
            <w:tcBorders>
              <w:left w:val="single" w:color="000000" w:sz="10" w:space="0"/>
            </w:tcBorders>
            <w:vAlign w:val="top"/>
          </w:tcPr>
          <w:p w14:paraId="66462500">
            <w:pPr>
              <w:rPr>
                <w:rFonts w:ascii="Arial"/>
                <w:color w:val="auto"/>
                <w:sz w:val="20"/>
                <w:szCs w:val="20"/>
                <w:highlight w:val="none"/>
              </w:rPr>
            </w:pPr>
          </w:p>
        </w:tc>
        <w:tc>
          <w:tcPr>
            <w:tcW w:w="1414" w:type="dxa"/>
            <w:vAlign w:val="top"/>
          </w:tcPr>
          <w:p w14:paraId="76DEC96A">
            <w:pPr>
              <w:rPr>
                <w:rFonts w:ascii="Arial"/>
                <w:color w:val="auto"/>
                <w:sz w:val="20"/>
                <w:szCs w:val="20"/>
                <w:highlight w:val="none"/>
              </w:rPr>
            </w:pPr>
          </w:p>
        </w:tc>
        <w:tc>
          <w:tcPr>
            <w:tcW w:w="848" w:type="dxa"/>
            <w:vAlign w:val="top"/>
          </w:tcPr>
          <w:p w14:paraId="7CF3FEA3">
            <w:pPr>
              <w:rPr>
                <w:rFonts w:ascii="Arial"/>
                <w:color w:val="auto"/>
                <w:sz w:val="20"/>
                <w:szCs w:val="20"/>
                <w:highlight w:val="none"/>
              </w:rPr>
            </w:pPr>
          </w:p>
        </w:tc>
        <w:tc>
          <w:tcPr>
            <w:tcW w:w="1055" w:type="dxa"/>
            <w:vAlign w:val="top"/>
          </w:tcPr>
          <w:p w14:paraId="5849A044">
            <w:pPr>
              <w:rPr>
                <w:rFonts w:ascii="Arial"/>
                <w:color w:val="auto"/>
                <w:sz w:val="20"/>
                <w:szCs w:val="20"/>
                <w:highlight w:val="none"/>
              </w:rPr>
            </w:pPr>
          </w:p>
        </w:tc>
        <w:tc>
          <w:tcPr>
            <w:tcW w:w="878" w:type="dxa"/>
            <w:vAlign w:val="top"/>
          </w:tcPr>
          <w:p w14:paraId="1313D7B2">
            <w:pPr>
              <w:rPr>
                <w:rFonts w:ascii="Arial"/>
                <w:color w:val="auto"/>
                <w:sz w:val="20"/>
                <w:szCs w:val="20"/>
                <w:highlight w:val="none"/>
              </w:rPr>
            </w:pPr>
          </w:p>
        </w:tc>
        <w:tc>
          <w:tcPr>
            <w:tcW w:w="1017" w:type="dxa"/>
            <w:vAlign w:val="top"/>
          </w:tcPr>
          <w:p w14:paraId="5646AC52">
            <w:pPr>
              <w:rPr>
                <w:rFonts w:ascii="Arial"/>
                <w:color w:val="auto"/>
                <w:sz w:val="20"/>
                <w:szCs w:val="20"/>
                <w:highlight w:val="none"/>
              </w:rPr>
            </w:pPr>
          </w:p>
        </w:tc>
        <w:tc>
          <w:tcPr>
            <w:tcW w:w="1476" w:type="dxa"/>
            <w:vAlign w:val="top"/>
          </w:tcPr>
          <w:p w14:paraId="5C1E9607">
            <w:pPr>
              <w:rPr>
                <w:rFonts w:ascii="Arial"/>
                <w:color w:val="auto"/>
                <w:sz w:val="20"/>
                <w:szCs w:val="20"/>
                <w:highlight w:val="none"/>
              </w:rPr>
            </w:pPr>
          </w:p>
        </w:tc>
        <w:tc>
          <w:tcPr>
            <w:tcW w:w="960" w:type="dxa"/>
            <w:vAlign w:val="top"/>
          </w:tcPr>
          <w:p w14:paraId="788A440D">
            <w:pPr>
              <w:rPr>
                <w:rFonts w:ascii="Arial"/>
                <w:color w:val="auto"/>
                <w:sz w:val="20"/>
                <w:szCs w:val="20"/>
                <w:highlight w:val="none"/>
              </w:rPr>
            </w:pPr>
          </w:p>
        </w:tc>
        <w:tc>
          <w:tcPr>
            <w:tcW w:w="991" w:type="dxa"/>
            <w:tcBorders>
              <w:right w:val="single" w:color="000000" w:sz="10" w:space="0"/>
            </w:tcBorders>
            <w:vAlign w:val="top"/>
          </w:tcPr>
          <w:p w14:paraId="4241F869">
            <w:pPr>
              <w:rPr>
                <w:rFonts w:ascii="Arial"/>
                <w:color w:val="auto"/>
                <w:sz w:val="20"/>
                <w:szCs w:val="20"/>
                <w:highlight w:val="none"/>
              </w:rPr>
            </w:pPr>
          </w:p>
        </w:tc>
      </w:tr>
      <w:tr w14:paraId="6FA5A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73" w:type="dxa"/>
            <w:tcBorders>
              <w:left w:val="single" w:color="000000" w:sz="10" w:space="0"/>
            </w:tcBorders>
            <w:vAlign w:val="top"/>
          </w:tcPr>
          <w:p w14:paraId="16057069">
            <w:pPr>
              <w:rPr>
                <w:rFonts w:ascii="Arial"/>
                <w:color w:val="auto"/>
                <w:sz w:val="20"/>
                <w:szCs w:val="20"/>
                <w:highlight w:val="none"/>
              </w:rPr>
            </w:pPr>
          </w:p>
        </w:tc>
        <w:tc>
          <w:tcPr>
            <w:tcW w:w="1414" w:type="dxa"/>
            <w:vAlign w:val="top"/>
          </w:tcPr>
          <w:p w14:paraId="25C9E4AD">
            <w:pPr>
              <w:rPr>
                <w:rFonts w:ascii="Arial"/>
                <w:color w:val="auto"/>
                <w:sz w:val="20"/>
                <w:szCs w:val="20"/>
                <w:highlight w:val="none"/>
              </w:rPr>
            </w:pPr>
          </w:p>
        </w:tc>
        <w:tc>
          <w:tcPr>
            <w:tcW w:w="848" w:type="dxa"/>
            <w:vAlign w:val="top"/>
          </w:tcPr>
          <w:p w14:paraId="0B26BA8A">
            <w:pPr>
              <w:rPr>
                <w:rFonts w:ascii="Arial"/>
                <w:color w:val="auto"/>
                <w:sz w:val="20"/>
                <w:szCs w:val="20"/>
                <w:highlight w:val="none"/>
              </w:rPr>
            </w:pPr>
          </w:p>
        </w:tc>
        <w:tc>
          <w:tcPr>
            <w:tcW w:w="1055" w:type="dxa"/>
            <w:vAlign w:val="top"/>
          </w:tcPr>
          <w:p w14:paraId="3E829333">
            <w:pPr>
              <w:rPr>
                <w:rFonts w:ascii="Arial"/>
                <w:color w:val="auto"/>
                <w:sz w:val="20"/>
                <w:szCs w:val="20"/>
                <w:highlight w:val="none"/>
              </w:rPr>
            </w:pPr>
          </w:p>
        </w:tc>
        <w:tc>
          <w:tcPr>
            <w:tcW w:w="878" w:type="dxa"/>
            <w:vAlign w:val="top"/>
          </w:tcPr>
          <w:p w14:paraId="0427D745">
            <w:pPr>
              <w:rPr>
                <w:rFonts w:ascii="Arial"/>
                <w:color w:val="auto"/>
                <w:sz w:val="20"/>
                <w:szCs w:val="20"/>
                <w:highlight w:val="none"/>
              </w:rPr>
            </w:pPr>
          </w:p>
        </w:tc>
        <w:tc>
          <w:tcPr>
            <w:tcW w:w="1017" w:type="dxa"/>
            <w:vAlign w:val="top"/>
          </w:tcPr>
          <w:p w14:paraId="3C55018C">
            <w:pPr>
              <w:rPr>
                <w:rFonts w:ascii="Arial"/>
                <w:color w:val="auto"/>
                <w:sz w:val="20"/>
                <w:szCs w:val="20"/>
                <w:highlight w:val="none"/>
              </w:rPr>
            </w:pPr>
          </w:p>
        </w:tc>
        <w:tc>
          <w:tcPr>
            <w:tcW w:w="1476" w:type="dxa"/>
            <w:vAlign w:val="top"/>
          </w:tcPr>
          <w:p w14:paraId="4A4230C3">
            <w:pPr>
              <w:rPr>
                <w:rFonts w:ascii="Arial"/>
                <w:color w:val="auto"/>
                <w:sz w:val="20"/>
                <w:szCs w:val="20"/>
                <w:highlight w:val="none"/>
              </w:rPr>
            </w:pPr>
          </w:p>
        </w:tc>
        <w:tc>
          <w:tcPr>
            <w:tcW w:w="960" w:type="dxa"/>
            <w:vAlign w:val="top"/>
          </w:tcPr>
          <w:p w14:paraId="6EFACE15">
            <w:pPr>
              <w:rPr>
                <w:rFonts w:ascii="Arial"/>
                <w:color w:val="auto"/>
                <w:sz w:val="20"/>
                <w:szCs w:val="20"/>
                <w:highlight w:val="none"/>
              </w:rPr>
            </w:pPr>
          </w:p>
        </w:tc>
        <w:tc>
          <w:tcPr>
            <w:tcW w:w="991" w:type="dxa"/>
            <w:tcBorders>
              <w:right w:val="single" w:color="000000" w:sz="10" w:space="0"/>
            </w:tcBorders>
            <w:vAlign w:val="top"/>
          </w:tcPr>
          <w:p w14:paraId="218F3FDD">
            <w:pPr>
              <w:rPr>
                <w:rFonts w:ascii="Arial"/>
                <w:color w:val="auto"/>
                <w:sz w:val="20"/>
                <w:szCs w:val="20"/>
                <w:highlight w:val="none"/>
              </w:rPr>
            </w:pPr>
          </w:p>
        </w:tc>
      </w:tr>
      <w:tr w14:paraId="158F2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73" w:type="dxa"/>
            <w:tcBorders>
              <w:left w:val="single" w:color="000000" w:sz="10" w:space="0"/>
            </w:tcBorders>
            <w:vAlign w:val="top"/>
          </w:tcPr>
          <w:p w14:paraId="4D26EA09">
            <w:pPr>
              <w:rPr>
                <w:rFonts w:ascii="Arial"/>
                <w:color w:val="auto"/>
                <w:sz w:val="20"/>
                <w:szCs w:val="20"/>
                <w:highlight w:val="none"/>
              </w:rPr>
            </w:pPr>
          </w:p>
        </w:tc>
        <w:tc>
          <w:tcPr>
            <w:tcW w:w="1414" w:type="dxa"/>
            <w:vAlign w:val="top"/>
          </w:tcPr>
          <w:p w14:paraId="15DAA49A">
            <w:pPr>
              <w:rPr>
                <w:rFonts w:ascii="Arial"/>
                <w:color w:val="auto"/>
                <w:sz w:val="20"/>
                <w:szCs w:val="20"/>
                <w:highlight w:val="none"/>
              </w:rPr>
            </w:pPr>
          </w:p>
        </w:tc>
        <w:tc>
          <w:tcPr>
            <w:tcW w:w="848" w:type="dxa"/>
            <w:vAlign w:val="top"/>
          </w:tcPr>
          <w:p w14:paraId="3BBD1C32">
            <w:pPr>
              <w:rPr>
                <w:rFonts w:ascii="Arial"/>
                <w:color w:val="auto"/>
                <w:sz w:val="20"/>
                <w:szCs w:val="20"/>
                <w:highlight w:val="none"/>
              </w:rPr>
            </w:pPr>
          </w:p>
        </w:tc>
        <w:tc>
          <w:tcPr>
            <w:tcW w:w="1055" w:type="dxa"/>
            <w:vAlign w:val="top"/>
          </w:tcPr>
          <w:p w14:paraId="6CBA713D">
            <w:pPr>
              <w:rPr>
                <w:rFonts w:ascii="Arial"/>
                <w:color w:val="auto"/>
                <w:sz w:val="20"/>
                <w:szCs w:val="20"/>
                <w:highlight w:val="none"/>
              </w:rPr>
            </w:pPr>
          </w:p>
        </w:tc>
        <w:tc>
          <w:tcPr>
            <w:tcW w:w="878" w:type="dxa"/>
            <w:vAlign w:val="top"/>
          </w:tcPr>
          <w:p w14:paraId="6CE1FB28">
            <w:pPr>
              <w:rPr>
                <w:rFonts w:ascii="Arial"/>
                <w:color w:val="auto"/>
                <w:sz w:val="20"/>
                <w:szCs w:val="20"/>
                <w:highlight w:val="none"/>
              </w:rPr>
            </w:pPr>
          </w:p>
        </w:tc>
        <w:tc>
          <w:tcPr>
            <w:tcW w:w="1017" w:type="dxa"/>
            <w:vAlign w:val="top"/>
          </w:tcPr>
          <w:p w14:paraId="3E6002A5">
            <w:pPr>
              <w:rPr>
                <w:rFonts w:ascii="Arial"/>
                <w:color w:val="auto"/>
                <w:sz w:val="20"/>
                <w:szCs w:val="20"/>
                <w:highlight w:val="none"/>
              </w:rPr>
            </w:pPr>
          </w:p>
        </w:tc>
        <w:tc>
          <w:tcPr>
            <w:tcW w:w="1476" w:type="dxa"/>
            <w:vAlign w:val="top"/>
          </w:tcPr>
          <w:p w14:paraId="6C53218B">
            <w:pPr>
              <w:rPr>
                <w:rFonts w:ascii="Arial"/>
                <w:color w:val="auto"/>
                <w:sz w:val="20"/>
                <w:szCs w:val="20"/>
                <w:highlight w:val="none"/>
              </w:rPr>
            </w:pPr>
          </w:p>
        </w:tc>
        <w:tc>
          <w:tcPr>
            <w:tcW w:w="960" w:type="dxa"/>
            <w:vAlign w:val="top"/>
          </w:tcPr>
          <w:p w14:paraId="199CD049">
            <w:pPr>
              <w:rPr>
                <w:rFonts w:ascii="Arial"/>
                <w:color w:val="auto"/>
                <w:sz w:val="20"/>
                <w:szCs w:val="20"/>
                <w:highlight w:val="none"/>
              </w:rPr>
            </w:pPr>
          </w:p>
        </w:tc>
        <w:tc>
          <w:tcPr>
            <w:tcW w:w="991" w:type="dxa"/>
            <w:tcBorders>
              <w:right w:val="single" w:color="000000" w:sz="10" w:space="0"/>
            </w:tcBorders>
            <w:vAlign w:val="top"/>
          </w:tcPr>
          <w:p w14:paraId="1E46A340">
            <w:pPr>
              <w:rPr>
                <w:rFonts w:ascii="Arial"/>
                <w:color w:val="auto"/>
                <w:sz w:val="20"/>
                <w:szCs w:val="20"/>
                <w:highlight w:val="none"/>
              </w:rPr>
            </w:pPr>
          </w:p>
        </w:tc>
      </w:tr>
      <w:tr w14:paraId="1FE0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173" w:type="dxa"/>
            <w:tcBorders>
              <w:left w:val="single" w:color="000000" w:sz="10" w:space="0"/>
            </w:tcBorders>
            <w:vAlign w:val="top"/>
          </w:tcPr>
          <w:p w14:paraId="2FA936FA">
            <w:pPr>
              <w:rPr>
                <w:rFonts w:ascii="Arial"/>
                <w:color w:val="auto"/>
                <w:sz w:val="20"/>
                <w:szCs w:val="20"/>
                <w:highlight w:val="none"/>
              </w:rPr>
            </w:pPr>
          </w:p>
        </w:tc>
        <w:tc>
          <w:tcPr>
            <w:tcW w:w="1414" w:type="dxa"/>
            <w:vAlign w:val="top"/>
          </w:tcPr>
          <w:p w14:paraId="1820A1D6">
            <w:pPr>
              <w:rPr>
                <w:rFonts w:ascii="Arial"/>
                <w:color w:val="auto"/>
                <w:sz w:val="20"/>
                <w:szCs w:val="20"/>
                <w:highlight w:val="none"/>
              </w:rPr>
            </w:pPr>
          </w:p>
        </w:tc>
        <w:tc>
          <w:tcPr>
            <w:tcW w:w="848" w:type="dxa"/>
            <w:vAlign w:val="top"/>
          </w:tcPr>
          <w:p w14:paraId="55DEB4E7">
            <w:pPr>
              <w:rPr>
                <w:rFonts w:ascii="Arial"/>
                <w:color w:val="auto"/>
                <w:sz w:val="20"/>
                <w:szCs w:val="20"/>
                <w:highlight w:val="none"/>
              </w:rPr>
            </w:pPr>
          </w:p>
        </w:tc>
        <w:tc>
          <w:tcPr>
            <w:tcW w:w="1055" w:type="dxa"/>
            <w:vAlign w:val="top"/>
          </w:tcPr>
          <w:p w14:paraId="7AB66245">
            <w:pPr>
              <w:rPr>
                <w:rFonts w:ascii="Arial"/>
                <w:color w:val="auto"/>
                <w:sz w:val="20"/>
                <w:szCs w:val="20"/>
                <w:highlight w:val="none"/>
              </w:rPr>
            </w:pPr>
          </w:p>
        </w:tc>
        <w:tc>
          <w:tcPr>
            <w:tcW w:w="878" w:type="dxa"/>
            <w:vAlign w:val="top"/>
          </w:tcPr>
          <w:p w14:paraId="0D69829F">
            <w:pPr>
              <w:rPr>
                <w:rFonts w:ascii="Arial"/>
                <w:color w:val="auto"/>
                <w:sz w:val="20"/>
                <w:szCs w:val="20"/>
                <w:highlight w:val="none"/>
              </w:rPr>
            </w:pPr>
          </w:p>
        </w:tc>
        <w:tc>
          <w:tcPr>
            <w:tcW w:w="1017" w:type="dxa"/>
            <w:vAlign w:val="top"/>
          </w:tcPr>
          <w:p w14:paraId="11BDD82E">
            <w:pPr>
              <w:rPr>
                <w:rFonts w:ascii="Arial"/>
                <w:color w:val="auto"/>
                <w:sz w:val="20"/>
                <w:szCs w:val="20"/>
                <w:highlight w:val="none"/>
              </w:rPr>
            </w:pPr>
          </w:p>
        </w:tc>
        <w:tc>
          <w:tcPr>
            <w:tcW w:w="1476" w:type="dxa"/>
            <w:vAlign w:val="top"/>
          </w:tcPr>
          <w:p w14:paraId="5B6708E6">
            <w:pPr>
              <w:rPr>
                <w:rFonts w:ascii="Arial"/>
                <w:color w:val="auto"/>
                <w:sz w:val="20"/>
                <w:szCs w:val="20"/>
                <w:highlight w:val="none"/>
              </w:rPr>
            </w:pPr>
          </w:p>
        </w:tc>
        <w:tc>
          <w:tcPr>
            <w:tcW w:w="960" w:type="dxa"/>
            <w:vAlign w:val="top"/>
          </w:tcPr>
          <w:p w14:paraId="5E697F8B">
            <w:pPr>
              <w:rPr>
                <w:rFonts w:ascii="Arial"/>
                <w:color w:val="auto"/>
                <w:sz w:val="20"/>
                <w:szCs w:val="20"/>
                <w:highlight w:val="none"/>
              </w:rPr>
            </w:pPr>
          </w:p>
        </w:tc>
        <w:tc>
          <w:tcPr>
            <w:tcW w:w="991" w:type="dxa"/>
            <w:tcBorders>
              <w:right w:val="single" w:color="000000" w:sz="10" w:space="0"/>
            </w:tcBorders>
            <w:vAlign w:val="top"/>
          </w:tcPr>
          <w:p w14:paraId="069E4E30">
            <w:pPr>
              <w:rPr>
                <w:rFonts w:ascii="Arial"/>
                <w:color w:val="auto"/>
                <w:sz w:val="20"/>
                <w:szCs w:val="20"/>
                <w:highlight w:val="none"/>
              </w:rPr>
            </w:pPr>
          </w:p>
        </w:tc>
      </w:tr>
      <w:tr w14:paraId="60850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173" w:type="dxa"/>
            <w:tcBorders>
              <w:left w:val="single" w:color="000000" w:sz="10" w:space="0"/>
              <w:bottom w:val="single" w:color="000000" w:sz="10" w:space="0"/>
            </w:tcBorders>
            <w:vAlign w:val="top"/>
          </w:tcPr>
          <w:p w14:paraId="5B3DAECB">
            <w:pPr>
              <w:rPr>
                <w:rFonts w:ascii="Arial"/>
                <w:color w:val="auto"/>
                <w:sz w:val="20"/>
                <w:szCs w:val="20"/>
                <w:highlight w:val="none"/>
              </w:rPr>
            </w:pPr>
          </w:p>
        </w:tc>
        <w:tc>
          <w:tcPr>
            <w:tcW w:w="1414" w:type="dxa"/>
            <w:tcBorders>
              <w:bottom w:val="single" w:color="000000" w:sz="10" w:space="0"/>
            </w:tcBorders>
            <w:vAlign w:val="top"/>
          </w:tcPr>
          <w:p w14:paraId="702F893A">
            <w:pPr>
              <w:rPr>
                <w:rFonts w:ascii="Arial"/>
                <w:color w:val="auto"/>
                <w:sz w:val="20"/>
                <w:szCs w:val="20"/>
                <w:highlight w:val="none"/>
              </w:rPr>
            </w:pPr>
          </w:p>
        </w:tc>
        <w:tc>
          <w:tcPr>
            <w:tcW w:w="848" w:type="dxa"/>
            <w:tcBorders>
              <w:bottom w:val="single" w:color="000000" w:sz="10" w:space="0"/>
            </w:tcBorders>
            <w:vAlign w:val="top"/>
          </w:tcPr>
          <w:p w14:paraId="69324511">
            <w:pPr>
              <w:rPr>
                <w:rFonts w:ascii="Arial"/>
                <w:color w:val="auto"/>
                <w:sz w:val="20"/>
                <w:szCs w:val="20"/>
                <w:highlight w:val="none"/>
              </w:rPr>
            </w:pPr>
          </w:p>
        </w:tc>
        <w:tc>
          <w:tcPr>
            <w:tcW w:w="1055" w:type="dxa"/>
            <w:tcBorders>
              <w:bottom w:val="single" w:color="000000" w:sz="10" w:space="0"/>
            </w:tcBorders>
            <w:vAlign w:val="top"/>
          </w:tcPr>
          <w:p w14:paraId="56D74751">
            <w:pPr>
              <w:rPr>
                <w:rFonts w:ascii="Arial"/>
                <w:color w:val="auto"/>
                <w:sz w:val="20"/>
                <w:szCs w:val="20"/>
                <w:highlight w:val="none"/>
              </w:rPr>
            </w:pPr>
          </w:p>
        </w:tc>
        <w:tc>
          <w:tcPr>
            <w:tcW w:w="878" w:type="dxa"/>
            <w:tcBorders>
              <w:bottom w:val="single" w:color="000000" w:sz="10" w:space="0"/>
            </w:tcBorders>
            <w:vAlign w:val="top"/>
          </w:tcPr>
          <w:p w14:paraId="312798AA">
            <w:pPr>
              <w:rPr>
                <w:rFonts w:ascii="Arial"/>
                <w:color w:val="auto"/>
                <w:sz w:val="20"/>
                <w:szCs w:val="20"/>
                <w:highlight w:val="none"/>
              </w:rPr>
            </w:pPr>
          </w:p>
        </w:tc>
        <w:tc>
          <w:tcPr>
            <w:tcW w:w="1017" w:type="dxa"/>
            <w:tcBorders>
              <w:bottom w:val="single" w:color="000000" w:sz="10" w:space="0"/>
            </w:tcBorders>
            <w:vAlign w:val="top"/>
          </w:tcPr>
          <w:p w14:paraId="757DD397">
            <w:pPr>
              <w:rPr>
                <w:rFonts w:ascii="Arial"/>
                <w:color w:val="auto"/>
                <w:sz w:val="20"/>
                <w:szCs w:val="20"/>
                <w:highlight w:val="none"/>
              </w:rPr>
            </w:pPr>
          </w:p>
        </w:tc>
        <w:tc>
          <w:tcPr>
            <w:tcW w:w="1476" w:type="dxa"/>
            <w:tcBorders>
              <w:bottom w:val="single" w:color="000000" w:sz="10" w:space="0"/>
            </w:tcBorders>
            <w:vAlign w:val="top"/>
          </w:tcPr>
          <w:p w14:paraId="5D478AD6">
            <w:pPr>
              <w:rPr>
                <w:rFonts w:ascii="Arial"/>
                <w:color w:val="auto"/>
                <w:sz w:val="20"/>
                <w:szCs w:val="20"/>
                <w:highlight w:val="none"/>
              </w:rPr>
            </w:pPr>
          </w:p>
        </w:tc>
        <w:tc>
          <w:tcPr>
            <w:tcW w:w="960" w:type="dxa"/>
            <w:tcBorders>
              <w:bottom w:val="single" w:color="000000" w:sz="10" w:space="0"/>
            </w:tcBorders>
            <w:vAlign w:val="top"/>
          </w:tcPr>
          <w:p w14:paraId="02B864DE">
            <w:pPr>
              <w:rPr>
                <w:rFonts w:ascii="Arial"/>
                <w:color w:val="auto"/>
                <w:sz w:val="20"/>
                <w:szCs w:val="20"/>
                <w:highlight w:val="none"/>
              </w:rPr>
            </w:pPr>
          </w:p>
        </w:tc>
        <w:tc>
          <w:tcPr>
            <w:tcW w:w="991" w:type="dxa"/>
            <w:tcBorders>
              <w:bottom w:val="single" w:color="000000" w:sz="10" w:space="0"/>
              <w:right w:val="single" w:color="000000" w:sz="10" w:space="0"/>
            </w:tcBorders>
            <w:vAlign w:val="top"/>
          </w:tcPr>
          <w:p w14:paraId="6D5741A6">
            <w:pPr>
              <w:rPr>
                <w:rFonts w:ascii="Arial"/>
                <w:color w:val="auto"/>
                <w:sz w:val="20"/>
                <w:szCs w:val="20"/>
                <w:highlight w:val="none"/>
              </w:rPr>
            </w:pPr>
          </w:p>
        </w:tc>
      </w:tr>
    </w:tbl>
    <w:p w14:paraId="1C255A03">
      <w:pPr>
        <w:pStyle w:val="2"/>
        <w:rPr>
          <w:color w:val="auto"/>
          <w:highlight w:val="none"/>
        </w:rPr>
      </w:pPr>
    </w:p>
    <w:p w14:paraId="65E961A0">
      <w:pPr>
        <w:rPr>
          <w:color w:val="auto"/>
          <w:highlight w:val="none"/>
        </w:rPr>
        <w:sectPr>
          <w:headerReference r:id="rId244" w:type="default"/>
          <w:footerReference r:id="rId245" w:type="default"/>
          <w:pgSz w:w="11906" w:h="16839"/>
          <w:pgMar w:top="1091" w:right="1034" w:bottom="1158" w:left="1033" w:header="1076" w:footer="922" w:gutter="0"/>
          <w:cols w:space="720" w:num="1"/>
        </w:sectPr>
      </w:pPr>
    </w:p>
    <w:p w14:paraId="63CB3AB3">
      <w:pPr>
        <w:pStyle w:val="2"/>
        <w:spacing w:line="345" w:lineRule="auto"/>
        <w:rPr>
          <w:color w:val="auto"/>
          <w:highlight w:val="none"/>
        </w:rPr>
      </w:pPr>
    </w:p>
    <w:p w14:paraId="32792538">
      <w:pPr>
        <w:spacing w:before="98" w:line="219" w:lineRule="auto"/>
        <w:ind w:left="776"/>
        <w:rPr>
          <w:rFonts w:ascii="宋体" w:hAnsi="宋体" w:eastAsia="宋体" w:cs="宋体"/>
          <w:color w:val="auto"/>
          <w:sz w:val="30"/>
          <w:szCs w:val="30"/>
          <w:highlight w:val="none"/>
        </w:rPr>
      </w:pPr>
      <w:r>
        <w:rPr>
          <w:rFonts w:ascii="宋体" w:hAnsi="宋体" w:eastAsia="宋体" w:cs="宋体"/>
          <w:color w:val="auto"/>
          <w:spacing w:val="-12"/>
          <w:sz w:val="30"/>
          <w:szCs w:val="30"/>
          <w:highlight w:val="none"/>
        </w:rPr>
        <w:t>附件</w:t>
      </w:r>
      <w:r>
        <w:rPr>
          <w:rFonts w:ascii="宋体" w:hAnsi="宋体" w:eastAsia="宋体" w:cs="宋体"/>
          <w:color w:val="auto"/>
          <w:spacing w:val="-64"/>
          <w:sz w:val="30"/>
          <w:szCs w:val="30"/>
          <w:highlight w:val="none"/>
        </w:rPr>
        <w:t xml:space="preserve"> </w:t>
      </w:r>
      <w:r>
        <w:rPr>
          <w:rFonts w:ascii="宋体" w:hAnsi="宋体" w:eastAsia="宋体" w:cs="宋体"/>
          <w:color w:val="auto"/>
          <w:spacing w:val="-12"/>
          <w:sz w:val="30"/>
          <w:szCs w:val="30"/>
          <w:highlight w:val="none"/>
        </w:rPr>
        <w:t>4：</w:t>
      </w:r>
    </w:p>
    <w:p w14:paraId="7F728FDA">
      <w:pPr>
        <w:spacing w:before="238" w:line="220" w:lineRule="auto"/>
        <w:ind w:left="3105"/>
        <w:rPr>
          <w:rFonts w:ascii="宋体" w:hAnsi="宋体" w:eastAsia="宋体" w:cs="宋体"/>
          <w:color w:val="auto"/>
          <w:sz w:val="30"/>
          <w:szCs w:val="30"/>
          <w:highlight w:val="none"/>
        </w:rPr>
      </w:pPr>
      <w:r>
        <w:rPr>
          <w:rFonts w:ascii="宋体" w:hAnsi="宋体" w:eastAsia="宋体" w:cs="宋体"/>
          <w:color w:val="auto"/>
          <w:spacing w:val="-1"/>
          <w:sz w:val="30"/>
          <w:szCs w:val="30"/>
          <w:highlight w:val="none"/>
        </w:rPr>
        <w:t>承包人主要施工管理人员表</w:t>
      </w:r>
    </w:p>
    <w:p w14:paraId="0F2B0FD1">
      <w:pPr>
        <w:spacing w:line="143" w:lineRule="exact"/>
        <w:rPr>
          <w:color w:val="auto"/>
          <w:highlight w:val="none"/>
        </w:rPr>
      </w:pPr>
    </w:p>
    <w:tbl>
      <w:tblPr>
        <w:tblStyle w:val="8"/>
        <w:tblW w:w="97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1"/>
        <w:gridCol w:w="1414"/>
        <w:gridCol w:w="1432"/>
        <w:gridCol w:w="1017"/>
        <w:gridCol w:w="2038"/>
        <w:gridCol w:w="2240"/>
      </w:tblGrid>
      <w:tr w14:paraId="3C6BE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621" w:type="dxa"/>
            <w:tcBorders>
              <w:top w:val="single" w:color="000000" w:sz="10" w:space="0"/>
              <w:left w:val="single" w:color="000000" w:sz="10" w:space="0"/>
            </w:tcBorders>
            <w:vAlign w:val="top"/>
          </w:tcPr>
          <w:p w14:paraId="1E7FFD7F">
            <w:pPr>
              <w:spacing w:line="291" w:lineRule="auto"/>
              <w:rPr>
                <w:rFonts w:hint="eastAsia" w:ascii="宋体" w:hAnsi="宋体" w:eastAsia="宋体" w:cs="宋体"/>
                <w:color w:val="auto"/>
                <w:sz w:val="20"/>
                <w:szCs w:val="20"/>
                <w:highlight w:val="none"/>
              </w:rPr>
            </w:pPr>
          </w:p>
          <w:p w14:paraId="4D4C4405">
            <w:pPr>
              <w:pStyle w:val="9"/>
              <w:spacing w:before="78" w:line="222" w:lineRule="auto"/>
              <w:ind w:left="9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名</w:t>
            </w:r>
            <w:r>
              <w:rPr>
                <w:rFonts w:hint="eastAsia" w:ascii="宋体" w:hAnsi="宋体" w:eastAsia="宋体" w:cs="宋体"/>
                <w:color w:val="auto"/>
                <w:spacing w:val="2"/>
                <w:sz w:val="20"/>
                <w:szCs w:val="20"/>
                <w:highlight w:val="none"/>
              </w:rPr>
              <w:t xml:space="preserve">    </w:t>
            </w:r>
            <w:r>
              <w:rPr>
                <w:rFonts w:hint="eastAsia" w:ascii="宋体" w:hAnsi="宋体" w:eastAsia="宋体" w:cs="宋体"/>
                <w:color w:val="auto"/>
                <w:spacing w:val="-7"/>
                <w:sz w:val="20"/>
                <w:szCs w:val="20"/>
                <w:highlight w:val="none"/>
              </w:rPr>
              <w:t>称</w:t>
            </w:r>
          </w:p>
        </w:tc>
        <w:tc>
          <w:tcPr>
            <w:tcW w:w="1414" w:type="dxa"/>
            <w:tcBorders>
              <w:top w:val="single" w:color="000000" w:sz="10" w:space="0"/>
            </w:tcBorders>
            <w:vAlign w:val="top"/>
          </w:tcPr>
          <w:p w14:paraId="56F844E7">
            <w:pPr>
              <w:spacing w:line="290" w:lineRule="auto"/>
              <w:rPr>
                <w:rFonts w:hint="eastAsia" w:ascii="宋体" w:hAnsi="宋体" w:eastAsia="宋体" w:cs="宋体"/>
                <w:color w:val="auto"/>
                <w:sz w:val="20"/>
                <w:szCs w:val="20"/>
                <w:highlight w:val="none"/>
              </w:rPr>
            </w:pPr>
          </w:p>
          <w:p w14:paraId="0E92E241">
            <w:pPr>
              <w:pStyle w:val="9"/>
              <w:spacing w:before="78" w:line="220" w:lineRule="auto"/>
              <w:ind w:left="86"/>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姓名</w:t>
            </w:r>
          </w:p>
        </w:tc>
        <w:tc>
          <w:tcPr>
            <w:tcW w:w="1432" w:type="dxa"/>
            <w:tcBorders>
              <w:top w:val="single" w:color="000000" w:sz="10" w:space="0"/>
            </w:tcBorders>
            <w:vAlign w:val="top"/>
          </w:tcPr>
          <w:p w14:paraId="70413612">
            <w:pPr>
              <w:spacing w:line="290" w:lineRule="auto"/>
              <w:rPr>
                <w:rFonts w:hint="eastAsia" w:ascii="宋体" w:hAnsi="宋体" w:eastAsia="宋体" w:cs="宋体"/>
                <w:color w:val="auto"/>
                <w:sz w:val="20"/>
                <w:szCs w:val="20"/>
                <w:highlight w:val="none"/>
              </w:rPr>
            </w:pPr>
          </w:p>
          <w:p w14:paraId="7D38CA9C">
            <w:pPr>
              <w:pStyle w:val="9"/>
              <w:spacing w:before="78" w:line="220" w:lineRule="auto"/>
              <w:ind w:left="92"/>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职务</w:t>
            </w:r>
          </w:p>
        </w:tc>
        <w:tc>
          <w:tcPr>
            <w:tcW w:w="1017" w:type="dxa"/>
            <w:tcBorders>
              <w:top w:val="single" w:color="000000" w:sz="10" w:space="0"/>
            </w:tcBorders>
            <w:vAlign w:val="top"/>
          </w:tcPr>
          <w:p w14:paraId="5D9E9B49">
            <w:pPr>
              <w:spacing w:line="291" w:lineRule="auto"/>
              <w:rPr>
                <w:rFonts w:hint="eastAsia" w:ascii="宋体" w:hAnsi="宋体" w:eastAsia="宋体" w:cs="宋体"/>
                <w:color w:val="auto"/>
                <w:sz w:val="20"/>
                <w:szCs w:val="20"/>
                <w:highlight w:val="none"/>
              </w:rPr>
            </w:pPr>
          </w:p>
          <w:p w14:paraId="7F848AAF">
            <w:pPr>
              <w:pStyle w:val="9"/>
              <w:spacing w:before="78" w:line="222" w:lineRule="auto"/>
              <w:ind w:left="95"/>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职称</w:t>
            </w:r>
          </w:p>
        </w:tc>
        <w:tc>
          <w:tcPr>
            <w:tcW w:w="2038" w:type="dxa"/>
            <w:tcBorders>
              <w:top w:val="single" w:color="000000" w:sz="10" w:space="0"/>
            </w:tcBorders>
            <w:vAlign w:val="top"/>
          </w:tcPr>
          <w:p w14:paraId="7AEF0102">
            <w:pPr>
              <w:pStyle w:val="9"/>
              <w:spacing w:before="152" w:line="280" w:lineRule="auto"/>
              <w:ind w:left="97" w:right="77" w:firstLine="1"/>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主要资历、经验及</w:t>
            </w:r>
            <w:r>
              <w:rPr>
                <w:rFonts w:hint="eastAsia" w:ascii="宋体" w:hAnsi="宋体" w:eastAsia="宋体" w:cs="宋体"/>
                <w:color w:val="auto"/>
                <w:spacing w:val="2"/>
                <w:sz w:val="20"/>
                <w:szCs w:val="20"/>
                <w:highlight w:val="none"/>
              </w:rPr>
              <w:t xml:space="preserve"> </w:t>
            </w:r>
            <w:r>
              <w:rPr>
                <w:rFonts w:hint="eastAsia" w:ascii="宋体" w:hAnsi="宋体" w:eastAsia="宋体" w:cs="宋体"/>
                <w:color w:val="auto"/>
                <w:spacing w:val="-2"/>
                <w:sz w:val="20"/>
                <w:szCs w:val="20"/>
                <w:highlight w:val="none"/>
              </w:rPr>
              <w:t>承担过的项目</w:t>
            </w:r>
          </w:p>
        </w:tc>
        <w:tc>
          <w:tcPr>
            <w:tcW w:w="2240" w:type="dxa"/>
            <w:tcBorders>
              <w:top w:val="single" w:color="000000" w:sz="10" w:space="0"/>
              <w:right w:val="single" w:color="000000" w:sz="10" w:space="0"/>
            </w:tcBorders>
            <w:vAlign w:val="top"/>
          </w:tcPr>
          <w:p w14:paraId="68E3BDD2">
            <w:pPr>
              <w:pStyle w:val="9"/>
              <w:spacing w:before="152" w:line="280" w:lineRule="auto"/>
              <w:ind w:left="103" w:right="78" w:firstLine="1"/>
              <w:rPr>
                <w:rFonts w:hint="eastAsia" w:ascii="宋体" w:hAnsi="宋体" w:eastAsia="宋体" w:cs="宋体"/>
                <w:color w:val="auto"/>
                <w:sz w:val="20"/>
                <w:szCs w:val="20"/>
                <w:highlight w:val="none"/>
              </w:rPr>
            </w:pPr>
            <w:r>
              <w:rPr>
                <w:rFonts w:hint="eastAsia" w:ascii="宋体" w:hAnsi="宋体" w:eastAsia="宋体" w:cs="宋体"/>
                <w:color w:val="auto"/>
                <w:spacing w:val="14"/>
                <w:sz w:val="20"/>
                <w:szCs w:val="20"/>
                <w:highlight w:val="none"/>
              </w:rPr>
              <w:t>联系电话（手机号</w:t>
            </w:r>
            <w:r>
              <w:rPr>
                <w:rFonts w:hint="eastAsia" w:ascii="宋体" w:hAnsi="宋体" w:eastAsia="宋体" w:cs="宋体"/>
                <w:color w:val="auto"/>
                <w:spacing w:val="6"/>
                <w:sz w:val="20"/>
                <w:szCs w:val="20"/>
                <w:highlight w:val="none"/>
              </w:rPr>
              <w:t xml:space="preserve"> </w:t>
            </w:r>
            <w:r>
              <w:rPr>
                <w:rFonts w:hint="eastAsia" w:ascii="宋体" w:hAnsi="宋体" w:eastAsia="宋体" w:cs="宋体"/>
                <w:color w:val="auto"/>
                <w:spacing w:val="-5"/>
                <w:sz w:val="20"/>
                <w:szCs w:val="20"/>
                <w:highlight w:val="none"/>
              </w:rPr>
              <w:t>码）</w:t>
            </w:r>
          </w:p>
        </w:tc>
      </w:tr>
      <w:tr w14:paraId="017C5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7522" w:type="dxa"/>
            <w:gridSpan w:val="5"/>
            <w:tcBorders>
              <w:left w:val="single" w:color="000000" w:sz="10" w:space="0"/>
            </w:tcBorders>
            <w:vAlign w:val="top"/>
          </w:tcPr>
          <w:p w14:paraId="48090AFE">
            <w:pPr>
              <w:pStyle w:val="9"/>
              <w:spacing w:before="176" w:line="220" w:lineRule="auto"/>
              <w:ind w:left="93"/>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一、总部人员</w:t>
            </w:r>
          </w:p>
        </w:tc>
        <w:tc>
          <w:tcPr>
            <w:tcW w:w="2240" w:type="dxa"/>
            <w:tcBorders>
              <w:right w:val="single" w:color="000000" w:sz="10" w:space="0"/>
            </w:tcBorders>
            <w:vAlign w:val="top"/>
          </w:tcPr>
          <w:p w14:paraId="703670CA">
            <w:pPr>
              <w:rPr>
                <w:rFonts w:hint="eastAsia" w:ascii="宋体" w:hAnsi="宋体" w:eastAsia="宋体" w:cs="宋体"/>
                <w:color w:val="auto"/>
                <w:sz w:val="20"/>
                <w:szCs w:val="20"/>
                <w:highlight w:val="none"/>
              </w:rPr>
            </w:pPr>
          </w:p>
        </w:tc>
      </w:tr>
      <w:tr w14:paraId="13613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tcBorders>
              <w:left w:val="single" w:color="000000" w:sz="10" w:space="0"/>
            </w:tcBorders>
            <w:vAlign w:val="top"/>
          </w:tcPr>
          <w:p w14:paraId="58CA047C">
            <w:pPr>
              <w:pStyle w:val="9"/>
              <w:spacing w:before="149" w:line="219" w:lineRule="auto"/>
              <w:ind w:left="93"/>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项目主管</w:t>
            </w:r>
          </w:p>
        </w:tc>
        <w:tc>
          <w:tcPr>
            <w:tcW w:w="1414" w:type="dxa"/>
            <w:vAlign w:val="top"/>
          </w:tcPr>
          <w:p w14:paraId="3F3749EB">
            <w:pPr>
              <w:rPr>
                <w:rFonts w:hint="eastAsia" w:ascii="宋体" w:hAnsi="宋体" w:eastAsia="宋体" w:cs="宋体"/>
                <w:color w:val="auto"/>
                <w:sz w:val="20"/>
                <w:szCs w:val="20"/>
                <w:highlight w:val="none"/>
              </w:rPr>
            </w:pPr>
          </w:p>
        </w:tc>
        <w:tc>
          <w:tcPr>
            <w:tcW w:w="1432" w:type="dxa"/>
            <w:vAlign w:val="top"/>
          </w:tcPr>
          <w:p w14:paraId="7057091D">
            <w:pPr>
              <w:pStyle w:val="9"/>
              <w:spacing w:before="149" w:line="219" w:lineRule="auto"/>
              <w:ind w:left="92"/>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法定代表人</w:t>
            </w:r>
          </w:p>
        </w:tc>
        <w:tc>
          <w:tcPr>
            <w:tcW w:w="1017" w:type="dxa"/>
            <w:vAlign w:val="top"/>
          </w:tcPr>
          <w:p w14:paraId="6FB19AFA">
            <w:pPr>
              <w:rPr>
                <w:rFonts w:hint="eastAsia" w:ascii="宋体" w:hAnsi="宋体" w:eastAsia="宋体" w:cs="宋体"/>
                <w:color w:val="auto"/>
                <w:sz w:val="20"/>
                <w:szCs w:val="20"/>
                <w:highlight w:val="none"/>
              </w:rPr>
            </w:pPr>
          </w:p>
        </w:tc>
        <w:tc>
          <w:tcPr>
            <w:tcW w:w="2038" w:type="dxa"/>
            <w:vAlign w:val="top"/>
          </w:tcPr>
          <w:p w14:paraId="2F6CD70F">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4CA75995">
            <w:pPr>
              <w:rPr>
                <w:rFonts w:hint="eastAsia" w:ascii="宋体" w:hAnsi="宋体" w:eastAsia="宋体" w:cs="宋体"/>
                <w:color w:val="auto"/>
                <w:sz w:val="20"/>
                <w:szCs w:val="20"/>
                <w:highlight w:val="none"/>
              </w:rPr>
            </w:pPr>
          </w:p>
        </w:tc>
      </w:tr>
      <w:tr w14:paraId="4AFB3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vMerge w:val="restart"/>
            <w:tcBorders>
              <w:left w:val="single" w:color="000000" w:sz="10" w:space="0"/>
              <w:bottom w:val="nil"/>
            </w:tcBorders>
            <w:vAlign w:val="top"/>
          </w:tcPr>
          <w:p w14:paraId="4C3D9A70">
            <w:pPr>
              <w:spacing w:line="261" w:lineRule="auto"/>
              <w:rPr>
                <w:rFonts w:hint="eastAsia" w:ascii="宋体" w:hAnsi="宋体" w:eastAsia="宋体" w:cs="宋体"/>
                <w:color w:val="auto"/>
                <w:sz w:val="20"/>
                <w:szCs w:val="20"/>
                <w:highlight w:val="none"/>
              </w:rPr>
            </w:pPr>
          </w:p>
          <w:p w14:paraId="40763DFB">
            <w:pPr>
              <w:spacing w:line="262" w:lineRule="auto"/>
              <w:rPr>
                <w:rFonts w:hint="eastAsia" w:ascii="宋体" w:hAnsi="宋体" w:eastAsia="宋体" w:cs="宋体"/>
                <w:color w:val="auto"/>
                <w:sz w:val="20"/>
                <w:szCs w:val="20"/>
                <w:highlight w:val="none"/>
              </w:rPr>
            </w:pPr>
          </w:p>
          <w:p w14:paraId="69221B9E">
            <w:pPr>
              <w:pStyle w:val="9"/>
              <w:spacing w:before="78" w:line="218" w:lineRule="auto"/>
              <w:ind w:left="9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其他人员</w:t>
            </w:r>
          </w:p>
        </w:tc>
        <w:tc>
          <w:tcPr>
            <w:tcW w:w="1414" w:type="dxa"/>
            <w:vAlign w:val="top"/>
          </w:tcPr>
          <w:p w14:paraId="4C4EF911">
            <w:pPr>
              <w:rPr>
                <w:rFonts w:hint="eastAsia" w:ascii="宋体" w:hAnsi="宋体" w:eastAsia="宋体" w:cs="宋体"/>
                <w:color w:val="auto"/>
                <w:sz w:val="20"/>
                <w:szCs w:val="20"/>
                <w:highlight w:val="none"/>
              </w:rPr>
            </w:pPr>
          </w:p>
        </w:tc>
        <w:tc>
          <w:tcPr>
            <w:tcW w:w="1432" w:type="dxa"/>
            <w:vAlign w:val="top"/>
          </w:tcPr>
          <w:p w14:paraId="457AA034">
            <w:pPr>
              <w:rPr>
                <w:rFonts w:hint="eastAsia" w:ascii="宋体" w:hAnsi="宋体" w:eastAsia="宋体" w:cs="宋体"/>
                <w:color w:val="auto"/>
                <w:sz w:val="20"/>
                <w:szCs w:val="20"/>
                <w:highlight w:val="none"/>
              </w:rPr>
            </w:pPr>
          </w:p>
        </w:tc>
        <w:tc>
          <w:tcPr>
            <w:tcW w:w="1017" w:type="dxa"/>
            <w:vAlign w:val="top"/>
          </w:tcPr>
          <w:p w14:paraId="2602C37B">
            <w:pPr>
              <w:rPr>
                <w:rFonts w:hint="eastAsia" w:ascii="宋体" w:hAnsi="宋体" w:eastAsia="宋体" w:cs="宋体"/>
                <w:color w:val="auto"/>
                <w:sz w:val="20"/>
                <w:szCs w:val="20"/>
                <w:highlight w:val="none"/>
              </w:rPr>
            </w:pPr>
          </w:p>
        </w:tc>
        <w:tc>
          <w:tcPr>
            <w:tcW w:w="2038" w:type="dxa"/>
            <w:vAlign w:val="top"/>
          </w:tcPr>
          <w:p w14:paraId="38106F28">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152374F5">
            <w:pPr>
              <w:rPr>
                <w:rFonts w:hint="eastAsia" w:ascii="宋体" w:hAnsi="宋体" w:eastAsia="宋体" w:cs="宋体"/>
                <w:color w:val="auto"/>
                <w:sz w:val="20"/>
                <w:szCs w:val="20"/>
                <w:highlight w:val="none"/>
              </w:rPr>
            </w:pPr>
          </w:p>
        </w:tc>
      </w:tr>
      <w:tr w14:paraId="32247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vMerge w:val="continue"/>
            <w:tcBorders>
              <w:top w:val="nil"/>
              <w:left w:val="single" w:color="000000" w:sz="10" w:space="0"/>
            </w:tcBorders>
            <w:vAlign w:val="top"/>
          </w:tcPr>
          <w:p w14:paraId="4C957057">
            <w:pPr>
              <w:rPr>
                <w:rFonts w:hint="eastAsia" w:ascii="宋体" w:hAnsi="宋体" w:eastAsia="宋体" w:cs="宋体"/>
                <w:color w:val="auto"/>
                <w:sz w:val="20"/>
                <w:szCs w:val="20"/>
                <w:highlight w:val="none"/>
              </w:rPr>
            </w:pPr>
          </w:p>
        </w:tc>
        <w:tc>
          <w:tcPr>
            <w:tcW w:w="1414" w:type="dxa"/>
            <w:vAlign w:val="top"/>
          </w:tcPr>
          <w:p w14:paraId="165C59EC">
            <w:pPr>
              <w:rPr>
                <w:rFonts w:hint="eastAsia" w:ascii="宋体" w:hAnsi="宋体" w:eastAsia="宋体" w:cs="宋体"/>
                <w:color w:val="auto"/>
                <w:sz w:val="20"/>
                <w:szCs w:val="20"/>
                <w:highlight w:val="none"/>
              </w:rPr>
            </w:pPr>
          </w:p>
        </w:tc>
        <w:tc>
          <w:tcPr>
            <w:tcW w:w="1432" w:type="dxa"/>
            <w:vAlign w:val="top"/>
          </w:tcPr>
          <w:p w14:paraId="2AD54FF5">
            <w:pPr>
              <w:rPr>
                <w:rFonts w:hint="eastAsia" w:ascii="宋体" w:hAnsi="宋体" w:eastAsia="宋体" w:cs="宋体"/>
                <w:color w:val="auto"/>
                <w:sz w:val="20"/>
                <w:szCs w:val="20"/>
                <w:highlight w:val="none"/>
              </w:rPr>
            </w:pPr>
          </w:p>
        </w:tc>
        <w:tc>
          <w:tcPr>
            <w:tcW w:w="1017" w:type="dxa"/>
            <w:vAlign w:val="top"/>
          </w:tcPr>
          <w:p w14:paraId="2CC28AAF">
            <w:pPr>
              <w:rPr>
                <w:rFonts w:hint="eastAsia" w:ascii="宋体" w:hAnsi="宋体" w:eastAsia="宋体" w:cs="宋体"/>
                <w:color w:val="auto"/>
                <w:sz w:val="20"/>
                <w:szCs w:val="20"/>
                <w:highlight w:val="none"/>
              </w:rPr>
            </w:pPr>
          </w:p>
        </w:tc>
        <w:tc>
          <w:tcPr>
            <w:tcW w:w="2038" w:type="dxa"/>
            <w:vAlign w:val="top"/>
          </w:tcPr>
          <w:p w14:paraId="17FBAF2A">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44B9FFF1">
            <w:pPr>
              <w:rPr>
                <w:rFonts w:hint="eastAsia" w:ascii="宋体" w:hAnsi="宋体" w:eastAsia="宋体" w:cs="宋体"/>
                <w:color w:val="auto"/>
                <w:sz w:val="20"/>
                <w:szCs w:val="20"/>
                <w:highlight w:val="none"/>
              </w:rPr>
            </w:pPr>
          </w:p>
        </w:tc>
      </w:tr>
      <w:tr w14:paraId="2E142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7522" w:type="dxa"/>
            <w:gridSpan w:val="5"/>
            <w:tcBorders>
              <w:left w:val="single" w:color="000000" w:sz="10" w:space="0"/>
            </w:tcBorders>
            <w:vAlign w:val="top"/>
          </w:tcPr>
          <w:p w14:paraId="41D69475">
            <w:pPr>
              <w:pStyle w:val="9"/>
              <w:spacing w:before="153" w:line="216" w:lineRule="auto"/>
              <w:ind w:left="93"/>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二、现场人员</w:t>
            </w:r>
          </w:p>
        </w:tc>
        <w:tc>
          <w:tcPr>
            <w:tcW w:w="2240" w:type="dxa"/>
            <w:tcBorders>
              <w:right w:val="single" w:color="000000" w:sz="10" w:space="0"/>
            </w:tcBorders>
            <w:vAlign w:val="top"/>
          </w:tcPr>
          <w:p w14:paraId="20439A47">
            <w:pPr>
              <w:rPr>
                <w:rFonts w:hint="eastAsia" w:ascii="宋体" w:hAnsi="宋体" w:eastAsia="宋体" w:cs="宋体"/>
                <w:color w:val="auto"/>
                <w:sz w:val="20"/>
                <w:szCs w:val="20"/>
                <w:highlight w:val="none"/>
              </w:rPr>
            </w:pPr>
          </w:p>
        </w:tc>
      </w:tr>
      <w:tr w14:paraId="53B37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621" w:type="dxa"/>
            <w:tcBorders>
              <w:left w:val="single" w:color="000000" w:sz="10" w:space="0"/>
            </w:tcBorders>
            <w:vAlign w:val="top"/>
          </w:tcPr>
          <w:p w14:paraId="2670366D">
            <w:pPr>
              <w:pStyle w:val="9"/>
              <w:spacing w:before="152" w:line="216" w:lineRule="auto"/>
              <w:ind w:left="93"/>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项目经理</w:t>
            </w:r>
          </w:p>
        </w:tc>
        <w:tc>
          <w:tcPr>
            <w:tcW w:w="1414" w:type="dxa"/>
            <w:vAlign w:val="top"/>
          </w:tcPr>
          <w:p w14:paraId="3179E337">
            <w:pPr>
              <w:pStyle w:val="9"/>
              <w:spacing w:before="191" w:line="182"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c>
          <w:tcPr>
            <w:tcW w:w="1432" w:type="dxa"/>
            <w:vAlign w:val="top"/>
          </w:tcPr>
          <w:p w14:paraId="70DBAF46">
            <w:pPr>
              <w:pStyle w:val="9"/>
              <w:spacing w:before="152" w:line="216" w:lineRule="auto"/>
              <w:ind w:left="94"/>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项目经理</w:t>
            </w:r>
          </w:p>
        </w:tc>
        <w:tc>
          <w:tcPr>
            <w:tcW w:w="1017" w:type="dxa"/>
            <w:vAlign w:val="top"/>
          </w:tcPr>
          <w:p w14:paraId="6BE967D1">
            <w:pPr>
              <w:pStyle w:val="9"/>
              <w:spacing w:before="152" w:line="216" w:lineRule="auto"/>
              <w:ind w:left="9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工程师</w:t>
            </w:r>
          </w:p>
        </w:tc>
        <w:tc>
          <w:tcPr>
            <w:tcW w:w="2038" w:type="dxa"/>
            <w:vAlign w:val="top"/>
          </w:tcPr>
          <w:p w14:paraId="4E67B321">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0B8ABAF3">
            <w:pPr>
              <w:pStyle w:val="9"/>
              <w:spacing w:before="191" w:line="182"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r>
      <w:tr w14:paraId="76FBC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tcBorders>
              <w:left w:val="single" w:color="000000" w:sz="10" w:space="0"/>
            </w:tcBorders>
            <w:vAlign w:val="top"/>
          </w:tcPr>
          <w:p w14:paraId="548D4EE8">
            <w:pPr>
              <w:pStyle w:val="9"/>
              <w:spacing w:before="155" w:line="214" w:lineRule="auto"/>
              <w:ind w:left="93"/>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项目副经理</w:t>
            </w:r>
          </w:p>
        </w:tc>
        <w:tc>
          <w:tcPr>
            <w:tcW w:w="1414" w:type="dxa"/>
            <w:vAlign w:val="top"/>
          </w:tcPr>
          <w:p w14:paraId="68D4B527">
            <w:pPr>
              <w:rPr>
                <w:rFonts w:hint="eastAsia" w:ascii="宋体" w:hAnsi="宋体" w:eastAsia="宋体" w:cs="宋体"/>
                <w:color w:val="auto"/>
                <w:sz w:val="20"/>
                <w:szCs w:val="20"/>
                <w:highlight w:val="none"/>
              </w:rPr>
            </w:pPr>
          </w:p>
        </w:tc>
        <w:tc>
          <w:tcPr>
            <w:tcW w:w="1432" w:type="dxa"/>
            <w:vAlign w:val="top"/>
          </w:tcPr>
          <w:p w14:paraId="1078ED99">
            <w:pPr>
              <w:rPr>
                <w:rFonts w:hint="eastAsia" w:ascii="宋体" w:hAnsi="宋体" w:eastAsia="宋体" w:cs="宋体"/>
                <w:color w:val="auto"/>
                <w:sz w:val="20"/>
                <w:szCs w:val="20"/>
                <w:highlight w:val="none"/>
              </w:rPr>
            </w:pPr>
          </w:p>
        </w:tc>
        <w:tc>
          <w:tcPr>
            <w:tcW w:w="1017" w:type="dxa"/>
            <w:vAlign w:val="top"/>
          </w:tcPr>
          <w:p w14:paraId="1B262514">
            <w:pPr>
              <w:rPr>
                <w:rFonts w:hint="eastAsia" w:ascii="宋体" w:hAnsi="宋体" w:eastAsia="宋体" w:cs="宋体"/>
                <w:color w:val="auto"/>
                <w:sz w:val="20"/>
                <w:szCs w:val="20"/>
                <w:highlight w:val="none"/>
              </w:rPr>
            </w:pPr>
          </w:p>
        </w:tc>
        <w:tc>
          <w:tcPr>
            <w:tcW w:w="2038" w:type="dxa"/>
            <w:vAlign w:val="top"/>
          </w:tcPr>
          <w:p w14:paraId="525AB118">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6AC4D859">
            <w:pPr>
              <w:rPr>
                <w:rFonts w:hint="eastAsia" w:ascii="宋体" w:hAnsi="宋体" w:eastAsia="宋体" w:cs="宋体"/>
                <w:color w:val="auto"/>
                <w:sz w:val="20"/>
                <w:szCs w:val="20"/>
                <w:highlight w:val="none"/>
              </w:rPr>
            </w:pPr>
          </w:p>
        </w:tc>
      </w:tr>
      <w:tr w14:paraId="07E34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621" w:type="dxa"/>
            <w:tcBorders>
              <w:left w:val="single" w:color="000000" w:sz="10" w:space="0"/>
            </w:tcBorders>
            <w:vAlign w:val="top"/>
          </w:tcPr>
          <w:p w14:paraId="02B6F47E">
            <w:pPr>
              <w:pStyle w:val="9"/>
              <w:spacing w:before="154" w:line="214" w:lineRule="auto"/>
              <w:ind w:left="9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技术负责人</w:t>
            </w:r>
          </w:p>
        </w:tc>
        <w:tc>
          <w:tcPr>
            <w:tcW w:w="1414" w:type="dxa"/>
            <w:vAlign w:val="top"/>
          </w:tcPr>
          <w:p w14:paraId="67592138">
            <w:pPr>
              <w:pStyle w:val="9"/>
              <w:spacing w:before="194" w:line="182"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c>
          <w:tcPr>
            <w:tcW w:w="1432" w:type="dxa"/>
            <w:vAlign w:val="top"/>
          </w:tcPr>
          <w:p w14:paraId="5CDEE37C">
            <w:pPr>
              <w:pStyle w:val="9"/>
              <w:spacing w:before="154" w:line="214" w:lineRule="auto"/>
              <w:ind w:left="92"/>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技术负责人</w:t>
            </w:r>
          </w:p>
        </w:tc>
        <w:tc>
          <w:tcPr>
            <w:tcW w:w="1017" w:type="dxa"/>
            <w:vAlign w:val="top"/>
          </w:tcPr>
          <w:p w14:paraId="01EEC3AA">
            <w:pPr>
              <w:pStyle w:val="9"/>
              <w:spacing w:before="154" w:line="214" w:lineRule="auto"/>
              <w:ind w:left="9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工程师</w:t>
            </w:r>
          </w:p>
        </w:tc>
        <w:tc>
          <w:tcPr>
            <w:tcW w:w="2038" w:type="dxa"/>
            <w:vAlign w:val="top"/>
          </w:tcPr>
          <w:p w14:paraId="43484557">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4B83AA15">
            <w:pPr>
              <w:pStyle w:val="9"/>
              <w:spacing w:before="194" w:line="182"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r>
      <w:tr w14:paraId="34D94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tcBorders>
              <w:left w:val="single" w:color="000000" w:sz="10" w:space="0"/>
            </w:tcBorders>
            <w:vAlign w:val="top"/>
          </w:tcPr>
          <w:p w14:paraId="04F823D7">
            <w:pPr>
              <w:pStyle w:val="9"/>
              <w:spacing w:before="158" w:line="212" w:lineRule="auto"/>
              <w:ind w:left="88"/>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造价管理</w:t>
            </w:r>
          </w:p>
        </w:tc>
        <w:tc>
          <w:tcPr>
            <w:tcW w:w="1414" w:type="dxa"/>
            <w:vAlign w:val="top"/>
          </w:tcPr>
          <w:p w14:paraId="38A2AC17">
            <w:pPr>
              <w:pStyle w:val="9"/>
              <w:spacing w:before="197" w:line="182"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c>
          <w:tcPr>
            <w:tcW w:w="1432" w:type="dxa"/>
            <w:vAlign w:val="top"/>
          </w:tcPr>
          <w:p w14:paraId="13407C39">
            <w:pPr>
              <w:pStyle w:val="9"/>
              <w:spacing w:before="158" w:line="212" w:lineRule="auto"/>
              <w:ind w:left="9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造价员</w:t>
            </w:r>
          </w:p>
        </w:tc>
        <w:tc>
          <w:tcPr>
            <w:tcW w:w="1017" w:type="dxa"/>
            <w:vAlign w:val="top"/>
          </w:tcPr>
          <w:p w14:paraId="00ACC508">
            <w:pPr>
              <w:rPr>
                <w:rFonts w:hint="eastAsia" w:ascii="宋体" w:hAnsi="宋体" w:eastAsia="宋体" w:cs="宋体"/>
                <w:color w:val="auto"/>
                <w:sz w:val="20"/>
                <w:szCs w:val="20"/>
                <w:highlight w:val="none"/>
              </w:rPr>
            </w:pPr>
          </w:p>
        </w:tc>
        <w:tc>
          <w:tcPr>
            <w:tcW w:w="2038" w:type="dxa"/>
            <w:vAlign w:val="top"/>
          </w:tcPr>
          <w:p w14:paraId="653AFCC1">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50F8194E">
            <w:pPr>
              <w:pStyle w:val="9"/>
              <w:spacing w:before="197" w:line="182"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r>
      <w:tr w14:paraId="28491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tcBorders>
              <w:left w:val="single" w:color="000000" w:sz="10" w:space="0"/>
            </w:tcBorders>
            <w:vAlign w:val="top"/>
          </w:tcPr>
          <w:p w14:paraId="67671678">
            <w:pPr>
              <w:pStyle w:val="9"/>
              <w:spacing w:before="157" w:line="213" w:lineRule="auto"/>
              <w:ind w:left="9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质量管理</w:t>
            </w:r>
          </w:p>
        </w:tc>
        <w:tc>
          <w:tcPr>
            <w:tcW w:w="1414" w:type="dxa"/>
            <w:vAlign w:val="top"/>
          </w:tcPr>
          <w:p w14:paraId="72012CDF">
            <w:pPr>
              <w:pStyle w:val="9"/>
              <w:spacing w:before="196" w:line="182"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c>
          <w:tcPr>
            <w:tcW w:w="1432" w:type="dxa"/>
            <w:vAlign w:val="top"/>
          </w:tcPr>
          <w:p w14:paraId="3ACC6DEF">
            <w:pPr>
              <w:pStyle w:val="9"/>
              <w:spacing w:before="157" w:line="213" w:lineRule="auto"/>
              <w:ind w:left="92"/>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质检员</w:t>
            </w:r>
          </w:p>
        </w:tc>
        <w:tc>
          <w:tcPr>
            <w:tcW w:w="1017" w:type="dxa"/>
            <w:vAlign w:val="top"/>
          </w:tcPr>
          <w:p w14:paraId="6A615771">
            <w:pPr>
              <w:pStyle w:val="9"/>
              <w:spacing w:before="157" w:line="213" w:lineRule="auto"/>
              <w:ind w:left="9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工程师</w:t>
            </w:r>
          </w:p>
        </w:tc>
        <w:tc>
          <w:tcPr>
            <w:tcW w:w="2038" w:type="dxa"/>
            <w:vAlign w:val="top"/>
          </w:tcPr>
          <w:p w14:paraId="3F1E86F3">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780A36DE">
            <w:pPr>
              <w:pStyle w:val="9"/>
              <w:spacing w:before="196" w:line="182"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r>
      <w:tr w14:paraId="0A190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tcBorders>
              <w:left w:val="single" w:color="000000" w:sz="10" w:space="0"/>
            </w:tcBorders>
            <w:vAlign w:val="top"/>
          </w:tcPr>
          <w:p w14:paraId="0F16710A">
            <w:pPr>
              <w:pStyle w:val="9"/>
              <w:spacing w:before="159" w:line="211" w:lineRule="auto"/>
              <w:ind w:left="89"/>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材料管理</w:t>
            </w:r>
          </w:p>
        </w:tc>
        <w:tc>
          <w:tcPr>
            <w:tcW w:w="1414" w:type="dxa"/>
            <w:vAlign w:val="top"/>
          </w:tcPr>
          <w:p w14:paraId="37395E3D">
            <w:pPr>
              <w:pStyle w:val="9"/>
              <w:spacing w:before="198" w:line="181"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c>
          <w:tcPr>
            <w:tcW w:w="1432" w:type="dxa"/>
            <w:vAlign w:val="top"/>
          </w:tcPr>
          <w:p w14:paraId="37D1BB6D">
            <w:pPr>
              <w:pStyle w:val="9"/>
              <w:spacing w:before="159" w:line="211" w:lineRule="auto"/>
              <w:ind w:left="91"/>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材料员</w:t>
            </w:r>
          </w:p>
        </w:tc>
        <w:tc>
          <w:tcPr>
            <w:tcW w:w="1017" w:type="dxa"/>
            <w:vAlign w:val="top"/>
          </w:tcPr>
          <w:p w14:paraId="2076B514">
            <w:pPr>
              <w:rPr>
                <w:rFonts w:hint="eastAsia" w:ascii="宋体" w:hAnsi="宋体" w:eastAsia="宋体" w:cs="宋体"/>
                <w:color w:val="auto"/>
                <w:sz w:val="20"/>
                <w:szCs w:val="20"/>
                <w:highlight w:val="none"/>
              </w:rPr>
            </w:pPr>
          </w:p>
        </w:tc>
        <w:tc>
          <w:tcPr>
            <w:tcW w:w="2038" w:type="dxa"/>
            <w:vAlign w:val="top"/>
          </w:tcPr>
          <w:p w14:paraId="6E1FA38D">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137AA5BD">
            <w:pPr>
              <w:pStyle w:val="9"/>
              <w:spacing w:before="198" w:line="181"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r>
      <w:tr w14:paraId="3FE4A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tcBorders>
              <w:left w:val="single" w:color="000000" w:sz="10" w:space="0"/>
            </w:tcBorders>
            <w:vAlign w:val="top"/>
          </w:tcPr>
          <w:p w14:paraId="4804BFC0">
            <w:pPr>
              <w:pStyle w:val="9"/>
              <w:spacing w:before="161" w:line="210" w:lineRule="auto"/>
              <w:ind w:left="89"/>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计划管理</w:t>
            </w:r>
          </w:p>
        </w:tc>
        <w:tc>
          <w:tcPr>
            <w:tcW w:w="1414" w:type="dxa"/>
            <w:vAlign w:val="top"/>
          </w:tcPr>
          <w:p w14:paraId="6016BB43">
            <w:pPr>
              <w:rPr>
                <w:rFonts w:hint="eastAsia" w:ascii="宋体" w:hAnsi="宋体" w:eastAsia="宋体" w:cs="宋体"/>
                <w:color w:val="auto"/>
                <w:sz w:val="20"/>
                <w:szCs w:val="20"/>
                <w:highlight w:val="none"/>
              </w:rPr>
            </w:pPr>
          </w:p>
        </w:tc>
        <w:tc>
          <w:tcPr>
            <w:tcW w:w="1432" w:type="dxa"/>
            <w:vAlign w:val="top"/>
          </w:tcPr>
          <w:p w14:paraId="2819973D">
            <w:pPr>
              <w:rPr>
                <w:rFonts w:hint="eastAsia" w:ascii="宋体" w:hAnsi="宋体" w:eastAsia="宋体" w:cs="宋体"/>
                <w:color w:val="auto"/>
                <w:sz w:val="20"/>
                <w:szCs w:val="20"/>
                <w:highlight w:val="none"/>
              </w:rPr>
            </w:pPr>
          </w:p>
        </w:tc>
        <w:tc>
          <w:tcPr>
            <w:tcW w:w="1017" w:type="dxa"/>
            <w:vAlign w:val="top"/>
          </w:tcPr>
          <w:p w14:paraId="35A65E90">
            <w:pPr>
              <w:rPr>
                <w:rFonts w:hint="eastAsia" w:ascii="宋体" w:hAnsi="宋体" w:eastAsia="宋体" w:cs="宋体"/>
                <w:color w:val="auto"/>
                <w:sz w:val="20"/>
                <w:szCs w:val="20"/>
                <w:highlight w:val="none"/>
              </w:rPr>
            </w:pPr>
          </w:p>
        </w:tc>
        <w:tc>
          <w:tcPr>
            <w:tcW w:w="2038" w:type="dxa"/>
            <w:vAlign w:val="top"/>
          </w:tcPr>
          <w:p w14:paraId="27F8C86B">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7305E481">
            <w:pPr>
              <w:rPr>
                <w:rFonts w:hint="eastAsia" w:ascii="宋体" w:hAnsi="宋体" w:eastAsia="宋体" w:cs="宋体"/>
                <w:color w:val="auto"/>
                <w:sz w:val="20"/>
                <w:szCs w:val="20"/>
                <w:highlight w:val="none"/>
              </w:rPr>
            </w:pPr>
          </w:p>
        </w:tc>
      </w:tr>
      <w:tr w14:paraId="009BB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tcBorders>
              <w:left w:val="single" w:color="000000" w:sz="10" w:space="0"/>
            </w:tcBorders>
            <w:vAlign w:val="top"/>
          </w:tcPr>
          <w:p w14:paraId="76171C37">
            <w:pPr>
              <w:pStyle w:val="9"/>
              <w:spacing w:before="161" w:line="210" w:lineRule="auto"/>
              <w:ind w:left="94"/>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安全管理</w:t>
            </w:r>
          </w:p>
        </w:tc>
        <w:tc>
          <w:tcPr>
            <w:tcW w:w="1414" w:type="dxa"/>
            <w:vAlign w:val="top"/>
          </w:tcPr>
          <w:p w14:paraId="160ED381">
            <w:pPr>
              <w:pStyle w:val="9"/>
              <w:spacing w:before="201" w:line="179"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c>
          <w:tcPr>
            <w:tcW w:w="1432" w:type="dxa"/>
            <w:vAlign w:val="top"/>
          </w:tcPr>
          <w:p w14:paraId="1EB7E61E">
            <w:pPr>
              <w:pStyle w:val="9"/>
              <w:spacing w:before="161" w:line="210" w:lineRule="auto"/>
              <w:ind w:left="95"/>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安全员</w:t>
            </w:r>
          </w:p>
        </w:tc>
        <w:tc>
          <w:tcPr>
            <w:tcW w:w="1017" w:type="dxa"/>
            <w:vAlign w:val="top"/>
          </w:tcPr>
          <w:p w14:paraId="0A8007C6">
            <w:pPr>
              <w:rPr>
                <w:rFonts w:hint="eastAsia" w:ascii="宋体" w:hAnsi="宋体" w:eastAsia="宋体" w:cs="宋体"/>
                <w:color w:val="auto"/>
                <w:sz w:val="20"/>
                <w:szCs w:val="20"/>
                <w:highlight w:val="none"/>
              </w:rPr>
            </w:pPr>
          </w:p>
        </w:tc>
        <w:tc>
          <w:tcPr>
            <w:tcW w:w="2038" w:type="dxa"/>
            <w:vAlign w:val="top"/>
          </w:tcPr>
          <w:p w14:paraId="50A2BDAB">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74037BBF">
            <w:pPr>
              <w:pStyle w:val="9"/>
              <w:spacing w:before="201" w:line="179"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r>
      <w:tr w14:paraId="2F22E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vMerge w:val="restart"/>
            <w:tcBorders>
              <w:left w:val="single" w:color="000000" w:sz="10" w:space="0"/>
              <w:bottom w:val="nil"/>
            </w:tcBorders>
            <w:vAlign w:val="top"/>
          </w:tcPr>
          <w:p w14:paraId="4FB8B40B">
            <w:pPr>
              <w:spacing w:line="241" w:lineRule="auto"/>
              <w:rPr>
                <w:rFonts w:hint="eastAsia" w:ascii="宋体" w:hAnsi="宋体" w:eastAsia="宋体" w:cs="宋体"/>
                <w:color w:val="auto"/>
                <w:sz w:val="20"/>
                <w:szCs w:val="20"/>
                <w:highlight w:val="none"/>
              </w:rPr>
            </w:pPr>
          </w:p>
          <w:p w14:paraId="615AE264">
            <w:pPr>
              <w:spacing w:line="241" w:lineRule="auto"/>
              <w:rPr>
                <w:rFonts w:hint="eastAsia" w:ascii="宋体" w:hAnsi="宋体" w:eastAsia="宋体" w:cs="宋体"/>
                <w:color w:val="auto"/>
                <w:sz w:val="20"/>
                <w:szCs w:val="20"/>
                <w:highlight w:val="none"/>
              </w:rPr>
            </w:pPr>
          </w:p>
          <w:p w14:paraId="6BE253B9">
            <w:pPr>
              <w:spacing w:line="241" w:lineRule="auto"/>
              <w:rPr>
                <w:rFonts w:hint="eastAsia" w:ascii="宋体" w:hAnsi="宋体" w:eastAsia="宋体" w:cs="宋体"/>
                <w:color w:val="auto"/>
                <w:sz w:val="20"/>
                <w:szCs w:val="20"/>
                <w:highlight w:val="none"/>
              </w:rPr>
            </w:pPr>
          </w:p>
          <w:p w14:paraId="79B1F4C0">
            <w:pPr>
              <w:spacing w:line="241" w:lineRule="auto"/>
              <w:rPr>
                <w:rFonts w:hint="eastAsia" w:ascii="宋体" w:hAnsi="宋体" w:eastAsia="宋体" w:cs="宋体"/>
                <w:color w:val="auto"/>
                <w:sz w:val="20"/>
                <w:szCs w:val="20"/>
                <w:highlight w:val="none"/>
              </w:rPr>
            </w:pPr>
          </w:p>
          <w:p w14:paraId="5A5FA24A">
            <w:pPr>
              <w:spacing w:line="241" w:lineRule="auto"/>
              <w:rPr>
                <w:rFonts w:hint="eastAsia" w:ascii="宋体" w:hAnsi="宋体" w:eastAsia="宋体" w:cs="宋体"/>
                <w:color w:val="auto"/>
                <w:sz w:val="20"/>
                <w:szCs w:val="20"/>
                <w:highlight w:val="none"/>
              </w:rPr>
            </w:pPr>
          </w:p>
          <w:p w14:paraId="598E00B5">
            <w:pPr>
              <w:spacing w:line="241" w:lineRule="auto"/>
              <w:rPr>
                <w:rFonts w:hint="eastAsia" w:ascii="宋体" w:hAnsi="宋体" w:eastAsia="宋体" w:cs="宋体"/>
                <w:color w:val="auto"/>
                <w:sz w:val="20"/>
                <w:szCs w:val="20"/>
                <w:highlight w:val="none"/>
              </w:rPr>
            </w:pPr>
          </w:p>
          <w:p w14:paraId="2821FA1B">
            <w:pPr>
              <w:pStyle w:val="9"/>
              <w:spacing w:before="78" w:line="221" w:lineRule="auto"/>
              <w:ind w:left="9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其他人员</w:t>
            </w:r>
          </w:p>
        </w:tc>
        <w:tc>
          <w:tcPr>
            <w:tcW w:w="1414" w:type="dxa"/>
            <w:vAlign w:val="top"/>
          </w:tcPr>
          <w:p w14:paraId="4F991217">
            <w:pPr>
              <w:pStyle w:val="9"/>
              <w:spacing w:before="202" w:line="178"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c>
          <w:tcPr>
            <w:tcW w:w="1432" w:type="dxa"/>
            <w:vAlign w:val="top"/>
          </w:tcPr>
          <w:p w14:paraId="77E741FA">
            <w:pPr>
              <w:pStyle w:val="9"/>
              <w:spacing w:before="163" w:line="208" w:lineRule="auto"/>
              <w:ind w:left="90"/>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施工员</w:t>
            </w:r>
          </w:p>
        </w:tc>
        <w:tc>
          <w:tcPr>
            <w:tcW w:w="1017" w:type="dxa"/>
            <w:vAlign w:val="top"/>
          </w:tcPr>
          <w:p w14:paraId="5B6977BF">
            <w:pPr>
              <w:rPr>
                <w:rFonts w:hint="eastAsia" w:ascii="宋体" w:hAnsi="宋体" w:eastAsia="宋体" w:cs="宋体"/>
                <w:color w:val="auto"/>
                <w:sz w:val="20"/>
                <w:szCs w:val="20"/>
                <w:highlight w:val="none"/>
              </w:rPr>
            </w:pPr>
          </w:p>
        </w:tc>
        <w:tc>
          <w:tcPr>
            <w:tcW w:w="2038" w:type="dxa"/>
            <w:vAlign w:val="top"/>
          </w:tcPr>
          <w:p w14:paraId="3FC9FF11">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56BE16A6">
            <w:pPr>
              <w:pStyle w:val="9"/>
              <w:spacing w:before="202" w:line="178" w:lineRule="auto"/>
              <w:ind w:left="221"/>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XXXX</w:t>
            </w:r>
          </w:p>
        </w:tc>
      </w:tr>
      <w:tr w14:paraId="51F25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vMerge w:val="continue"/>
            <w:tcBorders>
              <w:top w:val="nil"/>
              <w:left w:val="single" w:color="000000" w:sz="10" w:space="0"/>
              <w:bottom w:val="nil"/>
            </w:tcBorders>
            <w:vAlign w:val="top"/>
          </w:tcPr>
          <w:p w14:paraId="3D6B9C50">
            <w:pPr>
              <w:rPr>
                <w:rFonts w:hint="eastAsia" w:ascii="宋体" w:hAnsi="宋体" w:eastAsia="宋体" w:cs="宋体"/>
                <w:color w:val="auto"/>
                <w:sz w:val="20"/>
                <w:szCs w:val="20"/>
                <w:highlight w:val="none"/>
              </w:rPr>
            </w:pPr>
          </w:p>
        </w:tc>
        <w:tc>
          <w:tcPr>
            <w:tcW w:w="1414" w:type="dxa"/>
            <w:vAlign w:val="top"/>
          </w:tcPr>
          <w:p w14:paraId="66365EF5">
            <w:pPr>
              <w:rPr>
                <w:rFonts w:hint="eastAsia" w:ascii="宋体" w:hAnsi="宋体" w:eastAsia="宋体" w:cs="宋体"/>
                <w:color w:val="auto"/>
                <w:sz w:val="20"/>
                <w:szCs w:val="20"/>
                <w:highlight w:val="none"/>
              </w:rPr>
            </w:pPr>
          </w:p>
        </w:tc>
        <w:tc>
          <w:tcPr>
            <w:tcW w:w="1432" w:type="dxa"/>
            <w:vAlign w:val="top"/>
          </w:tcPr>
          <w:p w14:paraId="47C30337">
            <w:pPr>
              <w:rPr>
                <w:rFonts w:hint="eastAsia" w:ascii="宋体" w:hAnsi="宋体" w:eastAsia="宋体" w:cs="宋体"/>
                <w:color w:val="auto"/>
                <w:sz w:val="20"/>
                <w:szCs w:val="20"/>
                <w:highlight w:val="none"/>
              </w:rPr>
            </w:pPr>
          </w:p>
        </w:tc>
        <w:tc>
          <w:tcPr>
            <w:tcW w:w="1017" w:type="dxa"/>
            <w:vAlign w:val="top"/>
          </w:tcPr>
          <w:p w14:paraId="4A8810DF">
            <w:pPr>
              <w:rPr>
                <w:rFonts w:hint="eastAsia" w:ascii="宋体" w:hAnsi="宋体" w:eastAsia="宋体" w:cs="宋体"/>
                <w:color w:val="auto"/>
                <w:sz w:val="20"/>
                <w:szCs w:val="20"/>
                <w:highlight w:val="none"/>
              </w:rPr>
            </w:pPr>
          </w:p>
        </w:tc>
        <w:tc>
          <w:tcPr>
            <w:tcW w:w="2038" w:type="dxa"/>
            <w:vAlign w:val="top"/>
          </w:tcPr>
          <w:p w14:paraId="45369D1E">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5628D5E7">
            <w:pPr>
              <w:rPr>
                <w:rFonts w:hint="eastAsia" w:ascii="宋体" w:hAnsi="宋体" w:eastAsia="宋体" w:cs="宋体"/>
                <w:color w:val="auto"/>
                <w:sz w:val="20"/>
                <w:szCs w:val="20"/>
                <w:highlight w:val="none"/>
              </w:rPr>
            </w:pPr>
          </w:p>
        </w:tc>
      </w:tr>
      <w:tr w14:paraId="5F3EF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vMerge w:val="continue"/>
            <w:tcBorders>
              <w:top w:val="nil"/>
              <w:left w:val="single" w:color="000000" w:sz="10" w:space="0"/>
              <w:bottom w:val="nil"/>
            </w:tcBorders>
            <w:vAlign w:val="top"/>
          </w:tcPr>
          <w:p w14:paraId="0DBA702E">
            <w:pPr>
              <w:rPr>
                <w:rFonts w:hint="eastAsia" w:ascii="宋体" w:hAnsi="宋体" w:eastAsia="宋体" w:cs="宋体"/>
                <w:color w:val="auto"/>
                <w:sz w:val="20"/>
                <w:szCs w:val="20"/>
                <w:highlight w:val="none"/>
              </w:rPr>
            </w:pPr>
          </w:p>
        </w:tc>
        <w:tc>
          <w:tcPr>
            <w:tcW w:w="1414" w:type="dxa"/>
            <w:vAlign w:val="top"/>
          </w:tcPr>
          <w:p w14:paraId="593394F0">
            <w:pPr>
              <w:rPr>
                <w:rFonts w:hint="eastAsia" w:ascii="宋体" w:hAnsi="宋体" w:eastAsia="宋体" w:cs="宋体"/>
                <w:color w:val="auto"/>
                <w:sz w:val="20"/>
                <w:szCs w:val="20"/>
                <w:highlight w:val="none"/>
              </w:rPr>
            </w:pPr>
          </w:p>
        </w:tc>
        <w:tc>
          <w:tcPr>
            <w:tcW w:w="1432" w:type="dxa"/>
            <w:vAlign w:val="top"/>
          </w:tcPr>
          <w:p w14:paraId="53E2E88E">
            <w:pPr>
              <w:rPr>
                <w:rFonts w:hint="eastAsia" w:ascii="宋体" w:hAnsi="宋体" w:eastAsia="宋体" w:cs="宋体"/>
                <w:color w:val="auto"/>
                <w:sz w:val="20"/>
                <w:szCs w:val="20"/>
                <w:highlight w:val="none"/>
              </w:rPr>
            </w:pPr>
          </w:p>
        </w:tc>
        <w:tc>
          <w:tcPr>
            <w:tcW w:w="1017" w:type="dxa"/>
            <w:vAlign w:val="top"/>
          </w:tcPr>
          <w:p w14:paraId="4FE1B879">
            <w:pPr>
              <w:rPr>
                <w:rFonts w:hint="eastAsia" w:ascii="宋体" w:hAnsi="宋体" w:eastAsia="宋体" w:cs="宋体"/>
                <w:color w:val="auto"/>
                <w:sz w:val="20"/>
                <w:szCs w:val="20"/>
                <w:highlight w:val="none"/>
              </w:rPr>
            </w:pPr>
          </w:p>
        </w:tc>
        <w:tc>
          <w:tcPr>
            <w:tcW w:w="2038" w:type="dxa"/>
            <w:vAlign w:val="top"/>
          </w:tcPr>
          <w:p w14:paraId="51696CE1">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11EC49CA">
            <w:pPr>
              <w:rPr>
                <w:rFonts w:hint="eastAsia" w:ascii="宋体" w:hAnsi="宋体" w:eastAsia="宋体" w:cs="宋体"/>
                <w:color w:val="auto"/>
                <w:sz w:val="20"/>
                <w:szCs w:val="20"/>
                <w:highlight w:val="none"/>
              </w:rPr>
            </w:pPr>
          </w:p>
        </w:tc>
      </w:tr>
      <w:tr w14:paraId="4027A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vMerge w:val="continue"/>
            <w:tcBorders>
              <w:top w:val="nil"/>
              <w:left w:val="single" w:color="000000" w:sz="10" w:space="0"/>
              <w:bottom w:val="nil"/>
            </w:tcBorders>
            <w:vAlign w:val="top"/>
          </w:tcPr>
          <w:p w14:paraId="7836B797">
            <w:pPr>
              <w:rPr>
                <w:rFonts w:hint="eastAsia" w:ascii="宋体" w:hAnsi="宋体" w:eastAsia="宋体" w:cs="宋体"/>
                <w:color w:val="auto"/>
                <w:sz w:val="20"/>
                <w:szCs w:val="20"/>
                <w:highlight w:val="none"/>
              </w:rPr>
            </w:pPr>
          </w:p>
        </w:tc>
        <w:tc>
          <w:tcPr>
            <w:tcW w:w="1414" w:type="dxa"/>
            <w:vAlign w:val="top"/>
          </w:tcPr>
          <w:p w14:paraId="73AD0737">
            <w:pPr>
              <w:rPr>
                <w:rFonts w:hint="eastAsia" w:ascii="宋体" w:hAnsi="宋体" w:eastAsia="宋体" w:cs="宋体"/>
                <w:color w:val="auto"/>
                <w:sz w:val="20"/>
                <w:szCs w:val="20"/>
                <w:highlight w:val="none"/>
              </w:rPr>
            </w:pPr>
          </w:p>
        </w:tc>
        <w:tc>
          <w:tcPr>
            <w:tcW w:w="1432" w:type="dxa"/>
            <w:vAlign w:val="top"/>
          </w:tcPr>
          <w:p w14:paraId="7ADFDF9A">
            <w:pPr>
              <w:rPr>
                <w:rFonts w:hint="eastAsia" w:ascii="宋体" w:hAnsi="宋体" w:eastAsia="宋体" w:cs="宋体"/>
                <w:color w:val="auto"/>
                <w:sz w:val="20"/>
                <w:szCs w:val="20"/>
                <w:highlight w:val="none"/>
              </w:rPr>
            </w:pPr>
          </w:p>
        </w:tc>
        <w:tc>
          <w:tcPr>
            <w:tcW w:w="1017" w:type="dxa"/>
            <w:vAlign w:val="top"/>
          </w:tcPr>
          <w:p w14:paraId="62815F59">
            <w:pPr>
              <w:rPr>
                <w:rFonts w:hint="eastAsia" w:ascii="宋体" w:hAnsi="宋体" w:eastAsia="宋体" w:cs="宋体"/>
                <w:color w:val="auto"/>
                <w:sz w:val="20"/>
                <w:szCs w:val="20"/>
                <w:highlight w:val="none"/>
              </w:rPr>
            </w:pPr>
          </w:p>
        </w:tc>
        <w:tc>
          <w:tcPr>
            <w:tcW w:w="2038" w:type="dxa"/>
            <w:vAlign w:val="top"/>
          </w:tcPr>
          <w:p w14:paraId="6BA99CA1">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7355A4ED">
            <w:pPr>
              <w:rPr>
                <w:rFonts w:hint="eastAsia" w:ascii="宋体" w:hAnsi="宋体" w:eastAsia="宋体" w:cs="宋体"/>
                <w:color w:val="auto"/>
                <w:sz w:val="20"/>
                <w:szCs w:val="20"/>
                <w:highlight w:val="none"/>
              </w:rPr>
            </w:pPr>
          </w:p>
        </w:tc>
      </w:tr>
      <w:tr w14:paraId="28AFB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1621" w:type="dxa"/>
            <w:vMerge w:val="continue"/>
            <w:tcBorders>
              <w:top w:val="nil"/>
              <w:left w:val="single" w:color="000000" w:sz="10" w:space="0"/>
              <w:bottom w:val="nil"/>
            </w:tcBorders>
            <w:vAlign w:val="top"/>
          </w:tcPr>
          <w:p w14:paraId="4B16CFB3">
            <w:pPr>
              <w:rPr>
                <w:rFonts w:hint="eastAsia" w:ascii="宋体" w:hAnsi="宋体" w:eastAsia="宋体" w:cs="宋体"/>
                <w:color w:val="auto"/>
                <w:sz w:val="20"/>
                <w:szCs w:val="20"/>
                <w:highlight w:val="none"/>
              </w:rPr>
            </w:pPr>
          </w:p>
        </w:tc>
        <w:tc>
          <w:tcPr>
            <w:tcW w:w="1414" w:type="dxa"/>
            <w:vAlign w:val="top"/>
          </w:tcPr>
          <w:p w14:paraId="4310CBFB">
            <w:pPr>
              <w:rPr>
                <w:rFonts w:hint="eastAsia" w:ascii="宋体" w:hAnsi="宋体" w:eastAsia="宋体" w:cs="宋体"/>
                <w:color w:val="auto"/>
                <w:sz w:val="20"/>
                <w:szCs w:val="20"/>
                <w:highlight w:val="none"/>
              </w:rPr>
            </w:pPr>
          </w:p>
        </w:tc>
        <w:tc>
          <w:tcPr>
            <w:tcW w:w="1432" w:type="dxa"/>
            <w:vAlign w:val="top"/>
          </w:tcPr>
          <w:p w14:paraId="3045FC81">
            <w:pPr>
              <w:rPr>
                <w:rFonts w:hint="eastAsia" w:ascii="宋体" w:hAnsi="宋体" w:eastAsia="宋体" w:cs="宋体"/>
                <w:color w:val="auto"/>
                <w:sz w:val="20"/>
                <w:szCs w:val="20"/>
                <w:highlight w:val="none"/>
              </w:rPr>
            </w:pPr>
          </w:p>
        </w:tc>
        <w:tc>
          <w:tcPr>
            <w:tcW w:w="1017" w:type="dxa"/>
            <w:vAlign w:val="top"/>
          </w:tcPr>
          <w:p w14:paraId="594CF3F3">
            <w:pPr>
              <w:rPr>
                <w:rFonts w:hint="eastAsia" w:ascii="宋体" w:hAnsi="宋体" w:eastAsia="宋体" w:cs="宋体"/>
                <w:color w:val="auto"/>
                <w:sz w:val="20"/>
                <w:szCs w:val="20"/>
                <w:highlight w:val="none"/>
              </w:rPr>
            </w:pPr>
          </w:p>
        </w:tc>
        <w:tc>
          <w:tcPr>
            <w:tcW w:w="2038" w:type="dxa"/>
            <w:vAlign w:val="top"/>
          </w:tcPr>
          <w:p w14:paraId="53C705AD">
            <w:pPr>
              <w:rPr>
                <w:rFonts w:hint="eastAsia" w:ascii="宋体" w:hAnsi="宋体" w:eastAsia="宋体" w:cs="宋体"/>
                <w:color w:val="auto"/>
                <w:sz w:val="20"/>
                <w:szCs w:val="20"/>
                <w:highlight w:val="none"/>
              </w:rPr>
            </w:pPr>
          </w:p>
        </w:tc>
        <w:tc>
          <w:tcPr>
            <w:tcW w:w="2240" w:type="dxa"/>
            <w:tcBorders>
              <w:right w:val="single" w:color="000000" w:sz="10" w:space="0"/>
            </w:tcBorders>
            <w:vAlign w:val="top"/>
          </w:tcPr>
          <w:p w14:paraId="75DBBEE6">
            <w:pPr>
              <w:rPr>
                <w:rFonts w:hint="eastAsia" w:ascii="宋体" w:hAnsi="宋体" w:eastAsia="宋体" w:cs="宋体"/>
                <w:color w:val="auto"/>
                <w:sz w:val="20"/>
                <w:szCs w:val="20"/>
                <w:highlight w:val="none"/>
              </w:rPr>
            </w:pPr>
          </w:p>
        </w:tc>
      </w:tr>
      <w:tr w14:paraId="59FF2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1621" w:type="dxa"/>
            <w:vMerge w:val="continue"/>
            <w:tcBorders>
              <w:top w:val="nil"/>
              <w:left w:val="single" w:color="000000" w:sz="10" w:space="0"/>
              <w:bottom w:val="nil"/>
            </w:tcBorders>
            <w:vAlign w:val="top"/>
          </w:tcPr>
          <w:p w14:paraId="53465B17">
            <w:pPr>
              <w:rPr>
                <w:rFonts w:hint="eastAsia" w:ascii="宋体" w:hAnsi="宋体" w:eastAsia="宋体" w:cs="宋体"/>
                <w:color w:val="auto"/>
                <w:sz w:val="20"/>
                <w:szCs w:val="20"/>
                <w:highlight w:val="none"/>
              </w:rPr>
            </w:pPr>
          </w:p>
        </w:tc>
        <w:tc>
          <w:tcPr>
            <w:tcW w:w="1414" w:type="dxa"/>
            <w:tcBorders>
              <w:bottom w:val="single" w:color="000000" w:sz="10" w:space="0"/>
            </w:tcBorders>
            <w:vAlign w:val="top"/>
          </w:tcPr>
          <w:p w14:paraId="65F155C8">
            <w:pPr>
              <w:rPr>
                <w:rFonts w:hint="eastAsia" w:ascii="宋体" w:hAnsi="宋体" w:eastAsia="宋体" w:cs="宋体"/>
                <w:color w:val="auto"/>
                <w:sz w:val="20"/>
                <w:szCs w:val="20"/>
                <w:highlight w:val="none"/>
              </w:rPr>
            </w:pPr>
          </w:p>
        </w:tc>
        <w:tc>
          <w:tcPr>
            <w:tcW w:w="1432" w:type="dxa"/>
            <w:tcBorders>
              <w:bottom w:val="single" w:color="000000" w:sz="10" w:space="0"/>
            </w:tcBorders>
            <w:vAlign w:val="top"/>
          </w:tcPr>
          <w:p w14:paraId="1B0D4669">
            <w:pPr>
              <w:rPr>
                <w:rFonts w:hint="eastAsia" w:ascii="宋体" w:hAnsi="宋体" w:eastAsia="宋体" w:cs="宋体"/>
                <w:color w:val="auto"/>
                <w:sz w:val="20"/>
                <w:szCs w:val="20"/>
                <w:highlight w:val="none"/>
              </w:rPr>
            </w:pPr>
          </w:p>
        </w:tc>
        <w:tc>
          <w:tcPr>
            <w:tcW w:w="1017" w:type="dxa"/>
            <w:tcBorders>
              <w:bottom w:val="single" w:color="000000" w:sz="10" w:space="0"/>
            </w:tcBorders>
            <w:vAlign w:val="top"/>
          </w:tcPr>
          <w:p w14:paraId="4559304E">
            <w:pPr>
              <w:rPr>
                <w:rFonts w:hint="eastAsia" w:ascii="宋体" w:hAnsi="宋体" w:eastAsia="宋体" w:cs="宋体"/>
                <w:color w:val="auto"/>
                <w:sz w:val="20"/>
                <w:szCs w:val="20"/>
                <w:highlight w:val="none"/>
              </w:rPr>
            </w:pPr>
          </w:p>
        </w:tc>
        <w:tc>
          <w:tcPr>
            <w:tcW w:w="2038" w:type="dxa"/>
            <w:tcBorders>
              <w:bottom w:val="single" w:color="000000" w:sz="10" w:space="0"/>
            </w:tcBorders>
            <w:vAlign w:val="top"/>
          </w:tcPr>
          <w:p w14:paraId="6F422144">
            <w:pPr>
              <w:rPr>
                <w:rFonts w:hint="eastAsia" w:ascii="宋体" w:hAnsi="宋体" w:eastAsia="宋体" w:cs="宋体"/>
                <w:color w:val="auto"/>
                <w:sz w:val="20"/>
                <w:szCs w:val="20"/>
                <w:highlight w:val="none"/>
              </w:rPr>
            </w:pPr>
          </w:p>
        </w:tc>
        <w:tc>
          <w:tcPr>
            <w:tcW w:w="2240" w:type="dxa"/>
            <w:tcBorders>
              <w:bottom w:val="single" w:color="000000" w:sz="10" w:space="0"/>
              <w:right w:val="single" w:color="000000" w:sz="10" w:space="0"/>
            </w:tcBorders>
            <w:vAlign w:val="top"/>
          </w:tcPr>
          <w:p w14:paraId="42AB72C6">
            <w:pPr>
              <w:rPr>
                <w:rFonts w:hint="eastAsia" w:ascii="宋体" w:hAnsi="宋体" w:eastAsia="宋体" w:cs="宋体"/>
                <w:color w:val="auto"/>
                <w:sz w:val="20"/>
                <w:szCs w:val="20"/>
                <w:highlight w:val="none"/>
              </w:rPr>
            </w:pPr>
          </w:p>
        </w:tc>
      </w:tr>
      <w:tr w14:paraId="499AB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21" w:type="dxa"/>
            <w:vMerge w:val="continue"/>
            <w:tcBorders>
              <w:top w:val="nil"/>
              <w:left w:val="single" w:color="000000" w:sz="10" w:space="0"/>
              <w:bottom w:val="single" w:color="000000" w:sz="10" w:space="0"/>
            </w:tcBorders>
            <w:vAlign w:val="top"/>
          </w:tcPr>
          <w:p w14:paraId="60A8311B">
            <w:pPr>
              <w:rPr>
                <w:rFonts w:hint="eastAsia" w:ascii="宋体" w:hAnsi="宋体" w:eastAsia="宋体" w:cs="宋体"/>
                <w:color w:val="auto"/>
                <w:sz w:val="20"/>
                <w:szCs w:val="20"/>
                <w:highlight w:val="none"/>
              </w:rPr>
            </w:pPr>
          </w:p>
        </w:tc>
        <w:tc>
          <w:tcPr>
            <w:tcW w:w="1414" w:type="dxa"/>
            <w:tcBorders>
              <w:top w:val="single" w:color="000000" w:sz="10" w:space="0"/>
              <w:bottom w:val="single" w:color="000000" w:sz="10" w:space="0"/>
            </w:tcBorders>
            <w:vAlign w:val="top"/>
          </w:tcPr>
          <w:p w14:paraId="67B5D1BD">
            <w:pPr>
              <w:rPr>
                <w:rFonts w:hint="eastAsia" w:ascii="宋体" w:hAnsi="宋体" w:eastAsia="宋体" w:cs="宋体"/>
                <w:color w:val="auto"/>
                <w:sz w:val="20"/>
                <w:szCs w:val="20"/>
                <w:highlight w:val="none"/>
              </w:rPr>
            </w:pPr>
          </w:p>
        </w:tc>
        <w:tc>
          <w:tcPr>
            <w:tcW w:w="1432" w:type="dxa"/>
            <w:tcBorders>
              <w:top w:val="single" w:color="000000" w:sz="10" w:space="0"/>
              <w:bottom w:val="single" w:color="000000" w:sz="10" w:space="0"/>
            </w:tcBorders>
            <w:vAlign w:val="top"/>
          </w:tcPr>
          <w:p w14:paraId="58254E0C">
            <w:pPr>
              <w:rPr>
                <w:rFonts w:hint="eastAsia" w:ascii="宋体" w:hAnsi="宋体" w:eastAsia="宋体" w:cs="宋体"/>
                <w:color w:val="auto"/>
                <w:sz w:val="20"/>
                <w:szCs w:val="20"/>
                <w:highlight w:val="none"/>
              </w:rPr>
            </w:pPr>
          </w:p>
        </w:tc>
        <w:tc>
          <w:tcPr>
            <w:tcW w:w="1017" w:type="dxa"/>
            <w:tcBorders>
              <w:top w:val="single" w:color="000000" w:sz="10" w:space="0"/>
              <w:bottom w:val="single" w:color="000000" w:sz="10" w:space="0"/>
            </w:tcBorders>
            <w:vAlign w:val="top"/>
          </w:tcPr>
          <w:p w14:paraId="6DE9A2C6">
            <w:pPr>
              <w:rPr>
                <w:rFonts w:hint="eastAsia" w:ascii="宋体" w:hAnsi="宋体" w:eastAsia="宋体" w:cs="宋体"/>
                <w:color w:val="auto"/>
                <w:sz w:val="20"/>
                <w:szCs w:val="20"/>
                <w:highlight w:val="none"/>
              </w:rPr>
            </w:pPr>
          </w:p>
        </w:tc>
        <w:tc>
          <w:tcPr>
            <w:tcW w:w="2038" w:type="dxa"/>
            <w:tcBorders>
              <w:top w:val="single" w:color="000000" w:sz="10" w:space="0"/>
              <w:bottom w:val="single" w:color="000000" w:sz="10" w:space="0"/>
            </w:tcBorders>
            <w:vAlign w:val="top"/>
          </w:tcPr>
          <w:p w14:paraId="68481276">
            <w:pPr>
              <w:rPr>
                <w:rFonts w:hint="eastAsia" w:ascii="宋体" w:hAnsi="宋体" w:eastAsia="宋体" w:cs="宋体"/>
                <w:color w:val="auto"/>
                <w:sz w:val="20"/>
                <w:szCs w:val="20"/>
                <w:highlight w:val="none"/>
              </w:rPr>
            </w:pPr>
          </w:p>
        </w:tc>
        <w:tc>
          <w:tcPr>
            <w:tcW w:w="2240" w:type="dxa"/>
            <w:tcBorders>
              <w:top w:val="single" w:color="000000" w:sz="10" w:space="0"/>
              <w:bottom w:val="single" w:color="000000" w:sz="10" w:space="0"/>
              <w:right w:val="single" w:color="000000" w:sz="10" w:space="0"/>
            </w:tcBorders>
            <w:vAlign w:val="top"/>
          </w:tcPr>
          <w:p w14:paraId="4F7B5592">
            <w:pPr>
              <w:rPr>
                <w:rFonts w:hint="eastAsia" w:ascii="宋体" w:hAnsi="宋体" w:eastAsia="宋体" w:cs="宋体"/>
                <w:color w:val="auto"/>
                <w:sz w:val="20"/>
                <w:szCs w:val="20"/>
                <w:highlight w:val="none"/>
              </w:rPr>
            </w:pPr>
          </w:p>
        </w:tc>
      </w:tr>
    </w:tbl>
    <w:p w14:paraId="18A84CCD">
      <w:pPr>
        <w:pStyle w:val="2"/>
        <w:rPr>
          <w:color w:val="auto"/>
          <w:highlight w:val="none"/>
        </w:rPr>
      </w:pPr>
    </w:p>
    <w:p w14:paraId="28BF638A">
      <w:pPr>
        <w:rPr>
          <w:color w:val="auto"/>
          <w:highlight w:val="none"/>
        </w:rPr>
        <w:sectPr>
          <w:headerReference r:id="rId246" w:type="default"/>
          <w:footerReference r:id="rId247" w:type="default"/>
          <w:pgSz w:w="11906" w:h="16839"/>
          <w:pgMar w:top="1091" w:right="1059" w:bottom="1158" w:left="1058" w:header="1076" w:footer="922" w:gutter="0"/>
          <w:cols w:space="720" w:num="1"/>
        </w:sectPr>
      </w:pPr>
    </w:p>
    <w:p w14:paraId="143CDC04">
      <w:pPr>
        <w:pStyle w:val="2"/>
        <w:spacing w:line="345" w:lineRule="auto"/>
        <w:rPr>
          <w:color w:val="auto"/>
          <w:highlight w:val="none"/>
        </w:rPr>
      </w:pPr>
    </w:p>
    <w:p w14:paraId="7D02D690">
      <w:pPr>
        <w:spacing w:before="98" w:line="219" w:lineRule="auto"/>
        <w:ind w:left="49"/>
        <w:rPr>
          <w:rFonts w:ascii="宋体" w:hAnsi="宋体" w:eastAsia="宋体" w:cs="宋体"/>
          <w:color w:val="auto"/>
          <w:sz w:val="30"/>
          <w:szCs w:val="30"/>
          <w:highlight w:val="none"/>
        </w:rPr>
      </w:pPr>
      <w:r>
        <w:rPr>
          <w:rFonts w:ascii="宋体" w:hAnsi="宋体" w:eastAsia="宋体" w:cs="宋体"/>
          <w:color w:val="auto"/>
          <w:spacing w:val="-14"/>
          <w:sz w:val="30"/>
          <w:szCs w:val="30"/>
          <w:highlight w:val="none"/>
        </w:rPr>
        <w:t>附件</w:t>
      </w:r>
      <w:r>
        <w:rPr>
          <w:rFonts w:ascii="宋体" w:hAnsi="宋体" w:eastAsia="宋体" w:cs="宋体"/>
          <w:color w:val="auto"/>
          <w:spacing w:val="-56"/>
          <w:sz w:val="30"/>
          <w:szCs w:val="30"/>
          <w:highlight w:val="none"/>
        </w:rPr>
        <w:t xml:space="preserve"> </w:t>
      </w:r>
      <w:r>
        <w:rPr>
          <w:rFonts w:ascii="宋体" w:hAnsi="宋体" w:eastAsia="宋体" w:cs="宋体"/>
          <w:color w:val="auto"/>
          <w:spacing w:val="-14"/>
          <w:sz w:val="30"/>
          <w:szCs w:val="30"/>
          <w:highlight w:val="none"/>
        </w:rPr>
        <w:t>5：</w:t>
      </w:r>
    </w:p>
    <w:p w14:paraId="79A173E6">
      <w:pPr>
        <w:spacing w:before="159" w:line="220" w:lineRule="auto"/>
        <w:ind w:left="95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施工单位资质证书正本及营业执照正本（彩色扫描）</w:t>
      </w:r>
    </w:p>
    <w:p w14:paraId="134E7E43">
      <w:pPr>
        <w:pStyle w:val="2"/>
        <w:spacing w:line="267" w:lineRule="auto"/>
        <w:rPr>
          <w:color w:val="auto"/>
          <w:highlight w:val="none"/>
        </w:rPr>
      </w:pPr>
    </w:p>
    <w:p w14:paraId="5478EC4E">
      <w:pPr>
        <w:pStyle w:val="2"/>
        <w:spacing w:line="267" w:lineRule="auto"/>
        <w:rPr>
          <w:color w:val="auto"/>
          <w:highlight w:val="none"/>
        </w:rPr>
      </w:pPr>
    </w:p>
    <w:p w14:paraId="7527358A">
      <w:pPr>
        <w:pStyle w:val="2"/>
        <w:spacing w:line="268" w:lineRule="auto"/>
        <w:rPr>
          <w:color w:val="auto"/>
          <w:highlight w:val="none"/>
        </w:rPr>
      </w:pPr>
    </w:p>
    <w:p w14:paraId="5BA6FF7C">
      <w:pPr>
        <w:spacing w:before="98" w:line="219" w:lineRule="auto"/>
        <w:ind w:left="49"/>
        <w:rPr>
          <w:rFonts w:ascii="宋体" w:hAnsi="宋体" w:eastAsia="宋体" w:cs="宋体"/>
          <w:color w:val="auto"/>
          <w:spacing w:val="-14"/>
          <w:sz w:val="30"/>
          <w:szCs w:val="30"/>
          <w:highlight w:val="none"/>
        </w:rPr>
      </w:pPr>
      <w:r>
        <w:rPr>
          <w:rFonts w:ascii="宋体" w:hAnsi="宋体" w:eastAsia="宋体" w:cs="宋体"/>
          <w:color w:val="auto"/>
          <w:spacing w:val="-14"/>
          <w:sz w:val="30"/>
          <w:szCs w:val="30"/>
          <w:highlight w:val="none"/>
        </w:rPr>
        <w:t>附件 6：中标通知书</w:t>
      </w:r>
    </w:p>
    <w:p w14:paraId="14D8436D">
      <w:pPr>
        <w:rPr>
          <w:rFonts w:ascii="宋体" w:hAnsi="宋体" w:eastAsia="宋体" w:cs="宋体"/>
          <w:color w:val="auto"/>
          <w:spacing w:val="4"/>
          <w:sz w:val="20"/>
          <w:szCs w:val="20"/>
          <w:highlight w:val="none"/>
        </w:rPr>
      </w:pPr>
      <w:r>
        <w:rPr>
          <w:rFonts w:ascii="宋体" w:hAnsi="宋体" w:eastAsia="宋体" w:cs="宋体"/>
          <w:color w:val="auto"/>
          <w:spacing w:val="4"/>
          <w:sz w:val="20"/>
          <w:szCs w:val="20"/>
          <w:highlight w:val="none"/>
        </w:rPr>
        <w:br w:type="page"/>
      </w:r>
    </w:p>
    <w:p w14:paraId="7D78F4D5">
      <w:pPr>
        <w:spacing w:line="360" w:lineRule="auto"/>
        <w:jc w:val="left"/>
        <w:rPr>
          <w:rFonts w:ascii="黑体" w:hAnsi="黑体" w:eastAsia="黑体" w:cs="黑体"/>
          <w:color w:val="auto"/>
          <w:sz w:val="32"/>
          <w:szCs w:val="32"/>
          <w:highlight w:val="none"/>
        </w:rPr>
      </w:pPr>
      <w:r>
        <w:rPr>
          <w:rFonts w:hint="eastAsia" w:eastAsia="仿宋_GB2312" w:cs="仿宋_GB2312"/>
          <w:color w:val="auto"/>
          <w:sz w:val="30"/>
          <w:szCs w:val="30"/>
          <w:highlight w:val="none"/>
        </w:rPr>
        <w:t>附件</w:t>
      </w:r>
      <w:r>
        <w:rPr>
          <w:rFonts w:hint="eastAsia" w:eastAsia="仿宋_GB2312" w:cs="仿宋_GB2312"/>
          <w:color w:val="auto"/>
          <w:sz w:val="30"/>
          <w:szCs w:val="30"/>
          <w:highlight w:val="none"/>
          <w:lang w:val="en-US" w:eastAsia="zh-CN"/>
        </w:rPr>
        <w:t>7</w:t>
      </w:r>
      <w:r>
        <w:rPr>
          <w:rFonts w:hint="eastAsia" w:eastAsia="仿宋_GB2312" w:cs="仿宋_GB2312"/>
          <w:color w:val="auto"/>
          <w:sz w:val="30"/>
          <w:szCs w:val="30"/>
          <w:highlight w:val="none"/>
        </w:rPr>
        <w:t>：</w:t>
      </w:r>
    </w:p>
    <w:p w14:paraId="1CF80F92">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487D2271">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（独立保函）</w:t>
      </w:r>
    </w:p>
    <w:p w14:paraId="095C620B">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035717C8">
      <w:pPr>
        <w:spacing w:line="360" w:lineRule="auto"/>
        <w:rPr>
          <w:rFonts w:ascii="宋体" w:hAnsi="宋体"/>
          <w:color w:val="auto"/>
          <w:sz w:val="24"/>
          <w:szCs w:val="24"/>
          <w:highlight w:val="none"/>
        </w:rPr>
      </w:pPr>
    </w:p>
    <w:p w14:paraId="754A9732">
      <w:pPr>
        <w:spacing w:line="360" w:lineRule="auto"/>
        <w:rPr>
          <w:rFonts w:ascii="宋体" w:hAnsi="宋体"/>
          <w:color w:val="auto"/>
          <w:sz w:val="24"/>
          <w:szCs w:val="24"/>
          <w:highlight w:val="none"/>
        </w:rPr>
      </w:pPr>
      <w:r>
        <w:rPr>
          <w:rFonts w:hint="eastAsia" w:ascii="宋体" w:hAnsi="宋体"/>
          <w:color w:val="auto"/>
          <w:sz w:val="24"/>
          <w:szCs w:val="24"/>
          <w:highlight w:val="none"/>
        </w:rPr>
        <w:t>申请人：</w:t>
      </w:r>
    </w:p>
    <w:p w14:paraId="199E4AF2">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r>
        <w:rPr>
          <w:rFonts w:ascii="宋体" w:hAnsi="宋体"/>
          <w:color w:val="auto"/>
          <w:sz w:val="24"/>
          <w:szCs w:val="24"/>
          <w:highlight w:val="none"/>
        </w:rPr>
        <w:t>：</w:t>
      </w:r>
    </w:p>
    <w:p w14:paraId="6A4F2F8D">
      <w:pPr>
        <w:spacing w:line="360" w:lineRule="auto"/>
        <w:rPr>
          <w:rFonts w:ascii="宋体" w:hAnsi="宋体"/>
          <w:color w:val="auto"/>
          <w:sz w:val="24"/>
          <w:szCs w:val="24"/>
          <w:highlight w:val="none"/>
        </w:rPr>
      </w:pPr>
      <w:r>
        <w:rPr>
          <w:rFonts w:hint="eastAsia" w:ascii="宋体" w:hAnsi="宋体"/>
          <w:color w:val="auto"/>
          <w:sz w:val="24"/>
          <w:szCs w:val="24"/>
          <w:highlight w:val="none"/>
        </w:rPr>
        <w:t>受益人：</w:t>
      </w:r>
    </w:p>
    <w:p w14:paraId="435B8FCB">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地址：</w:t>
      </w:r>
    </w:p>
    <w:p w14:paraId="3363117B">
      <w:pPr>
        <w:spacing w:line="360" w:lineRule="auto"/>
        <w:rPr>
          <w:rFonts w:ascii="宋体" w:hAnsi="宋体"/>
          <w:color w:val="auto"/>
          <w:sz w:val="24"/>
          <w:szCs w:val="24"/>
          <w:highlight w:val="none"/>
        </w:rPr>
      </w:pPr>
      <w:r>
        <w:rPr>
          <w:rFonts w:hint="eastAsia" w:ascii="宋体" w:hAnsi="宋体"/>
          <w:color w:val="auto"/>
          <w:sz w:val="24"/>
          <w:szCs w:val="24"/>
          <w:highlight w:val="none"/>
        </w:rPr>
        <w:t>开立人：</w:t>
      </w:r>
    </w:p>
    <w:p w14:paraId="0CF070B4">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地址：</w:t>
      </w:r>
    </w:p>
    <w:p w14:paraId="2E3772A2">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p>
    <w:p w14:paraId="7DCD487C">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受益人</w:t>
      </w:r>
      <w:r>
        <w:rPr>
          <w:rFonts w:ascii="宋体" w:hAnsi="宋体"/>
          <w:color w:val="auto"/>
          <w:sz w:val="24"/>
          <w:szCs w:val="24"/>
          <w:highlight w:val="none"/>
        </w:rPr>
        <w:t xml:space="preserve">名称）： </w:t>
      </w:r>
    </w:p>
    <w:p w14:paraId="080F30F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受益人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申请人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（以下简称“基础合同”），我方（即“开立人”）根据主合同了解到申请人为主合同项下之承包人，受益人为主合同项下之发包人，基于申请人</w:t>
      </w:r>
      <w:r>
        <w:rPr>
          <w:rFonts w:ascii="宋体" w:hAnsi="宋体"/>
          <w:color w:val="auto"/>
          <w:sz w:val="24"/>
          <w:szCs w:val="24"/>
          <w:highlight w:val="none"/>
        </w:rPr>
        <w:t>的请求，我方同意就</w:t>
      </w:r>
      <w:r>
        <w:rPr>
          <w:rFonts w:hint="eastAsia" w:ascii="宋体" w:hAnsi="宋体"/>
          <w:color w:val="auto"/>
          <w:sz w:val="24"/>
          <w:szCs w:val="24"/>
          <w:highlight w:val="none"/>
        </w:rPr>
        <w:t>申请人按照合同约定正确和合理地为合同目的使用预付款，</w:t>
      </w:r>
      <w:r>
        <w:rPr>
          <w:rFonts w:ascii="宋体" w:hAnsi="宋体"/>
          <w:color w:val="auto"/>
          <w:sz w:val="24"/>
          <w:szCs w:val="24"/>
          <w:highlight w:val="none"/>
        </w:rPr>
        <w:t>向贵方提供不可撤销、</w:t>
      </w:r>
      <w:r>
        <w:rPr>
          <w:rFonts w:hint="eastAsia" w:ascii="宋体" w:hAnsi="宋体"/>
          <w:color w:val="auto"/>
          <w:sz w:val="24"/>
          <w:szCs w:val="24"/>
          <w:highlight w:val="none"/>
        </w:rPr>
        <w:t>不可转让的见索即付</w:t>
      </w:r>
      <w:r>
        <w:rPr>
          <w:rFonts w:ascii="宋体" w:hAnsi="宋体"/>
          <w:color w:val="auto"/>
          <w:sz w:val="24"/>
          <w:szCs w:val="24"/>
          <w:highlight w:val="none"/>
        </w:rPr>
        <w:t>独立</w:t>
      </w:r>
      <w:r>
        <w:rPr>
          <w:rFonts w:hint="eastAsia" w:ascii="宋体" w:hAnsi="宋体"/>
          <w:color w:val="auto"/>
          <w:sz w:val="24"/>
          <w:szCs w:val="24"/>
          <w:highlight w:val="none"/>
        </w:rPr>
        <w:t>保函（以下简称“本保函”）</w:t>
      </w:r>
      <w:r>
        <w:rPr>
          <w:rFonts w:ascii="宋体" w:hAnsi="宋体"/>
          <w:color w:val="auto"/>
          <w:sz w:val="24"/>
          <w:szCs w:val="24"/>
          <w:highlight w:val="none"/>
        </w:rPr>
        <w:t xml:space="preserve">。 </w:t>
      </w:r>
    </w:p>
    <w:p w14:paraId="5ECED06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一、本保函担保范围：申请人未按照合同约定正确和合理地为合同目的使用预付款，应当向贵方承担的违约责任和赔偿因此造成的损失、利息、律师费、诉讼费用等实现债权的费用。</w:t>
      </w:r>
    </w:p>
    <w:p w14:paraId="3A6DD42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二、本保函担保金额最高不超过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33C55AA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三、本保函</w:t>
      </w:r>
      <w:r>
        <w:rPr>
          <w:rFonts w:ascii="宋体" w:hAnsi="宋体"/>
          <w:color w:val="auto"/>
          <w:sz w:val="24"/>
          <w:szCs w:val="24"/>
          <w:highlight w:val="none"/>
        </w:rPr>
        <w:t>有效期自</w:t>
      </w:r>
      <w:r>
        <w:rPr>
          <w:rFonts w:hint="eastAsia" w:ascii="宋体" w:hAnsi="宋体"/>
          <w:color w:val="auto"/>
          <w:sz w:val="24"/>
          <w:szCs w:val="24"/>
          <w:highlight w:val="none"/>
        </w:rPr>
        <w:t>开立之日起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14:paraId="6FA23D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四、我方承诺，在收到受益人发来的书面付款通知后的</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日内无条件支付，前述书面付款通知即为付款要求之单据，且应满足以下要求：</w:t>
      </w:r>
    </w:p>
    <w:p w14:paraId="522FE6C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（1）付款通知到达的日期在本保函的有效期内；</w:t>
      </w:r>
    </w:p>
    <w:p w14:paraId="3CB5BE1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（2）载明要求支付的金额；</w:t>
      </w:r>
    </w:p>
    <w:p w14:paraId="64C5AF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（3）载明申请人违反合同义务的条款和内容；</w:t>
      </w:r>
    </w:p>
    <w:p w14:paraId="0C99557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（4）声明不存在合同文件约定或我国法律规定免除申请人或开立人支付责任的情形；</w:t>
      </w:r>
    </w:p>
    <w:p w14:paraId="3F5CDCD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（5）付款通知应在本保函有效期内到达的地址是：</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14:paraId="334DB53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受益人发出的书面付款通知应由其为鉴明受益人法定代表人（负责人）或授权代理人签字并加盖公章。</w:t>
      </w:r>
    </w:p>
    <w:p w14:paraId="5F8517D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本保函项下的权利不得转让，不得设定担保。贵方未经我方书面同意转 让本保函或其项下任何权利，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29B0823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六、与</w:t>
      </w:r>
      <w:r>
        <w:rPr>
          <w:rFonts w:ascii="宋体" w:hAnsi="宋体"/>
          <w:color w:val="auto"/>
          <w:sz w:val="24"/>
          <w:szCs w:val="24"/>
          <w:highlight w:val="none"/>
        </w:rPr>
        <w:t>本保函</w:t>
      </w:r>
      <w:r>
        <w:rPr>
          <w:rFonts w:hint="eastAsia" w:ascii="宋体" w:hAnsi="宋体"/>
          <w:color w:val="auto"/>
          <w:sz w:val="24"/>
          <w:szCs w:val="24"/>
          <w:highlight w:val="none"/>
        </w:rPr>
        <w:t>有关</w:t>
      </w:r>
      <w:r>
        <w:rPr>
          <w:rFonts w:ascii="宋体" w:hAnsi="宋体"/>
          <w:color w:val="auto"/>
          <w:sz w:val="24"/>
          <w:szCs w:val="24"/>
          <w:highlight w:val="none"/>
        </w:rPr>
        <w:t>的</w:t>
      </w:r>
      <w:r>
        <w:rPr>
          <w:rFonts w:hint="eastAsia" w:ascii="宋体" w:hAnsi="宋体"/>
          <w:color w:val="auto"/>
          <w:sz w:val="24"/>
          <w:szCs w:val="24"/>
          <w:highlight w:val="none"/>
        </w:rPr>
        <w:t>基础</w:t>
      </w:r>
      <w:r>
        <w:rPr>
          <w:rFonts w:ascii="宋体" w:hAnsi="宋体"/>
          <w:color w:val="auto"/>
          <w:sz w:val="24"/>
          <w:szCs w:val="24"/>
          <w:highlight w:val="none"/>
        </w:rPr>
        <w:t xml:space="preserve">合同不成立、不生效、无效、被撤销、被解除，不影响本保函的独立有效。 </w:t>
      </w:r>
    </w:p>
    <w:p w14:paraId="0790986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贵方应在本保函到期后的七日内将本保函正本退回我方注销，但是不论贵方是否按此要求将本保函正本退回我方，我方在本保函项下的义务和责任均在保函</w:t>
      </w:r>
      <w:r>
        <w:rPr>
          <w:rFonts w:hint="eastAsia" w:ascii="宋体" w:hAnsi="宋体"/>
          <w:color w:val="auto"/>
          <w:sz w:val="24"/>
          <w:szCs w:val="24"/>
          <w:highlight w:val="none"/>
        </w:rPr>
        <w:t>有效期</w:t>
      </w:r>
      <w:r>
        <w:rPr>
          <w:rFonts w:ascii="宋体" w:hAnsi="宋体"/>
          <w:color w:val="auto"/>
          <w:sz w:val="24"/>
          <w:szCs w:val="24"/>
          <w:highlight w:val="none"/>
        </w:rPr>
        <w:t xml:space="preserve">到期后自动消灭。 </w:t>
      </w:r>
    </w:p>
    <w:p w14:paraId="6E7115A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w:t>
      </w:r>
      <w:r>
        <w:rPr>
          <w:rFonts w:ascii="宋体" w:hAnsi="宋体"/>
          <w:color w:val="auto"/>
          <w:sz w:val="24"/>
          <w:szCs w:val="24"/>
          <w:highlight w:val="none"/>
        </w:rPr>
        <w:t>本保函</w:t>
      </w:r>
      <w:r>
        <w:rPr>
          <w:rFonts w:hint="eastAsia" w:ascii="宋体" w:hAnsi="宋体"/>
          <w:color w:val="auto"/>
          <w:sz w:val="24"/>
          <w:szCs w:val="24"/>
          <w:highlight w:val="none"/>
        </w:rPr>
        <w:t>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34A1588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九、</w:t>
      </w:r>
      <w:r>
        <w:rPr>
          <w:rFonts w:ascii="宋体" w:hAnsi="宋体"/>
          <w:color w:val="auto"/>
          <w:sz w:val="24"/>
          <w:szCs w:val="24"/>
          <w:highlight w:val="none"/>
        </w:rPr>
        <w:t>本保函自我方法定代表人</w:t>
      </w:r>
      <w:r>
        <w:rPr>
          <w:rFonts w:hint="eastAsia" w:ascii="宋体" w:hAnsi="宋体"/>
          <w:color w:val="auto"/>
          <w:sz w:val="24"/>
          <w:szCs w:val="24"/>
          <w:highlight w:val="none"/>
        </w:rPr>
        <w:t>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3DBD6A91">
      <w:pPr>
        <w:spacing w:line="360" w:lineRule="auto"/>
        <w:ind w:firstLine="480" w:firstLineChars="200"/>
        <w:rPr>
          <w:rFonts w:ascii="宋体" w:hAnsi="宋体"/>
          <w:color w:val="auto"/>
          <w:sz w:val="24"/>
          <w:szCs w:val="24"/>
          <w:highlight w:val="none"/>
        </w:rPr>
      </w:pPr>
    </w:p>
    <w:p w14:paraId="2F613360">
      <w:pPr>
        <w:spacing w:line="360" w:lineRule="auto"/>
        <w:ind w:firstLine="480" w:firstLineChars="200"/>
        <w:rPr>
          <w:rFonts w:ascii="宋体" w:hAnsi="宋体"/>
          <w:color w:val="auto"/>
          <w:sz w:val="24"/>
          <w:szCs w:val="24"/>
          <w:highlight w:val="none"/>
        </w:rPr>
      </w:pPr>
    </w:p>
    <w:p w14:paraId="74ECCB8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开 立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7C3A29E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32081BC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547CFFB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3DA421DE">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2B3FC4C9">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2108D92D">
      <w:pPr>
        <w:rPr>
          <w:color w:val="auto"/>
          <w:highlight w:val="none"/>
        </w:rPr>
      </w:pPr>
      <w:r>
        <w:rPr>
          <w:rFonts w:hint="eastAsia" w:ascii="宋体" w:hAnsi="宋体"/>
          <w:color w:val="auto"/>
          <w:sz w:val="24"/>
          <w:szCs w:val="24"/>
          <w:highlight w:val="none"/>
        </w:rPr>
        <w:t xml:space="preserve">    开立时间：</w:t>
      </w:r>
      <w:r>
        <w:rPr>
          <w:rFonts w:ascii="宋体" w:hAnsi="宋体"/>
          <w:color w:val="auto"/>
          <w:sz w:val="24"/>
          <w:szCs w:val="24"/>
          <w:highlight w:val="none"/>
        </w:rPr>
        <w:t xml:space="preserve">      年      月        日</w:t>
      </w:r>
    </w:p>
    <w:p w14:paraId="20D1C177">
      <w:pPr>
        <w:spacing w:line="360" w:lineRule="auto"/>
        <w:jc w:val="center"/>
        <w:rPr>
          <w:rFonts w:ascii="宋体" w:hAnsi="宋体"/>
          <w:b/>
          <w:bCs/>
          <w:color w:val="auto"/>
          <w:sz w:val="32"/>
          <w:szCs w:val="32"/>
          <w:highlight w:val="none"/>
        </w:rPr>
      </w:pPr>
    </w:p>
    <w:p w14:paraId="567EF1C3">
      <w:pPr>
        <w:spacing w:line="360" w:lineRule="auto"/>
        <w:jc w:val="left"/>
        <w:rPr>
          <w:rFonts w:hint="eastAsia" w:ascii="黑体" w:hAnsi="黑体" w:eastAsia="黑体" w:cs="黑体"/>
          <w:color w:val="auto"/>
          <w:sz w:val="32"/>
          <w:szCs w:val="32"/>
          <w:highlight w:val="none"/>
        </w:rPr>
      </w:pPr>
    </w:p>
    <w:p w14:paraId="20F87A59">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633AC457">
      <w:pPr>
        <w:spacing w:line="360" w:lineRule="auto"/>
        <w:jc w:val="left"/>
        <w:rPr>
          <w:rFonts w:hint="eastAsia" w:ascii="黑体" w:hAnsi="黑体" w:eastAsia="黑体" w:cs="黑体"/>
          <w:color w:val="auto"/>
          <w:sz w:val="32"/>
          <w:szCs w:val="32"/>
          <w:highlight w:val="none"/>
        </w:rPr>
      </w:pPr>
    </w:p>
    <w:p w14:paraId="5AEE8574">
      <w:pPr>
        <w:spacing w:line="360" w:lineRule="auto"/>
        <w:jc w:val="left"/>
        <w:rPr>
          <w:rFonts w:ascii="黑体" w:hAnsi="黑体" w:eastAsia="黑体" w:cs="黑体"/>
          <w:b/>
          <w:bCs/>
          <w:color w:val="auto"/>
          <w:sz w:val="32"/>
          <w:szCs w:val="32"/>
          <w:highlight w:val="none"/>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7</w:t>
      </w:r>
    </w:p>
    <w:p w14:paraId="66C3A09C">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预付款保函示范文本</w:t>
      </w:r>
    </w:p>
    <w:p w14:paraId="233ADCA9">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（非独立保函）</w:t>
      </w:r>
    </w:p>
    <w:p w14:paraId="1B1870D3">
      <w:pPr>
        <w:wordWrap w:val="0"/>
        <w:spacing w:line="360" w:lineRule="auto"/>
        <w:jc w:val="right"/>
        <w:rPr>
          <w:rFonts w:ascii="宋体" w:hAnsi="宋体"/>
          <w:color w:val="auto"/>
          <w:highlight w:val="none"/>
        </w:rPr>
      </w:pPr>
      <w:r>
        <w:rPr>
          <w:rFonts w:hint="eastAsia" w:ascii="宋体" w:hAnsi="宋体"/>
          <w:color w:val="auto"/>
          <w:highlight w:val="none"/>
        </w:rPr>
        <w:t xml:space="preserve">编号： </w:t>
      </w:r>
      <w:r>
        <w:rPr>
          <w:rFonts w:ascii="宋体" w:hAnsi="宋体"/>
          <w:color w:val="auto"/>
          <w:highlight w:val="none"/>
        </w:rPr>
        <w:t xml:space="preserve">          </w:t>
      </w:r>
    </w:p>
    <w:p w14:paraId="2D0A2462">
      <w:pPr>
        <w:spacing w:line="360" w:lineRule="auto"/>
        <w:rPr>
          <w:rFonts w:ascii="宋体" w:hAnsi="宋体"/>
          <w:color w:val="auto"/>
          <w:sz w:val="24"/>
          <w:szCs w:val="24"/>
          <w:highlight w:val="none"/>
        </w:rPr>
      </w:pPr>
    </w:p>
    <w:p w14:paraId="0B27E204">
      <w:pPr>
        <w:spacing w:line="360" w:lineRule="auto"/>
        <w:rPr>
          <w:rFonts w:ascii="宋体" w:hAnsi="宋体"/>
          <w:color w:val="auto"/>
          <w:sz w:val="24"/>
          <w:szCs w:val="24"/>
          <w:highlight w:val="none"/>
        </w:rPr>
      </w:pPr>
      <w:r>
        <w:rPr>
          <w:rFonts w:hint="eastAsia" w:ascii="宋体" w:hAnsi="宋体"/>
          <w:color w:val="auto"/>
          <w:sz w:val="24"/>
          <w:szCs w:val="24"/>
          <w:highlight w:val="none"/>
        </w:rPr>
        <w:t>担保权人/发包人：</w:t>
      </w:r>
    </w:p>
    <w:p w14:paraId="6912A5E1">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r>
        <w:rPr>
          <w:rFonts w:ascii="宋体" w:hAnsi="宋体"/>
          <w:color w:val="auto"/>
          <w:sz w:val="24"/>
          <w:szCs w:val="24"/>
          <w:highlight w:val="none"/>
        </w:rPr>
        <w:t>：</w:t>
      </w:r>
    </w:p>
    <w:p w14:paraId="13443A2C">
      <w:pPr>
        <w:spacing w:line="360" w:lineRule="auto"/>
        <w:rPr>
          <w:rFonts w:ascii="宋体" w:hAnsi="宋体"/>
          <w:color w:val="auto"/>
          <w:sz w:val="24"/>
          <w:szCs w:val="24"/>
          <w:highlight w:val="none"/>
        </w:rPr>
      </w:pPr>
      <w:r>
        <w:rPr>
          <w:rFonts w:hint="eastAsia" w:ascii="宋体" w:hAnsi="宋体"/>
          <w:color w:val="auto"/>
          <w:sz w:val="24"/>
          <w:szCs w:val="24"/>
          <w:highlight w:val="none"/>
        </w:rPr>
        <w:t>承包人：</w:t>
      </w:r>
      <w:r>
        <w:rPr>
          <w:rFonts w:ascii="宋体" w:hAnsi="宋体"/>
          <w:color w:val="auto"/>
          <w:sz w:val="24"/>
          <w:szCs w:val="24"/>
          <w:highlight w:val="none"/>
        </w:rPr>
        <w:t xml:space="preserve"> </w:t>
      </w:r>
    </w:p>
    <w:p w14:paraId="7B1CD585">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29D7A076">
      <w:pPr>
        <w:spacing w:line="360" w:lineRule="auto"/>
        <w:rPr>
          <w:rFonts w:ascii="宋体" w:hAnsi="宋体"/>
          <w:color w:val="auto"/>
          <w:sz w:val="24"/>
          <w:szCs w:val="24"/>
          <w:highlight w:val="none"/>
        </w:rPr>
      </w:pPr>
      <w:r>
        <w:rPr>
          <w:rFonts w:hint="eastAsia" w:ascii="宋体" w:hAnsi="宋体"/>
          <w:color w:val="auto"/>
          <w:sz w:val="24"/>
          <w:szCs w:val="24"/>
          <w:highlight w:val="none"/>
        </w:rPr>
        <w:t>保证人：</w:t>
      </w:r>
    </w:p>
    <w:p w14:paraId="482C4663">
      <w:pPr>
        <w:spacing w:line="360" w:lineRule="auto"/>
        <w:rPr>
          <w:rFonts w:ascii="宋体" w:hAnsi="宋体"/>
          <w:color w:val="auto"/>
          <w:sz w:val="24"/>
          <w:szCs w:val="24"/>
          <w:highlight w:val="none"/>
        </w:rPr>
      </w:pPr>
      <w:r>
        <w:rPr>
          <w:rFonts w:hint="eastAsia" w:ascii="宋体" w:hAnsi="宋体"/>
          <w:color w:val="auto"/>
          <w:sz w:val="24"/>
          <w:szCs w:val="24"/>
          <w:highlight w:val="none"/>
        </w:rPr>
        <w:t>地址：</w:t>
      </w:r>
    </w:p>
    <w:p w14:paraId="69706CFF">
      <w:pPr>
        <w:spacing w:line="360" w:lineRule="auto"/>
        <w:rPr>
          <w:rFonts w:ascii="宋体" w:hAnsi="宋体"/>
          <w:color w:val="auto"/>
          <w:sz w:val="24"/>
          <w:szCs w:val="24"/>
          <w:highlight w:val="none"/>
        </w:rPr>
      </w:pPr>
    </w:p>
    <w:p w14:paraId="17207531">
      <w:pPr>
        <w:spacing w:line="360" w:lineRule="auto"/>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发包人</w:t>
      </w:r>
      <w:r>
        <w:rPr>
          <w:rFonts w:ascii="宋体" w:hAnsi="宋体"/>
          <w:color w:val="auto"/>
          <w:sz w:val="24"/>
          <w:szCs w:val="24"/>
          <w:highlight w:val="none"/>
        </w:rPr>
        <w:t xml:space="preserve">名称）： </w:t>
      </w:r>
    </w:p>
    <w:p w14:paraId="667C427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鉴于</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发包人</w:t>
      </w:r>
      <w:r>
        <w:rPr>
          <w:rFonts w:ascii="宋体" w:hAnsi="宋体"/>
          <w:color w:val="auto"/>
          <w:sz w:val="24"/>
          <w:szCs w:val="24"/>
          <w:highlight w:val="none"/>
        </w:rPr>
        <w:t>”）</w:t>
      </w:r>
      <w:r>
        <w:rPr>
          <w:rFonts w:hint="eastAsia" w:ascii="宋体" w:hAnsi="宋体"/>
          <w:color w:val="auto"/>
          <w:sz w:val="24"/>
          <w:szCs w:val="24"/>
          <w:highlight w:val="none"/>
        </w:rPr>
        <w:t>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ascii="宋体" w:hAnsi="宋体"/>
          <w:color w:val="auto"/>
          <w:sz w:val="24"/>
          <w:szCs w:val="24"/>
          <w:highlight w:val="none"/>
        </w:rPr>
        <w:t>（以下简称“</w:t>
      </w:r>
      <w:r>
        <w:rPr>
          <w:rFonts w:hint="eastAsia" w:ascii="宋体" w:hAnsi="宋体"/>
          <w:color w:val="auto"/>
          <w:sz w:val="24"/>
          <w:szCs w:val="24"/>
          <w:highlight w:val="none"/>
        </w:rPr>
        <w:t>承包人</w:t>
      </w:r>
      <w:r>
        <w:rPr>
          <w:rFonts w:ascii="宋体" w:hAnsi="宋体"/>
          <w:color w:val="auto"/>
          <w:sz w:val="24"/>
          <w:szCs w:val="24"/>
          <w:highlight w:val="none"/>
        </w:rPr>
        <w:t>”）</w:t>
      </w:r>
      <w:r>
        <w:rPr>
          <w:rFonts w:hint="eastAsia" w:ascii="宋体" w:hAnsi="宋体"/>
          <w:color w:val="auto"/>
          <w:sz w:val="24"/>
          <w:szCs w:val="24"/>
          <w:highlight w:val="none"/>
        </w:rPr>
        <w:t>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日就</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工程（以下简称“本工程”）施工和有关事项协商一致共同签订</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w:t>
      </w:r>
      <w:r>
        <w:rPr>
          <w:rFonts w:hint="eastAsia" w:ascii="宋体" w:hAnsi="宋体"/>
          <w:color w:val="auto"/>
          <w:sz w:val="24"/>
          <w:szCs w:val="24"/>
          <w:highlight w:val="none"/>
        </w:rPr>
        <w:t>（以下简称“主合同”），我方即保证人基于承包人</w:t>
      </w:r>
      <w:r>
        <w:rPr>
          <w:rFonts w:ascii="宋体" w:hAnsi="宋体"/>
          <w:color w:val="auto"/>
          <w:sz w:val="24"/>
          <w:szCs w:val="24"/>
          <w:highlight w:val="none"/>
        </w:rPr>
        <w:t>的请求，同意就</w:t>
      </w:r>
      <w:r>
        <w:rPr>
          <w:rFonts w:hint="eastAsia" w:ascii="宋体" w:hAnsi="宋体"/>
          <w:color w:val="auto"/>
          <w:sz w:val="24"/>
          <w:szCs w:val="24"/>
          <w:highlight w:val="none"/>
        </w:rPr>
        <w:t>承包人按照合同约定正确和合理地为合同目的使用预付款，不将预付款挪作他用，</w:t>
      </w:r>
      <w:r>
        <w:rPr>
          <w:rFonts w:ascii="宋体" w:hAnsi="宋体"/>
          <w:color w:val="auto"/>
          <w:sz w:val="24"/>
          <w:szCs w:val="24"/>
          <w:highlight w:val="none"/>
        </w:rPr>
        <w:t>向贵方提供</w:t>
      </w:r>
      <w:r>
        <w:rPr>
          <w:rFonts w:hint="eastAsia" w:ascii="宋体" w:hAnsi="宋体"/>
          <w:color w:val="auto"/>
          <w:sz w:val="24"/>
          <w:szCs w:val="24"/>
          <w:highlight w:val="none"/>
        </w:rPr>
        <w:t>如下保证担保（以下简称“本保证担保”）</w:t>
      </w:r>
      <w:r>
        <w:rPr>
          <w:rFonts w:ascii="宋体" w:hAnsi="宋体"/>
          <w:color w:val="auto"/>
          <w:sz w:val="24"/>
          <w:szCs w:val="24"/>
          <w:highlight w:val="none"/>
        </w:rPr>
        <w:t xml:space="preserve">。 </w:t>
      </w:r>
    </w:p>
    <w:p w14:paraId="674B70C3">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一、保证担保的范围及保证担保金额</w:t>
      </w:r>
    </w:p>
    <w:p w14:paraId="3027C1A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保证担保范围：申请人未按照合同约定正确和合理地为合同目的使用预付款，应当向贵方承担的违约责任和赔偿因此造成的损失、利息、律师费、诉讼费用等实现债权的费用。</w:t>
      </w:r>
    </w:p>
    <w:p w14:paraId="7DB9174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保证担保金额最高不超过</w:t>
      </w:r>
      <w:r>
        <w:rPr>
          <w:rFonts w:ascii="宋体" w:hAnsi="宋体"/>
          <w:color w:val="auto"/>
          <w:sz w:val="24"/>
          <w:szCs w:val="24"/>
          <w:highlight w:val="none"/>
        </w:rPr>
        <w:t>人民币（大写）</w:t>
      </w:r>
      <w:r>
        <w:rPr>
          <w:rFonts w:ascii="宋体" w:hAnsi="宋体"/>
          <w:color w:val="auto"/>
          <w:sz w:val="24"/>
          <w:szCs w:val="24"/>
          <w:highlight w:val="none"/>
          <w:u w:val="single"/>
        </w:rPr>
        <w:t xml:space="preserve">          </w:t>
      </w:r>
      <w:r>
        <w:rPr>
          <w:rFonts w:ascii="宋体" w:hAnsi="宋体"/>
          <w:color w:val="auto"/>
          <w:sz w:val="24"/>
          <w:szCs w:val="24"/>
          <w:highlight w:val="none"/>
        </w:rPr>
        <w:t>元（¥</w:t>
      </w:r>
      <w:r>
        <w:rPr>
          <w:rFonts w:ascii="宋体" w:hAnsi="宋体"/>
          <w:color w:val="auto"/>
          <w:sz w:val="24"/>
          <w:szCs w:val="24"/>
          <w:highlight w:val="none"/>
          <w:u w:val="single"/>
        </w:rPr>
        <w:t xml:space="preserve">       </w:t>
      </w:r>
      <w:r>
        <w:rPr>
          <w:rFonts w:ascii="宋体" w:hAnsi="宋体"/>
          <w:color w:val="auto"/>
          <w:sz w:val="24"/>
          <w:szCs w:val="24"/>
          <w:highlight w:val="none"/>
        </w:rPr>
        <w:t xml:space="preserve">）。 </w:t>
      </w:r>
    </w:p>
    <w:p w14:paraId="6A68F28B">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二、保证担保的方式及保证期间</w:t>
      </w:r>
      <w:r>
        <w:rPr>
          <w:rFonts w:ascii="宋体" w:hAnsi="宋体"/>
          <w:b/>
          <w:bCs/>
          <w:color w:val="auto"/>
          <w:sz w:val="24"/>
          <w:szCs w:val="24"/>
          <w:highlight w:val="none"/>
        </w:rPr>
        <w:t xml:space="preserve"> </w:t>
      </w:r>
    </w:p>
    <w:p w14:paraId="7FCC67A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1.保证担保方式：连带责任保证。</w:t>
      </w:r>
    </w:p>
    <w:p w14:paraId="662B2F2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保证期间：</w:t>
      </w:r>
      <w:r>
        <w:rPr>
          <w:rFonts w:ascii="宋体" w:hAnsi="宋体"/>
          <w:color w:val="auto"/>
          <w:sz w:val="24"/>
          <w:szCs w:val="24"/>
          <w:highlight w:val="none"/>
        </w:rPr>
        <w:t>自</w:t>
      </w:r>
      <w:r>
        <w:rPr>
          <w:rFonts w:hint="eastAsia" w:ascii="宋体" w:hAnsi="宋体"/>
          <w:color w:val="auto"/>
          <w:sz w:val="24"/>
          <w:szCs w:val="24"/>
          <w:highlight w:val="none"/>
        </w:rPr>
        <w:t>出具之日起</w:t>
      </w:r>
      <w:r>
        <w:rPr>
          <w:rFonts w:ascii="宋体" w:hAnsi="宋体"/>
          <w:color w:val="auto"/>
          <w:sz w:val="24"/>
          <w:szCs w:val="24"/>
          <w:highlight w:val="none"/>
        </w:rPr>
        <w:t>至</w:t>
      </w:r>
      <w:r>
        <w:rPr>
          <w:rFonts w:hint="eastAsia" w:ascii="宋体" w:hAnsi="宋体"/>
          <w:color w:val="auto"/>
          <w:sz w:val="24"/>
          <w:szCs w:val="24"/>
          <w:highlight w:val="none"/>
        </w:rPr>
        <w:t>发包人全额扣回预付款后</w:t>
      </w:r>
      <w:r>
        <w:rPr>
          <w:rFonts w:ascii="宋体" w:hAnsi="宋体"/>
          <w:color w:val="auto"/>
          <w:sz w:val="24"/>
          <w:szCs w:val="24"/>
          <w:highlight w:val="none"/>
          <w:u w:val="single"/>
        </w:rPr>
        <w:t xml:space="preserve">   </w:t>
      </w:r>
      <w:r>
        <w:rPr>
          <w:rFonts w:ascii="宋体" w:hAnsi="宋体"/>
          <w:color w:val="auto"/>
          <w:sz w:val="24"/>
          <w:szCs w:val="24"/>
          <w:highlight w:val="none"/>
        </w:rPr>
        <w:t>日</w:t>
      </w:r>
      <w:r>
        <w:rPr>
          <w:rFonts w:hint="eastAsia" w:ascii="宋体" w:hAnsi="宋体"/>
          <w:color w:val="auto"/>
          <w:sz w:val="24"/>
          <w:szCs w:val="24"/>
          <w:highlight w:val="none"/>
        </w:rPr>
        <w:t>止，最迟不超过</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r>
        <w:rPr>
          <w:rFonts w:ascii="宋体" w:hAnsi="宋体"/>
          <w:color w:val="auto"/>
          <w:sz w:val="24"/>
          <w:szCs w:val="24"/>
          <w:highlight w:val="none"/>
        </w:rPr>
        <w:t xml:space="preserve">。 </w:t>
      </w:r>
    </w:p>
    <w:p w14:paraId="71E97622">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三、承担保证担保责任的形式</w:t>
      </w:r>
    </w:p>
    <w:p w14:paraId="66C97B4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发生应承担保证责任情形的，我方在保证金额内向贵方支付，并赔偿因此给贵方造成的损失，以及利息和律师费、诉讼费用等实现债权的费用。</w:t>
      </w:r>
    </w:p>
    <w:p w14:paraId="25C5F0A1">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四、代偿的安排</w:t>
      </w:r>
      <w:r>
        <w:rPr>
          <w:rFonts w:ascii="宋体" w:hAnsi="宋体"/>
          <w:b/>
          <w:bCs/>
          <w:color w:val="auto"/>
          <w:sz w:val="24"/>
          <w:szCs w:val="24"/>
          <w:highlight w:val="none"/>
        </w:rPr>
        <w:t xml:space="preserve"> </w:t>
      </w:r>
    </w:p>
    <w:p w14:paraId="7C014F9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62DC53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2.我方收到贵方的书面索赔通知及相应证明材料后，在</w:t>
      </w:r>
      <w:r>
        <w:rPr>
          <w:rFonts w:ascii="宋体" w:hAnsi="宋体"/>
          <w:color w:val="auto"/>
          <w:sz w:val="24"/>
          <w:szCs w:val="24"/>
          <w:highlight w:val="none"/>
          <w:u w:val="single"/>
        </w:rPr>
        <w:t xml:space="preserve">    </w:t>
      </w:r>
      <w:r>
        <w:rPr>
          <w:rFonts w:hint="eastAsia" w:ascii="宋体" w:hAnsi="宋体"/>
          <w:color w:val="auto"/>
          <w:sz w:val="24"/>
          <w:szCs w:val="24"/>
          <w:highlight w:val="none"/>
        </w:rPr>
        <w:t>工作日内进行核定后按照本保函的承诺承担保证责任。</w:t>
      </w:r>
    </w:p>
    <w:p w14:paraId="7F59C5A5">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五、保证担保责任的解除</w:t>
      </w:r>
      <w:r>
        <w:rPr>
          <w:rFonts w:ascii="宋体" w:hAnsi="宋体"/>
          <w:b/>
          <w:bCs/>
          <w:color w:val="auto"/>
          <w:sz w:val="24"/>
          <w:szCs w:val="24"/>
          <w:highlight w:val="none"/>
        </w:rPr>
        <w:t xml:space="preserve"> </w:t>
      </w:r>
    </w:p>
    <w:p w14:paraId="530C358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 xml:space="preserve">保证期间届满贵方未向我方书面主张保证责任的，自保证期间届满次日起，我方解除保证责任。 </w:t>
      </w:r>
    </w:p>
    <w:p w14:paraId="1B1BC4E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我方按照本</w:t>
      </w:r>
      <w:r>
        <w:rPr>
          <w:rFonts w:hint="eastAsia" w:ascii="宋体" w:hAnsi="宋体"/>
          <w:color w:val="auto"/>
          <w:sz w:val="24"/>
          <w:szCs w:val="24"/>
          <w:highlight w:val="none"/>
        </w:rPr>
        <w:t>保证担保</w:t>
      </w:r>
      <w:r>
        <w:rPr>
          <w:rFonts w:ascii="宋体" w:hAnsi="宋体"/>
          <w:color w:val="auto"/>
          <w:sz w:val="24"/>
          <w:szCs w:val="24"/>
          <w:highlight w:val="none"/>
        </w:rPr>
        <w:t>向贵方履行了</w:t>
      </w:r>
      <w:r>
        <w:rPr>
          <w:rFonts w:hint="eastAsia" w:ascii="宋体" w:hAnsi="宋体"/>
          <w:color w:val="auto"/>
          <w:sz w:val="24"/>
          <w:szCs w:val="24"/>
          <w:highlight w:val="none"/>
        </w:rPr>
        <w:t>保证担保责任</w:t>
      </w:r>
      <w:r>
        <w:rPr>
          <w:rFonts w:ascii="宋体" w:hAnsi="宋体"/>
          <w:color w:val="auto"/>
          <w:sz w:val="24"/>
          <w:szCs w:val="24"/>
          <w:highlight w:val="none"/>
        </w:rPr>
        <w:t>后，自我方向贵方支付</w:t>
      </w:r>
      <w:r>
        <w:rPr>
          <w:rFonts w:hint="eastAsia" w:ascii="宋体" w:hAnsi="宋体"/>
          <w:color w:val="auto"/>
          <w:sz w:val="24"/>
          <w:szCs w:val="24"/>
          <w:highlight w:val="none"/>
        </w:rPr>
        <w:t>的金额达到最高保证担保金额</w:t>
      </w:r>
      <w:r>
        <w:rPr>
          <w:rFonts w:ascii="宋体" w:hAnsi="宋体"/>
          <w:color w:val="auto"/>
          <w:sz w:val="24"/>
          <w:szCs w:val="24"/>
          <w:highlight w:val="none"/>
        </w:rPr>
        <w:t>之日起，</w:t>
      </w:r>
      <w:r>
        <w:rPr>
          <w:rFonts w:hint="eastAsia" w:ascii="宋体" w:hAnsi="宋体"/>
          <w:color w:val="auto"/>
          <w:sz w:val="24"/>
          <w:szCs w:val="24"/>
          <w:highlight w:val="none"/>
        </w:rPr>
        <w:t>保证担保责任</w:t>
      </w:r>
      <w:r>
        <w:rPr>
          <w:rFonts w:ascii="宋体" w:hAnsi="宋体"/>
          <w:color w:val="auto"/>
          <w:sz w:val="24"/>
          <w:szCs w:val="24"/>
          <w:highlight w:val="none"/>
        </w:rPr>
        <w:t xml:space="preserve">解除。 </w:t>
      </w:r>
    </w:p>
    <w:p w14:paraId="72129E3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按照法律法规的规定应解除我方保证</w:t>
      </w:r>
      <w:r>
        <w:rPr>
          <w:rFonts w:hint="eastAsia" w:ascii="宋体" w:hAnsi="宋体"/>
          <w:color w:val="auto"/>
          <w:sz w:val="24"/>
          <w:szCs w:val="24"/>
          <w:highlight w:val="none"/>
        </w:rPr>
        <w:t>担保</w:t>
      </w:r>
      <w:r>
        <w:rPr>
          <w:rFonts w:ascii="宋体" w:hAnsi="宋体"/>
          <w:color w:val="auto"/>
          <w:sz w:val="24"/>
          <w:szCs w:val="24"/>
          <w:highlight w:val="none"/>
        </w:rPr>
        <w:t>责任的其它情形的，我方在本保证担保项下的保证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责任亦解除。 </w:t>
      </w:r>
    </w:p>
    <w:p w14:paraId="1E89F00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4.我方解除保证责任后，贵方应按上述约定，自我方保证担保责任解除之日起七</w:t>
      </w:r>
      <w:r>
        <w:rPr>
          <w:rFonts w:ascii="宋体" w:hAnsi="宋体"/>
          <w:color w:val="auto"/>
          <w:sz w:val="24"/>
          <w:szCs w:val="24"/>
          <w:highlight w:val="none"/>
        </w:rPr>
        <w:t>日内，将本保证担保原件返还我方。但是不论贵方是否按此要求将本保证担保</w:t>
      </w:r>
      <w:r>
        <w:rPr>
          <w:rFonts w:hint="eastAsia" w:ascii="宋体" w:hAnsi="宋体"/>
          <w:color w:val="auto"/>
          <w:sz w:val="24"/>
          <w:szCs w:val="24"/>
          <w:highlight w:val="none"/>
        </w:rPr>
        <w:t>原件</w:t>
      </w:r>
      <w:r>
        <w:rPr>
          <w:rFonts w:ascii="宋体" w:hAnsi="宋体"/>
          <w:color w:val="auto"/>
          <w:sz w:val="24"/>
          <w:szCs w:val="24"/>
          <w:highlight w:val="none"/>
        </w:rPr>
        <w:t>退回我方，我方在本保证担保项下的义务和责任均</w:t>
      </w:r>
      <w:r>
        <w:rPr>
          <w:rFonts w:hint="eastAsia" w:ascii="宋体" w:hAnsi="宋体"/>
          <w:color w:val="auto"/>
          <w:sz w:val="24"/>
          <w:szCs w:val="24"/>
          <w:highlight w:val="none"/>
        </w:rPr>
        <w:t>自保证担保责任解除之日</w:t>
      </w:r>
      <w:r>
        <w:rPr>
          <w:rFonts w:ascii="宋体" w:hAnsi="宋体"/>
          <w:color w:val="auto"/>
          <w:sz w:val="24"/>
          <w:szCs w:val="24"/>
          <w:highlight w:val="none"/>
        </w:rPr>
        <w:t>自动消灭。</w:t>
      </w:r>
    </w:p>
    <w:p w14:paraId="5F2A14B9">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六、免责条款</w:t>
      </w:r>
      <w:r>
        <w:rPr>
          <w:rFonts w:ascii="宋体" w:hAnsi="宋体"/>
          <w:b/>
          <w:bCs/>
          <w:color w:val="auto"/>
          <w:sz w:val="24"/>
          <w:szCs w:val="24"/>
          <w:highlight w:val="none"/>
        </w:rPr>
        <w:t xml:space="preserve"> </w:t>
      </w:r>
    </w:p>
    <w:p w14:paraId="30FCED8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因贵方</w:t>
      </w:r>
      <w:r>
        <w:rPr>
          <w:rFonts w:hint="eastAsia" w:ascii="宋体" w:hAnsi="宋体"/>
          <w:color w:val="auto"/>
          <w:sz w:val="24"/>
          <w:szCs w:val="24"/>
          <w:highlight w:val="none"/>
        </w:rPr>
        <w:t>原因</w:t>
      </w:r>
      <w:r>
        <w:rPr>
          <w:rFonts w:ascii="宋体" w:hAnsi="宋体"/>
          <w:color w:val="auto"/>
          <w:sz w:val="24"/>
          <w:szCs w:val="24"/>
          <w:highlight w:val="none"/>
        </w:rPr>
        <w:t>致使</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376CE79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依照法律规定或贵方与</w:t>
      </w:r>
      <w:r>
        <w:rPr>
          <w:rFonts w:hint="eastAsia" w:ascii="宋体" w:hAnsi="宋体"/>
          <w:color w:val="auto"/>
          <w:sz w:val="24"/>
          <w:szCs w:val="24"/>
          <w:highlight w:val="none"/>
        </w:rPr>
        <w:t>承包</w:t>
      </w:r>
      <w:r>
        <w:rPr>
          <w:rFonts w:ascii="宋体" w:hAnsi="宋体"/>
          <w:color w:val="auto"/>
          <w:sz w:val="24"/>
          <w:szCs w:val="24"/>
          <w:highlight w:val="none"/>
        </w:rPr>
        <w:t>人的另行约定，免除</w:t>
      </w:r>
      <w:r>
        <w:rPr>
          <w:rFonts w:hint="eastAsia" w:ascii="宋体" w:hAnsi="宋体"/>
          <w:color w:val="auto"/>
          <w:sz w:val="24"/>
          <w:szCs w:val="24"/>
          <w:highlight w:val="none"/>
        </w:rPr>
        <w:t>承包</w:t>
      </w:r>
      <w:r>
        <w:rPr>
          <w:rFonts w:ascii="宋体" w:hAnsi="宋体"/>
          <w:color w:val="auto"/>
          <w:sz w:val="24"/>
          <w:szCs w:val="24"/>
          <w:highlight w:val="none"/>
        </w:rPr>
        <w:t>人部分或全部义务的，我方亦免除其相应的保证</w:t>
      </w:r>
      <w:r>
        <w:rPr>
          <w:rFonts w:hint="eastAsia" w:ascii="宋体" w:hAnsi="宋体"/>
          <w:color w:val="auto"/>
          <w:sz w:val="24"/>
          <w:szCs w:val="24"/>
          <w:highlight w:val="none"/>
        </w:rPr>
        <w:t>担保</w:t>
      </w:r>
      <w:r>
        <w:rPr>
          <w:rFonts w:ascii="宋体" w:hAnsi="宋体"/>
          <w:color w:val="auto"/>
          <w:sz w:val="24"/>
          <w:szCs w:val="24"/>
          <w:highlight w:val="none"/>
        </w:rPr>
        <w:t xml:space="preserve">责任。 </w:t>
      </w:r>
    </w:p>
    <w:p w14:paraId="1B5199C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因不可抗力造成</w:t>
      </w:r>
      <w:r>
        <w:rPr>
          <w:rFonts w:hint="eastAsia" w:ascii="宋体" w:hAnsi="宋体"/>
          <w:color w:val="auto"/>
          <w:sz w:val="24"/>
          <w:szCs w:val="24"/>
          <w:highlight w:val="none"/>
        </w:rPr>
        <w:t>发生应承担保证责任情形的</w:t>
      </w:r>
      <w:r>
        <w:rPr>
          <w:rFonts w:ascii="宋体" w:hAnsi="宋体"/>
          <w:color w:val="auto"/>
          <w:sz w:val="24"/>
          <w:szCs w:val="24"/>
          <w:highlight w:val="none"/>
        </w:rPr>
        <w:t>，我方不承担保证</w:t>
      </w:r>
      <w:r>
        <w:rPr>
          <w:rFonts w:hint="eastAsia" w:ascii="宋体" w:hAnsi="宋体"/>
          <w:color w:val="auto"/>
          <w:sz w:val="24"/>
          <w:szCs w:val="24"/>
          <w:highlight w:val="none"/>
        </w:rPr>
        <w:t>担保</w:t>
      </w:r>
      <w:r>
        <w:rPr>
          <w:rFonts w:ascii="宋体" w:hAnsi="宋体"/>
          <w:color w:val="auto"/>
          <w:sz w:val="24"/>
          <w:szCs w:val="24"/>
          <w:highlight w:val="none"/>
        </w:rPr>
        <w:t>责任。</w:t>
      </w:r>
    </w:p>
    <w:p w14:paraId="3C2CC664">
      <w:pPr>
        <w:spacing w:line="360" w:lineRule="auto"/>
        <w:ind w:firstLine="480" w:firstLineChars="200"/>
        <w:rPr>
          <w:rFonts w:ascii="宋体" w:hAnsi="宋体"/>
          <w:b/>
          <w:bCs/>
          <w:color w:val="auto"/>
          <w:sz w:val="24"/>
          <w:szCs w:val="24"/>
          <w:highlight w:val="none"/>
        </w:rPr>
      </w:pPr>
      <w:r>
        <w:rPr>
          <w:rFonts w:hint="eastAsia" w:ascii="宋体" w:hAnsi="宋体"/>
          <w:b/>
          <w:bCs/>
          <w:color w:val="auto"/>
          <w:sz w:val="24"/>
          <w:szCs w:val="24"/>
          <w:highlight w:val="none"/>
        </w:rPr>
        <w:t>七、其他</w:t>
      </w:r>
    </w:p>
    <w:p w14:paraId="58A8C14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本保证担保项下的权利不得转让，不得设定担保。贵方未经我方书面同意转让本保证担保或其项下任何权利，</w:t>
      </w:r>
      <w:r>
        <w:rPr>
          <w:rFonts w:hint="eastAsia" w:ascii="宋体" w:hAnsi="宋体"/>
          <w:color w:val="auto"/>
          <w:sz w:val="24"/>
          <w:szCs w:val="24"/>
          <w:highlight w:val="none"/>
        </w:rPr>
        <w:t>对我方不发生法律效力</w:t>
      </w:r>
      <w:r>
        <w:rPr>
          <w:rFonts w:ascii="宋体" w:hAnsi="宋体"/>
          <w:color w:val="auto"/>
          <w:sz w:val="24"/>
          <w:szCs w:val="24"/>
          <w:highlight w:val="none"/>
        </w:rPr>
        <w:t xml:space="preserve">。 </w:t>
      </w:r>
    </w:p>
    <w:p w14:paraId="10F6AEC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w:t>
      </w:r>
      <w:r>
        <w:rPr>
          <w:rFonts w:hint="eastAsia" w:ascii="宋体" w:hAnsi="宋体"/>
          <w:color w:val="auto"/>
          <w:sz w:val="24"/>
          <w:szCs w:val="24"/>
          <w:highlight w:val="none"/>
        </w:rPr>
        <w:t>保证担保适用的法律为中华人民共和国法律，争议裁判管辖地为中华人民共和国</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r>
        <w:rPr>
          <w:rFonts w:ascii="宋体" w:hAnsi="宋体"/>
          <w:color w:val="auto"/>
          <w:sz w:val="24"/>
          <w:szCs w:val="24"/>
          <w:highlight w:val="none"/>
        </w:rPr>
        <w:t xml:space="preserve"> </w:t>
      </w:r>
    </w:p>
    <w:p w14:paraId="4166D47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.本</w:t>
      </w:r>
      <w:r>
        <w:rPr>
          <w:rFonts w:hint="eastAsia" w:ascii="宋体" w:hAnsi="宋体"/>
          <w:color w:val="auto"/>
          <w:sz w:val="24"/>
          <w:szCs w:val="24"/>
          <w:highlight w:val="none"/>
        </w:rPr>
        <w:t>保证担保</w:t>
      </w:r>
      <w:r>
        <w:rPr>
          <w:rFonts w:ascii="宋体" w:hAnsi="宋体"/>
          <w:color w:val="auto"/>
          <w:sz w:val="24"/>
          <w:szCs w:val="24"/>
          <w:highlight w:val="none"/>
        </w:rPr>
        <w:t>自我方法定代表</w:t>
      </w:r>
      <w:r>
        <w:rPr>
          <w:rFonts w:hint="eastAsia" w:ascii="宋体" w:hAnsi="宋体"/>
          <w:color w:val="auto"/>
          <w:sz w:val="24"/>
          <w:szCs w:val="24"/>
          <w:highlight w:val="none"/>
        </w:rPr>
        <w:t>人或授权代表</w:t>
      </w:r>
      <w:r>
        <w:rPr>
          <w:rFonts w:ascii="宋体" w:hAnsi="宋体"/>
          <w:color w:val="auto"/>
          <w:sz w:val="24"/>
          <w:szCs w:val="24"/>
          <w:highlight w:val="none"/>
        </w:rPr>
        <w:t>签字</w:t>
      </w:r>
      <w:r>
        <w:rPr>
          <w:rFonts w:hint="eastAsia" w:ascii="宋体" w:hAnsi="宋体"/>
          <w:color w:val="auto"/>
          <w:sz w:val="24"/>
          <w:szCs w:val="24"/>
          <w:highlight w:val="none"/>
        </w:rPr>
        <w:t>并</w:t>
      </w:r>
      <w:r>
        <w:rPr>
          <w:rFonts w:ascii="宋体" w:hAnsi="宋体"/>
          <w:color w:val="auto"/>
          <w:sz w:val="24"/>
          <w:szCs w:val="24"/>
          <w:highlight w:val="none"/>
        </w:rPr>
        <w:t xml:space="preserve">加盖公章之日起生效。 </w:t>
      </w:r>
    </w:p>
    <w:p w14:paraId="509104F0">
      <w:pPr>
        <w:spacing w:line="360" w:lineRule="auto"/>
        <w:ind w:firstLine="480" w:firstLineChars="200"/>
        <w:rPr>
          <w:rFonts w:ascii="宋体" w:hAnsi="宋体"/>
          <w:color w:val="auto"/>
          <w:sz w:val="24"/>
          <w:szCs w:val="24"/>
          <w:highlight w:val="none"/>
        </w:rPr>
      </w:pPr>
    </w:p>
    <w:p w14:paraId="1144578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保 证 人</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（公</w:t>
      </w:r>
      <w:r>
        <w:rPr>
          <w:rFonts w:ascii="宋体" w:hAnsi="宋体"/>
          <w:color w:val="auto"/>
          <w:sz w:val="24"/>
          <w:szCs w:val="24"/>
          <w:highlight w:val="none"/>
        </w:rPr>
        <w:t xml:space="preserve">章） </w:t>
      </w:r>
    </w:p>
    <w:p w14:paraId="402754E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法定代表人（或授权代表）：</w:t>
      </w:r>
      <w:r>
        <w:rPr>
          <w:rFonts w:ascii="宋体" w:hAnsi="宋体"/>
          <w:color w:val="auto"/>
          <w:sz w:val="24"/>
          <w:szCs w:val="24"/>
          <w:highlight w:val="none"/>
        </w:rPr>
        <w:t xml:space="preserve">               （签字） </w:t>
      </w:r>
    </w:p>
    <w:p w14:paraId="5DCB3317">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地</w:t>
      </w:r>
      <w:r>
        <w:rPr>
          <w:rFonts w:ascii="宋体" w:hAnsi="宋体"/>
          <w:color w:val="auto"/>
          <w:sz w:val="24"/>
          <w:szCs w:val="24"/>
          <w:highlight w:val="none"/>
        </w:rPr>
        <w:t xml:space="preserve">    址：                                       </w:t>
      </w:r>
    </w:p>
    <w:p w14:paraId="5EF9C962">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邮政编码：</w:t>
      </w:r>
      <w:r>
        <w:rPr>
          <w:rFonts w:ascii="宋体" w:hAnsi="宋体"/>
          <w:color w:val="auto"/>
          <w:sz w:val="24"/>
          <w:szCs w:val="24"/>
          <w:highlight w:val="none"/>
        </w:rPr>
        <w:t xml:space="preserve">                 </w:t>
      </w:r>
    </w:p>
    <w:p w14:paraId="04BFDC50">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w:t>
      </w:r>
      <w:r>
        <w:rPr>
          <w:rFonts w:ascii="宋体" w:hAnsi="宋体"/>
          <w:color w:val="auto"/>
          <w:sz w:val="24"/>
          <w:szCs w:val="24"/>
          <w:highlight w:val="none"/>
        </w:rPr>
        <w:t xml:space="preserve">    话：                 </w:t>
      </w:r>
    </w:p>
    <w:p w14:paraId="349FF64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传</w:t>
      </w:r>
      <w:r>
        <w:rPr>
          <w:rFonts w:ascii="宋体" w:hAnsi="宋体"/>
          <w:color w:val="auto"/>
          <w:sz w:val="24"/>
          <w:szCs w:val="24"/>
          <w:highlight w:val="none"/>
        </w:rPr>
        <w:t xml:space="preserve">    真：                 </w:t>
      </w:r>
    </w:p>
    <w:p w14:paraId="015F6D9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时 </w:t>
      </w:r>
      <w:r>
        <w:rPr>
          <w:rFonts w:ascii="宋体" w:hAnsi="宋体"/>
          <w:color w:val="auto"/>
          <w:sz w:val="24"/>
          <w:szCs w:val="24"/>
          <w:highlight w:val="none"/>
        </w:rPr>
        <w:t xml:space="preserve">   </w:t>
      </w:r>
      <w:r>
        <w:rPr>
          <w:rFonts w:hint="eastAsia" w:ascii="宋体" w:hAnsi="宋体"/>
          <w:color w:val="auto"/>
          <w:sz w:val="24"/>
          <w:szCs w:val="24"/>
          <w:highlight w:val="none"/>
        </w:rPr>
        <w:t>间：</w:t>
      </w:r>
      <w:r>
        <w:rPr>
          <w:rFonts w:ascii="宋体" w:hAnsi="宋体"/>
          <w:color w:val="auto"/>
          <w:sz w:val="24"/>
          <w:szCs w:val="24"/>
          <w:highlight w:val="none"/>
        </w:rPr>
        <w:t xml:space="preserve">      年      月        日</w:t>
      </w:r>
    </w:p>
    <w:p w14:paraId="14E35995">
      <w:pPr>
        <w:rPr>
          <w:color w:val="auto"/>
          <w:highlight w:val="none"/>
        </w:rPr>
      </w:pPr>
    </w:p>
    <w:p w14:paraId="6BA92EB9">
      <w:pPr>
        <w:spacing w:line="360" w:lineRule="auto"/>
        <w:jc w:val="center"/>
        <w:rPr>
          <w:rFonts w:hint="eastAsia" w:ascii="宋体" w:hAnsi="宋体"/>
          <w:b/>
          <w:bCs/>
          <w:color w:val="auto"/>
          <w:sz w:val="32"/>
          <w:szCs w:val="32"/>
          <w:highlight w:val="none"/>
        </w:rPr>
      </w:pPr>
    </w:p>
    <w:p w14:paraId="01102D1A">
      <w:pPr>
        <w:spacing w:line="440" w:lineRule="exact"/>
        <w:rPr>
          <w:rFonts w:hint="eastAsia" w:eastAsia="仿宋_GB2312" w:cs="仿宋_GB2312"/>
          <w:color w:val="auto"/>
          <w:sz w:val="30"/>
          <w:szCs w:val="30"/>
          <w:highlight w:val="none"/>
        </w:rPr>
      </w:pPr>
    </w:p>
    <w:p w14:paraId="4383C315">
      <w:pPr>
        <w:spacing w:line="440" w:lineRule="exact"/>
        <w:rPr>
          <w:rFonts w:hint="eastAsia" w:eastAsia="仿宋_GB2312" w:cs="仿宋_GB2312"/>
          <w:color w:val="auto"/>
          <w:sz w:val="30"/>
          <w:szCs w:val="30"/>
          <w:highlight w:val="none"/>
        </w:rPr>
      </w:pPr>
    </w:p>
    <w:p w14:paraId="1450F3DB">
      <w:pPr>
        <w:spacing w:line="440" w:lineRule="exact"/>
        <w:rPr>
          <w:rFonts w:hint="eastAsia" w:eastAsia="仿宋_GB2312" w:cs="仿宋_GB2312"/>
          <w:color w:val="auto"/>
          <w:sz w:val="30"/>
          <w:szCs w:val="30"/>
          <w:highlight w:val="none"/>
        </w:rPr>
      </w:pPr>
    </w:p>
    <w:p w14:paraId="0883E95F">
      <w:pPr>
        <w:spacing w:line="440" w:lineRule="exact"/>
        <w:rPr>
          <w:rFonts w:hint="eastAsia" w:eastAsia="仿宋_GB2312" w:cs="仿宋_GB2312"/>
          <w:color w:val="auto"/>
          <w:sz w:val="30"/>
          <w:szCs w:val="30"/>
          <w:highlight w:val="none"/>
        </w:rPr>
      </w:pPr>
    </w:p>
    <w:p w14:paraId="3D7BC940">
      <w:pPr>
        <w:spacing w:line="440" w:lineRule="exact"/>
        <w:rPr>
          <w:rFonts w:hint="eastAsia" w:eastAsia="仿宋_GB2312" w:cs="仿宋_GB2312"/>
          <w:color w:val="auto"/>
          <w:sz w:val="30"/>
          <w:szCs w:val="30"/>
          <w:highlight w:val="none"/>
        </w:rPr>
      </w:pPr>
    </w:p>
    <w:p w14:paraId="5E08A65B">
      <w:pPr>
        <w:spacing w:line="440" w:lineRule="exact"/>
        <w:rPr>
          <w:rFonts w:hint="eastAsia" w:eastAsia="仿宋_GB2312" w:cs="仿宋_GB2312"/>
          <w:color w:val="auto"/>
          <w:sz w:val="30"/>
          <w:szCs w:val="30"/>
          <w:highlight w:val="none"/>
        </w:rPr>
      </w:pPr>
    </w:p>
    <w:p w14:paraId="18029ECA">
      <w:pPr>
        <w:spacing w:line="440" w:lineRule="exact"/>
        <w:rPr>
          <w:rFonts w:hint="eastAsia" w:eastAsia="仿宋_GB2312" w:cs="仿宋_GB2312"/>
          <w:color w:val="auto"/>
          <w:sz w:val="30"/>
          <w:szCs w:val="30"/>
          <w:highlight w:val="none"/>
        </w:rPr>
      </w:pPr>
    </w:p>
    <w:p w14:paraId="193228A3">
      <w:pPr>
        <w:spacing w:line="440" w:lineRule="exact"/>
        <w:rPr>
          <w:rFonts w:hint="eastAsia" w:eastAsia="仿宋_GB2312" w:cs="仿宋_GB2312"/>
          <w:color w:val="auto"/>
          <w:sz w:val="30"/>
          <w:szCs w:val="30"/>
          <w:highlight w:val="none"/>
        </w:rPr>
      </w:pPr>
    </w:p>
    <w:p w14:paraId="3D723C44">
      <w:pPr>
        <w:spacing w:line="440" w:lineRule="exact"/>
        <w:rPr>
          <w:rFonts w:hint="eastAsia" w:eastAsia="仿宋_GB2312" w:cs="仿宋_GB2312"/>
          <w:color w:val="auto"/>
          <w:sz w:val="30"/>
          <w:szCs w:val="30"/>
          <w:highlight w:val="none"/>
        </w:rPr>
      </w:pPr>
    </w:p>
    <w:p w14:paraId="68D07014">
      <w:pPr>
        <w:spacing w:line="440" w:lineRule="exact"/>
        <w:rPr>
          <w:rFonts w:hint="eastAsia" w:eastAsia="仿宋_GB2312" w:cs="仿宋_GB2312"/>
          <w:color w:val="auto"/>
          <w:sz w:val="30"/>
          <w:szCs w:val="30"/>
          <w:highlight w:val="none"/>
        </w:rPr>
      </w:pPr>
    </w:p>
    <w:p w14:paraId="53A8E7B2">
      <w:pPr>
        <w:spacing w:line="440" w:lineRule="exact"/>
        <w:rPr>
          <w:rFonts w:hint="eastAsia" w:eastAsia="仿宋_GB2312" w:cs="仿宋_GB2312"/>
          <w:color w:val="auto"/>
          <w:sz w:val="30"/>
          <w:szCs w:val="30"/>
          <w:highlight w:val="none"/>
        </w:rPr>
      </w:pPr>
    </w:p>
    <w:p w14:paraId="783EAC5D">
      <w:pPr>
        <w:spacing w:line="440" w:lineRule="exact"/>
        <w:rPr>
          <w:rFonts w:hint="eastAsia" w:eastAsia="仿宋_GB2312" w:cs="仿宋_GB2312"/>
          <w:color w:val="auto"/>
          <w:sz w:val="30"/>
          <w:szCs w:val="30"/>
          <w:highlight w:val="none"/>
        </w:rPr>
      </w:pPr>
    </w:p>
    <w:p w14:paraId="4150E833">
      <w:pPr>
        <w:spacing w:line="440" w:lineRule="exact"/>
        <w:rPr>
          <w:rFonts w:hint="eastAsia" w:eastAsia="仿宋_GB2312" w:cs="仿宋_GB2312"/>
          <w:color w:val="auto"/>
          <w:sz w:val="30"/>
          <w:szCs w:val="30"/>
          <w:highlight w:val="none"/>
        </w:rPr>
      </w:pPr>
    </w:p>
    <w:p w14:paraId="55D3CDE9">
      <w:pPr>
        <w:spacing w:line="440" w:lineRule="exact"/>
        <w:rPr>
          <w:rFonts w:hint="eastAsia" w:eastAsia="仿宋_GB2312" w:cs="仿宋_GB2312"/>
          <w:color w:val="auto"/>
          <w:sz w:val="30"/>
          <w:szCs w:val="30"/>
          <w:highlight w:val="none"/>
        </w:rPr>
      </w:pPr>
    </w:p>
    <w:p w14:paraId="7F286A02">
      <w:pPr>
        <w:spacing w:line="440" w:lineRule="exact"/>
        <w:rPr>
          <w:rFonts w:hint="eastAsia" w:eastAsia="仿宋_GB2312" w:cs="仿宋_GB2312"/>
          <w:color w:val="auto"/>
          <w:sz w:val="30"/>
          <w:szCs w:val="30"/>
          <w:highlight w:val="none"/>
        </w:rPr>
      </w:pPr>
    </w:p>
    <w:p w14:paraId="66C411F1">
      <w:pPr>
        <w:spacing w:line="440" w:lineRule="exact"/>
        <w:rPr>
          <w:rFonts w:hint="eastAsia" w:eastAsia="仿宋_GB2312" w:cs="仿宋_GB2312"/>
          <w:color w:val="auto"/>
          <w:sz w:val="30"/>
          <w:szCs w:val="30"/>
          <w:highlight w:val="none"/>
        </w:rPr>
      </w:pPr>
    </w:p>
    <w:p w14:paraId="7786A390">
      <w:pPr>
        <w:spacing w:line="440" w:lineRule="exact"/>
        <w:rPr>
          <w:rFonts w:hint="eastAsia" w:eastAsia="仿宋_GB2312" w:cs="仿宋_GB2312"/>
          <w:color w:val="auto"/>
          <w:sz w:val="30"/>
          <w:szCs w:val="30"/>
          <w:highlight w:val="none"/>
        </w:rPr>
      </w:pPr>
    </w:p>
    <w:p w14:paraId="11EAC0FB">
      <w:pPr>
        <w:rPr>
          <w:rFonts w:hint="eastAsia" w:eastAsia="仿宋_GB2312" w:cs="仿宋_GB2312"/>
          <w:color w:val="auto"/>
          <w:sz w:val="30"/>
          <w:szCs w:val="30"/>
          <w:highlight w:val="none"/>
        </w:rPr>
      </w:pPr>
      <w:r>
        <w:rPr>
          <w:rFonts w:hint="eastAsia" w:eastAsia="仿宋_GB2312" w:cs="仿宋_GB2312"/>
          <w:color w:val="auto"/>
          <w:sz w:val="30"/>
          <w:szCs w:val="30"/>
          <w:highlight w:val="none"/>
        </w:rPr>
        <w:br w:type="page"/>
      </w:r>
    </w:p>
    <w:p w14:paraId="348070E7">
      <w:pPr>
        <w:jc w:val="left"/>
        <w:rPr>
          <w:rFonts w:hint="eastAsia" w:hAnsi="宋体" w:cs="宋体"/>
          <w:color w:val="auto"/>
          <w:sz w:val="30"/>
          <w:szCs w:val="30"/>
          <w:highlight w:val="none"/>
        </w:rPr>
      </w:pPr>
      <w:r>
        <w:rPr>
          <w:rFonts w:hint="eastAsia" w:hAnsi="宋体" w:cs="宋体"/>
          <w:color w:val="auto"/>
          <w:sz w:val="30"/>
          <w:szCs w:val="30"/>
          <w:highlight w:val="none"/>
        </w:rPr>
        <w:t>附件</w:t>
      </w:r>
      <w:r>
        <w:rPr>
          <w:rFonts w:hint="eastAsia" w:hAnsi="宋体" w:eastAsia="宋体" w:cs="宋体"/>
          <w:color w:val="auto"/>
          <w:sz w:val="30"/>
          <w:szCs w:val="30"/>
          <w:highlight w:val="none"/>
          <w:lang w:val="en-US" w:eastAsia="zh-CN"/>
        </w:rPr>
        <w:t>8</w:t>
      </w:r>
      <w:r>
        <w:rPr>
          <w:rFonts w:hint="eastAsia" w:hAnsi="宋体" w:cs="宋体"/>
          <w:color w:val="auto"/>
          <w:sz w:val="30"/>
          <w:szCs w:val="30"/>
          <w:highlight w:val="none"/>
        </w:rPr>
        <w:t>：</w:t>
      </w:r>
    </w:p>
    <w:p w14:paraId="4CD8D8EA">
      <w:pPr>
        <w:jc w:val="center"/>
        <w:rPr>
          <w:rFonts w:hint="eastAsia"/>
          <w:b/>
          <w:color w:val="auto"/>
          <w:sz w:val="36"/>
          <w:szCs w:val="36"/>
          <w:highlight w:val="none"/>
        </w:rPr>
      </w:pPr>
      <w:r>
        <w:rPr>
          <w:rFonts w:hint="eastAsia"/>
          <w:b/>
          <w:color w:val="auto"/>
          <w:sz w:val="36"/>
          <w:szCs w:val="36"/>
          <w:highlight w:val="none"/>
        </w:rPr>
        <w:t>预付款支付申请（核准）表</w:t>
      </w:r>
    </w:p>
    <w:p w14:paraId="013709FE">
      <w:pPr>
        <w:rPr>
          <w:rFonts w:hint="eastAsia"/>
          <w:color w:val="auto"/>
          <w:sz w:val="24"/>
          <w:szCs w:val="24"/>
          <w:highlight w:val="none"/>
        </w:rPr>
      </w:pPr>
      <w:r>
        <w:rPr>
          <w:rFonts w:hint="eastAsia"/>
          <w:color w:val="auto"/>
          <w:sz w:val="24"/>
          <w:szCs w:val="24"/>
          <w:highlight w:val="none"/>
        </w:rPr>
        <w:t>工程名称：                                             编号：</w:t>
      </w: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88"/>
        <w:gridCol w:w="4697"/>
      </w:tblGrid>
      <w:tr w14:paraId="13E9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8" w:hRule="atLeast"/>
          <w:jc w:val="center"/>
        </w:trPr>
        <w:tc>
          <w:tcPr>
            <w:tcW w:w="9072" w:type="dxa"/>
            <w:gridSpan w:val="2"/>
            <w:noWrap w:val="0"/>
            <w:vAlign w:val="top"/>
          </w:tcPr>
          <w:p w14:paraId="724150EB">
            <w:pPr>
              <w:spacing w:line="480" w:lineRule="exact"/>
              <w:ind w:left="525" w:leftChars="149" w:hanging="212" w:hangingChars="101"/>
              <w:rPr>
                <w:rFonts w:hint="eastAsia"/>
                <w:color w:val="auto"/>
                <w:highlight w:val="none"/>
                <w:u w:val="single"/>
              </w:rPr>
            </w:pPr>
            <w:r>
              <w:rPr>
                <w:rFonts w:hint="eastAsia"/>
                <w:color w:val="auto"/>
                <w:highlight w:val="none"/>
              </w:rPr>
              <w:t>致：</w:t>
            </w:r>
            <w:r>
              <w:rPr>
                <w:rFonts w:hint="eastAsia"/>
                <w:color w:val="auto"/>
                <w:highlight w:val="none"/>
                <w:u w:val="single"/>
              </w:rPr>
              <w:t xml:space="preserve">                                   （发包人全称）</w:t>
            </w:r>
          </w:p>
          <w:p w14:paraId="64ADBA24">
            <w:pPr>
              <w:spacing w:line="400" w:lineRule="exact"/>
              <w:ind w:left="-4" w:leftChars="-2" w:firstLine="315" w:firstLineChars="150"/>
              <w:rPr>
                <w:rFonts w:hint="eastAsia"/>
                <w:color w:val="auto"/>
                <w:highlight w:val="none"/>
              </w:rPr>
            </w:pPr>
            <w:r>
              <w:rPr>
                <w:rFonts w:hint="eastAsia"/>
                <w:color w:val="auto"/>
                <w:highlight w:val="none"/>
              </w:rPr>
              <w:t>我方根据施工合同的约定，现申请支付工程预付款额为(大写)</w:t>
            </w:r>
            <w:r>
              <w:rPr>
                <w:rFonts w:hint="eastAsia"/>
                <w:color w:val="auto"/>
                <w:highlight w:val="none"/>
                <w:u w:val="single"/>
              </w:rPr>
              <w:t xml:space="preserve">            </w:t>
            </w:r>
            <w:r>
              <w:rPr>
                <w:rFonts w:hint="eastAsia"/>
                <w:color w:val="auto"/>
                <w:highlight w:val="none"/>
              </w:rPr>
              <w:t>元，(小写)</w:t>
            </w:r>
          </w:p>
          <w:p w14:paraId="3E72B6D8">
            <w:pPr>
              <w:spacing w:line="400" w:lineRule="exact"/>
              <w:rPr>
                <w:rFonts w:hint="eastAsia"/>
                <w:color w:val="auto"/>
                <w:highlight w:val="none"/>
              </w:rPr>
            </w:pPr>
            <w:r>
              <w:rPr>
                <w:rFonts w:hint="eastAsia"/>
                <w:color w:val="auto"/>
                <w:highlight w:val="none"/>
                <w:u w:val="single"/>
              </w:rPr>
              <w:t xml:space="preserve">         </w:t>
            </w:r>
            <w:r>
              <w:rPr>
                <w:rFonts w:hint="eastAsia"/>
                <w:color w:val="auto"/>
                <w:highlight w:val="none"/>
              </w:rPr>
              <w:t>元，请予核准。</w:t>
            </w:r>
          </w:p>
          <w:tbl>
            <w:tblPr>
              <w:tblStyle w:val="6"/>
              <w:tblpPr w:leftFromText="180" w:rightFromText="180" w:vertAnchor="page" w:horzAnchor="margin" w:tblpY="1309"/>
              <w:tblOverlap w:val="never"/>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3340"/>
              <w:gridCol w:w="1764"/>
              <w:gridCol w:w="2240"/>
              <w:gridCol w:w="1080"/>
            </w:tblGrid>
            <w:tr w14:paraId="01A9A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47485BAD">
                  <w:pPr>
                    <w:spacing w:line="280" w:lineRule="exact"/>
                    <w:jc w:val="center"/>
                    <w:rPr>
                      <w:rFonts w:hint="eastAsia"/>
                      <w:color w:val="auto"/>
                      <w:highlight w:val="none"/>
                    </w:rPr>
                  </w:pPr>
                  <w:r>
                    <w:rPr>
                      <w:rFonts w:hint="eastAsia"/>
                      <w:color w:val="auto"/>
                      <w:highlight w:val="none"/>
                    </w:rPr>
                    <w:t>序号</w:t>
                  </w:r>
                </w:p>
              </w:tc>
              <w:tc>
                <w:tcPr>
                  <w:tcW w:w="3340" w:type="dxa"/>
                  <w:noWrap w:val="0"/>
                  <w:vAlign w:val="center"/>
                </w:tcPr>
                <w:p w14:paraId="1FD58AA2">
                  <w:pPr>
                    <w:spacing w:line="280" w:lineRule="exact"/>
                    <w:jc w:val="center"/>
                    <w:rPr>
                      <w:rFonts w:hint="eastAsia"/>
                      <w:color w:val="auto"/>
                      <w:highlight w:val="none"/>
                    </w:rPr>
                  </w:pPr>
                  <w:r>
                    <w:rPr>
                      <w:rFonts w:hint="eastAsia"/>
                      <w:color w:val="auto"/>
                      <w:highlight w:val="none"/>
                    </w:rPr>
                    <w:t>名      称</w:t>
                  </w:r>
                </w:p>
              </w:tc>
              <w:tc>
                <w:tcPr>
                  <w:tcW w:w="1764" w:type="dxa"/>
                  <w:noWrap w:val="0"/>
                  <w:vAlign w:val="center"/>
                </w:tcPr>
                <w:p w14:paraId="3CD6CC45">
                  <w:pPr>
                    <w:spacing w:line="280" w:lineRule="exact"/>
                    <w:jc w:val="center"/>
                    <w:rPr>
                      <w:rFonts w:hint="eastAsia"/>
                      <w:color w:val="auto"/>
                      <w:highlight w:val="none"/>
                    </w:rPr>
                  </w:pPr>
                  <w:r>
                    <w:rPr>
                      <w:rFonts w:hint="eastAsia"/>
                      <w:color w:val="auto"/>
                      <w:highlight w:val="none"/>
                    </w:rPr>
                    <w:t>申请金额（元）</w:t>
                  </w:r>
                </w:p>
              </w:tc>
              <w:tc>
                <w:tcPr>
                  <w:tcW w:w="2240" w:type="dxa"/>
                  <w:noWrap w:val="0"/>
                  <w:vAlign w:val="center"/>
                </w:tcPr>
                <w:p w14:paraId="76F6F69E">
                  <w:pPr>
                    <w:spacing w:line="280" w:lineRule="exact"/>
                    <w:jc w:val="center"/>
                    <w:rPr>
                      <w:rFonts w:hint="eastAsia"/>
                      <w:color w:val="auto"/>
                      <w:highlight w:val="none"/>
                    </w:rPr>
                  </w:pPr>
                  <w:r>
                    <w:rPr>
                      <w:rFonts w:hint="eastAsia"/>
                      <w:color w:val="auto"/>
                      <w:highlight w:val="none"/>
                    </w:rPr>
                    <w:t>复核金额（元）</w:t>
                  </w:r>
                </w:p>
              </w:tc>
              <w:tc>
                <w:tcPr>
                  <w:tcW w:w="1080" w:type="dxa"/>
                  <w:noWrap w:val="0"/>
                  <w:vAlign w:val="center"/>
                </w:tcPr>
                <w:p w14:paraId="38224E66">
                  <w:pPr>
                    <w:spacing w:line="280" w:lineRule="exact"/>
                    <w:jc w:val="center"/>
                    <w:rPr>
                      <w:rFonts w:hint="eastAsia"/>
                      <w:color w:val="auto"/>
                      <w:highlight w:val="none"/>
                    </w:rPr>
                  </w:pPr>
                  <w:r>
                    <w:rPr>
                      <w:rFonts w:hint="eastAsia"/>
                      <w:color w:val="auto"/>
                      <w:highlight w:val="none"/>
                    </w:rPr>
                    <w:t>备注</w:t>
                  </w:r>
                </w:p>
              </w:tc>
            </w:tr>
            <w:tr w14:paraId="2980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7DF7F92">
                  <w:pPr>
                    <w:spacing w:line="280" w:lineRule="exact"/>
                    <w:jc w:val="center"/>
                    <w:rPr>
                      <w:rFonts w:hint="eastAsia"/>
                      <w:color w:val="auto"/>
                      <w:highlight w:val="none"/>
                    </w:rPr>
                  </w:pPr>
                  <w:r>
                    <w:rPr>
                      <w:rFonts w:hint="eastAsia"/>
                      <w:color w:val="auto"/>
                      <w:highlight w:val="none"/>
                    </w:rPr>
                    <w:t>1</w:t>
                  </w:r>
                </w:p>
              </w:tc>
              <w:tc>
                <w:tcPr>
                  <w:tcW w:w="3340" w:type="dxa"/>
                  <w:noWrap w:val="0"/>
                  <w:vAlign w:val="top"/>
                </w:tcPr>
                <w:p w14:paraId="77B19773">
                  <w:pPr>
                    <w:spacing w:line="280" w:lineRule="exact"/>
                    <w:rPr>
                      <w:rFonts w:hint="eastAsia"/>
                      <w:color w:val="auto"/>
                      <w:highlight w:val="none"/>
                    </w:rPr>
                  </w:pPr>
                  <w:r>
                    <w:rPr>
                      <w:rFonts w:hint="eastAsia"/>
                      <w:color w:val="auto"/>
                      <w:highlight w:val="none"/>
                    </w:rPr>
                    <w:t>已签约合同价款金额</w:t>
                  </w:r>
                </w:p>
              </w:tc>
              <w:tc>
                <w:tcPr>
                  <w:tcW w:w="1764" w:type="dxa"/>
                  <w:noWrap w:val="0"/>
                  <w:vAlign w:val="top"/>
                </w:tcPr>
                <w:p w14:paraId="6053DB6A">
                  <w:pPr>
                    <w:spacing w:line="280" w:lineRule="exact"/>
                    <w:rPr>
                      <w:rFonts w:hint="eastAsia"/>
                      <w:color w:val="auto"/>
                      <w:highlight w:val="none"/>
                    </w:rPr>
                  </w:pPr>
                </w:p>
              </w:tc>
              <w:tc>
                <w:tcPr>
                  <w:tcW w:w="2240" w:type="dxa"/>
                  <w:noWrap w:val="0"/>
                  <w:vAlign w:val="top"/>
                </w:tcPr>
                <w:p w14:paraId="42B6EF96">
                  <w:pPr>
                    <w:spacing w:line="280" w:lineRule="exact"/>
                    <w:rPr>
                      <w:rFonts w:hint="eastAsia"/>
                      <w:color w:val="auto"/>
                      <w:highlight w:val="none"/>
                    </w:rPr>
                  </w:pPr>
                </w:p>
              </w:tc>
              <w:tc>
                <w:tcPr>
                  <w:tcW w:w="1080" w:type="dxa"/>
                  <w:noWrap w:val="0"/>
                  <w:vAlign w:val="top"/>
                </w:tcPr>
                <w:p w14:paraId="4E15A5F2">
                  <w:pPr>
                    <w:spacing w:line="280" w:lineRule="exact"/>
                    <w:rPr>
                      <w:rFonts w:hint="eastAsia"/>
                      <w:color w:val="auto"/>
                      <w:highlight w:val="none"/>
                    </w:rPr>
                  </w:pPr>
                </w:p>
              </w:tc>
            </w:tr>
            <w:tr w14:paraId="270A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C9CE8FE">
                  <w:pPr>
                    <w:spacing w:line="280" w:lineRule="exact"/>
                    <w:jc w:val="center"/>
                    <w:rPr>
                      <w:rFonts w:hint="eastAsia"/>
                      <w:color w:val="auto"/>
                      <w:highlight w:val="none"/>
                    </w:rPr>
                  </w:pPr>
                  <w:r>
                    <w:rPr>
                      <w:rFonts w:hint="eastAsia"/>
                      <w:color w:val="auto"/>
                      <w:highlight w:val="none"/>
                    </w:rPr>
                    <w:t>2</w:t>
                  </w:r>
                </w:p>
              </w:tc>
              <w:tc>
                <w:tcPr>
                  <w:tcW w:w="3340" w:type="dxa"/>
                  <w:noWrap w:val="0"/>
                  <w:vAlign w:val="top"/>
                </w:tcPr>
                <w:p w14:paraId="28FACE9F">
                  <w:pPr>
                    <w:spacing w:line="280" w:lineRule="exact"/>
                    <w:rPr>
                      <w:rFonts w:hint="eastAsia"/>
                      <w:color w:val="auto"/>
                      <w:highlight w:val="none"/>
                    </w:rPr>
                  </w:pPr>
                  <w:r>
                    <w:rPr>
                      <w:rFonts w:hint="eastAsia"/>
                      <w:color w:val="auto"/>
                      <w:highlight w:val="none"/>
                    </w:rPr>
                    <w:t>其中：安全文明施工费</w:t>
                  </w:r>
                </w:p>
              </w:tc>
              <w:tc>
                <w:tcPr>
                  <w:tcW w:w="1764" w:type="dxa"/>
                  <w:noWrap w:val="0"/>
                  <w:vAlign w:val="top"/>
                </w:tcPr>
                <w:p w14:paraId="02EB6965">
                  <w:pPr>
                    <w:spacing w:line="280" w:lineRule="exact"/>
                    <w:rPr>
                      <w:rFonts w:hint="eastAsia"/>
                      <w:color w:val="auto"/>
                      <w:highlight w:val="none"/>
                    </w:rPr>
                  </w:pPr>
                </w:p>
              </w:tc>
              <w:tc>
                <w:tcPr>
                  <w:tcW w:w="2240" w:type="dxa"/>
                  <w:noWrap w:val="0"/>
                  <w:vAlign w:val="top"/>
                </w:tcPr>
                <w:p w14:paraId="20658067">
                  <w:pPr>
                    <w:spacing w:line="280" w:lineRule="exact"/>
                    <w:rPr>
                      <w:rFonts w:hint="eastAsia"/>
                      <w:color w:val="auto"/>
                      <w:highlight w:val="none"/>
                    </w:rPr>
                  </w:pPr>
                </w:p>
              </w:tc>
              <w:tc>
                <w:tcPr>
                  <w:tcW w:w="1080" w:type="dxa"/>
                  <w:noWrap w:val="0"/>
                  <w:vAlign w:val="top"/>
                </w:tcPr>
                <w:p w14:paraId="153D6A83">
                  <w:pPr>
                    <w:spacing w:line="280" w:lineRule="exact"/>
                    <w:rPr>
                      <w:rFonts w:hint="eastAsia"/>
                      <w:color w:val="auto"/>
                      <w:highlight w:val="none"/>
                    </w:rPr>
                  </w:pPr>
                </w:p>
              </w:tc>
            </w:tr>
            <w:tr w14:paraId="2A88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C19771B">
                  <w:pPr>
                    <w:spacing w:line="280" w:lineRule="exact"/>
                    <w:jc w:val="center"/>
                    <w:rPr>
                      <w:rFonts w:hint="eastAsia"/>
                      <w:color w:val="auto"/>
                      <w:highlight w:val="none"/>
                    </w:rPr>
                  </w:pPr>
                  <w:r>
                    <w:rPr>
                      <w:rFonts w:hint="eastAsia"/>
                      <w:color w:val="auto"/>
                      <w:highlight w:val="none"/>
                    </w:rPr>
                    <w:t>3</w:t>
                  </w:r>
                </w:p>
              </w:tc>
              <w:tc>
                <w:tcPr>
                  <w:tcW w:w="3340" w:type="dxa"/>
                  <w:noWrap w:val="0"/>
                  <w:vAlign w:val="top"/>
                </w:tcPr>
                <w:p w14:paraId="1B4EB7BF">
                  <w:pPr>
                    <w:spacing w:line="280" w:lineRule="exact"/>
                    <w:rPr>
                      <w:rFonts w:hint="eastAsia"/>
                      <w:color w:val="auto"/>
                      <w:highlight w:val="none"/>
                    </w:rPr>
                  </w:pPr>
                  <w:r>
                    <w:rPr>
                      <w:rFonts w:hint="eastAsia"/>
                      <w:color w:val="auto"/>
                      <w:highlight w:val="none"/>
                    </w:rPr>
                    <w:t>应支付的预付款</w:t>
                  </w:r>
                </w:p>
              </w:tc>
              <w:tc>
                <w:tcPr>
                  <w:tcW w:w="1764" w:type="dxa"/>
                  <w:noWrap w:val="0"/>
                  <w:vAlign w:val="top"/>
                </w:tcPr>
                <w:p w14:paraId="15243C15">
                  <w:pPr>
                    <w:spacing w:line="280" w:lineRule="exact"/>
                    <w:rPr>
                      <w:rFonts w:hint="eastAsia"/>
                      <w:color w:val="auto"/>
                      <w:highlight w:val="none"/>
                    </w:rPr>
                  </w:pPr>
                </w:p>
              </w:tc>
              <w:tc>
                <w:tcPr>
                  <w:tcW w:w="2240" w:type="dxa"/>
                  <w:noWrap w:val="0"/>
                  <w:vAlign w:val="top"/>
                </w:tcPr>
                <w:p w14:paraId="44054B47">
                  <w:pPr>
                    <w:spacing w:line="280" w:lineRule="exact"/>
                    <w:rPr>
                      <w:rFonts w:hint="eastAsia"/>
                      <w:color w:val="auto"/>
                      <w:highlight w:val="none"/>
                    </w:rPr>
                  </w:pPr>
                </w:p>
              </w:tc>
              <w:tc>
                <w:tcPr>
                  <w:tcW w:w="1080" w:type="dxa"/>
                  <w:noWrap w:val="0"/>
                  <w:vAlign w:val="top"/>
                </w:tcPr>
                <w:p w14:paraId="6DDCF399">
                  <w:pPr>
                    <w:spacing w:line="280" w:lineRule="exact"/>
                    <w:rPr>
                      <w:rFonts w:hint="eastAsia"/>
                      <w:color w:val="auto"/>
                      <w:highlight w:val="none"/>
                    </w:rPr>
                  </w:pPr>
                </w:p>
              </w:tc>
            </w:tr>
            <w:tr w14:paraId="4A13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8A6A4C6">
                  <w:pPr>
                    <w:spacing w:line="280" w:lineRule="exact"/>
                    <w:jc w:val="center"/>
                    <w:rPr>
                      <w:rFonts w:hint="eastAsia"/>
                      <w:color w:val="auto"/>
                      <w:highlight w:val="none"/>
                    </w:rPr>
                  </w:pPr>
                  <w:r>
                    <w:rPr>
                      <w:rFonts w:hint="eastAsia"/>
                      <w:color w:val="auto"/>
                      <w:highlight w:val="none"/>
                    </w:rPr>
                    <w:t>4</w:t>
                  </w:r>
                </w:p>
              </w:tc>
              <w:tc>
                <w:tcPr>
                  <w:tcW w:w="3340" w:type="dxa"/>
                  <w:noWrap w:val="0"/>
                  <w:vAlign w:val="top"/>
                </w:tcPr>
                <w:p w14:paraId="4A5F777B">
                  <w:pPr>
                    <w:spacing w:line="280" w:lineRule="exact"/>
                    <w:rPr>
                      <w:rFonts w:hint="eastAsia"/>
                      <w:color w:val="auto"/>
                      <w:highlight w:val="none"/>
                    </w:rPr>
                  </w:pPr>
                  <w:r>
                    <w:rPr>
                      <w:rFonts w:hint="eastAsia"/>
                      <w:color w:val="auto"/>
                      <w:highlight w:val="none"/>
                    </w:rPr>
                    <w:t>应支付的安全文明施工费预付款</w:t>
                  </w:r>
                </w:p>
              </w:tc>
              <w:tc>
                <w:tcPr>
                  <w:tcW w:w="1764" w:type="dxa"/>
                  <w:noWrap w:val="0"/>
                  <w:vAlign w:val="top"/>
                </w:tcPr>
                <w:p w14:paraId="1BC9AC38">
                  <w:pPr>
                    <w:spacing w:line="280" w:lineRule="exact"/>
                    <w:rPr>
                      <w:rFonts w:hint="eastAsia"/>
                      <w:color w:val="auto"/>
                      <w:highlight w:val="none"/>
                    </w:rPr>
                  </w:pPr>
                </w:p>
              </w:tc>
              <w:tc>
                <w:tcPr>
                  <w:tcW w:w="2240" w:type="dxa"/>
                  <w:noWrap w:val="0"/>
                  <w:vAlign w:val="top"/>
                </w:tcPr>
                <w:p w14:paraId="78A8405F">
                  <w:pPr>
                    <w:spacing w:line="280" w:lineRule="exact"/>
                    <w:rPr>
                      <w:rFonts w:hint="eastAsia"/>
                      <w:color w:val="auto"/>
                      <w:highlight w:val="none"/>
                    </w:rPr>
                  </w:pPr>
                </w:p>
              </w:tc>
              <w:tc>
                <w:tcPr>
                  <w:tcW w:w="1080" w:type="dxa"/>
                  <w:noWrap w:val="0"/>
                  <w:vAlign w:val="top"/>
                </w:tcPr>
                <w:p w14:paraId="00C9535C">
                  <w:pPr>
                    <w:spacing w:line="280" w:lineRule="exact"/>
                    <w:rPr>
                      <w:rFonts w:hint="eastAsia"/>
                      <w:color w:val="auto"/>
                      <w:highlight w:val="none"/>
                    </w:rPr>
                  </w:pPr>
                </w:p>
              </w:tc>
            </w:tr>
            <w:tr w14:paraId="70A3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9EA6EE2">
                  <w:pPr>
                    <w:spacing w:line="280" w:lineRule="exact"/>
                    <w:jc w:val="center"/>
                    <w:rPr>
                      <w:rFonts w:hint="eastAsia"/>
                      <w:color w:val="auto"/>
                      <w:highlight w:val="none"/>
                    </w:rPr>
                  </w:pPr>
                  <w:r>
                    <w:rPr>
                      <w:rFonts w:hint="eastAsia"/>
                      <w:color w:val="auto"/>
                      <w:highlight w:val="none"/>
                    </w:rPr>
                    <w:t>5</w:t>
                  </w:r>
                </w:p>
              </w:tc>
              <w:tc>
                <w:tcPr>
                  <w:tcW w:w="3340" w:type="dxa"/>
                  <w:noWrap w:val="0"/>
                  <w:vAlign w:val="top"/>
                </w:tcPr>
                <w:p w14:paraId="6DBCA4A0">
                  <w:pPr>
                    <w:spacing w:line="280" w:lineRule="exact"/>
                    <w:rPr>
                      <w:rFonts w:hint="eastAsia"/>
                      <w:color w:val="auto"/>
                      <w:highlight w:val="none"/>
                    </w:rPr>
                  </w:pPr>
                  <w:r>
                    <w:rPr>
                      <w:rFonts w:hint="eastAsia"/>
                      <w:color w:val="auto"/>
                      <w:highlight w:val="none"/>
                    </w:rPr>
                    <w:t>合计应支付的预付款</w:t>
                  </w:r>
                </w:p>
              </w:tc>
              <w:tc>
                <w:tcPr>
                  <w:tcW w:w="1764" w:type="dxa"/>
                  <w:noWrap w:val="0"/>
                  <w:vAlign w:val="top"/>
                </w:tcPr>
                <w:p w14:paraId="61917453">
                  <w:pPr>
                    <w:spacing w:line="280" w:lineRule="exact"/>
                    <w:rPr>
                      <w:rFonts w:hint="eastAsia"/>
                      <w:color w:val="auto"/>
                      <w:highlight w:val="none"/>
                    </w:rPr>
                  </w:pPr>
                </w:p>
              </w:tc>
              <w:tc>
                <w:tcPr>
                  <w:tcW w:w="2240" w:type="dxa"/>
                  <w:noWrap w:val="0"/>
                  <w:vAlign w:val="top"/>
                </w:tcPr>
                <w:p w14:paraId="78B0D05B">
                  <w:pPr>
                    <w:spacing w:line="280" w:lineRule="exact"/>
                    <w:rPr>
                      <w:rFonts w:hint="eastAsia"/>
                      <w:color w:val="auto"/>
                      <w:highlight w:val="none"/>
                    </w:rPr>
                  </w:pPr>
                </w:p>
              </w:tc>
              <w:tc>
                <w:tcPr>
                  <w:tcW w:w="1080" w:type="dxa"/>
                  <w:noWrap w:val="0"/>
                  <w:vAlign w:val="top"/>
                </w:tcPr>
                <w:p w14:paraId="4F8F3FA6">
                  <w:pPr>
                    <w:spacing w:line="280" w:lineRule="exact"/>
                    <w:rPr>
                      <w:rFonts w:hint="eastAsia"/>
                      <w:color w:val="auto"/>
                      <w:highlight w:val="none"/>
                    </w:rPr>
                  </w:pPr>
                </w:p>
              </w:tc>
            </w:tr>
            <w:tr w14:paraId="1CBA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1428763">
                  <w:pPr>
                    <w:spacing w:line="280" w:lineRule="exact"/>
                    <w:jc w:val="center"/>
                    <w:rPr>
                      <w:rFonts w:hint="eastAsia"/>
                      <w:color w:val="auto"/>
                      <w:highlight w:val="none"/>
                    </w:rPr>
                  </w:pPr>
                </w:p>
              </w:tc>
              <w:tc>
                <w:tcPr>
                  <w:tcW w:w="3340" w:type="dxa"/>
                  <w:noWrap w:val="0"/>
                  <w:vAlign w:val="top"/>
                </w:tcPr>
                <w:p w14:paraId="701F7DF9">
                  <w:pPr>
                    <w:spacing w:line="280" w:lineRule="exact"/>
                    <w:rPr>
                      <w:rFonts w:hint="eastAsia"/>
                      <w:color w:val="auto"/>
                      <w:highlight w:val="none"/>
                    </w:rPr>
                  </w:pPr>
                </w:p>
              </w:tc>
              <w:tc>
                <w:tcPr>
                  <w:tcW w:w="1764" w:type="dxa"/>
                  <w:noWrap w:val="0"/>
                  <w:vAlign w:val="top"/>
                </w:tcPr>
                <w:p w14:paraId="2376D3BF">
                  <w:pPr>
                    <w:spacing w:line="280" w:lineRule="exact"/>
                    <w:rPr>
                      <w:rFonts w:hint="eastAsia"/>
                      <w:color w:val="auto"/>
                      <w:highlight w:val="none"/>
                    </w:rPr>
                  </w:pPr>
                </w:p>
              </w:tc>
              <w:tc>
                <w:tcPr>
                  <w:tcW w:w="2240" w:type="dxa"/>
                  <w:noWrap w:val="0"/>
                  <w:vAlign w:val="top"/>
                </w:tcPr>
                <w:p w14:paraId="1D634AA5">
                  <w:pPr>
                    <w:spacing w:line="280" w:lineRule="exact"/>
                    <w:rPr>
                      <w:rFonts w:hint="eastAsia"/>
                      <w:color w:val="auto"/>
                      <w:highlight w:val="none"/>
                    </w:rPr>
                  </w:pPr>
                </w:p>
              </w:tc>
              <w:tc>
                <w:tcPr>
                  <w:tcW w:w="1080" w:type="dxa"/>
                  <w:noWrap w:val="0"/>
                  <w:vAlign w:val="top"/>
                </w:tcPr>
                <w:p w14:paraId="2C8F9890">
                  <w:pPr>
                    <w:spacing w:line="280" w:lineRule="exact"/>
                    <w:rPr>
                      <w:rFonts w:hint="eastAsia"/>
                      <w:color w:val="auto"/>
                      <w:highlight w:val="none"/>
                    </w:rPr>
                  </w:pPr>
                </w:p>
              </w:tc>
            </w:tr>
          </w:tbl>
          <w:p w14:paraId="3B013964">
            <w:pPr>
              <w:wordWrap w:val="0"/>
              <w:spacing w:line="400" w:lineRule="exact"/>
              <w:ind w:right="420"/>
              <w:rPr>
                <w:rFonts w:hint="eastAsia"/>
                <w:color w:val="auto"/>
                <w:highlight w:val="none"/>
              </w:rPr>
            </w:pPr>
          </w:p>
          <w:p w14:paraId="384C98DA">
            <w:pPr>
              <w:wordWrap w:val="0"/>
              <w:spacing w:line="400" w:lineRule="exact"/>
              <w:ind w:right="420"/>
              <w:rPr>
                <w:rFonts w:hint="eastAsia"/>
                <w:color w:val="auto"/>
                <w:highlight w:val="none"/>
              </w:rPr>
            </w:pPr>
            <w:r>
              <w:rPr>
                <w:rFonts w:hint="eastAsia"/>
                <w:color w:val="auto"/>
                <w:highlight w:val="none"/>
              </w:rPr>
              <w:t xml:space="preserve">                                            承包人（章）             </w:t>
            </w:r>
          </w:p>
          <w:p w14:paraId="5B360B93">
            <w:pPr>
              <w:spacing w:line="400" w:lineRule="exact"/>
              <w:ind w:right="420" w:firstLine="435"/>
              <w:rPr>
                <w:rFonts w:hint="eastAsia"/>
                <w:color w:val="auto"/>
                <w:highlight w:val="none"/>
              </w:rPr>
            </w:pPr>
            <w:r>
              <w:rPr>
                <w:rFonts w:hint="eastAsia"/>
                <w:color w:val="auto"/>
                <w:highlight w:val="none"/>
              </w:rPr>
              <w:t>造价人员</w:t>
            </w:r>
            <w:r>
              <w:rPr>
                <w:rFonts w:hint="eastAsia"/>
                <w:color w:val="auto"/>
                <w:highlight w:val="none"/>
                <w:u w:val="single"/>
              </w:rPr>
              <w:t xml:space="preserve">               </w:t>
            </w:r>
            <w:r>
              <w:rPr>
                <w:rFonts w:hint="eastAsia"/>
                <w:color w:val="auto"/>
                <w:highlight w:val="none"/>
              </w:rPr>
              <w:t>承包人代表</w:t>
            </w:r>
            <w:r>
              <w:rPr>
                <w:rFonts w:hint="eastAsia"/>
                <w:color w:val="auto"/>
                <w:highlight w:val="none"/>
                <w:u w:val="single"/>
              </w:rPr>
              <w:t xml:space="preserve">               </w:t>
            </w:r>
            <w:r>
              <w:rPr>
                <w:rFonts w:hint="eastAsia"/>
                <w:color w:val="auto"/>
                <w:highlight w:val="none"/>
              </w:rPr>
              <w:t>日      期</w:t>
            </w:r>
            <w:r>
              <w:rPr>
                <w:rFonts w:hint="eastAsia"/>
                <w:color w:val="auto"/>
                <w:highlight w:val="none"/>
                <w:u w:val="single"/>
              </w:rPr>
              <w:t xml:space="preserve">               </w:t>
            </w:r>
          </w:p>
        </w:tc>
      </w:tr>
      <w:tr w14:paraId="10E2D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noWrap w:val="0"/>
            <w:vAlign w:val="top"/>
          </w:tcPr>
          <w:p w14:paraId="05269125">
            <w:pPr>
              <w:spacing w:line="360" w:lineRule="exact"/>
              <w:rPr>
                <w:rFonts w:hint="eastAsia"/>
                <w:color w:val="auto"/>
                <w:highlight w:val="none"/>
              </w:rPr>
            </w:pPr>
            <w:r>
              <w:rPr>
                <w:rFonts w:hint="eastAsia"/>
                <w:color w:val="auto"/>
                <w:highlight w:val="none"/>
              </w:rPr>
              <w:t>复核意见：</w:t>
            </w:r>
          </w:p>
          <w:p w14:paraId="7A21D66B">
            <w:pPr>
              <w:spacing w:line="360" w:lineRule="exact"/>
              <w:ind w:firstLine="312"/>
              <w:rPr>
                <w:rFonts w:hint="eastAsia"/>
                <w:color w:val="auto"/>
                <w:highlight w:val="none"/>
              </w:rPr>
            </w:pPr>
            <w:r>
              <w:rPr>
                <w:rFonts w:hint="eastAsia"/>
                <w:color w:val="auto"/>
                <w:highlight w:val="none"/>
              </w:rPr>
              <w:t>□与合同约定不相符，修改意见见附件。</w:t>
            </w:r>
          </w:p>
          <w:p w14:paraId="082ED525">
            <w:pPr>
              <w:spacing w:line="360" w:lineRule="exact"/>
              <w:ind w:firstLine="312"/>
              <w:rPr>
                <w:rFonts w:hint="eastAsia"/>
                <w:color w:val="auto"/>
                <w:highlight w:val="none"/>
              </w:rPr>
            </w:pPr>
            <w:r>
              <w:rPr>
                <w:rFonts w:hint="eastAsia"/>
                <w:color w:val="auto"/>
                <w:highlight w:val="none"/>
              </w:rPr>
              <w:t>□与合同约定相符，具体金额由造价工程师复核。</w:t>
            </w:r>
          </w:p>
          <w:p w14:paraId="25318CAA">
            <w:pPr>
              <w:spacing w:line="360" w:lineRule="exact"/>
              <w:ind w:firstLine="435"/>
              <w:jc w:val="right"/>
              <w:rPr>
                <w:rFonts w:hint="eastAsia"/>
                <w:color w:val="auto"/>
                <w:highlight w:val="none"/>
              </w:rPr>
            </w:pPr>
          </w:p>
          <w:p w14:paraId="29FC8C32">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监理工程师</w:t>
            </w:r>
            <w:r>
              <w:rPr>
                <w:rFonts w:hint="eastAsia"/>
                <w:color w:val="auto"/>
                <w:highlight w:val="none"/>
                <w:u w:val="single"/>
              </w:rPr>
              <w:t xml:space="preserve">           </w:t>
            </w:r>
          </w:p>
          <w:p w14:paraId="5E3B0D58">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c>
          <w:tcPr>
            <w:tcW w:w="4552" w:type="dxa"/>
            <w:noWrap w:val="0"/>
            <w:vAlign w:val="top"/>
          </w:tcPr>
          <w:p w14:paraId="032B18C2">
            <w:pPr>
              <w:spacing w:line="360" w:lineRule="exact"/>
              <w:rPr>
                <w:rFonts w:hint="eastAsia"/>
                <w:color w:val="auto"/>
                <w:highlight w:val="none"/>
              </w:rPr>
            </w:pPr>
            <w:r>
              <w:rPr>
                <w:rFonts w:hint="eastAsia"/>
                <w:color w:val="auto"/>
                <w:highlight w:val="none"/>
              </w:rPr>
              <w:t>复核意见：</w:t>
            </w:r>
          </w:p>
          <w:p w14:paraId="75164E35">
            <w:pPr>
              <w:spacing w:line="360" w:lineRule="exact"/>
              <w:ind w:firstLine="435"/>
              <w:rPr>
                <w:rFonts w:hint="eastAsia"/>
                <w:color w:val="auto"/>
                <w:highlight w:val="none"/>
              </w:rPr>
            </w:pPr>
            <w:r>
              <w:rPr>
                <w:rFonts w:hint="eastAsia"/>
                <w:color w:val="auto"/>
                <w:highlight w:val="none"/>
              </w:rPr>
              <w:t>你方提出的支付申请经复核，应支付预付款金额为(大写)</w:t>
            </w:r>
            <w:r>
              <w:rPr>
                <w:rFonts w:hint="eastAsia"/>
                <w:color w:val="auto"/>
                <w:highlight w:val="none"/>
                <w:u w:val="single"/>
              </w:rPr>
              <w:t xml:space="preserve">                </w:t>
            </w:r>
            <w:r>
              <w:rPr>
                <w:rFonts w:hint="eastAsia"/>
                <w:color w:val="auto"/>
                <w:highlight w:val="none"/>
              </w:rPr>
              <w:t>元，（小写）</w:t>
            </w:r>
          </w:p>
          <w:p w14:paraId="4A9839E8">
            <w:pPr>
              <w:spacing w:line="360" w:lineRule="exact"/>
              <w:rPr>
                <w:rFonts w:hint="eastAsia"/>
                <w:color w:val="auto"/>
                <w:highlight w:val="none"/>
              </w:rPr>
            </w:pPr>
            <w:r>
              <w:rPr>
                <w:rFonts w:hint="eastAsia"/>
                <w:color w:val="auto"/>
                <w:highlight w:val="none"/>
                <w:u w:val="single"/>
              </w:rPr>
              <w:t xml:space="preserve">          </w:t>
            </w:r>
            <w:r>
              <w:rPr>
                <w:rFonts w:hint="eastAsia"/>
                <w:color w:val="auto"/>
                <w:highlight w:val="none"/>
              </w:rPr>
              <w:t xml:space="preserve"> 元。</w:t>
            </w:r>
          </w:p>
          <w:p w14:paraId="7CD51EC9">
            <w:pPr>
              <w:spacing w:line="360" w:lineRule="exact"/>
              <w:rPr>
                <w:rFonts w:hint="eastAsia"/>
                <w:color w:val="auto"/>
                <w:highlight w:val="none"/>
                <w:u w:val="single"/>
              </w:rPr>
            </w:pPr>
          </w:p>
          <w:p w14:paraId="55716F0C">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造价工程师</w:t>
            </w:r>
            <w:r>
              <w:rPr>
                <w:rFonts w:hint="eastAsia"/>
                <w:color w:val="auto"/>
                <w:highlight w:val="none"/>
                <w:u w:val="single"/>
              </w:rPr>
              <w:t xml:space="preserve">           </w:t>
            </w:r>
          </w:p>
          <w:p w14:paraId="3575AAE0">
            <w:pPr>
              <w:spacing w:line="360" w:lineRule="exact"/>
              <w:ind w:firstLine="435"/>
              <w:jc w:val="center"/>
              <w:rPr>
                <w:rFonts w:hint="eastAsia"/>
                <w:color w:val="auto"/>
                <w:highlight w:val="none"/>
                <w:u w:val="single"/>
              </w:rPr>
            </w:pPr>
            <w:r>
              <w:rPr>
                <w:color w:val="auto"/>
                <w:highlight w:val="none"/>
              </w:rPr>
              <w:t xml:space="preserve">    </w:t>
            </w:r>
            <w:r>
              <w:rPr>
                <w:rFonts w:hint="eastAsia"/>
                <w:color w:val="auto"/>
                <w:highlight w:val="none"/>
              </w:rPr>
              <w:t xml:space="preserve">    日      期</w:t>
            </w:r>
            <w:r>
              <w:rPr>
                <w:rFonts w:hint="eastAsia"/>
                <w:color w:val="auto"/>
                <w:highlight w:val="none"/>
                <w:u w:val="single"/>
              </w:rPr>
              <w:t xml:space="preserve">           </w:t>
            </w:r>
          </w:p>
        </w:tc>
      </w:tr>
      <w:tr w14:paraId="4965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11D39812">
            <w:pPr>
              <w:spacing w:line="400" w:lineRule="exact"/>
              <w:rPr>
                <w:rFonts w:hint="eastAsia"/>
                <w:color w:val="auto"/>
                <w:highlight w:val="none"/>
              </w:rPr>
            </w:pPr>
            <w:r>
              <w:rPr>
                <w:rFonts w:hint="eastAsia"/>
                <w:color w:val="auto"/>
                <w:highlight w:val="none"/>
              </w:rPr>
              <w:t>审核意见：</w:t>
            </w:r>
          </w:p>
          <w:p w14:paraId="7A279B5E">
            <w:pPr>
              <w:spacing w:line="400" w:lineRule="exact"/>
              <w:ind w:firstLine="435"/>
              <w:rPr>
                <w:rFonts w:hint="eastAsia"/>
                <w:color w:val="auto"/>
                <w:highlight w:val="none"/>
              </w:rPr>
            </w:pPr>
            <w:r>
              <w:rPr>
                <w:rFonts w:hint="eastAsia"/>
                <w:color w:val="auto"/>
                <w:highlight w:val="none"/>
              </w:rPr>
              <w:t>□不同意。</w:t>
            </w:r>
          </w:p>
          <w:p w14:paraId="50108824">
            <w:pPr>
              <w:spacing w:line="400" w:lineRule="exact"/>
              <w:ind w:firstLine="420" w:firstLineChars="200"/>
              <w:rPr>
                <w:rFonts w:hint="eastAsia"/>
                <w:color w:val="auto"/>
                <w:highlight w:val="none"/>
              </w:rPr>
            </w:pPr>
            <w:r>
              <w:rPr>
                <w:rFonts w:hint="eastAsia"/>
                <w:color w:val="auto"/>
                <w:highlight w:val="none"/>
              </w:rPr>
              <w:t>□同意，支付时间为本表签发后的15天内。</w:t>
            </w:r>
          </w:p>
          <w:p w14:paraId="75531622">
            <w:pPr>
              <w:wordWrap w:val="0"/>
              <w:spacing w:line="400" w:lineRule="exact"/>
              <w:ind w:firstLine="420" w:firstLineChars="200"/>
              <w:jc w:val="right"/>
              <w:rPr>
                <w:rFonts w:hint="eastAsia"/>
                <w:color w:val="auto"/>
                <w:highlight w:val="none"/>
              </w:rPr>
            </w:pPr>
            <w:r>
              <w:rPr>
                <w:rFonts w:hint="eastAsia"/>
                <w:color w:val="auto"/>
                <w:highlight w:val="none"/>
              </w:rPr>
              <w:t xml:space="preserve">发包人（章）           </w:t>
            </w:r>
          </w:p>
          <w:p w14:paraId="734F6036">
            <w:pPr>
              <w:wordWrap w:val="0"/>
              <w:spacing w:line="400" w:lineRule="exact"/>
              <w:ind w:firstLine="420" w:firstLineChars="200"/>
              <w:jc w:val="right"/>
              <w:rPr>
                <w:rFonts w:hint="eastAsia"/>
                <w:color w:val="auto"/>
                <w:highlight w:val="none"/>
                <w:u w:val="single"/>
              </w:rPr>
            </w:pPr>
            <w:r>
              <w:rPr>
                <w:rFonts w:hint="eastAsia"/>
                <w:color w:val="auto"/>
                <w:highlight w:val="none"/>
              </w:rPr>
              <w:t>发包人代表</w:t>
            </w:r>
            <w:r>
              <w:rPr>
                <w:rFonts w:hint="eastAsia"/>
                <w:color w:val="auto"/>
                <w:highlight w:val="none"/>
                <w:u w:val="single"/>
              </w:rPr>
              <w:t xml:space="preserve">             </w:t>
            </w:r>
          </w:p>
          <w:p w14:paraId="4E992C5F">
            <w:pPr>
              <w:wordWrap w:val="0"/>
              <w:spacing w:line="400" w:lineRule="exact"/>
              <w:ind w:firstLine="420" w:firstLineChars="200"/>
              <w:jc w:val="right"/>
              <w:rPr>
                <w:rFonts w:hint="eastAsia"/>
                <w:color w:val="auto"/>
                <w:highlight w:val="none"/>
                <w:u w:val="single"/>
              </w:rPr>
            </w:pPr>
            <w:r>
              <w:rPr>
                <w:rFonts w:hint="eastAsia"/>
                <w:color w:val="auto"/>
                <w:highlight w:val="none"/>
              </w:rPr>
              <w:t>日      期</w:t>
            </w:r>
            <w:r>
              <w:rPr>
                <w:rFonts w:hint="eastAsia"/>
                <w:color w:val="auto"/>
                <w:highlight w:val="none"/>
                <w:u w:val="single"/>
              </w:rPr>
              <w:t xml:space="preserve">             </w:t>
            </w:r>
          </w:p>
        </w:tc>
      </w:tr>
    </w:tbl>
    <w:p w14:paraId="33D8ECFA">
      <w:pPr>
        <w:spacing w:before="120" w:beforeLines="50"/>
        <w:ind w:firstLine="360" w:firstLineChars="200"/>
        <w:rPr>
          <w:rFonts w:hint="eastAsia"/>
          <w:color w:val="auto"/>
          <w:sz w:val="18"/>
          <w:szCs w:val="18"/>
          <w:highlight w:val="none"/>
        </w:rPr>
      </w:pPr>
      <w:r>
        <w:rPr>
          <w:rFonts w:hint="eastAsia"/>
          <w:color w:val="auto"/>
          <w:sz w:val="18"/>
          <w:szCs w:val="18"/>
          <w:highlight w:val="none"/>
        </w:rPr>
        <w:t xml:space="preserve">注：1.在选择栏中的“□”内作标识“√”。 </w:t>
      </w:r>
    </w:p>
    <w:p w14:paraId="3AE8AE8A">
      <w:pPr>
        <w:spacing w:before="120" w:beforeLines="50"/>
        <w:ind w:left="720" w:hanging="720" w:hangingChars="400"/>
        <w:rPr>
          <w:rFonts w:hint="eastAsia" w:eastAsia="仿宋_GB2312"/>
          <w:color w:val="auto"/>
          <w:sz w:val="30"/>
          <w:szCs w:val="30"/>
          <w:highlight w:val="none"/>
        </w:rPr>
      </w:pPr>
      <w:r>
        <w:rPr>
          <w:rFonts w:hint="eastAsia"/>
          <w:color w:val="auto"/>
          <w:sz w:val="18"/>
          <w:szCs w:val="18"/>
          <w:highlight w:val="none"/>
        </w:rPr>
        <w:t xml:space="preserve">    </w:t>
      </w:r>
      <w:r>
        <w:rPr>
          <w:color w:val="auto"/>
          <w:sz w:val="18"/>
          <w:szCs w:val="18"/>
          <w:highlight w:val="none"/>
        </w:rPr>
        <w:t xml:space="preserve">  </w:t>
      </w:r>
      <w:r>
        <w:rPr>
          <w:rFonts w:hint="eastAsia"/>
          <w:color w:val="auto"/>
          <w:sz w:val="18"/>
          <w:szCs w:val="18"/>
          <w:highlight w:val="none"/>
        </w:rPr>
        <w:t xml:space="preserve">  2.本表一式四份，由承包人填报，发包人、监理人、造价咨询人、承包人各存一份。</w:t>
      </w:r>
    </w:p>
    <w:p w14:paraId="295CE0FC">
      <w:pPr>
        <w:spacing w:before="65" w:line="228" w:lineRule="auto"/>
        <w:ind w:left="38"/>
        <w:rPr>
          <w:rFonts w:ascii="宋体" w:hAnsi="宋体" w:eastAsia="宋体" w:cs="宋体"/>
          <w:color w:val="auto"/>
          <w:spacing w:val="4"/>
          <w:sz w:val="20"/>
          <w:szCs w:val="20"/>
          <w:highlight w:val="none"/>
        </w:rPr>
      </w:pPr>
    </w:p>
    <w:p w14:paraId="5DCED8B4">
      <w:pPr>
        <w:spacing w:line="228" w:lineRule="auto"/>
        <w:rPr>
          <w:rFonts w:ascii="宋体" w:hAnsi="宋体" w:eastAsia="宋体" w:cs="宋体"/>
          <w:color w:val="auto"/>
          <w:sz w:val="20"/>
          <w:szCs w:val="20"/>
          <w:highlight w:val="none"/>
        </w:rPr>
      </w:pPr>
    </w:p>
    <w:p w14:paraId="00E13C29">
      <w:pPr>
        <w:spacing w:line="228" w:lineRule="auto"/>
        <w:rPr>
          <w:rFonts w:ascii="宋体" w:hAnsi="宋体" w:eastAsia="宋体" w:cs="宋体"/>
          <w:color w:val="auto"/>
          <w:sz w:val="20"/>
          <w:szCs w:val="20"/>
          <w:highlight w:val="none"/>
        </w:rPr>
        <w:sectPr>
          <w:headerReference r:id="rId248" w:type="default"/>
          <w:footerReference r:id="rId249" w:type="default"/>
          <w:pgSz w:w="11906" w:h="16839"/>
          <w:pgMar w:top="1091" w:right="1785" w:bottom="1158" w:left="1785" w:header="1076" w:footer="922" w:gutter="0"/>
          <w:cols w:space="720" w:num="1"/>
        </w:sectPr>
      </w:pPr>
    </w:p>
    <w:p w14:paraId="2A59C91A">
      <w:pPr>
        <w:pStyle w:val="2"/>
        <w:spacing w:line="257" w:lineRule="auto"/>
        <w:rPr>
          <w:color w:val="auto"/>
          <w:highlight w:val="none"/>
        </w:rPr>
      </w:pPr>
    </w:p>
    <w:p w14:paraId="7CAA888D">
      <w:pPr>
        <w:pStyle w:val="2"/>
        <w:spacing w:line="257" w:lineRule="auto"/>
        <w:rPr>
          <w:color w:val="auto"/>
          <w:highlight w:val="none"/>
        </w:rPr>
      </w:pPr>
    </w:p>
    <w:p w14:paraId="66307CB8">
      <w:pPr>
        <w:spacing w:before="139" w:line="223" w:lineRule="auto"/>
        <w:ind w:left="2161"/>
        <w:outlineLvl w:val="0"/>
        <w:rPr>
          <w:rFonts w:ascii="宋体" w:hAnsi="宋体" w:eastAsia="宋体" w:cs="宋体"/>
          <w:color w:val="auto"/>
          <w:sz w:val="43"/>
          <w:szCs w:val="43"/>
          <w:highlight w:val="none"/>
        </w:rPr>
      </w:pPr>
      <w:bookmarkStart w:id="140" w:name="_Toc29065"/>
      <w:r>
        <w:rPr>
          <w:rFonts w:ascii="宋体" w:hAnsi="宋体" w:eastAsia="宋体" w:cs="宋体"/>
          <w:b/>
          <w:bCs/>
          <w:color w:val="auto"/>
          <w:spacing w:val="5"/>
          <w:sz w:val="43"/>
          <w:szCs w:val="43"/>
          <w:highlight w:val="none"/>
        </w:rPr>
        <w:t>第七章</w:t>
      </w:r>
      <w:r>
        <w:rPr>
          <w:rFonts w:ascii="宋体" w:hAnsi="宋体" w:eastAsia="宋体" w:cs="宋体"/>
          <w:color w:val="auto"/>
          <w:spacing w:val="5"/>
          <w:sz w:val="43"/>
          <w:szCs w:val="43"/>
          <w:highlight w:val="none"/>
        </w:rPr>
        <w:t xml:space="preserve">    </w:t>
      </w:r>
      <w:r>
        <w:rPr>
          <w:rFonts w:ascii="宋体" w:hAnsi="宋体" w:eastAsia="宋体" w:cs="宋体"/>
          <w:b/>
          <w:bCs/>
          <w:color w:val="auto"/>
          <w:spacing w:val="5"/>
          <w:sz w:val="43"/>
          <w:szCs w:val="43"/>
          <w:highlight w:val="none"/>
        </w:rPr>
        <w:t>工程量清单</w:t>
      </w:r>
      <w:bookmarkEnd w:id="140"/>
    </w:p>
    <w:p w14:paraId="1BCFCDC9">
      <w:pPr>
        <w:pStyle w:val="2"/>
        <w:spacing w:line="265" w:lineRule="auto"/>
        <w:rPr>
          <w:color w:val="auto"/>
          <w:highlight w:val="none"/>
        </w:rPr>
      </w:pPr>
    </w:p>
    <w:p w14:paraId="7765F327">
      <w:pPr>
        <w:pStyle w:val="2"/>
        <w:spacing w:line="265" w:lineRule="auto"/>
        <w:rPr>
          <w:color w:val="auto"/>
          <w:highlight w:val="none"/>
        </w:rPr>
      </w:pPr>
    </w:p>
    <w:p w14:paraId="0302EF9A">
      <w:pPr>
        <w:pStyle w:val="2"/>
        <w:spacing w:line="265" w:lineRule="auto"/>
        <w:rPr>
          <w:color w:val="auto"/>
          <w:highlight w:val="none"/>
        </w:rPr>
      </w:pPr>
    </w:p>
    <w:p w14:paraId="7EE092F7">
      <w:pPr>
        <w:pStyle w:val="2"/>
        <w:spacing w:line="265" w:lineRule="auto"/>
        <w:rPr>
          <w:color w:val="auto"/>
          <w:highlight w:val="none"/>
        </w:rPr>
      </w:pPr>
    </w:p>
    <w:p w14:paraId="3CFD4EDB">
      <w:pPr>
        <w:spacing w:before="100" w:line="226" w:lineRule="auto"/>
        <w:ind w:left="13"/>
        <w:outlineLvl w:val="1"/>
        <w:rPr>
          <w:rFonts w:ascii="宋体" w:hAnsi="宋体" w:eastAsia="宋体" w:cs="宋体"/>
          <w:color w:val="auto"/>
          <w:sz w:val="24"/>
          <w:szCs w:val="24"/>
          <w:highlight w:val="none"/>
        </w:rPr>
      </w:pPr>
      <w:bookmarkStart w:id="141" w:name="_Toc15804"/>
      <w:r>
        <w:rPr>
          <w:rFonts w:ascii="Cambria" w:hAnsi="Cambria" w:eastAsia="Cambria" w:cs="Cambria"/>
          <w:b/>
          <w:bCs/>
          <w:color w:val="auto"/>
          <w:spacing w:val="5"/>
          <w:sz w:val="24"/>
          <w:szCs w:val="24"/>
          <w:highlight w:val="none"/>
        </w:rPr>
        <w:t>1.</w:t>
      </w:r>
      <w:r>
        <w:rPr>
          <w:rFonts w:ascii="宋体" w:hAnsi="宋体" w:eastAsia="宋体" w:cs="宋体"/>
          <w:b/>
          <w:bCs/>
          <w:color w:val="auto"/>
          <w:spacing w:val="5"/>
          <w:sz w:val="24"/>
          <w:szCs w:val="24"/>
          <w:highlight w:val="none"/>
        </w:rPr>
        <w:t>工程量清单和施工方案（另册）</w:t>
      </w:r>
      <w:bookmarkEnd w:id="141"/>
    </w:p>
    <w:p w14:paraId="4563CC52">
      <w:pPr>
        <w:spacing w:before="241" w:line="299" w:lineRule="auto"/>
        <w:ind w:firstLine="5"/>
        <w:outlineLvl w:val="1"/>
        <w:rPr>
          <w:rFonts w:ascii="宋体" w:hAnsi="宋体" w:eastAsia="宋体" w:cs="宋体"/>
          <w:color w:val="auto"/>
          <w:sz w:val="24"/>
          <w:szCs w:val="24"/>
          <w:highlight w:val="none"/>
        </w:rPr>
      </w:pPr>
      <w:bookmarkStart w:id="142" w:name="_Toc8996"/>
      <w:r>
        <w:rPr>
          <w:rFonts w:ascii="Cambria" w:hAnsi="Cambria" w:eastAsia="Cambria" w:cs="Cambria"/>
          <w:b/>
          <w:bCs/>
          <w:color w:val="auto"/>
          <w:spacing w:val="9"/>
          <w:sz w:val="24"/>
          <w:szCs w:val="24"/>
          <w:highlight w:val="none"/>
        </w:rPr>
        <w:t>2.</w:t>
      </w:r>
      <w:r>
        <w:rPr>
          <w:rFonts w:ascii="Cambria" w:hAnsi="Cambria" w:eastAsia="Cambria" w:cs="Cambria"/>
          <w:b/>
          <w:bCs/>
          <w:color w:val="auto"/>
          <w:spacing w:val="-10"/>
          <w:sz w:val="24"/>
          <w:szCs w:val="24"/>
          <w:highlight w:val="none"/>
        </w:rPr>
        <w:t xml:space="preserve"> </w:t>
      </w:r>
      <w:r>
        <w:rPr>
          <w:rFonts w:ascii="宋体" w:hAnsi="宋体" w:eastAsia="宋体" w:cs="宋体"/>
          <w:b/>
          <w:bCs/>
          <w:color w:val="auto"/>
          <w:spacing w:val="9"/>
          <w:sz w:val="24"/>
          <w:szCs w:val="24"/>
          <w:highlight w:val="none"/>
        </w:rPr>
        <w:t>已标价工程量清单编制说明详见上传广西政府采购云平台工</w:t>
      </w:r>
      <w:r>
        <w:rPr>
          <w:rFonts w:ascii="宋体" w:hAnsi="宋体" w:eastAsia="宋体" w:cs="宋体"/>
          <w:color w:val="auto"/>
          <w:sz w:val="24"/>
          <w:szCs w:val="24"/>
          <w:highlight w:val="none"/>
        </w:rPr>
        <w:t xml:space="preserve"> </w:t>
      </w:r>
      <w:r>
        <w:rPr>
          <w:rFonts w:ascii="宋体" w:hAnsi="宋体" w:eastAsia="宋体" w:cs="宋体"/>
          <w:b/>
          <w:bCs/>
          <w:color w:val="auto"/>
          <w:spacing w:val="4"/>
          <w:sz w:val="24"/>
          <w:szCs w:val="24"/>
          <w:highlight w:val="none"/>
        </w:rPr>
        <w:t>程量清单</w:t>
      </w:r>
      <w:bookmarkEnd w:id="142"/>
    </w:p>
    <w:p w14:paraId="0AB936D1">
      <w:pPr>
        <w:spacing w:line="299" w:lineRule="auto"/>
        <w:rPr>
          <w:rFonts w:ascii="宋体" w:hAnsi="宋体" w:eastAsia="宋体" w:cs="宋体"/>
          <w:color w:val="auto"/>
          <w:sz w:val="24"/>
          <w:szCs w:val="24"/>
          <w:highlight w:val="none"/>
        </w:rPr>
        <w:sectPr>
          <w:headerReference r:id="rId250" w:type="default"/>
          <w:footerReference r:id="rId251" w:type="default"/>
          <w:pgSz w:w="11910" w:h="16840"/>
          <w:pgMar w:top="400" w:right="1501" w:bottom="1148" w:left="1691" w:header="0" w:footer="912" w:gutter="0"/>
          <w:cols w:space="720" w:num="1"/>
        </w:sectPr>
      </w:pPr>
    </w:p>
    <w:p w14:paraId="2155181D">
      <w:pPr>
        <w:pStyle w:val="2"/>
        <w:spacing w:line="242" w:lineRule="auto"/>
        <w:rPr>
          <w:color w:val="auto"/>
          <w:highlight w:val="none"/>
        </w:rPr>
      </w:pPr>
    </w:p>
    <w:p w14:paraId="242DCCFB">
      <w:pPr>
        <w:pStyle w:val="2"/>
        <w:spacing w:line="242" w:lineRule="auto"/>
        <w:rPr>
          <w:color w:val="auto"/>
          <w:highlight w:val="none"/>
        </w:rPr>
      </w:pPr>
    </w:p>
    <w:p w14:paraId="57A7E225">
      <w:pPr>
        <w:pStyle w:val="2"/>
        <w:spacing w:line="242" w:lineRule="auto"/>
        <w:rPr>
          <w:color w:val="auto"/>
          <w:highlight w:val="none"/>
        </w:rPr>
      </w:pPr>
    </w:p>
    <w:p w14:paraId="12ADA95E">
      <w:pPr>
        <w:pStyle w:val="2"/>
        <w:spacing w:line="242" w:lineRule="auto"/>
        <w:rPr>
          <w:color w:val="auto"/>
          <w:highlight w:val="none"/>
        </w:rPr>
      </w:pPr>
    </w:p>
    <w:p w14:paraId="52D3F851">
      <w:pPr>
        <w:pStyle w:val="2"/>
        <w:spacing w:line="242" w:lineRule="auto"/>
        <w:rPr>
          <w:color w:val="auto"/>
          <w:highlight w:val="none"/>
        </w:rPr>
      </w:pPr>
    </w:p>
    <w:p w14:paraId="0C3896A5">
      <w:pPr>
        <w:pStyle w:val="2"/>
        <w:spacing w:line="242" w:lineRule="auto"/>
        <w:rPr>
          <w:color w:val="auto"/>
          <w:highlight w:val="none"/>
        </w:rPr>
      </w:pPr>
    </w:p>
    <w:p w14:paraId="6B68D7D9">
      <w:pPr>
        <w:pStyle w:val="2"/>
        <w:spacing w:line="242" w:lineRule="auto"/>
        <w:rPr>
          <w:color w:val="auto"/>
          <w:highlight w:val="none"/>
        </w:rPr>
      </w:pPr>
    </w:p>
    <w:p w14:paraId="377B19CC">
      <w:pPr>
        <w:pStyle w:val="2"/>
        <w:spacing w:line="242" w:lineRule="auto"/>
        <w:rPr>
          <w:color w:val="auto"/>
          <w:highlight w:val="none"/>
        </w:rPr>
      </w:pPr>
    </w:p>
    <w:p w14:paraId="79D0E821">
      <w:pPr>
        <w:pStyle w:val="2"/>
        <w:spacing w:line="242" w:lineRule="auto"/>
        <w:rPr>
          <w:color w:val="auto"/>
          <w:highlight w:val="none"/>
        </w:rPr>
      </w:pPr>
    </w:p>
    <w:p w14:paraId="4353860B">
      <w:pPr>
        <w:pStyle w:val="2"/>
        <w:spacing w:line="242" w:lineRule="auto"/>
        <w:rPr>
          <w:color w:val="auto"/>
          <w:highlight w:val="none"/>
        </w:rPr>
      </w:pPr>
    </w:p>
    <w:p w14:paraId="378928C1">
      <w:pPr>
        <w:pStyle w:val="2"/>
        <w:spacing w:line="242" w:lineRule="auto"/>
        <w:rPr>
          <w:color w:val="auto"/>
          <w:highlight w:val="none"/>
        </w:rPr>
      </w:pPr>
    </w:p>
    <w:p w14:paraId="111AF14E">
      <w:pPr>
        <w:pStyle w:val="2"/>
        <w:spacing w:line="242" w:lineRule="auto"/>
        <w:rPr>
          <w:color w:val="auto"/>
          <w:highlight w:val="none"/>
        </w:rPr>
      </w:pPr>
    </w:p>
    <w:p w14:paraId="46BF938C">
      <w:pPr>
        <w:spacing w:before="140" w:line="223" w:lineRule="auto"/>
        <w:ind w:left="2065"/>
        <w:outlineLvl w:val="0"/>
        <w:rPr>
          <w:rFonts w:ascii="宋体" w:hAnsi="宋体" w:eastAsia="宋体" w:cs="宋体"/>
          <w:color w:val="auto"/>
          <w:sz w:val="43"/>
          <w:szCs w:val="43"/>
          <w:highlight w:val="none"/>
        </w:rPr>
      </w:pPr>
      <w:bookmarkStart w:id="143" w:name="_Toc28120"/>
      <w:r>
        <w:rPr>
          <w:rFonts w:ascii="宋体" w:hAnsi="宋体" w:eastAsia="宋体" w:cs="宋体"/>
          <w:b/>
          <w:bCs/>
          <w:color w:val="auto"/>
          <w:spacing w:val="-4"/>
          <w:sz w:val="43"/>
          <w:szCs w:val="43"/>
          <w:highlight w:val="none"/>
        </w:rPr>
        <w:t>第八章</w:t>
      </w:r>
      <w:r>
        <w:rPr>
          <w:rFonts w:ascii="宋体" w:hAnsi="宋体" w:eastAsia="宋体" w:cs="宋体"/>
          <w:color w:val="auto"/>
          <w:spacing w:val="39"/>
          <w:sz w:val="43"/>
          <w:szCs w:val="43"/>
          <w:highlight w:val="none"/>
        </w:rPr>
        <w:t xml:space="preserve">  </w:t>
      </w:r>
      <w:r>
        <w:rPr>
          <w:rFonts w:ascii="宋体" w:hAnsi="宋体" w:eastAsia="宋体" w:cs="宋体"/>
          <w:b/>
          <w:bCs/>
          <w:color w:val="auto"/>
          <w:spacing w:val="-4"/>
          <w:sz w:val="43"/>
          <w:szCs w:val="43"/>
          <w:highlight w:val="none"/>
        </w:rPr>
        <w:t>图纸（另册）</w:t>
      </w:r>
      <w:bookmarkEnd w:id="143"/>
    </w:p>
    <w:p w14:paraId="746922AE">
      <w:pPr>
        <w:pStyle w:val="2"/>
        <w:spacing w:line="264" w:lineRule="auto"/>
        <w:rPr>
          <w:color w:val="auto"/>
          <w:highlight w:val="none"/>
        </w:rPr>
      </w:pPr>
    </w:p>
    <w:p w14:paraId="54B60EFC">
      <w:pPr>
        <w:pStyle w:val="2"/>
        <w:spacing w:line="265" w:lineRule="auto"/>
        <w:rPr>
          <w:color w:val="auto"/>
          <w:highlight w:val="none"/>
        </w:rPr>
      </w:pPr>
    </w:p>
    <w:p w14:paraId="3CD1B922">
      <w:pPr>
        <w:pStyle w:val="2"/>
        <w:spacing w:line="265" w:lineRule="auto"/>
        <w:rPr>
          <w:color w:val="auto"/>
          <w:highlight w:val="none"/>
        </w:rPr>
      </w:pPr>
    </w:p>
    <w:p w14:paraId="59444FB3">
      <w:pPr>
        <w:pStyle w:val="2"/>
        <w:spacing w:line="265" w:lineRule="auto"/>
        <w:rPr>
          <w:color w:val="auto"/>
          <w:highlight w:val="none"/>
        </w:rPr>
      </w:pPr>
    </w:p>
    <w:p w14:paraId="0CE2C78F">
      <w:pPr>
        <w:spacing w:before="101" w:line="225" w:lineRule="auto"/>
        <w:ind w:left="1510"/>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详见上传广西政府采购云平台图纸</w:t>
      </w:r>
    </w:p>
    <w:p w14:paraId="4716F196">
      <w:pPr>
        <w:spacing w:line="225" w:lineRule="auto"/>
        <w:rPr>
          <w:rFonts w:ascii="宋体" w:hAnsi="宋体" w:eastAsia="宋体" w:cs="宋体"/>
          <w:color w:val="auto"/>
          <w:sz w:val="24"/>
          <w:szCs w:val="24"/>
          <w:highlight w:val="none"/>
        </w:rPr>
        <w:sectPr>
          <w:footerReference r:id="rId252" w:type="default"/>
          <w:pgSz w:w="11910" w:h="16840"/>
          <w:pgMar w:top="400" w:right="1786" w:bottom="1148" w:left="1786" w:header="0" w:footer="912" w:gutter="0"/>
          <w:cols w:space="720" w:num="1"/>
        </w:sectPr>
      </w:pPr>
    </w:p>
    <w:p w14:paraId="14A15917">
      <w:pPr>
        <w:pStyle w:val="2"/>
        <w:spacing w:line="256" w:lineRule="auto"/>
        <w:rPr>
          <w:color w:val="auto"/>
          <w:highlight w:val="none"/>
        </w:rPr>
      </w:pPr>
    </w:p>
    <w:p w14:paraId="50D84A1A">
      <w:pPr>
        <w:pStyle w:val="2"/>
        <w:spacing w:line="256" w:lineRule="auto"/>
        <w:rPr>
          <w:color w:val="auto"/>
          <w:highlight w:val="none"/>
        </w:rPr>
      </w:pPr>
    </w:p>
    <w:p w14:paraId="3AF70D66">
      <w:pPr>
        <w:pStyle w:val="2"/>
        <w:spacing w:line="256" w:lineRule="auto"/>
        <w:rPr>
          <w:color w:val="auto"/>
          <w:highlight w:val="none"/>
        </w:rPr>
      </w:pPr>
    </w:p>
    <w:p w14:paraId="33F839C5">
      <w:pPr>
        <w:pStyle w:val="2"/>
        <w:spacing w:line="256" w:lineRule="auto"/>
        <w:rPr>
          <w:color w:val="auto"/>
          <w:highlight w:val="none"/>
        </w:rPr>
      </w:pPr>
    </w:p>
    <w:p w14:paraId="7898F700">
      <w:pPr>
        <w:pStyle w:val="2"/>
        <w:spacing w:line="257" w:lineRule="auto"/>
        <w:rPr>
          <w:color w:val="auto"/>
          <w:highlight w:val="none"/>
        </w:rPr>
      </w:pPr>
    </w:p>
    <w:p w14:paraId="1ADD2D90">
      <w:pPr>
        <w:pStyle w:val="2"/>
        <w:spacing w:line="257" w:lineRule="auto"/>
        <w:rPr>
          <w:color w:val="auto"/>
          <w:highlight w:val="none"/>
        </w:rPr>
      </w:pPr>
    </w:p>
    <w:p w14:paraId="34A0E4D3">
      <w:pPr>
        <w:pStyle w:val="2"/>
        <w:spacing w:line="257" w:lineRule="auto"/>
        <w:rPr>
          <w:color w:val="auto"/>
          <w:highlight w:val="none"/>
        </w:rPr>
      </w:pPr>
    </w:p>
    <w:p w14:paraId="4795A014">
      <w:pPr>
        <w:spacing w:before="139" w:line="223" w:lineRule="auto"/>
        <w:ind w:left="1513"/>
        <w:outlineLvl w:val="0"/>
        <w:rPr>
          <w:rFonts w:ascii="宋体" w:hAnsi="宋体" w:eastAsia="宋体" w:cs="宋体"/>
          <w:color w:val="auto"/>
          <w:sz w:val="43"/>
          <w:szCs w:val="43"/>
          <w:highlight w:val="none"/>
        </w:rPr>
      </w:pPr>
      <w:bookmarkStart w:id="144" w:name="_Toc21033"/>
      <w:r>
        <w:rPr>
          <w:rFonts w:ascii="宋体" w:hAnsi="宋体" w:eastAsia="宋体" w:cs="宋体"/>
          <w:b/>
          <w:bCs/>
          <w:color w:val="auto"/>
          <w:spacing w:val="5"/>
          <w:sz w:val="43"/>
          <w:szCs w:val="43"/>
          <w:highlight w:val="none"/>
        </w:rPr>
        <w:t>第九章</w:t>
      </w:r>
      <w:r>
        <w:rPr>
          <w:rFonts w:ascii="宋体" w:hAnsi="宋体" w:eastAsia="宋体" w:cs="宋体"/>
          <w:color w:val="auto"/>
          <w:spacing w:val="5"/>
          <w:sz w:val="43"/>
          <w:szCs w:val="43"/>
          <w:highlight w:val="none"/>
        </w:rPr>
        <w:t xml:space="preserve"> </w:t>
      </w:r>
      <w:r>
        <w:rPr>
          <w:rFonts w:ascii="宋体" w:hAnsi="宋体" w:eastAsia="宋体" w:cs="宋体"/>
          <w:b/>
          <w:bCs/>
          <w:color w:val="auto"/>
          <w:spacing w:val="5"/>
          <w:sz w:val="43"/>
          <w:szCs w:val="43"/>
          <w:highlight w:val="none"/>
        </w:rPr>
        <w:t>质疑、投诉材料格式</w:t>
      </w:r>
      <w:bookmarkEnd w:id="144"/>
    </w:p>
    <w:p w14:paraId="46D61232">
      <w:pPr>
        <w:pStyle w:val="2"/>
        <w:spacing w:line="265" w:lineRule="auto"/>
        <w:rPr>
          <w:color w:val="auto"/>
          <w:highlight w:val="none"/>
        </w:rPr>
      </w:pPr>
    </w:p>
    <w:p w14:paraId="289995E5">
      <w:pPr>
        <w:pStyle w:val="2"/>
        <w:spacing w:line="265" w:lineRule="auto"/>
        <w:rPr>
          <w:color w:val="auto"/>
          <w:highlight w:val="none"/>
        </w:rPr>
      </w:pPr>
    </w:p>
    <w:p w14:paraId="383A7FC9">
      <w:pPr>
        <w:pStyle w:val="2"/>
        <w:spacing w:line="265" w:lineRule="auto"/>
        <w:rPr>
          <w:color w:val="auto"/>
          <w:highlight w:val="none"/>
        </w:rPr>
      </w:pPr>
    </w:p>
    <w:p w14:paraId="4577BD98">
      <w:pPr>
        <w:pStyle w:val="2"/>
        <w:spacing w:line="265" w:lineRule="auto"/>
        <w:rPr>
          <w:color w:val="auto"/>
          <w:highlight w:val="none"/>
        </w:rPr>
      </w:pPr>
    </w:p>
    <w:p w14:paraId="4F80B7E6">
      <w:pPr>
        <w:spacing w:before="101" w:line="225" w:lineRule="auto"/>
        <w:ind w:left="3147"/>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质疑函（格式）</w:t>
      </w:r>
    </w:p>
    <w:p w14:paraId="24B09C94">
      <w:pPr>
        <w:spacing w:before="232" w:line="219" w:lineRule="auto"/>
        <w:ind w:left="386"/>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一、质疑供应商基本信息：</w:t>
      </w:r>
    </w:p>
    <w:p w14:paraId="321F8609">
      <w:pPr>
        <w:spacing w:before="180" w:line="219" w:lineRule="auto"/>
        <w:ind w:left="383"/>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质疑供应商：</w:t>
      </w:r>
      <w:r>
        <w:rPr>
          <w:rFonts w:ascii="宋体" w:hAnsi="宋体" w:eastAsia="宋体" w:cs="宋体"/>
          <w:color w:val="auto"/>
          <w:sz w:val="20"/>
          <w:szCs w:val="20"/>
          <w:highlight w:val="none"/>
          <w:u w:val="single" w:color="auto"/>
        </w:rPr>
        <w:t xml:space="preserve">                                       </w:t>
      </w:r>
    </w:p>
    <w:p w14:paraId="23173F27">
      <w:pPr>
        <w:spacing w:before="183" w:line="220" w:lineRule="auto"/>
        <w:ind w:left="38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地址：</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7"/>
          <w:sz w:val="20"/>
          <w:szCs w:val="20"/>
          <w:highlight w:val="none"/>
        </w:rPr>
        <w:t>邮编：</w:t>
      </w:r>
      <w:r>
        <w:rPr>
          <w:rFonts w:ascii="宋体" w:hAnsi="宋体" w:eastAsia="宋体" w:cs="宋体"/>
          <w:color w:val="auto"/>
          <w:sz w:val="20"/>
          <w:szCs w:val="20"/>
          <w:highlight w:val="none"/>
          <w:u w:val="single" w:color="auto"/>
        </w:rPr>
        <w:t xml:space="preserve">                  </w:t>
      </w:r>
    </w:p>
    <w:p w14:paraId="70F578FD">
      <w:pPr>
        <w:spacing w:before="180" w:line="222" w:lineRule="auto"/>
        <w:ind w:left="38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联系人：</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2"/>
          <w:sz w:val="20"/>
          <w:szCs w:val="20"/>
          <w:highlight w:val="none"/>
        </w:rPr>
        <w:t xml:space="preserve"> </w:t>
      </w:r>
      <w:r>
        <w:rPr>
          <w:rFonts w:ascii="宋体" w:hAnsi="宋体" w:eastAsia="宋体" w:cs="宋体"/>
          <w:color w:val="auto"/>
          <w:spacing w:val="-1"/>
          <w:sz w:val="20"/>
          <w:szCs w:val="20"/>
          <w:highlight w:val="none"/>
        </w:rPr>
        <w:t>联系电话：</w:t>
      </w:r>
      <w:r>
        <w:rPr>
          <w:rFonts w:ascii="宋体" w:hAnsi="宋体" w:eastAsia="宋体" w:cs="宋体"/>
          <w:color w:val="auto"/>
          <w:sz w:val="20"/>
          <w:szCs w:val="20"/>
          <w:highlight w:val="none"/>
          <w:u w:val="single" w:color="auto"/>
        </w:rPr>
        <w:t xml:space="preserve">                 </w:t>
      </w:r>
    </w:p>
    <w:p w14:paraId="4320CF31">
      <w:pPr>
        <w:spacing w:before="179" w:line="220" w:lineRule="auto"/>
        <w:ind w:left="381"/>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授权代表：</w:t>
      </w:r>
      <w:r>
        <w:rPr>
          <w:rFonts w:ascii="宋体" w:hAnsi="宋体" w:eastAsia="宋体" w:cs="宋体"/>
          <w:color w:val="auto"/>
          <w:sz w:val="20"/>
          <w:szCs w:val="20"/>
          <w:highlight w:val="none"/>
          <w:u w:val="single" w:color="auto"/>
        </w:rPr>
        <w:t xml:space="preserve">                      </w:t>
      </w:r>
    </w:p>
    <w:p w14:paraId="78DF2C77">
      <w:pPr>
        <w:spacing w:before="180" w:line="222" w:lineRule="auto"/>
        <w:ind w:left="38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联系电话：</w:t>
      </w:r>
      <w:r>
        <w:rPr>
          <w:rFonts w:ascii="宋体" w:hAnsi="宋体" w:eastAsia="宋体" w:cs="宋体"/>
          <w:color w:val="auto"/>
          <w:sz w:val="20"/>
          <w:szCs w:val="20"/>
          <w:highlight w:val="none"/>
          <w:u w:val="single" w:color="auto"/>
        </w:rPr>
        <w:t xml:space="preserve">                      </w:t>
      </w:r>
    </w:p>
    <w:p w14:paraId="5DFB2701">
      <w:pPr>
        <w:spacing w:before="179" w:line="220" w:lineRule="auto"/>
        <w:ind w:left="38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地址：</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89"/>
          <w:sz w:val="20"/>
          <w:szCs w:val="20"/>
          <w:highlight w:val="none"/>
        </w:rPr>
        <w:t xml:space="preserve"> </w:t>
      </w:r>
      <w:r>
        <w:rPr>
          <w:rFonts w:ascii="宋体" w:hAnsi="宋体" w:eastAsia="宋体" w:cs="宋体"/>
          <w:color w:val="auto"/>
          <w:spacing w:val="-7"/>
          <w:sz w:val="20"/>
          <w:szCs w:val="20"/>
          <w:highlight w:val="none"/>
        </w:rPr>
        <w:t>邮编：</w:t>
      </w:r>
      <w:r>
        <w:rPr>
          <w:rFonts w:ascii="宋体" w:hAnsi="宋体" w:eastAsia="宋体" w:cs="宋体"/>
          <w:color w:val="auto"/>
          <w:sz w:val="20"/>
          <w:szCs w:val="20"/>
          <w:highlight w:val="none"/>
          <w:u w:val="single" w:color="auto"/>
        </w:rPr>
        <w:t xml:space="preserve">                   </w:t>
      </w:r>
    </w:p>
    <w:p w14:paraId="2C36ED17">
      <w:pPr>
        <w:spacing w:before="180" w:line="219" w:lineRule="auto"/>
        <w:ind w:left="386"/>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二、质疑项目基本情况：</w:t>
      </w:r>
    </w:p>
    <w:p w14:paraId="12965885">
      <w:pPr>
        <w:spacing w:before="182" w:line="221" w:lineRule="auto"/>
        <w:ind w:left="40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质疑项目的名称：</w:t>
      </w:r>
      <w:r>
        <w:rPr>
          <w:rFonts w:ascii="宋体" w:hAnsi="宋体" w:eastAsia="宋体" w:cs="宋体"/>
          <w:color w:val="auto"/>
          <w:sz w:val="20"/>
          <w:szCs w:val="20"/>
          <w:highlight w:val="none"/>
          <w:u w:val="single" w:color="auto"/>
        </w:rPr>
        <w:t xml:space="preserve">                                               </w:t>
      </w:r>
    </w:p>
    <w:p w14:paraId="0CEA6272">
      <w:pPr>
        <w:spacing w:before="179" w:line="220" w:lineRule="auto"/>
        <w:ind w:left="400"/>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质疑项目的编号：</w:t>
      </w:r>
      <w:r>
        <w:rPr>
          <w:rFonts w:ascii="宋体" w:hAnsi="宋体" w:eastAsia="宋体" w:cs="宋体"/>
          <w:color w:val="auto"/>
          <w:sz w:val="20"/>
          <w:szCs w:val="20"/>
          <w:highlight w:val="none"/>
          <w:u w:val="single" w:color="auto"/>
        </w:rPr>
        <w:t xml:space="preserve">                </w:t>
      </w:r>
    </w:p>
    <w:p w14:paraId="549FF508">
      <w:pPr>
        <w:spacing w:before="182" w:line="219" w:lineRule="auto"/>
        <w:ind w:left="39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采购人名称：</w:t>
      </w:r>
      <w:r>
        <w:rPr>
          <w:rFonts w:ascii="宋体" w:hAnsi="宋体" w:eastAsia="宋体" w:cs="宋体"/>
          <w:color w:val="auto"/>
          <w:sz w:val="20"/>
          <w:szCs w:val="20"/>
          <w:highlight w:val="none"/>
          <w:u w:val="single" w:color="auto"/>
        </w:rPr>
        <w:t xml:space="preserve">                </w:t>
      </w:r>
    </w:p>
    <w:p w14:paraId="08A8AA17">
      <w:pPr>
        <w:spacing w:before="183" w:line="221" w:lineRule="auto"/>
        <w:ind w:left="400"/>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质疑事项：</w:t>
      </w:r>
    </w:p>
    <w:p w14:paraId="104001E9">
      <w:pPr>
        <w:spacing w:before="179" w:line="219" w:lineRule="auto"/>
        <w:ind w:left="304"/>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□采购文件   采购文件获取日期：</w:t>
      </w:r>
      <w:r>
        <w:rPr>
          <w:rFonts w:ascii="宋体" w:hAnsi="宋体" w:eastAsia="宋体" w:cs="宋体"/>
          <w:color w:val="auto"/>
          <w:spacing w:val="-3"/>
          <w:sz w:val="20"/>
          <w:szCs w:val="20"/>
          <w:highlight w:val="none"/>
          <w:u w:val="single" w:color="auto"/>
        </w:rPr>
        <w:t xml:space="preserve">                                    </w:t>
      </w:r>
    </w:p>
    <w:p w14:paraId="15FC325C">
      <w:pPr>
        <w:spacing w:before="183" w:line="219" w:lineRule="auto"/>
        <w:ind w:left="30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□采购过程</w:t>
      </w:r>
    </w:p>
    <w:p w14:paraId="09008CA7">
      <w:pPr>
        <w:spacing w:before="180" w:line="221" w:lineRule="auto"/>
        <w:ind w:left="304"/>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□成交结果</w:t>
      </w:r>
    </w:p>
    <w:p w14:paraId="38DB86F5">
      <w:pPr>
        <w:spacing w:before="179" w:line="220" w:lineRule="auto"/>
        <w:ind w:left="397"/>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三、质疑事项具体内容</w:t>
      </w:r>
    </w:p>
    <w:p w14:paraId="7737B6C2">
      <w:pPr>
        <w:spacing w:before="182" w:line="221" w:lineRule="auto"/>
        <w:ind w:left="400"/>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质疑事项</w:t>
      </w:r>
      <w:r>
        <w:rPr>
          <w:rFonts w:ascii="宋体" w:hAnsi="宋体" w:eastAsia="宋体" w:cs="宋体"/>
          <w:color w:val="auto"/>
          <w:spacing w:val="-33"/>
          <w:sz w:val="20"/>
          <w:szCs w:val="20"/>
          <w:highlight w:val="none"/>
        </w:rPr>
        <w:t xml:space="preserve"> </w:t>
      </w:r>
      <w:r>
        <w:rPr>
          <w:rFonts w:ascii="宋体" w:hAnsi="宋体" w:eastAsia="宋体" w:cs="宋体"/>
          <w:color w:val="auto"/>
          <w:spacing w:val="-4"/>
          <w:sz w:val="20"/>
          <w:szCs w:val="20"/>
          <w:highlight w:val="none"/>
        </w:rPr>
        <w:t>1：</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5"/>
          <w:sz w:val="20"/>
          <w:szCs w:val="20"/>
          <w:highlight w:val="none"/>
          <w:u w:val="single" w:color="auto"/>
        </w:rPr>
        <w:t xml:space="preserve">        </w:t>
      </w:r>
    </w:p>
    <w:p w14:paraId="5B4A4F13">
      <w:pPr>
        <w:spacing w:before="181" w:line="219" w:lineRule="auto"/>
        <w:ind w:left="399"/>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事实依据：</w:t>
      </w:r>
      <w:r>
        <w:rPr>
          <w:rFonts w:ascii="宋体" w:hAnsi="宋体" w:eastAsia="宋体" w:cs="宋体"/>
          <w:color w:val="auto"/>
          <w:sz w:val="20"/>
          <w:szCs w:val="20"/>
          <w:highlight w:val="none"/>
          <w:u w:val="single" w:color="auto"/>
        </w:rPr>
        <w:t xml:space="preserve">                                                           </w:t>
      </w:r>
    </w:p>
    <w:p w14:paraId="6EF698DE">
      <w:pPr>
        <w:spacing w:before="181" w:line="359" w:lineRule="auto"/>
        <w:ind w:left="40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法律依据：</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3"/>
          <w:sz w:val="20"/>
          <w:szCs w:val="20"/>
          <w:highlight w:val="none"/>
        </w:rPr>
        <w:t xml:space="preserve"> </w:t>
      </w:r>
      <w:r>
        <w:rPr>
          <w:rFonts w:ascii="宋体" w:hAnsi="宋体" w:eastAsia="宋体" w:cs="宋体"/>
          <w:color w:val="auto"/>
          <w:spacing w:val="-3"/>
          <w:sz w:val="20"/>
          <w:szCs w:val="20"/>
          <w:highlight w:val="none"/>
        </w:rPr>
        <w:t>质疑事项</w:t>
      </w:r>
      <w:r>
        <w:rPr>
          <w:rFonts w:ascii="宋体" w:hAnsi="宋体" w:eastAsia="宋体" w:cs="宋体"/>
          <w:color w:val="auto"/>
          <w:spacing w:val="-45"/>
          <w:sz w:val="20"/>
          <w:szCs w:val="20"/>
          <w:highlight w:val="none"/>
        </w:rPr>
        <w:t xml:space="preserve"> </w:t>
      </w:r>
      <w:r>
        <w:rPr>
          <w:rFonts w:ascii="宋体" w:hAnsi="宋体" w:eastAsia="宋体" w:cs="宋体"/>
          <w:color w:val="auto"/>
          <w:spacing w:val="-3"/>
          <w:sz w:val="20"/>
          <w:szCs w:val="20"/>
          <w:highlight w:val="none"/>
        </w:rPr>
        <w:t>2</w:t>
      </w:r>
    </w:p>
    <w:p w14:paraId="27C86D06">
      <w:pPr>
        <w:spacing w:line="379" w:lineRule="exact"/>
        <w:ind w:left="414"/>
        <w:rPr>
          <w:rFonts w:ascii="宋体" w:hAnsi="宋体" w:eastAsia="宋体" w:cs="宋体"/>
          <w:color w:val="auto"/>
          <w:sz w:val="20"/>
          <w:szCs w:val="20"/>
          <w:highlight w:val="none"/>
        </w:rPr>
      </w:pPr>
      <w:r>
        <w:rPr>
          <w:rFonts w:ascii="宋体" w:hAnsi="宋体" w:eastAsia="宋体" w:cs="宋体"/>
          <w:color w:val="auto"/>
          <w:spacing w:val="-13"/>
          <w:position w:val="3"/>
          <w:sz w:val="20"/>
          <w:szCs w:val="20"/>
          <w:highlight w:val="none"/>
        </w:rPr>
        <w:t>……</w:t>
      </w:r>
    </w:p>
    <w:p w14:paraId="595F03BE">
      <w:pPr>
        <w:spacing w:before="89" w:line="221" w:lineRule="auto"/>
        <w:ind w:left="42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四、与质疑事项相关的质疑请求：</w:t>
      </w:r>
    </w:p>
    <w:p w14:paraId="049A4754">
      <w:pPr>
        <w:spacing w:before="180" w:line="221" w:lineRule="auto"/>
        <w:ind w:left="397"/>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请求：</w:t>
      </w:r>
      <w:r>
        <w:rPr>
          <w:rFonts w:ascii="宋体" w:hAnsi="宋体" w:eastAsia="宋体" w:cs="宋体"/>
          <w:color w:val="auto"/>
          <w:sz w:val="20"/>
          <w:szCs w:val="20"/>
          <w:highlight w:val="none"/>
          <w:u w:val="single" w:color="auto"/>
        </w:rPr>
        <w:t xml:space="preserve">                                                               </w:t>
      </w:r>
    </w:p>
    <w:p w14:paraId="45AD879D">
      <w:pPr>
        <w:spacing w:before="179" w:line="219" w:lineRule="auto"/>
        <w:ind w:left="399"/>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签字（签章</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公章：</w:t>
      </w:r>
    </w:p>
    <w:p w14:paraId="74694A8B">
      <w:pPr>
        <w:pStyle w:val="2"/>
        <w:spacing w:line="297" w:lineRule="auto"/>
        <w:rPr>
          <w:color w:val="auto"/>
          <w:sz w:val="20"/>
          <w:szCs w:val="20"/>
          <w:highlight w:val="none"/>
        </w:rPr>
      </w:pPr>
    </w:p>
    <w:p w14:paraId="6E59BC30">
      <w:pPr>
        <w:pStyle w:val="2"/>
        <w:spacing w:line="298" w:lineRule="auto"/>
        <w:rPr>
          <w:rFonts w:hint="eastAsia" w:eastAsia="宋体"/>
          <w:color w:val="auto"/>
          <w:sz w:val="20"/>
          <w:szCs w:val="20"/>
          <w:highlight w:val="none"/>
          <w:lang w:eastAsia="zh-CN"/>
        </w:rPr>
      </w:pPr>
    </w:p>
    <w:p w14:paraId="5EF7F86D">
      <w:pPr>
        <w:spacing w:before="78" w:line="221" w:lineRule="auto"/>
        <w:ind w:left="535"/>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日期：</w:t>
      </w:r>
    </w:p>
    <w:p w14:paraId="459EC8B9">
      <w:pPr>
        <w:pStyle w:val="2"/>
        <w:spacing w:line="281" w:lineRule="auto"/>
        <w:rPr>
          <w:color w:val="auto"/>
          <w:sz w:val="20"/>
          <w:szCs w:val="20"/>
          <w:highlight w:val="none"/>
        </w:rPr>
      </w:pPr>
    </w:p>
    <w:p w14:paraId="704AD0D0">
      <w:pPr>
        <w:pStyle w:val="2"/>
        <w:spacing w:line="281" w:lineRule="auto"/>
        <w:rPr>
          <w:color w:val="auto"/>
          <w:sz w:val="20"/>
          <w:szCs w:val="20"/>
          <w:highlight w:val="none"/>
        </w:rPr>
      </w:pPr>
    </w:p>
    <w:p w14:paraId="1AB01B19">
      <w:pPr>
        <w:spacing w:before="78" w:line="220" w:lineRule="auto"/>
        <w:rPr>
          <w:rFonts w:ascii="宋体" w:hAnsi="宋体" w:eastAsia="宋体" w:cs="宋体"/>
          <w:b/>
          <w:bCs/>
          <w:color w:val="auto"/>
          <w:spacing w:val="-7"/>
          <w:sz w:val="20"/>
          <w:szCs w:val="20"/>
          <w:highlight w:val="none"/>
        </w:rPr>
      </w:pPr>
    </w:p>
    <w:p w14:paraId="69D3D1C1">
      <w:pPr>
        <w:spacing w:before="78" w:line="220" w:lineRule="auto"/>
        <w:rPr>
          <w:rFonts w:ascii="宋体" w:hAnsi="宋体" w:eastAsia="宋体" w:cs="宋体"/>
          <w:b/>
          <w:bCs/>
          <w:color w:val="auto"/>
          <w:spacing w:val="-7"/>
          <w:sz w:val="20"/>
          <w:szCs w:val="20"/>
          <w:highlight w:val="none"/>
        </w:rPr>
      </w:pPr>
    </w:p>
    <w:p w14:paraId="3338C750">
      <w:pPr>
        <w:spacing w:before="78" w:line="220" w:lineRule="auto"/>
        <w:rPr>
          <w:rFonts w:ascii="宋体" w:hAnsi="宋体" w:eastAsia="宋体" w:cs="宋体"/>
          <w:b/>
          <w:bCs/>
          <w:color w:val="auto"/>
          <w:spacing w:val="-7"/>
          <w:sz w:val="20"/>
          <w:szCs w:val="20"/>
          <w:highlight w:val="none"/>
        </w:rPr>
      </w:pPr>
    </w:p>
    <w:p w14:paraId="3824E85B">
      <w:pPr>
        <w:spacing w:before="78" w:line="220" w:lineRule="auto"/>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说明：</w:t>
      </w:r>
    </w:p>
    <w:p w14:paraId="3960F836">
      <w:pPr>
        <w:spacing w:before="182" w:line="219" w:lineRule="auto"/>
        <w:ind w:left="391"/>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1.供应商提出质疑时，应提交质疑函和必要的证明材料。</w:t>
      </w:r>
    </w:p>
    <w:p w14:paraId="4F03819C">
      <w:pPr>
        <w:spacing w:before="181" w:line="313" w:lineRule="auto"/>
        <w:ind w:left="23" w:firstLine="353"/>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2.质疑供应商若委托代理人进行质疑的，质疑函应按要求列明“授权代</w:t>
      </w:r>
      <w:r>
        <w:rPr>
          <w:rFonts w:ascii="宋体" w:hAnsi="宋体" w:eastAsia="宋体" w:cs="宋体"/>
          <w:b/>
          <w:bCs/>
          <w:color w:val="auto"/>
          <w:spacing w:val="-6"/>
          <w:sz w:val="20"/>
          <w:szCs w:val="20"/>
          <w:highlight w:val="none"/>
        </w:rPr>
        <w:t>表</w:t>
      </w:r>
      <w:r>
        <w:rPr>
          <w:rFonts w:ascii="宋体" w:hAnsi="宋体" w:eastAsia="宋体" w:cs="宋体"/>
          <w:color w:val="auto"/>
          <w:spacing w:val="-88"/>
          <w:sz w:val="20"/>
          <w:szCs w:val="20"/>
          <w:highlight w:val="none"/>
        </w:rPr>
        <w:t xml:space="preserve"> </w:t>
      </w:r>
      <w:r>
        <w:rPr>
          <w:rFonts w:ascii="宋体" w:hAnsi="宋体" w:eastAsia="宋体" w:cs="宋体"/>
          <w:b/>
          <w:bCs/>
          <w:color w:val="auto"/>
          <w:spacing w:val="-6"/>
          <w:sz w:val="20"/>
          <w:szCs w:val="20"/>
          <w:highlight w:val="none"/>
        </w:rPr>
        <w:t>”的有</w:t>
      </w:r>
      <w:r>
        <w:rPr>
          <w:rFonts w:ascii="宋体" w:hAnsi="宋体" w:eastAsia="宋体" w:cs="宋体"/>
          <w:color w:val="auto"/>
          <w:sz w:val="20"/>
          <w:szCs w:val="20"/>
          <w:highlight w:val="none"/>
        </w:rPr>
        <w:t xml:space="preserve"> </w:t>
      </w:r>
      <w:r>
        <w:rPr>
          <w:rFonts w:ascii="宋体" w:hAnsi="宋体" w:eastAsia="宋体" w:cs="宋体"/>
          <w:b/>
          <w:bCs/>
          <w:color w:val="auto"/>
          <w:spacing w:val="-1"/>
          <w:sz w:val="20"/>
          <w:szCs w:val="20"/>
          <w:highlight w:val="none"/>
        </w:rPr>
        <w:t>关内容，并在附件中提交由质疑供应商签署的授权委托书。授权委托书应载</w:t>
      </w:r>
      <w:r>
        <w:rPr>
          <w:rFonts w:ascii="宋体" w:hAnsi="宋体" w:eastAsia="宋体" w:cs="宋体"/>
          <w:b/>
          <w:bCs/>
          <w:color w:val="auto"/>
          <w:spacing w:val="-2"/>
          <w:sz w:val="20"/>
          <w:szCs w:val="20"/>
          <w:highlight w:val="none"/>
        </w:rPr>
        <w:t>明代理</w:t>
      </w:r>
      <w:r>
        <w:rPr>
          <w:rFonts w:ascii="宋体" w:hAnsi="宋体" w:eastAsia="宋体" w:cs="宋体"/>
          <w:color w:val="auto"/>
          <w:sz w:val="20"/>
          <w:szCs w:val="20"/>
          <w:highlight w:val="none"/>
        </w:rPr>
        <w:t xml:space="preserve"> </w:t>
      </w:r>
      <w:r>
        <w:rPr>
          <w:rFonts w:ascii="宋体" w:hAnsi="宋体" w:eastAsia="宋体" w:cs="宋体"/>
          <w:b/>
          <w:bCs/>
          <w:color w:val="auto"/>
          <w:spacing w:val="-2"/>
          <w:sz w:val="20"/>
          <w:szCs w:val="20"/>
          <w:highlight w:val="none"/>
        </w:rPr>
        <w:t>人的姓名或者名称、代理事项、具体权限、期限和相关</w:t>
      </w:r>
      <w:r>
        <w:rPr>
          <w:rFonts w:ascii="宋体" w:hAnsi="宋体" w:eastAsia="宋体" w:cs="宋体"/>
          <w:b/>
          <w:bCs/>
          <w:color w:val="auto"/>
          <w:spacing w:val="-3"/>
          <w:sz w:val="20"/>
          <w:szCs w:val="20"/>
          <w:highlight w:val="none"/>
        </w:rPr>
        <w:t>事项。</w:t>
      </w:r>
    </w:p>
    <w:p w14:paraId="26AFF020">
      <w:pPr>
        <w:spacing w:before="180" w:line="219" w:lineRule="auto"/>
        <w:ind w:left="378"/>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3.质疑函的质疑事项应具体、明确，并有必要的事实依据和法</w:t>
      </w:r>
      <w:r>
        <w:rPr>
          <w:rFonts w:ascii="宋体" w:hAnsi="宋体" w:eastAsia="宋体" w:cs="宋体"/>
          <w:b/>
          <w:bCs/>
          <w:color w:val="auto"/>
          <w:spacing w:val="-3"/>
          <w:sz w:val="20"/>
          <w:szCs w:val="20"/>
          <w:highlight w:val="none"/>
        </w:rPr>
        <w:t>律依据。</w:t>
      </w:r>
    </w:p>
    <w:p w14:paraId="726CA7EF">
      <w:pPr>
        <w:spacing w:before="183" w:line="221" w:lineRule="auto"/>
        <w:ind w:left="372"/>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4.质疑函的质疑请求应与质疑事项相关。</w:t>
      </w:r>
    </w:p>
    <w:p w14:paraId="7C080761">
      <w:pPr>
        <w:spacing w:before="177" w:line="290" w:lineRule="auto"/>
        <w:ind w:left="23" w:firstLine="355"/>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5.质疑供应商为法人或者其他组织的，质疑函应由法定代</w:t>
      </w:r>
      <w:r>
        <w:rPr>
          <w:rFonts w:ascii="宋体" w:hAnsi="宋体" w:eastAsia="宋体" w:cs="宋体"/>
          <w:b/>
          <w:bCs/>
          <w:color w:val="auto"/>
          <w:spacing w:val="-5"/>
          <w:sz w:val="20"/>
          <w:szCs w:val="20"/>
          <w:highlight w:val="none"/>
        </w:rPr>
        <w:t>表人、主要负责人，或</w:t>
      </w:r>
      <w:r>
        <w:rPr>
          <w:rFonts w:ascii="宋体" w:hAnsi="宋体" w:eastAsia="宋体" w:cs="宋体"/>
          <w:color w:val="auto"/>
          <w:sz w:val="20"/>
          <w:szCs w:val="20"/>
          <w:highlight w:val="none"/>
        </w:rPr>
        <w:t xml:space="preserve"> </w:t>
      </w:r>
      <w:r>
        <w:rPr>
          <w:rFonts w:ascii="宋体" w:hAnsi="宋体" w:eastAsia="宋体" w:cs="宋体"/>
          <w:b/>
          <w:bCs/>
          <w:color w:val="auto"/>
          <w:spacing w:val="-3"/>
          <w:sz w:val="20"/>
          <w:szCs w:val="20"/>
          <w:highlight w:val="none"/>
        </w:rPr>
        <w:t>者其授权代表签字或者盖章，并加盖公章。</w:t>
      </w:r>
    </w:p>
    <w:p w14:paraId="02D06589">
      <w:pPr>
        <w:spacing w:line="290" w:lineRule="auto"/>
        <w:rPr>
          <w:rFonts w:ascii="宋体" w:hAnsi="宋体" w:eastAsia="宋体" w:cs="宋体"/>
          <w:color w:val="auto"/>
          <w:sz w:val="20"/>
          <w:szCs w:val="20"/>
          <w:highlight w:val="none"/>
        </w:rPr>
        <w:sectPr>
          <w:footerReference r:id="rId253" w:type="default"/>
          <w:pgSz w:w="11910" w:h="16840"/>
          <w:pgMar w:top="400" w:right="1501" w:bottom="1148" w:left="1692" w:header="0" w:footer="912" w:gutter="0"/>
          <w:cols w:space="720" w:num="1"/>
        </w:sectPr>
      </w:pPr>
    </w:p>
    <w:p w14:paraId="35ECA4E7">
      <w:pPr>
        <w:pStyle w:val="2"/>
        <w:spacing w:line="267" w:lineRule="auto"/>
        <w:rPr>
          <w:color w:val="auto"/>
          <w:highlight w:val="none"/>
        </w:rPr>
      </w:pPr>
    </w:p>
    <w:p w14:paraId="0ACB4189">
      <w:pPr>
        <w:pStyle w:val="2"/>
        <w:spacing w:line="268" w:lineRule="auto"/>
        <w:rPr>
          <w:color w:val="auto"/>
          <w:highlight w:val="none"/>
        </w:rPr>
      </w:pPr>
    </w:p>
    <w:p w14:paraId="56E38D7B">
      <w:pPr>
        <w:pStyle w:val="2"/>
        <w:spacing w:line="268" w:lineRule="auto"/>
        <w:rPr>
          <w:color w:val="auto"/>
          <w:highlight w:val="none"/>
        </w:rPr>
      </w:pPr>
    </w:p>
    <w:p w14:paraId="64ABD723">
      <w:pPr>
        <w:pStyle w:val="2"/>
        <w:spacing w:line="268" w:lineRule="auto"/>
        <w:rPr>
          <w:color w:val="auto"/>
          <w:highlight w:val="none"/>
        </w:rPr>
      </w:pPr>
    </w:p>
    <w:p w14:paraId="558BCDE7">
      <w:pPr>
        <w:pStyle w:val="2"/>
        <w:spacing w:line="268" w:lineRule="auto"/>
        <w:rPr>
          <w:color w:val="auto"/>
          <w:highlight w:val="none"/>
        </w:rPr>
      </w:pPr>
    </w:p>
    <w:p w14:paraId="0BAD7B6D">
      <w:pPr>
        <w:spacing w:before="100" w:line="225" w:lineRule="auto"/>
        <w:ind w:left="3149"/>
        <w:rPr>
          <w:rFonts w:ascii="宋体" w:hAnsi="宋体" w:eastAsia="宋体" w:cs="宋体"/>
          <w:color w:val="auto"/>
          <w:sz w:val="31"/>
          <w:szCs w:val="31"/>
          <w:highlight w:val="none"/>
        </w:rPr>
      </w:pPr>
      <w:r>
        <w:rPr>
          <w:rFonts w:ascii="宋体" w:hAnsi="宋体" w:eastAsia="宋体" w:cs="宋体"/>
          <w:b/>
          <w:bCs/>
          <w:color w:val="auto"/>
          <w:spacing w:val="3"/>
          <w:sz w:val="31"/>
          <w:szCs w:val="31"/>
          <w:highlight w:val="none"/>
        </w:rPr>
        <w:t>投诉书（格式）</w:t>
      </w:r>
    </w:p>
    <w:p w14:paraId="4056FF52">
      <w:pPr>
        <w:spacing w:before="233" w:line="219" w:lineRule="auto"/>
        <w:ind w:left="386"/>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一、投诉相关主体基本情况：</w:t>
      </w:r>
    </w:p>
    <w:p w14:paraId="44292A23">
      <w:pPr>
        <w:spacing w:before="180" w:line="219" w:lineRule="auto"/>
        <w:ind w:left="38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供应商：</w:t>
      </w:r>
      <w:r>
        <w:rPr>
          <w:rFonts w:ascii="宋体" w:hAnsi="宋体" w:eastAsia="宋体" w:cs="宋体"/>
          <w:color w:val="auto"/>
          <w:sz w:val="20"/>
          <w:szCs w:val="20"/>
          <w:highlight w:val="none"/>
          <w:u w:val="single" w:color="auto"/>
        </w:rPr>
        <w:t xml:space="preserve">                                                             </w:t>
      </w:r>
    </w:p>
    <w:p w14:paraId="12E432CD">
      <w:pPr>
        <w:spacing w:before="183" w:line="220" w:lineRule="auto"/>
        <w:ind w:left="38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地址：</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93"/>
          <w:sz w:val="20"/>
          <w:szCs w:val="20"/>
          <w:highlight w:val="none"/>
        </w:rPr>
        <w:t xml:space="preserve"> </w:t>
      </w:r>
      <w:r>
        <w:rPr>
          <w:rFonts w:ascii="宋体" w:hAnsi="宋体" w:eastAsia="宋体" w:cs="宋体"/>
          <w:color w:val="auto"/>
          <w:spacing w:val="-4"/>
          <w:sz w:val="20"/>
          <w:szCs w:val="20"/>
          <w:highlight w:val="none"/>
        </w:rPr>
        <w:t>邮编：</w:t>
      </w:r>
      <w:r>
        <w:rPr>
          <w:rFonts w:ascii="宋体" w:hAnsi="宋体" w:eastAsia="宋体" w:cs="宋体"/>
          <w:color w:val="auto"/>
          <w:sz w:val="20"/>
          <w:szCs w:val="20"/>
          <w:highlight w:val="none"/>
          <w:u w:val="single" w:color="auto"/>
        </w:rPr>
        <w:t xml:space="preserve">               </w:t>
      </w:r>
    </w:p>
    <w:p w14:paraId="0B4ED104">
      <w:pPr>
        <w:spacing w:before="179" w:line="220" w:lineRule="auto"/>
        <w:ind w:left="38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法定代表人/主要负责人：</w:t>
      </w:r>
      <w:r>
        <w:rPr>
          <w:rFonts w:ascii="宋体" w:hAnsi="宋体" w:eastAsia="宋体" w:cs="宋体"/>
          <w:color w:val="auto"/>
          <w:spacing w:val="-1"/>
          <w:sz w:val="20"/>
          <w:szCs w:val="20"/>
          <w:highlight w:val="none"/>
          <w:u w:val="single" w:color="auto"/>
        </w:rPr>
        <w:t xml:space="preserve">                                              </w:t>
      </w:r>
    </w:p>
    <w:p w14:paraId="4CD51063">
      <w:pPr>
        <w:spacing w:before="182" w:line="222" w:lineRule="auto"/>
        <w:ind w:left="383"/>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联系电话：</w:t>
      </w:r>
      <w:r>
        <w:rPr>
          <w:rFonts w:ascii="宋体" w:hAnsi="宋体" w:eastAsia="宋体" w:cs="宋体"/>
          <w:color w:val="auto"/>
          <w:sz w:val="20"/>
          <w:szCs w:val="20"/>
          <w:highlight w:val="none"/>
          <w:u w:val="single" w:color="auto"/>
        </w:rPr>
        <w:t xml:space="preserve">                                         </w:t>
      </w:r>
    </w:p>
    <w:p w14:paraId="38600527">
      <w:pPr>
        <w:spacing w:before="177" w:line="220" w:lineRule="auto"/>
        <w:ind w:left="381"/>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授权代表：</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3"/>
          <w:sz w:val="20"/>
          <w:szCs w:val="20"/>
          <w:highlight w:val="none"/>
        </w:rPr>
        <w:t xml:space="preserve"> </w:t>
      </w:r>
      <w:r>
        <w:rPr>
          <w:rFonts w:ascii="宋体" w:hAnsi="宋体" w:eastAsia="宋体" w:cs="宋体"/>
          <w:color w:val="auto"/>
          <w:spacing w:val="-1"/>
          <w:sz w:val="20"/>
          <w:szCs w:val="20"/>
          <w:highlight w:val="none"/>
        </w:rPr>
        <w:t>联系电话：</w:t>
      </w:r>
      <w:r>
        <w:rPr>
          <w:rFonts w:ascii="宋体" w:hAnsi="宋体" w:eastAsia="宋体" w:cs="宋体"/>
          <w:color w:val="auto"/>
          <w:spacing w:val="-1"/>
          <w:sz w:val="20"/>
          <w:szCs w:val="20"/>
          <w:highlight w:val="none"/>
          <w:u w:val="single" w:color="auto"/>
        </w:rPr>
        <w:t xml:space="preserve">           </w:t>
      </w:r>
    </w:p>
    <w:p w14:paraId="7985B6A0">
      <w:pPr>
        <w:spacing w:before="183" w:line="229" w:lineRule="auto"/>
        <w:ind w:left="38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地址：</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7F6D2F33">
      <w:pPr>
        <w:spacing w:before="167" w:line="220" w:lineRule="auto"/>
        <w:ind w:left="40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邮编：</w:t>
      </w:r>
      <w:r>
        <w:rPr>
          <w:rFonts w:ascii="宋体" w:hAnsi="宋体" w:eastAsia="宋体" w:cs="宋体"/>
          <w:color w:val="auto"/>
          <w:sz w:val="20"/>
          <w:szCs w:val="20"/>
          <w:highlight w:val="none"/>
          <w:u w:val="single" w:color="auto"/>
        </w:rPr>
        <w:t xml:space="preserve">         </w:t>
      </w:r>
    </w:p>
    <w:p w14:paraId="33966440">
      <w:pPr>
        <w:spacing w:before="182" w:line="220" w:lineRule="auto"/>
        <w:ind w:left="382"/>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被投诉人</w:t>
      </w:r>
      <w:r>
        <w:rPr>
          <w:rFonts w:ascii="宋体" w:hAnsi="宋体" w:eastAsia="宋体" w:cs="宋体"/>
          <w:color w:val="auto"/>
          <w:spacing w:val="-29"/>
          <w:sz w:val="20"/>
          <w:szCs w:val="20"/>
          <w:highlight w:val="none"/>
        </w:rPr>
        <w:t xml:space="preserve"> </w:t>
      </w:r>
      <w:r>
        <w:rPr>
          <w:rFonts w:ascii="宋体" w:hAnsi="宋体" w:eastAsia="宋体" w:cs="宋体"/>
          <w:color w:val="auto"/>
          <w:spacing w:val="-7"/>
          <w:sz w:val="20"/>
          <w:szCs w:val="20"/>
          <w:highlight w:val="none"/>
        </w:rPr>
        <w:t>1：</w:t>
      </w:r>
    </w:p>
    <w:p w14:paraId="3960F255">
      <w:pPr>
        <w:spacing w:before="180" w:line="229" w:lineRule="auto"/>
        <w:ind w:left="38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地址：</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3"/>
          <w:sz w:val="20"/>
          <w:szCs w:val="20"/>
          <w:highlight w:val="none"/>
          <w:u w:val="single" w:color="auto"/>
        </w:rPr>
        <w:t xml:space="preserve">   </w:t>
      </w:r>
    </w:p>
    <w:p w14:paraId="27688E69">
      <w:pPr>
        <w:spacing w:before="170" w:line="220" w:lineRule="auto"/>
        <w:ind w:left="400"/>
        <w:rPr>
          <w:rFonts w:ascii="宋体" w:hAnsi="宋体" w:eastAsia="宋体" w:cs="宋体"/>
          <w:color w:val="auto"/>
          <w:sz w:val="20"/>
          <w:szCs w:val="20"/>
          <w:highlight w:val="none"/>
        </w:rPr>
      </w:pPr>
      <w:r>
        <w:rPr>
          <w:rFonts w:ascii="宋体" w:hAnsi="宋体" w:eastAsia="宋体" w:cs="宋体"/>
          <w:color w:val="auto"/>
          <w:spacing w:val="-10"/>
          <w:sz w:val="20"/>
          <w:szCs w:val="20"/>
          <w:highlight w:val="none"/>
        </w:rPr>
        <w:t>邮编：</w:t>
      </w:r>
      <w:r>
        <w:rPr>
          <w:rFonts w:ascii="宋体" w:hAnsi="宋体" w:eastAsia="宋体" w:cs="宋体"/>
          <w:color w:val="auto"/>
          <w:sz w:val="20"/>
          <w:szCs w:val="20"/>
          <w:highlight w:val="none"/>
          <w:u w:val="single" w:color="auto"/>
        </w:rPr>
        <w:t xml:space="preserve">         </w:t>
      </w:r>
    </w:p>
    <w:p w14:paraId="15415384">
      <w:pPr>
        <w:spacing w:before="182" w:line="222" w:lineRule="auto"/>
        <w:ind w:left="38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联系人：</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1"/>
          <w:sz w:val="20"/>
          <w:szCs w:val="20"/>
          <w:highlight w:val="none"/>
        </w:rPr>
        <w:t>联系电话：</w:t>
      </w:r>
      <w:r>
        <w:rPr>
          <w:rFonts w:ascii="宋体" w:hAnsi="宋体" w:eastAsia="宋体" w:cs="宋体"/>
          <w:color w:val="auto"/>
          <w:spacing w:val="-1"/>
          <w:sz w:val="20"/>
          <w:szCs w:val="20"/>
          <w:highlight w:val="none"/>
          <w:u w:val="single" w:color="auto"/>
        </w:rPr>
        <w:t xml:space="preserve">          </w:t>
      </w:r>
    </w:p>
    <w:p w14:paraId="15F37B8B">
      <w:pPr>
        <w:spacing w:before="177" w:line="220" w:lineRule="auto"/>
        <w:ind w:left="382"/>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被投诉人</w:t>
      </w:r>
      <w:r>
        <w:rPr>
          <w:rFonts w:ascii="宋体" w:hAnsi="宋体" w:eastAsia="宋体" w:cs="宋体"/>
          <w:color w:val="auto"/>
          <w:spacing w:val="-47"/>
          <w:sz w:val="20"/>
          <w:szCs w:val="20"/>
          <w:highlight w:val="none"/>
        </w:rPr>
        <w:t xml:space="preserve"> </w:t>
      </w:r>
      <w:r>
        <w:rPr>
          <w:rFonts w:ascii="宋体" w:hAnsi="宋体" w:eastAsia="宋体" w:cs="宋体"/>
          <w:color w:val="auto"/>
          <w:spacing w:val="-4"/>
          <w:sz w:val="20"/>
          <w:szCs w:val="20"/>
          <w:highlight w:val="none"/>
        </w:rPr>
        <w:t>2：</w:t>
      </w:r>
    </w:p>
    <w:p w14:paraId="3ACC6141">
      <w:pPr>
        <w:spacing w:before="179" w:line="379" w:lineRule="exact"/>
        <w:ind w:left="397"/>
        <w:rPr>
          <w:rFonts w:ascii="宋体" w:hAnsi="宋体" w:eastAsia="宋体" w:cs="宋体"/>
          <w:color w:val="auto"/>
          <w:sz w:val="20"/>
          <w:szCs w:val="20"/>
          <w:highlight w:val="none"/>
        </w:rPr>
      </w:pPr>
      <w:r>
        <w:rPr>
          <w:rFonts w:ascii="宋体" w:hAnsi="宋体" w:eastAsia="宋体" w:cs="宋体"/>
          <w:color w:val="auto"/>
          <w:spacing w:val="-13"/>
          <w:position w:val="3"/>
          <w:sz w:val="20"/>
          <w:szCs w:val="20"/>
          <w:highlight w:val="none"/>
        </w:rPr>
        <w:t>……</w:t>
      </w:r>
    </w:p>
    <w:p w14:paraId="426C5991">
      <w:pPr>
        <w:spacing w:before="90" w:line="219" w:lineRule="auto"/>
        <w:ind w:left="382"/>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相关供应商：</w:t>
      </w:r>
      <w:r>
        <w:rPr>
          <w:rFonts w:ascii="宋体" w:hAnsi="宋体" w:eastAsia="宋体" w:cs="宋体"/>
          <w:color w:val="auto"/>
          <w:sz w:val="20"/>
          <w:szCs w:val="20"/>
          <w:highlight w:val="none"/>
          <w:u w:val="single" w:color="auto"/>
        </w:rPr>
        <w:t xml:space="preserve">                                                         </w:t>
      </w:r>
    </w:p>
    <w:p w14:paraId="2DB5D0B4">
      <w:pPr>
        <w:spacing w:before="180" w:line="220" w:lineRule="auto"/>
        <w:ind w:left="38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地址：</w:t>
      </w:r>
      <w:r>
        <w:rPr>
          <w:rFonts w:ascii="宋体" w:hAnsi="宋体" w:eastAsia="宋体" w:cs="宋体"/>
          <w:color w:val="auto"/>
          <w:spacing w:val="-3"/>
          <w:sz w:val="20"/>
          <w:szCs w:val="20"/>
          <w:highlight w:val="none"/>
          <w:u w:val="single" w:color="auto"/>
        </w:rPr>
        <w:t xml:space="preserve">                                       </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93"/>
          <w:sz w:val="20"/>
          <w:szCs w:val="20"/>
          <w:highlight w:val="none"/>
        </w:rPr>
        <w:t xml:space="preserve"> </w:t>
      </w:r>
      <w:r>
        <w:rPr>
          <w:rFonts w:ascii="宋体" w:hAnsi="宋体" w:eastAsia="宋体" w:cs="宋体"/>
          <w:color w:val="auto"/>
          <w:spacing w:val="-4"/>
          <w:sz w:val="20"/>
          <w:szCs w:val="20"/>
          <w:highlight w:val="none"/>
        </w:rPr>
        <w:t>邮编：</w:t>
      </w:r>
      <w:r>
        <w:rPr>
          <w:rFonts w:ascii="宋体" w:hAnsi="宋体" w:eastAsia="宋体" w:cs="宋体"/>
          <w:color w:val="auto"/>
          <w:sz w:val="20"/>
          <w:szCs w:val="20"/>
          <w:highlight w:val="none"/>
          <w:u w:val="single" w:color="auto"/>
        </w:rPr>
        <w:t xml:space="preserve">              </w:t>
      </w:r>
    </w:p>
    <w:p w14:paraId="09B6AB11">
      <w:pPr>
        <w:spacing w:before="183" w:line="222" w:lineRule="auto"/>
        <w:ind w:left="383"/>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联系人：</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4"/>
          <w:sz w:val="20"/>
          <w:szCs w:val="20"/>
          <w:highlight w:val="none"/>
        </w:rPr>
        <w:t xml:space="preserve"> </w:t>
      </w:r>
      <w:r>
        <w:rPr>
          <w:rFonts w:ascii="宋体" w:hAnsi="宋体" w:eastAsia="宋体" w:cs="宋体"/>
          <w:color w:val="auto"/>
          <w:spacing w:val="-1"/>
          <w:sz w:val="20"/>
          <w:szCs w:val="20"/>
          <w:highlight w:val="none"/>
        </w:rPr>
        <w:t>联系电话：</w:t>
      </w:r>
      <w:r>
        <w:rPr>
          <w:rFonts w:ascii="宋体" w:hAnsi="宋体" w:eastAsia="宋体" w:cs="宋体"/>
          <w:color w:val="auto"/>
          <w:spacing w:val="-1"/>
          <w:sz w:val="20"/>
          <w:szCs w:val="20"/>
          <w:highlight w:val="none"/>
          <w:u w:val="single" w:color="auto"/>
        </w:rPr>
        <w:t xml:space="preserve">          </w:t>
      </w:r>
    </w:p>
    <w:p w14:paraId="567FE661">
      <w:pPr>
        <w:spacing w:before="179" w:line="219" w:lineRule="auto"/>
        <w:ind w:left="386"/>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二、投诉项目基本情况：</w:t>
      </w:r>
    </w:p>
    <w:p w14:paraId="4157385B">
      <w:pPr>
        <w:spacing w:before="181" w:line="219" w:lineRule="auto"/>
        <w:ind w:left="39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采购项目的名称：</w:t>
      </w:r>
      <w:r>
        <w:rPr>
          <w:rFonts w:ascii="宋体" w:hAnsi="宋体" w:eastAsia="宋体" w:cs="宋体"/>
          <w:color w:val="auto"/>
          <w:sz w:val="20"/>
          <w:szCs w:val="20"/>
          <w:highlight w:val="none"/>
          <w:u w:val="single" w:color="auto"/>
        </w:rPr>
        <w:t xml:space="preserve">                                        </w:t>
      </w:r>
    </w:p>
    <w:p w14:paraId="7537B8A2">
      <w:pPr>
        <w:spacing w:before="183" w:line="219" w:lineRule="auto"/>
        <w:ind w:left="39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采购项目的编号：</w:t>
      </w:r>
      <w:r>
        <w:rPr>
          <w:rFonts w:ascii="宋体" w:hAnsi="宋体" w:eastAsia="宋体" w:cs="宋体"/>
          <w:color w:val="auto"/>
          <w:sz w:val="20"/>
          <w:szCs w:val="20"/>
          <w:highlight w:val="none"/>
          <w:u w:val="single" w:color="auto"/>
        </w:rPr>
        <w:t xml:space="preserve">                                        </w:t>
      </w:r>
    </w:p>
    <w:p w14:paraId="77D6A7F9">
      <w:pPr>
        <w:spacing w:before="181" w:line="219" w:lineRule="auto"/>
        <w:ind w:left="39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采购人名称：</w:t>
      </w:r>
      <w:r>
        <w:rPr>
          <w:rFonts w:ascii="宋体" w:hAnsi="宋体" w:eastAsia="宋体" w:cs="宋体"/>
          <w:color w:val="auto"/>
          <w:sz w:val="20"/>
          <w:szCs w:val="20"/>
          <w:highlight w:val="none"/>
          <w:u w:val="single" w:color="auto"/>
        </w:rPr>
        <w:t xml:space="preserve">                                            </w:t>
      </w:r>
    </w:p>
    <w:p w14:paraId="40BC3A31">
      <w:pPr>
        <w:spacing w:before="184" w:line="219" w:lineRule="auto"/>
        <w:ind w:left="39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代理机构名称：</w:t>
      </w:r>
      <w:r>
        <w:rPr>
          <w:rFonts w:ascii="宋体" w:hAnsi="宋体" w:eastAsia="宋体" w:cs="宋体"/>
          <w:color w:val="auto"/>
          <w:sz w:val="20"/>
          <w:szCs w:val="20"/>
          <w:highlight w:val="none"/>
          <w:u w:val="single" w:color="auto"/>
        </w:rPr>
        <w:t xml:space="preserve">                                           </w:t>
      </w:r>
    </w:p>
    <w:p w14:paraId="650DD8FE">
      <w:pPr>
        <w:spacing w:before="180" w:line="219" w:lineRule="auto"/>
        <w:ind w:left="400"/>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招标文件公告：</w:t>
      </w:r>
      <w:r>
        <w:rPr>
          <w:rFonts w:ascii="宋体" w:hAnsi="宋体" w:eastAsia="宋体" w:cs="宋体"/>
          <w:color w:val="auto"/>
          <w:spacing w:val="-1"/>
          <w:sz w:val="20"/>
          <w:szCs w:val="20"/>
          <w:highlight w:val="none"/>
          <w:u w:val="single" w:color="auto"/>
        </w:rPr>
        <w:t>是/否</w:t>
      </w:r>
      <w:r>
        <w:rPr>
          <w:rFonts w:ascii="宋体" w:hAnsi="宋体" w:eastAsia="宋体" w:cs="宋体"/>
          <w:color w:val="auto"/>
          <w:spacing w:val="-1"/>
          <w:sz w:val="20"/>
          <w:szCs w:val="20"/>
          <w:highlight w:val="none"/>
        </w:rPr>
        <w:t>公告期限：</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2"/>
          <w:sz w:val="20"/>
          <w:szCs w:val="20"/>
          <w:highlight w:val="none"/>
          <w:u w:val="single" w:color="auto"/>
        </w:rPr>
        <w:t xml:space="preserve">      </w:t>
      </w:r>
    </w:p>
    <w:p w14:paraId="60FD73FF">
      <w:pPr>
        <w:spacing w:before="183" w:line="219" w:lineRule="auto"/>
        <w:ind w:left="398"/>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rPr>
        <w:t>采购结果公告：</w:t>
      </w:r>
      <w:r>
        <w:rPr>
          <w:rFonts w:ascii="宋体" w:hAnsi="宋体" w:eastAsia="宋体" w:cs="宋体"/>
          <w:color w:val="auto"/>
          <w:spacing w:val="-1"/>
          <w:sz w:val="20"/>
          <w:szCs w:val="20"/>
          <w:highlight w:val="none"/>
          <w:u w:val="single" w:color="auto"/>
        </w:rPr>
        <w:t>是/否</w:t>
      </w:r>
      <w:r>
        <w:rPr>
          <w:rFonts w:ascii="宋体" w:hAnsi="宋体" w:eastAsia="宋体" w:cs="宋体"/>
          <w:color w:val="auto"/>
          <w:spacing w:val="-1"/>
          <w:sz w:val="20"/>
          <w:szCs w:val="20"/>
          <w:highlight w:val="none"/>
        </w:rPr>
        <w:t>公告期限：</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2"/>
          <w:sz w:val="20"/>
          <w:szCs w:val="20"/>
          <w:highlight w:val="none"/>
          <w:u w:val="single" w:color="auto"/>
        </w:rPr>
        <w:t xml:space="preserve">    </w:t>
      </w:r>
    </w:p>
    <w:p w14:paraId="630CC01D">
      <w:pPr>
        <w:spacing w:before="182" w:line="219" w:lineRule="auto"/>
        <w:ind w:left="397"/>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三、质疑基本情况</w:t>
      </w:r>
    </w:p>
    <w:p w14:paraId="36CA34F3">
      <w:pPr>
        <w:spacing w:before="183" w:line="220" w:lineRule="auto"/>
        <w:jc w:val="right"/>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投诉人于</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110"/>
          <w:sz w:val="20"/>
          <w:szCs w:val="20"/>
          <w:highlight w:val="none"/>
        </w:rPr>
        <w:t xml:space="preserve"> </w:t>
      </w:r>
      <w:r>
        <w:rPr>
          <w:rFonts w:ascii="宋体" w:hAnsi="宋体" w:eastAsia="宋体" w:cs="宋体"/>
          <w:color w:val="auto"/>
          <w:spacing w:val="-5"/>
          <w:sz w:val="20"/>
          <w:szCs w:val="20"/>
          <w:highlight w:val="none"/>
        </w:rPr>
        <w:t>年</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105"/>
          <w:sz w:val="20"/>
          <w:szCs w:val="20"/>
          <w:highlight w:val="none"/>
        </w:rPr>
        <w:t xml:space="preserve"> </w:t>
      </w:r>
      <w:r>
        <w:rPr>
          <w:rFonts w:ascii="宋体" w:hAnsi="宋体" w:eastAsia="宋体" w:cs="宋体"/>
          <w:color w:val="auto"/>
          <w:spacing w:val="-5"/>
          <w:sz w:val="20"/>
          <w:szCs w:val="20"/>
          <w:highlight w:val="none"/>
        </w:rPr>
        <w:t>月</w:t>
      </w:r>
      <w:r>
        <w:rPr>
          <w:rFonts w:ascii="宋体" w:hAnsi="宋体" w:eastAsia="宋体" w:cs="宋体"/>
          <w:color w:val="auto"/>
          <w:spacing w:val="-5"/>
          <w:sz w:val="20"/>
          <w:szCs w:val="20"/>
          <w:highlight w:val="none"/>
          <w:u w:val="single" w:color="auto"/>
        </w:rPr>
        <w:t xml:space="preserve">   </w:t>
      </w:r>
      <w:r>
        <w:rPr>
          <w:rFonts w:ascii="宋体" w:hAnsi="宋体" w:eastAsia="宋体" w:cs="宋体"/>
          <w:color w:val="auto"/>
          <w:spacing w:val="-69"/>
          <w:sz w:val="20"/>
          <w:szCs w:val="20"/>
          <w:highlight w:val="none"/>
        </w:rPr>
        <w:t xml:space="preserve"> </w:t>
      </w:r>
      <w:r>
        <w:rPr>
          <w:rFonts w:ascii="宋体" w:hAnsi="宋体" w:eastAsia="宋体" w:cs="宋体"/>
          <w:color w:val="auto"/>
          <w:spacing w:val="-5"/>
          <w:sz w:val="20"/>
          <w:szCs w:val="20"/>
          <w:highlight w:val="none"/>
        </w:rPr>
        <w:t>日，向</w:t>
      </w:r>
      <w:r>
        <w:rPr>
          <w:rFonts w:ascii="宋体" w:hAnsi="宋体" w:eastAsia="宋体" w:cs="宋体"/>
          <w:color w:val="auto"/>
          <w:sz w:val="20"/>
          <w:szCs w:val="20"/>
          <w:highlight w:val="none"/>
          <w:u w:val="single" w:color="auto"/>
        </w:rPr>
        <w:t xml:space="preserve">                 </w:t>
      </w:r>
      <w:r>
        <w:rPr>
          <w:rFonts w:ascii="宋体" w:hAnsi="宋体" w:eastAsia="宋体" w:cs="宋体"/>
          <w:color w:val="auto"/>
          <w:spacing w:val="-110"/>
          <w:sz w:val="20"/>
          <w:szCs w:val="20"/>
          <w:highlight w:val="none"/>
        </w:rPr>
        <w:t xml:space="preserve"> </w:t>
      </w:r>
      <w:r>
        <w:rPr>
          <w:rFonts w:ascii="宋体" w:hAnsi="宋体" w:eastAsia="宋体" w:cs="宋体"/>
          <w:color w:val="auto"/>
          <w:spacing w:val="-5"/>
          <w:sz w:val="20"/>
          <w:szCs w:val="20"/>
          <w:highlight w:val="none"/>
        </w:rPr>
        <w:t>提出质疑，质疑事项为：</w:t>
      </w:r>
    </w:p>
    <w:p w14:paraId="22060B11">
      <w:pPr>
        <w:pStyle w:val="2"/>
        <w:tabs>
          <w:tab w:val="left" w:pos="8620"/>
        </w:tabs>
        <w:spacing w:before="219"/>
        <w:ind w:left="613"/>
        <w:rPr>
          <w:color w:val="auto"/>
          <w:sz w:val="20"/>
          <w:szCs w:val="20"/>
          <w:highlight w:val="none"/>
        </w:rPr>
      </w:pPr>
      <w:r>
        <w:rPr>
          <w:color w:val="auto"/>
          <w:sz w:val="20"/>
          <w:szCs w:val="20"/>
          <w:highlight w:val="none"/>
          <w:u w:val="single" w:color="auto"/>
        </w:rPr>
        <w:tab/>
      </w:r>
    </w:p>
    <w:p w14:paraId="16138426">
      <w:pPr>
        <w:spacing w:before="187" w:line="219" w:lineRule="auto"/>
        <w:jc w:val="right"/>
        <w:rPr>
          <w:rFonts w:ascii="宋体" w:hAnsi="宋体" w:eastAsia="宋体" w:cs="宋体"/>
          <w:color w:val="auto"/>
          <w:sz w:val="20"/>
          <w:szCs w:val="20"/>
          <w:highlight w:val="none"/>
        </w:rPr>
      </w:pPr>
      <w:r>
        <w:rPr>
          <w:rFonts w:ascii="宋体" w:hAnsi="宋体" w:eastAsia="宋体" w:cs="宋体"/>
          <w:color w:val="auto"/>
          <w:spacing w:val="-1"/>
          <w:sz w:val="20"/>
          <w:szCs w:val="20"/>
          <w:highlight w:val="none"/>
          <w:u w:val="single" w:color="auto"/>
        </w:rPr>
        <w:t>采购人/代理机构</w:t>
      </w:r>
      <w:r>
        <w:rPr>
          <w:rFonts w:ascii="宋体" w:hAnsi="宋体" w:eastAsia="宋体" w:cs="宋体"/>
          <w:color w:val="auto"/>
          <w:spacing w:val="-1"/>
          <w:sz w:val="20"/>
          <w:szCs w:val="20"/>
          <w:highlight w:val="none"/>
        </w:rPr>
        <w:t>于</w:t>
      </w:r>
      <w:r>
        <w:rPr>
          <w:rFonts w:ascii="宋体" w:hAnsi="宋体" w:eastAsia="宋体" w:cs="宋体"/>
          <w:color w:val="auto"/>
          <w:spacing w:val="-117"/>
          <w:sz w:val="20"/>
          <w:szCs w:val="20"/>
          <w:highlight w:val="none"/>
        </w:rPr>
        <w:t xml:space="preserve"> </w:t>
      </w:r>
      <w:r>
        <w:rPr>
          <w:rFonts w:ascii="宋体" w:hAnsi="宋体" w:eastAsia="宋体" w:cs="宋体"/>
          <w:color w:val="auto"/>
          <w:spacing w:val="2"/>
          <w:sz w:val="20"/>
          <w:szCs w:val="20"/>
          <w:highlight w:val="none"/>
          <w:u w:val="single" w:color="auto"/>
        </w:rPr>
        <w:t xml:space="preserve">      </w:t>
      </w:r>
      <w:r>
        <w:rPr>
          <w:rFonts w:ascii="宋体" w:hAnsi="宋体" w:eastAsia="宋体" w:cs="宋体"/>
          <w:color w:val="auto"/>
          <w:spacing w:val="-107"/>
          <w:sz w:val="20"/>
          <w:szCs w:val="20"/>
          <w:highlight w:val="none"/>
        </w:rPr>
        <w:t xml:space="preserve"> </w:t>
      </w:r>
      <w:r>
        <w:rPr>
          <w:rFonts w:ascii="宋体" w:hAnsi="宋体" w:eastAsia="宋体" w:cs="宋体"/>
          <w:color w:val="auto"/>
          <w:spacing w:val="-1"/>
          <w:sz w:val="20"/>
          <w:szCs w:val="20"/>
          <w:highlight w:val="none"/>
        </w:rPr>
        <w:t>年</w:t>
      </w:r>
      <w:r>
        <w:rPr>
          <w:rFonts w:ascii="宋体" w:hAnsi="宋体" w:eastAsia="宋体" w:cs="宋体"/>
          <w:color w:val="auto"/>
          <w:spacing w:val="-118"/>
          <w:sz w:val="20"/>
          <w:szCs w:val="20"/>
          <w:highlight w:val="none"/>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103"/>
          <w:sz w:val="20"/>
          <w:szCs w:val="20"/>
          <w:highlight w:val="none"/>
        </w:rPr>
        <w:t xml:space="preserve"> </w:t>
      </w:r>
      <w:r>
        <w:rPr>
          <w:rFonts w:ascii="宋体" w:hAnsi="宋体" w:eastAsia="宋体" w:cs="宋体"/>
          <w:color w:val="auto"/>
          <w:spacing w:val="-1"/>
          <w:sz w:val="20"/>
          <w:szCs w:val="20"/>
          <w:highlight w:val="none"/>
        </w:rPr>
        <w:t>月</w:t>
      </w:r>
      <w:r>
        <w:rPr>
          <w:rFonts w:ascii="宋体" w:hAnsi="宋体" w:eastAsia="宋体" w:cs="宋体"/>
          <w:color w:val="auto"/>
          <w:spacing w:val="-116"/>
          <w:sz w:val="20"/>
          <w:szCs w:val="20"/>
          <w:highlight w:val="none"/>
        </w:rPr>
        <w:t xml:space="preserve"> </w:t>
      </w:r>
      <w:r>
        <w:rPr>
          <w:rFonts w:ascii="宋体" w:hAnsi="宋体" w:eastAsia="宋体" w:cs="宋体"/>
          <w:color w:val="auto"/>
          <w:spacing w:val="1"/>
          <w:sz w:val="20"/>
          <w:szCs w:val="20"/>
          <w:highlight w:val="none"/>
          <w:u w:val="single" w:color="auto"/>
        </w:rPr>
        <w:t xml:space="preserve">   </w:t>
      </w:r>
      <w:r>
        <w:rPr>
          <w:rFonts w:ascii="宋体" w:hAnsi="宋体" w:eastAsia="宋体" w:cs="宋体"/>
          <w:color w:val="auto"/>
          <w:spacing w:val="-67"/>
          <w:sz w:val="20"/>
          <w:szCs w:val="20"/>
          <w:highlight w:val="none"/>
        </w:rPr>
        <w:t xml:space="preserve"> </w:t>
      </w:r>
      <w:r>
        <w:rPr>
          <w:rFonts w:ascii="宋体" w:hAnsi="宋体" w:eastAsia="宋体" w:cs="宋体"/>
          <w:color w:val="auto"/>
          <w:spacing w:val="-1"/>
          <w:sz w:val="20"/>
          <w:szCs w:val="20"/>
          <w:highlight w:val="none"/>
        </w:rPr>
        <w:t>日，就质疑事项作出了答复/没有在法定</w:t>
      </w:r>
    </w:p>
    <w:p w14:paraId="5D94F5A0">
      <w:pPr>
        <w:spacing w:line="219" w:lineRule="auto"/>
        <w:rPr>
          <w:rFonts w:ascii="宋体" w:hAnsi="宋体" w:eastAsia="宋体" w:cs="宋体"/>
          <w:color w:val="auto"/>
          <w:sz w:val="20"/>
          <w:szCs w:val="20"/>
          <w:highlight w:val="none"/>
        </w:rPr>
        <w:sectPr>
          <w:footerReference r:id="rId254" w:type="default"/>
          <w:pgSz w:w="11910" w:h="16840"/>
          <w:pgMar w:top="400" w:right="1498" w:bottom="1148" w:left="1786" w:header="0" w:footer="912" w:gutter="0"/>
          <w:cols w:space="720" w:num="1"/>
        </w:sectPr>
      </w:pPr>
    </w:p>
    <w:p w14:paraId="688A2FCB">
      <w:pPr>
        <w:pStyle w:val="2"/>
        <w:spacing w:line="297" w:lineRule="auto"/>
        <w:rPr>
          <w:color w:val="auto"/>
          <w:sz w:val="20"/>
          <w:szCs w:val="20"/>
          <w:highlight w:val="none"/>
        </w:rPr>
      </w:pPr>
    </w:p>
    <w:p w14:paraId="6E35F41E">
      <w:pPr>
        <w:pStyle w:val="2"/>
        <w:spacing w:line="298" w:lineRule="auto"/>
        <w:rPr>
          <w:color w:val="auto"/>
          <w:sz w:val="20"/>
          <w:szCs w:val="20"/>
          <w:highlight w:val="none"/>
        </w:rPr>
      </w:pPr>
    </w:p>
    <w:p w14:paraId="0B810387">
      <w:pPr>
        <w:pStyle w:val="2"/>
        <w:spacing w:line="298" w:lineRule="auto"/>
        <w:rPr>
          <w:color w:val="auto"/>
          <w:sz w:val="20"/>
          <w:szCs w:val="20"/>
          <w:highlight w:val="none"/>
        </w:rPr>
      </w:pPr>
    </w:p>
    <w:p w14:paraId="564D87D7">
      <w:pPr>
        <w:spacing w:before="78" w:line="220" w:lineRule="auto"/>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期限内作出答复。</w:t>
      </w:r>
    </w:p>
    <w:p w14:paraId="127062E5">
      <w:pPr>
        <w:spacing w:before="179" w:line="220" w:lineRule="auto"/>
        <w:ind w:left="514"/>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四、投诉事项具体内容</w:t>
      </w:r>
    </w:p>
    <w:p w14:paraId="20B4D278">
      <w:pPr>
        <w:spacing w:before="179" w:line="221" w:lineRule="auto"/>
        <w:ind w:left="496"/>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投诉事项</w:t>
      </w:r>
      <w:r>
        <w:rPr>
          <w:rFonts w:ascii="宋体" w:hAnsi="宋体" w:eastAsia="宋体" w:cs="宋体"/>
          <w:color w:val="auto"/>
          <w:spacing w:val="-33"/>
          <w:sz w:val="20"/>
          <w:szCs w:val="20"/>
          <w:highlight w:val="none"/>
        </w:rPr>
        <w:t xml:space="preserve"> </w:t>
      </w:r>
      <w:r>
        <w:rPr>
          <w:rFonts w:ascii="宋体" w:hAnsi="宋体" w:eastAsia="宋体" w:cs="宋体"/>
          <w:color w:val="auto"/>
          <w:spacing w:val="-4"/>
          <w:sz w:val="20"/>
          <w:szCs w:val="20"/>
          <w:highlight w:val="none"/>
        </w:rPr>
        <w:t>1：</w:t>
      </w:r>
      <w:r>
        <w:rPr>
          <w:rFonts w:ascii="宋体" w:hAnsi="宋体" w:eastAsia="宋体" w:cs="宋体"/>
          <w:color w:val="auto"/>
          <w:spacing w:val="-4"/>
          <w:sz w:val="20"/>
          <w:szCs w:val="20"/>
          <w:highlight w:val="none"/>
          <w:u w:val="single" w:color="auto"/>
        </w:rPr>
        <w:t xml:space="preserve">                                                 </w:t>
      </w:r>
      <w:r>
        <w:rPr>
          <w:rFonts w:ascii="宋体" w:hAnsi="宋体" w:eastAsia="宋体" w:cs="宋体"/>
          <w:color w:val="auto"/>
          <w:spacing w:val="-5"/>
          <w:sz w:val="20"/>
          <w:szCs w:val="20"/>
          <w:highlight w:val="none"/>
          <w:u w:val="single" w:color="auto"/>
        </w:rPr>
        <w:t xml:space="preserve">          </w:t>
      </w:r>
    </w:p>
    <w:p w14:paraId="64A99506">
      <w:pPr>
        <w:spacing w:before="181" w:line="219" w:lineRule="auto"/>
        <w:ind w:left="477"/>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 xml:space="preserve">事实依据： </w:t>
      </w:r>
      <w:r>
        <w:rPr>
          <w:rFonts w:ascii="宋体" w:hAnsi="宋体" w:eastAsia="宋体" w:cs="宋体"/>
          <w:color w:val="auto"/>
          <w:sz w:val="20"/>
          <w:szCs w:val="20"/>
          <w:highlight w:val="none"/>
          <w:u w:val="single" w:color="auto"/>
        </w:rPr>
        <w:t xml:space="preserve">                                                          </w:t>
      </w:r>
    </w:p>
    <w:p w14:paraId="63F7F59A">
      <w:pPr>
        <w:pStyle w:val="2"/>
        <w:tabs>
          <w:tab w:val="left" w:pos="8715"/>
        </w:tabs>
        <w:spacing w:before="217"/>
        <w:ind w:left="483"/>
        <w:rPr>
          <w:color w:val="auto"/>
          <w:sz w:val="20"/>
          <w:szCs w:val="20"/>
          <w:highlight w:val="none"/>
        </w:rPr>
      </w:pPr>
      <w:r>
        <w:rPr>
          <w:color w:val="auto"/>
          <w:sz w:val="20"/>
          <w:szCs w:val="20"/>
          <w:highlight w:val="none"/>
          <w:u w:val="single" w:color="auto"/>
        </w:rPr>
        <w:tab/>
      </w:r>
    </w:p>
    <w:p w14:paraId="4550D6E8">
      <w:pPr>
        <w:spacing w:before="190" w:line="219" w:lineRule="auto"/>
        <w:ind w:left="478"/>
        <w:rPr>
          <w:rFonts w:ascii="宋体" w:hAnsi="宋体" w:eastAsia="宋体" w:cs="宋体"/>
          <w:color w:val="auto"/>
          <w:sz w:val="20"/>
          <w:szCs w:val="20"/>
          <w:highlight w:val="none"/>
        </w:rPr>
      </w:pPr>
      <w:r>
        <w:rPr>
          <w:rFonts w:ascii="宋体" w:hAnsi="宋体" w:eastAsia="宋体" w:cs="宋体"/>
          <w:color w:val="auto"/>
          <w:spacing w:val="-2"/>
          <w:sz w:val="20"/>
          <w:szCs w:val="20"/>
          <w:highlight w:val="none"/>
        </w:rPr>
        <w:t xml:space="preserve">法律依据： </w:t>
      </w:r>
      <w:r>
        <w:rPr>
          <w:rFonts w:ascii="宋体" w:hAnsi="宋体" w:eastAsia="宋体" w:cs="宋体"/>
          <w:color w:val="auto"/>
          <w:sz w:val="20"/>
          <w:szCs w:val="20"/>
          <w:highlight w:val="none"/>
          <w:u w:val="single" w:color="auto"/>
        </w:rPr>
        <w:t xml:space="preserve">                                                          </w:t>
      </w:r>
    </w:p>
    <w:p w14:paraId="532BB8A2">
      <w:pPr>
        <w:pStyle w:val="2"/>
        <w:tabs>
          <w:tab w:val="left" w:pos="8715"/>
        </w:tabs>
        <w:spacing w:before="216"/>
        <w:ind w:left="483"/>
        <w:rPr>
          <w:color w:val="auto"/>
          <w:sz w:val="20"/>
          <w:szCs w:val="20"/>
          <w:highlight w:val="none"/>
        </w:rPr>
      </w:pPr>
      <w:r>
        <w:rPr>
          <w:color w:val="auto"/>
          <w:sz w:val="20"/>
          <w:szCs w:val="20"/>
          <w:highlight w:val="none"/>
          <w:u w:val="single" w:color="auto"/>
        </w:rPr>
        <w:tab/>
      </w:r>
    </w:p>
    <w:p w14:paraId="780FCFCD">
      <w:pPr>
        <w:spacing w:before="190" w:line="221" w:lineRule="auto"/>
        <w:ind w:left="496"/>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投诉事项</w:t>
      </w:r>
      <w:r>
        <w:rPr>
          <w:rFonts w:ascii="宋体" w:hAnsi="宋体" w:eastAsia="宋体" w:cs="宋体"/>
          <w:color w:val="auto"/>
          <w:spacing w:val="-47"/>
          <w:sz w:val="20"/>
          <w:szCs w:val="20"/>
          <w:highlight w:val="none"/>
        </w:rPr>
        <w:t xml:space="preserve"> </w:t>
      </w:r>
      <w:r>
        <w:rPr>
          <w:rFonts w:ascii="宋体" w:hAnsi="宋体" w:eastAsia="宋体" w:cs="宋体"/>
          <w:color w:val="auto"/>
          <w:spacing w:val="-3"/>
          <w:sz w:val="20"/>
          <w:szCs w:val="20"/>
          <w:highlight w:val="none"/>
        </w:rPr>
        <w:t>2</w:t>
      </w:r>
    </w:p>
    <w:p w14:paraId="6161566B">
      <w:pPr>
        <w:spacing w:before="181" w:line="379" w:lineRule="exact"/>
        <w:ind w:left="509"/>
        <w:rPr>
          <w:rFonts w:ascii="宋体" w:hAnsi="宋体" w:eastAsia="宋体" w:cs="宋体"/>
          <w:color w:val="auto"/>
          <w:sz w:val="20"/>
          <w:szCs w:val="20"/>
          <w:highlight w:val="none"/>
        </w:rPr>
      </w:pPr>
      <w:r>
        <w:rPr>
          <w:rFonts w:ascii="宋体" w:hAnsi="宋体" w:eastAsia="宋体" w:cs="宋体"/>
          <w:color w:val="auto"/>
          <w:spacing w:val="-13"/>
          <w:position w:val="3"/>
          <w:sz w:val="20"/>
          <w:szCs w:val="20"/>
          <w:highlight w:val="none"/>
        </w:rPr>
        <w:t>……</w:t>
      </w:r>
    </w:p>
    <w:p w14:paraId="537A8BE4">
      <w:pPr>
        <w:spacing w:before="86" w:line="221" w:lineRule="auto"/>
        <w:ind w:left="495"/>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五、与投诉事项相关的投诉请求：</w:t>
      </w:r>
    </w:p>
    <w:p w14:paraId="32611CED">
      <w:pPr>
        <w:spacing w:before="181" w:line="221" w:lineRule="auto"/>
        <w:ind w:left="49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请求：</w:t>
      </w:r>
      <w:r>
        <w:rPr>
          <w:rFonts w:ascii="宋体" w:hAnsi="宋体" w:eastAsia="宋体" w:cs="宋体"/>
          <w:color w:val="auto"/>
          <w:sz w:val="20"/>
          <w:szCs w:val="20"/>
          <w:highlight w:val="none"/>
          <w:u w:val="single" w:color="auto"/>
        </w:rPr>
        <w:t xml:space="preserve">                                                               </w:t>
      </w:r>
    </w:p>
    <w:p w14:paraId="1644D8A4">
      <w:pPr>
        <w:pStyle w:val="2"/>
        <w:spacing w:line="282" w:lineRule="auto"/>
        <w:rPr>
          <w:color w:val="auto"/>
          <w:sz w:val="20"/>
          <w:szCs w:val="20"/>
          <w:highlight w:val="none"/>
        </w:rPr>
      </w:pPr>
    </w:p>
    <w:p w14:paraId="59581CBC">
      <w:pPr>
        <w:pStyle w:val="2"/>
        <w:spacing w:line="283" w:lineRule="auto"/>
        <w:rPr>
          <w:color w:val="auto"/>
          <w:sz w:val="20"/>
          <w:szCs w:val="20"/>
          <w:highlight w:val="none"/>
        </w:rPr>
      </w:pPr>
    </w:p>
    <w:p w14:paraId="28DA4D81">
      <w:pPr>
        <w:spacing w:before="78" w:line="219" w:lineRule="auto"/>
        <w:ind w:left="493"/>
        <w:rPr>
          <w:rFonts w:ascii="宋体" w:hAnsi="宋体" w:eastAsia="宋体" w:cs="宋体"/>
          <w:color w:val="auto"/>
          <w:sz w:val="20"/>
          <w:szCs w:val="20"/>
          <w:highlight w:val="none"/>
        </w:rPr>
      </w:pPr>
      <w:r>
        <w:rPr>
          <w:rFonts w:ascii="宋体" w:hAnsi="宋体" w:eastAsia="宋体" w:cs="宋体"/>
          <w:color w:val="auto"/>
          <w:spacing w:val="-4"/>
          <w:sz w:val="20"/>
          <w:szCs w:val="20"/>
          <w:highlight w:val="none"/>
        </w:rPr>
        <w:t>签字（签章</w:t>
      </w:r>
      <w:r>
        <w:rPr>
          <w:rFonts w:ascii="宋体" w:hAnsi="宋体" w:eastAsia="宋体" w:cs="宋体"/>
          <w:color w:val="auto"/>
          <w:spacing w:val="2"/>
          <w:sz w:val="20"/>
          <w:szCs w:val="20"/>
          <w:highlight w:val="none"/>
        </w:rPr>
        <w:t>）：</w:t>
      </w:r>
      <w:r>
        <w:rPr>
          <w:rFonts w:ascii="宋体" w:hAnsi="宋体" w:eastAsia="宋体" w:cs="宋体"/>
          <w:color w:val="auto"/>
          <w:sz w:val="20"/>
          <w:szCs w:val="20"/>
          <w:highlight w:val="none"/>
        </w:rPr>
        <w:t xml:space="preserve">                                       </w:t>
      </w:r>
      <w:r>
        <w:rPr>
          <w:rFonts w:ascii="宋体" w:hAnsi="宋体" w:eastAsia="宋体" w:cs="宋体"/>
          <w:color w:val="auto"/>
          <w:spacing w:val="-4"/>
          <w:sz w:val="20"/>
          <w:szCs w:val="20"/>
          <w:highlight w:val="none"/>
        </w:rPr>
        <w:t>公章：</w:t>
      </w:r>
    </w:p>
    <w:p w14:paraId="15415FDB">
      <w:pPr>
        <w:pStyle w:val="2"/>
        <w:spacing w:line="283" w:lineRule="auto"/>
        <w:rPr>
          <w:color w:val="auto"/>
          <w:sz w:val="20"/>
          <w:szCs w:val="20"/>
          <w:highlight w:val="none"/>
        </w:rPr>
      </w:pPr>
    </w:p>
    <w:p w14:paraId="79385994">
      <w:pPr>
        <w:pStyle w:val="2"/>
        <w:spacing w:line="283" w:lineRule="auto"/>
        <w:rPr>
          <w:color w:val="auto"/>
          <w:sz w:val="20"/>
          <w:szCs w:val="20"/>
          <w:highlight w:val="none"/>
        </w:rPr>
      </w:pPr>
    </w:p>
    <w:p w14:paraId="512377A1">
      <w:pPr>
        <w:spacing w:before="79" w:line="221" w:lineRule="auto"/>
        <w:ind w:left="535"/>
        <w:rPr>
          <w:rFonts w:ascii="宋体" w:hAnsi="宋体" w:eastAsia="宋体" w:cs="宋体"/>
          <w:color w:val="auto"/>
          <w:sz w:val="20"/>
          <w:szCs w:val="20"/>
          <w:highlight w:val="none"/>
        </w:rPr>
      </w:pPr>
      <w:r>
        <w:rPr>
          <w:rFonts w:ascii="宋体" w:hAnsi="宋体" w:eastAsia="宋体" w:cs="宋体"/>
          <w:color w:val="auto"/>
          <w:spacing w:val="-17"/>
          <w:sz w:val="20"/>
          <w:szCs w:val="20"/>
          <w:highlight w:val="none"/>
        </w:rPr>
        <w:t>日期：</w:t>
      </w:r>
    </w:p>
    <w:p w14:paraId="59ECD651">
      <w:pPr>
        <w:pStyle w:val="2"/>
        <w:spacing w:line="256" w:lineRule="auto"/>
        <w:rPr>
          <w:color w:val="auto"/>
          <w:sz w:val="20"/>
          <w:szCs w:val="20"/>
          <w:highlight w:val="none"/>
        </w:rPr>
      </w:pPr>
    </w:p>
    <w:p w14:paraId="563B6B64">
      <w:pPr>
        <w:pStyle w:val="2"/>
        <w:spacing w:line="257" w:lineRule="auto"/>
        <w:rPr>
          <w:color w:val="auto"/>
          <w:sz w:val="20"/>
          <w:szCs w:val="20"/>
          <w:highlight w:val="none"/>
        </w:rPr>
      </w:pPr>
    </w:p>
    <w:p w14:paraId="2FF203E2">
      <w:pPr>
        <w:pStyle w:val="2"/>
        <w:spacing w:line="257" w:lineRule="auto"/>
        <w:rPr>
          <w:color w:val="auto"/>
          <w:sz w:val="20"/>
          <w:szCs w:val="20"/>
          <w:highlight w:val="none"/>
        </w:rPr>
      </w:pPr>
    </w:p>
    <w:p w14:paraId="3AAC7270">
      <w:pPr>
        <w:pStyle w:val="2"/>
        <w:spacing w:line="257" w:lineRule="auto"/>
        <w:rPr>
          <w:color w:val="auto"/>
          <w:sz w:val="20"/>
          <w:szCs w:val="20"/>
          <w:highlight w:val="none"/>
        </w:rPr>
      </w:pPr>
    </w:p>
    <w:p w14:paraId="11151C26">
      <w:pPr>
        <w:spacing w:before="79" w:line="220" w:lineRule="auto"/>
        <w:rPr>
          <w:rFonts w:ascii="宋体" w:hAnsi="宋体" w:eastAsia="宋体" w:cs="宋体"/>
          <w:color w:val="auto"/>
          <w:sz w:val="20"/>
          <w:szCs w:val="20"/>
          <w:highlight w:val="none"/>
        </w:rPr>
      </w:pPr>
      <w:r>
        <w:rPr>
          <w:rFonts w:ascii="宋体" w:hAnsi="宋体" w:eastAsia="宋体" w:cs="宋体"/>
          <w:b/>
          <w:bCs/>
          <w:color w:val="auto"/>
          <w:spacing w:val="-7"/>
          <w:sz w:val="20"/>
          <w:szCs w:val="20"/>
          <w:highlight w:val="none"/>
        </w:rPr>
        <w:t>说明：</w:t>
      </w:r>
    </w:p>
    <w:p w14:paraId="08AB49D1">
      <w:pPr>
        <w:spacing w:before="181" w:line="290" w:lineRule="auto"/>
        <w:ind w:left="23" w:firstLine="367"/>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1.投诉人提起投诉时，应当提交投诉书和必要的证明材料，并按照被投诉人和与</w:t>
      </w:r>
      <w:r>
        <w:rPr>
          <w:rFonts w:ascii="宋体" w:hAnsi="宋体" w:eastAsia="宋体" w:cs="宋体"/>
          <w:color w:val="auto"/>
          <w:spacing w:val="13"/>
          <w:sz w:val="20"/>
          <w:szCs w:val="20"/>
          <w:highlight w:val="none"/>
        </w:rPr>
        <w:t xml:space="preserve"> </w:t>
      </w:r>
      <w:r>
        <w:rPr>
          <w:rFonts w:ascii="宋体" w:hAnsi="宋体" w:eastAsia="宋体" w:cs="宋体"/>
          <w:b/>
          <w:bCs/>
          <w:color w:val="auto"/>
          <w:spacing w:val="-3"/>
          <w:sz w:val="20"/>
          <w:szCs w:val="20"/>
          <w:highlight w:val="none"/>
        </w:rPr>
        <w:t>投诉事项有关的供应商数量提供投诉书副本。</w:t>
      </w:r>
    </w:p>
    <w:p w14:paraId="1836290D">
      <w:pPr>
        <w:spacing w:before="180" w:line="313" w:lineRule="auto"/>
        <w:ind w:left="23" w:firstLine="352"/>
        <w:rPr>
          <w:rFonts w:ascii="宋体" w:hAnsi="宋体" w:eastAsia="宋体" w:cs="宋体"/>
          <w:color w:val="auto"/>
          <w:sz w:val="20"/>
          <w:szCs w:val="20"/>
          <w:highlight w:val="none"/>
        </w:rPr>
      </w:pPr>
      <w:r>
        <w:rPr>
          <w:rFonts w:ascii="宋体" w:hAnsi="宋体" w:eastAsia="宋体" w:cs="宋体"/>
          <w:b/>
          <w:bCs/>
          <w:color w:val="auto"/>
          <w:spacing w:val="-5"/>
          <w:sz w:val="20"/>
          <w:szCs w:val="20"/>
          <w:highlight w:val="none"/>
        </w:rPr>
        <w:t>2.投诉人若委托代理人进行投诉的，投诉书应按要求列明“授权</w:t>
      </w:r>
      <w:r>
        <w:rPr>
          <w:rFonts w:ascii="宋体" w:hAnsi="宋体" w:eastAsia="宋体" w:cs="宋体"/>
          <w:b/>
          <w:bCs/>
          <w:color w:val="auto"/>
          <w:spacing w:val="-6"/>
          <w:sz w:val="20"/>
          <w:szCs w:val="20"/>
          <w:highlight w:val="none"/>
        </w:rPr>
        <w:t>代表</w:t>
      </w:r>
      <w:r>
        <w:rPr>
          <w:rFonts w:ascii="宋体" w:hAnsi="宋体" w:eastAsia="宋体" w:cs="宋体"/>
          <w:color w:val="auto"/>
          <w:spacing w:val="-85"/>
          <w:sz w:val="20"/>
          <w:szCs w:val="20"/>
          <w:highlight w:val="none"/>
        </w:rPr>
        <w:t xml:space="preserve"> </w:t>
      </w:r>
      <w:r>
        <w:rPr>
          <w:rFonts w:ascii="宋体" w:hAnsi="宋体" w:eastAsia="宋体" w:cs="宋体"/>
          <w:b/>
          <w:bCs/>
          <w:color w:val="auto"/>
          <w:spacing w:val="-6"/>
          <w:sz w:val="20"/>
          <w:szCs w:val="20"/>
          <w:highlight w:val="none"/>
        </w:rPr>
        <w:t>”的有关内</w:t>
      </w:r>
      <w:r>
        <w:rPr>
          <w:rFonts w:ascii="宋体" w:hAnsi="宋体" w:eastAsia="宋体" w:cs="宋体"/>
          <w:color w:val="auto"/>
          <w:sz w:val="20"/>
          <w:szCs w:val="20"/>
          <w:highlight w:val="none"/>
        </w:rPr>
        <w:t xml:space="preserve"> </w:t>
      </w:r>
      <w:r>
        <w:rPr>
          <w:rFonts w:ascii="宋体" w:hAnsi="宋体" w:eastAsia="宋体" w:cs="宋体"/>
          <w:b/>
          <w:bCs/>
          <w:color w:val="auto"/>
          <w:spacing w:val="-1"/>
          <w:sz w:val="20"/>
          <w:szCs w:val="20"/>
          <w:highlight w:val="none"/>
        </w:rPr>
        <w:t>容，并在附件中提交由投诉人签署的授权委托书。授权委托书应当载明代</w:t>
      </w:r>
      <w:r>
        <w:rPr>
          <w:rFonts w:ascii="宋体" w:hAnsi="宋体" w:eastAsia="宋体" w:cs="宋体"/>
          <w:b/>
          <w:bCs/>
          <w:color w:val="auto"/>
          <w:spacing w:val="-2"/>
          <w:sz w:val="20"/>
          <w:szCs w:val="20"/>
          <w:highlight w:val="none"/>
        </w:rPr>
        <w:t>理人的姓</w:t>
      </w:r>
      <w:r>
        <w:rPr>
          <w:rFonts w:ascii="宋体" w:hAnsi="宋体" w:eastAsia="宋体" w:cs="宋体"/>
          <w:color w:val="auto"/>
          <w:sz w:val="20"/>
          <w:szCs w:val="20"/>
          <w:highlight w:val="none"/>
        </w:rPr>
        <w:t xml:space="preserve"> </w:t>
      </w:r>
      <w:r>
        <w:rPr>
          <w:rFonts w:ascii="宋体" w:hAnsi="宋体" w:eastAsia="宋体" w:cs="宋体"/>
          <w:b/>
          <w:bCs/>
          <w:color w:val="auto"/>
          <w:spacing w:val="-2"/>
          <w:sz w:val="20"/>
          <w:szCs w:val="20"/>
          <w:highlight w:val="none"/>
        </w:rPr>
        <w:t>名或者名称、代理事项、具体权限、期限和</w:t>
      </w:r>
      <w:r>
        <w:rPr>
          <w:rFonts w:ascii="宋体" w:hAnsi="宋体" w:eastAsia="宋体" w:cs="宋体"/>
          <w:b/>
          <w:bCs/>
          <w:color w:val="auto"/>
          <w:spacing w:val="-3"/>
          <w:sz w:val="20"/>
          <w:szCs w:val="20"/>
          <w:highlight w:val="none"/>
        </w:rPr>
        <w:t>相关事项。</w:t>
      </w:r>
    </w:p>
    <w:p w14:paraId="20659BE5">
      <w:pPr>
        <w:spacing w:before="182" w:line="219" w:lineRule="auto"/>
        <w:ind w:left="378"/>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3.投诉书应简要列明质疑事项，质疑函、质疑答复等作为附件材</w:t>
      </w:r>
      <w:r>
        <w:rPr>
          <w:rFonts w:ascii="宋体" w:hAnsi="宋体" w:eastAsia="宋体" w:cs="宋体"/>
          <w:b/>
          <w:bCs/>
          <w:color w:val="auto"/>
          <w:spacing w:val="-3"/>
          <w:sz w:val="20"/>
          <w:szCs w:val="20"/>
          <w:highlight w:val="none"/>
        </w:rPr>
        <w:t>料提供。</w:t>
      </w:r>
    </w:p>
    <w:p w14:paraId="48E2732F">
      <w:pPr>
        <w:spacing w:before="181" w:line="219" w:lineRule="auto"/>
        <w:ind w:left="372"/>
        <w:rPr>
          <w:rFonts w:ascii="宋体" w:hAnsi="宋体" w:eastAsia="宋体" w:cs="宋体"/>
          <w:color w:val="auto"/>
          <w:sz w:val="20"/>
          <w:szCs w:val="20"/>
          <w:highlight w:val="none"/>
        </w:rPr>
      </w:pPr>
      <w:r>
        <w:rPr>
          <w:rFonts w:ascii="宋体" w:hAnsi="宋体" w:eastAsia="宋体" w:cs="宋体"/>
          <w:b/>
          <w:bCs/>
          <w:color w:val="auto"/>
          <w:spacing w:val="-2"/>
          <w:sz w:val="20"/>
          <w:szCs w:val="20"/>
          <w:highlight w:val="none"/>
        </w:rPr>
        <w:t>4.投诉书的投诉事项应具体、明确，并有必要的事实依据和法律依据。</w:t>
      </w:r>
    </w:p>
    <w:p w14:paraId="1D5D44C5">
      <w:pPr>
        <w:spacing w:before="183" w:line="219" w:lineRule="auto"/>
        <w:ind w:left="378"/>
        <w:rPr>
          <w:rFonts w:ascii="宋体" w:hAnsi="宋体" w:eastAsia="宋体" w:cs="宋体"/>
          <w:color w:val="auto"/>
          <w:sz w:val="20"/>
          <w:szCs w:val="20"/>
          <w:highlight w:val="none"/>
        </w:rPr>
      </w:pPr>
      <w:r>
        <w:rPr>
          <w:rFonts w:ascii="宋体" w:hAnsi="宋体" w:eastAsia="宋体" w:cs="宋体"/>
          <w:b/>
          <w:bCs/>
          <w:color w:val="auto"/>
          <w:spacing w:val="-3"/>
          <w:sz w:val="20"/>
          <w:szCs w:val="20"/>
          <w:highlight w:val="none"/>
        </w:rPr>
        <w:t>5.投诉书的投诉请求应与投诉事项相关。</w:t>
      </w:r>
    </w:p>
    <w:p w14:paraId="173E78DC">
      <w:pPr>
        <w:spacing w:before="180" w:line="290" w:lineRule="auto"/>
        <w:ind w:left="20" w:firstLine="355"/>
        <w:rPr>
          <w:rFonts w:ascii="宋体" w:hAnsi="宋体" w:eastAsia="宋体" w:cs="宋体"/>
          <w:color w:val="auto"/>
          <w:sz w:val="20"/>
          <w:szCs w:val="20"/>
          <w:highlight w:val="none"/>
        </w:rPr>
      </w:pPr>
      <w:r>
        <w:rPr>
          <w:rFonts w:ascii="宋体" w:hAnsi="宋体" w:eastAsia="宋体" w:cs="宋体"/>
          <w:b/>
          <w:bCs/>
          <w:color w:val="auto"/>
          <w:spacing w:val="-4"/>
          <w:sz w:val="20"/>
          <w:szCs w:val="20"/>
          <w:highlight w:val="none"/>
        </w:rPr>
        <w:t>6.投诉人为法人或者其他组织的，投诉书应由法定代表人、主</w:t>
      </w:r>
      <w:r>
        <w:rPr>
          <w:rFonts w:ascii="宋体" w:hAnsi="宋体" w:eastAsia="宋体" w:cs="宋体"/>
          <w:b/>
          <w:bCs/>
          <w:color w:val="auto"/>
          <w:spacing w:val="-5"/>
          <w:sz w:val="20"/>
          <w:szCs w:val="20"/>
          <w:highlight w:val="none"/>
        </w:rPr>
        <w:t>要负责人，或者其</w:t>
      </w:r>
      <w:r>
        <w:rPr>
          <w:rFonts w:ascii="宋体" w:hAnsi="宋体" w:eastAsia="宋体" w:cs="宋体"/>
          <w:color w:val="auto"/>
          <w:sz w:val="20"/>
          <w:szCs w:val="20"/>
          <w:highlight w:val="none"/>
        </w:rPr>
        <w:t xml:space="preserve"> </w:t>
      </w:r>
      <w:r>
        <w:rPr>
          <w:rFonts w:ascii="宋体" w:hAnsi="宋体" w:eastAsia="宋体" w:cs="宋体"/>
          <w:b/>
          <w:bCs/>
          <w:color w:val="auto"/>
          <w:spacing w:val="-3"/>
          <w:sz w:val="20"/>
          <w:szCs w:val="20"/>
          <w:highlight w:val="none"/>
        </w:rPr>
        <w:t>授权代表签字或者盖章，并加盖公章。</w:t>
      </w:r>
    </w:p>
    <w:sectPr>
      <w:footerReference r:id="rId255" w:type="default"/>
      <w:pgSz w:w="11910" w:h="16840"/>
      <w:pgMar w:top="400" w:right="1501" w:bottom="1148" w:left="1692" w:header="0" w:footer="91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Mincho">
    <w:panose1 w:val="02020600040205080304"/>
    <w:charset w:val="86"/>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6"/>
    <w:family w:val="auto"/>
    <w:pitch w:val="default"/>
    <w:sig w:usb0="E00002FF" w:usb1="6AC7FDFB" w:usb2="00000012" w:usb3="00000000" w:csb0="4002009F" w:csb1="DFD7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C264C">
    <w:pPr>
      <w:spacing w:line="226" w:lineRule="exact"/>
      <w:ind w:left="4453"/>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B4F9A">
    <w:pPr>
      <w:spacing w:line="226" w:lineRule="exact"/>
      <w:ind w:left="4899"/>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17</w: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EFBF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110</w: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CF5BB">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111</w: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FDC8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112</w: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F8F49">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113</w: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6DAC9">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114</w: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D52B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115</w: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0ADB2">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116</w: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488EA">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117</w: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A576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118</w: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94AC3">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119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EF394">
    <w:pPr>
      <w:spacing w:line="226" w:lineRule="exact"/>
      <w:ind w:left="4899"/>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18</w: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75D7A">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120</w: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9B8B">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121</w: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D811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122</w: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731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123</w: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AD7A1">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124</w: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D117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125</w: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4A887">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126</w: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8A28F">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127</w: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CC403">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128</w: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A5EA">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129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9BE9">
    <w:pPr>
      <w:spacing w:line="226" w:lineRule="exact"/>
      <w:ind w:left="4288"/>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19</w: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C138B">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130</w: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518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131</w: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53B0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132</w: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26BA8">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133</w: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3BF3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134</w: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862A9">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135</w: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530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136</w: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C9D63">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137</w: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4594A">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138</w: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46E8">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139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9F64A">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20</w: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FB77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140</w: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23E8A">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141</w: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BF6E8">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142</w: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38548">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143</w: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238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144</w: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407E">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145</w: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77C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146</w: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82270">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147</w: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E27C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148</w: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A51C">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149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15909">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21</w: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9D7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150</w: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DED5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151</w: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D6A43">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152</w: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A56CC">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153</w: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A8B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154</w: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0BBF1">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155</w:t>
    </w:r>
  </w:p>
</w:ftr>
</file>

<file path=word/footer1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9ADF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156</w:t>
    </w:r>
  </w:p>
</w:ftr>
</file>

<file path=word/footer1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AFB6A">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157</w:t>
    </w:r>
  </w:p>
</w:ftr>
</file>

<file path=word/footer1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F525F">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158</w:t>
    </w:r>
  </w:p>
</w:ftr>
</file>

<file path=word/footer1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F147B">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159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9C5FE">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22</w:t>
    </w:r>
  </w:p>
</w:ftr>
</file>

<file path=word/footer1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47207">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160</w:t>
    </w:r>
  </w:p>
</w:ftr>
</file>

<file path=word/footer1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5A4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161</w:t>
    </w:r>
  </w:p>
</w:ftr>
</file>

<file path=word/footer1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9AC8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162</w:t>
    </w:r>
  </w:p>
</w:ftr>
</file>

<file path=word/footer1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80C08">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163</w:t>
    </w:r>
  </w:p>
</w:ftr>
</file>

<file path=word/footer1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5751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164</w:t>
    </w:r>
  </w:p>
</w:ftr>
</file>

<file path=word/footer1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93D87">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165</w:t>
    </w:r>
  </w:p>
</w:ftr>
</file>

<file path=word/footer1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1A9E7">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166</w:t>
    </w:r>
  </w:p>
</w:ftr>
</file>

<file path=word/footer1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FA3B9">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167</w:t>
    </w:r>
  </w:p>
</w:ftr>
</file>

<file path=word/footer1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F36B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168</w:t>
    </w:r>
  </w:p>
</w:ftr>
</file>

<file path=word/footer1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F568D">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169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37D05">
    <w:pPr>
      <w:spacing w:line="226" w:lineRule="exact"/>
      <w:ind w:left="427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23</w:t>
    </w:r>
  </w:p>
</w:ftr>
</file>

<file path=word/footer1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0DE8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170</w:t>
    </w:r>
  </w:p>
</w:ftr>
</file>

<file path=word/footer1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6C2F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171</w:t>
    </w:r>
  </w:p>
</w:ftr>
</file>

<file path=word/footer1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56BF9">
    <w:pPr>
      <w:spacing w:line="226" w:lineRule="exact"/>
      <w:ind w:left="4834"/>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172</w:t>
    </w:r>
  </w:p>
</w:ftr>
</file>

<file path=word/footer1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60315">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173</w:t>
    </w:r>
  </w:p>
</w:ftr>
</file>

<file path=word/footer1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79DB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174</w:t>
    </w:r>
  </w:p>
</w:ftr>
</file>

<file path=word/footer1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E9D1D">
    <w:pPr>
      <w:spacing w:line="226" w:lineRule="exact"/>
      <w:ind w:left="4805"/>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175</w:t>
    </w:r>
  </w:p>
</w:ftr>
</file>

<file path=word/footer1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D57B1">
    <w:pPr>
      <w:spacing w:line="226" w:lineRule="exact"/>
      <w:ind w:left="4780"/>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176</w:t>
    </w:r>
  </w:p>
</w:ftr>
</file>

<file path=word/footer1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84B67">
    <w:pPr>
      <w:spacing w:line="226" w:lineRule="exact"/>
      <w:ind w:left="4052"/>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177</w:t>
    </w:r>
  </w:p>
</w:ftr>
</file>

<file path=word/footer1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39088">
    <w:pPr>
      <w:spacing w:line="226" w:lineRule="exact"/>
      <w:ind w:left="4238"/>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178</w:t>
    </w:r>
  </w:p>
</w:ftr>
</file>

<file path=word/footer1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B717F">
    <w:pPr>
      <w:spacing w:line="226" w:lineRule="exact"/>
      <w:ind w:left="414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179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E8C51">
    <w:pPr>
      <w:spacing w:line="226" w:lineRule="exact"/>
      <w:ind w:left="427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24</w:t>
    </w:r>
  </w:p>
</w:ftr>
</file>

<file path=word/footer1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57C86">
    <w:pPr>
      <w:spacing w:line="226" w:lineRule="exact"/>
      <w:ind w:left="4237"/>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181</w:t>
    </w:r>
  </w:p>
</w:ftr>
</file>

<file path=word/footer1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1EA78">
    <w:pPr>
      <w:spacing w:line="226" w:lineRule="exact"/>
      <w:ind w:left="4143"/>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182</w:t>
    </w:r>
  </w:p>
</w:ftr>
</file>

<file path=word/footer1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9E2AB">
    <w:pPr>
      <w:spacing w:line="226" w:lineRule="exact"/>
      <w:ind w:left="4237"/>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183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76B3F">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25</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34F6">
    <w:pPr>
      <w:spacing w:line="226" w:lineRule="exact"/>
      <w:ind w:left="4271"/>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20836">
    <w:pPr>
      <w:spacing w:line="226" w:lineRule="exact"/>
      <w:ind w:left="4440"/>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6</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09273">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4B46D">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28</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CD566">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2"/>
        <w:position w:val="1"/>
        <w:sz w:val="18"/>
        <w:szCs w:val="18"/>
      </w:rPr>
      <w:t>29</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AD6BC">
    <w:pPr>
      <w:spacing w:line="226" w:lineRule="exact"/>
      <w:ind w:left="427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2559">
    <w:pPr>
      <w:spacing w:line="226" w:lineRule="exact"/>
      <w:ind w:left="427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5C780">
    <w:pPr>
      <w:spacing w:line="226" w:lineRule="exact"/>
      <w:ind w:left="427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33</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5FA5D">
    <w:pPr>
      <w:spacing w:line="226" w:lineRule="exact"/>
      <w:ind w:left="427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0516C">
    <w:pPr>
      <w:spacing w:line="226" w:lineRule="exact"/>
      <w:ind w:left="427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35</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B3745">
    <w:pPr>
      <w:spacing w:line="226" w:lineRule="exact"/>
      <w:ind w:left="427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36</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1C6D1">
    <w:pPr>
      <w:spacing w:line="226" w:lineRule="exact"/>
      <w:ind w:left="427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1D751">
    <w:pPr>
      <w:spacing w:line="226" w:lineRule="exact"/>
      <w:ind w:left="4921"/>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8</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FA36">
    <w:pPr>
      <w:spacing w:line="226" w:lineRule="exact"/>
      <w:ind w:left="452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38</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DE2A8">
    <w:pPr>
      <w:spacing w:line="226" w:lineRule="exact"/>
      <w:ind w:left="451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40</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2B886">
    <w:pPr>
      <w:spacing w:line="226" w:lineRule="exact"/>
      <w:ind w:left="451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41</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26759">
    <w:pPr>
      <w:spacing w:line="226" w:lineRule="exact"/>
      <w:ind w:left="426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42</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D95C6">
    <w:pPr>
      <w:spacing w:line="226" w:lineRule="exact"/>
      <w:ind w:left="407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43</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84732">
    <w:pPr>
      <w:spacing w:line="226" w:lineRule="exact"/>
      <w:ind w:left="4170"/>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FC7A0">
    <w:pPr>
      <w:spacing w:line="226" w:lineRule="exact"/>
      <w:ind w:left="4268"/>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45</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8D47F">
    <w:pPr>
      <w:spacing w:line="226" w:lineRule="exact"/>
      <w:ind w:left="4257"/>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46</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F7755">
    <w:pPr>
      <w:spacing w:line="226" w:lineRule="exact"/>
      <w:ind w:left="4991"/>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47</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7FCA4">
    <w:pPr>
      <w:spacing w:line="226" w:lineRule="exact"/>
      <w:ind w:left="4743"/>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60F4C">
    <w:pPr>
      <w:spacing w:line="226" w:lineRule="exact"/>
      <w:ind w:left="4917"/>
      <w:rPr>
        <w:rFonts w:ascii="Times New Roman" w:hAnsi="Times New Roman" w:eastAsia="Times New Roman" w:cs="Times New Roman"/>
        <w:sz w:val="18"/>
        <w:szCs w:val="18"/>
      </w:rPr>
    </w:pPr>
    <w:r>
      <w:rPr>
        <w:rFonts w:ascii="Times New Roman" w:hAnsi="Times New Roman" w:eastAsia="Times New Roman" w:cs="Times New Roman"/>
        <w:position w:val="1"/>
        <w:sz w:val="18"/>
        <w:szCs w:val="18"/>
      </w:rPr>
      <w:t>9</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3561">
    <w:pPr>
      <w:spacing w:line="226" w:lineRule="exact"/>
      <w:ind w:left="4269"/>
      <w:rPr>
        <w:rFonts w:ascii="Times New Roman" w:hAnsi="Times New Roman" w:eastAsia="Times New Roman" w:cs="Times New Roman"/>
        <w:sz w:val="18"/>
        <w:szCs w:val="18"/>
      </w:rPr>
    </w:pPr>
    <w:r>
      <w:rPr>
        <w:rFonts w:ascii="Times New Roman" w:hAnsi="Times New Roman" w:eastAsia="Times New Roman" w:cs="Times New Roman"/>
        <w:spacing w:val="-1"/>
        <w:position w:val="1"/>
        <w:sz w:val="18"/>
        <w:szCs w:val="18"/>
      </w:rPr>
      <w:t>49</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04D4">
    <w:pPr>
      <w:spacing w:line="226" w:lineRule="exact"/>
      <w:ind w:left="427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E6F0B">
    <w:pPr>
      <w:spacing w:line="226" w:lineRule="exact"/>
      <w:ind w:left="427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99B51">
    <w:pPr>
      <w:spacing w:line="226" w:lineRule="exact"/>
      <w:ind w:left="470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52A53">
    <w:pPr>
      <w:spacing w:line="226" w:lineRule="exact"/>
      <w:ind w:left="4274"/>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2957D">
    <w:pPr>
      <w:spacing w:line="226" w:lineRule="exact"/>
      <w:ind w:left="427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DCC61">
    <w:pPr>
      <w:spacing w:line="173" w:lineRule="auto"/>
      <w:ind w:left="40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E63A2">
    <w:pPr>
      <w:spacing w:line="226" w:lineRule="exact"/>
      <w:ind w:left="427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BB20B">
    <w:pPr>
      <w:spacing w:line="173" w:lineRule="auto"/>
      <w:ind w:left="42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38B33">
    <w:pPr>
      <w:spacing w:line="226" w:lineRule="exact"/>
      <w:ind w:left="427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50BD5">
    <w:pPr>
      <w:spacing w:line="226" w:lineRule="exact"/>
      <w:ind w:left="4319"/>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10</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3170D">
    <w:pPr>
      <w:spacing w:line="226" w:lineRule="exact"/>
      <w:ind w:left="441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59</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5E4CE">
    <w:pPr>
      <w:spacing w:line="226" w:lineRule="exact"/>
      <w:ind w:left="441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60</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40CAC">
    <w:pPr>
      <w:spacing w:line="226" w:lineRule="exact"/>
      <w:ind w:left="441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A9E22">
    <w:pPr>
      <w:spacing w:line="226" w:lineRule="exact"/>
      <w:ind w:left="4538"/>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62</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DD07">
    <w:pPr>
      <w:spacing w:line="226" w:lineRule="exact"/>
      <w:ind w:left="441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43A5E">
    <w:pPr>
      <w:spacing w:line="226" w:lineRule="exact"/>
      <w:ind w:left="4417"/>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64</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C9338">
    <w:pPr>
      <w:spacing w:line="226" w:lineRule="exact"/>
      <w:ind w:left="459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65</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02F0">
    <w:pPr>
      <w:spacing w:line="226" w:lineRule="exact"/>
      <w:ind w:left="440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66</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6064B">
    <w:pPr>
      <w:spacing w:line="226" w:lineRule="exact"/>
      <w:ind w:left="4415"/>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67</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C19">
    <w:pPr>
      <w:spacing w:line="226" w:lineRule="exact"/>
      <w:ind w:left="445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7160B">
    <w:pPr>
      <w:spacing w:line="226" w:lineRule="exact"/>
      <w:ind w:left="4319"/>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11</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C042">
    <w:pPr>
      <w:spacing w:line="226" w:lineRule="exact"/>
      <w:ind w:left="4432"/>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69</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BF7D">
    <w:pPr>
      <w:spacing w:line="226" w:lineRule="exact"/>
      <w:ind w:left="460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70</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466B8">
    <w:pPr>
      <w:spacing w:line="226" w:lineRule="exact"/>
      <w:ind w:left="427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71</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EF9A">
    <w:pPr>
      <w:spacing w:line="226" w:lineRule="exact"/>
      <w:ind w:left="4268"/>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72</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A17EB">
    <w:pPr>
      <w:spacing w:line="226" w:lineRule="exact"/>
      <w:ind w:left="408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73</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653B2">
    <w:pPr>
      <w:spacing w:line="226" w:lineRule="exact"/>
      <w:ind w:left="427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74</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87FD5">
    <w:pPr>
      <w:spacing w:line="173" w:lineRule="auto"/>
      <w:ind w:left="427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ACF7">
    <w:pPr>
      <w:spacing w:line="226" w:lineRule="exact"/>
      <w:ind w:left="4270"/>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76</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05D63">
    <w:pPr>
      <w:spacing w:line="173" w:lineRule="auto"/>
      <w:ind w:left="4902"/>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0ECA2">
    <w:pPr>
      <w:spacing w:line="226" w:lineRule="exact"/>
      <w:ind w:left="4779"/>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62A58">
    <w:pPr>
      <w:spacing w:line="226" w:lineRule="exact"/>
      <w:ind w:left="4319"/>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12</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C26A8">
    <w:pPr>
      <w:spacing w:line="226" w:lineRule="exact"/>
      <w:ind w:left="4271"/>
      <w:rPr>
        <w:rFonts w:ascii="Times New Roman" w:hAnsi="Times New Roman" w:eastAsia="Times New Roman" w:cs="Times New Roman"/>
        <w:sz w:val="18"/>
        <w:szCs w:val="18"/>
      </w:rPr>
    </w:pPr>
    <w:r>
      <w:rPr>
        <w:rFonts w:ascii="Times New Roman" w:hAnsi="Times New Roman" w:eastAsia="Times New Roman" w:cs="Times New Roman"/>
        <w:spacing w:val="-3"/>
        <w:position w:val="1"/>
        <w:sz w:val="18"/>
        <w:szCs w:val="18"/>
      </w:rPr>
      <w:t>79</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BF51B">
    <w:pPr>
      <w:spacing w:line="226" w:lineRule="exact"/>
      <w:ind w:left="471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80</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E77E">
    <w:pPr>
      <w:spacing w:line="226" w:lineRule="exact"/>
      <w:ind w:left="4276"/>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81</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48C45">
    <w:pPr>
      <w:spacing w:line="226" w:lineRule="exact"/>
      <w:ind w:left="4740"/>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BF5FD">
    <w:pPr>
      <w:spacing w:line="226" w:lineRule="exact"/>
      <w:ind w:left="465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C9970">
    <w:pPr>
      <w:spacing w:line="226" w:lineRule="exact"/>
      <w:ind w:left="465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9BE52">
    <w:pPr>
      <w:spacing w:line="226" w:lineRule="exact"/>
      <w:ind w:left="465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D7A2D">
    <w:pPr>
      <w:spacing w:line="226" w:lineRule="exact"/>
      <w:ind w:left="465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D4782">
    <w:pPr>
      <w:spacing w:line="226" w:lineRule="exact"/>
      <w:ind w:left="465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1231B">
    <w:pPr>
      <w:spacing w:line="226" w:lineRule="exact"/>
      <w:ind w:left="4655"/>
      <w:rPr>
        <w:rFonts w:ascii="Times New Roman" w:hAnsi="Times New Roman" w:eastAsia="Times New Roman" w:cs="Times New Roman"/>
        <w:sz w:val="18"/>
        <w:szCs w:val="18"/>
      </w:rPr>
    </w:pPr>
    <w:r>
      <w:rPr>
        <w:rFonts w:ascii="Times New Roman" w:hAnsi="Times New Roman" w:eastAsia="Times New Roman" w:cs="Times New Roman"/>
        <w:spacing w:val="-5"/>
        <w:position w:val="1"/>
        <w:sz w:val="18"/>
        <w:szCs w:val="18"/>
      </w:rPr>
      <w:t>89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690E4">
    <w:pPr>
      <w:spacing w:line="226" w:lineRule="exact"/>
      <w:ind w:left="4294"/>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13</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FA8B3">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FFA8A">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4337C">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92</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69F1">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93</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051C">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94</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E5E8B">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4C82">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96</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51E8C">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97</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FE9E4">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98</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10D89">
    <w:pPr>
      <w:spacing w:line="226" w:lineRule="exact"/>
      <w:ind w:left="4651"/>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8759A">
    <w:pPr>
      <w:spacing w:line="226" w:lineRule="exact"/>
      <w:ind w:left="4899"/>
      <w:rPr>
        <w:rFonts w:ascii="Times New Roman" w:hAnsi="Times New Roman" w:eastAsia="Times New Roman" w:cs="Times New Roman"/>
        <w:sz w:val="18"/>
        <w:szCs w:val="18"/>
      </w:rPr>
    </w:pPr>
    <w:r>
      <w:rPr>
        <w:rFonts w:ascii="Times New Roman" w:hAnsi="Times New Roman" w:eastAsia="Times New Roman" w:cs="Times New Roman"/>
        <w:spacing w:val="-10"/>
        <w:position w:val="1"/>
        <w:sz w:val="18"/>
        <w:szCs w:val="18"/>
      </w:rPr>
      <w:t>16</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72C6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100</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317B7">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101</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10E1F">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102</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99881">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103</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2970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104</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94CC1">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105</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A0063">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106</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DA656">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107</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7C0C4">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108</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4AF7">
    <w:pPr>
      <w:spacing w:line="226" w:lineRule="exact"/>
      <w:ind w:left="4619"/>
      <w:rPr>
        <w:rFonts w:ascii="Times New Roman" w:hAnsi="Times New Roman" w:eastAsia="Times New Roman" w:cs="Times New Roman"/>
        <w:sz w:val="18"/>
        <w:szCs w:val="18"/>
      </w:rPr>
    </w:pPr>
    <w:r>
      <w:rPr>
        <w:rFonts w:ascii="Times New Roman" w:hAnsi="Times New Roman" w:eastAsia="Times New Roman" w:cs="Times New Roman"/>
        <w:spacing w:val="-7"/>
        <w:position w:val="1"/>
        <w:sz w:val="18"/>
        <w:szCs w:val="18"/>
      </w:rPr>
      <w:t>109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EF667">
    <w:pPr>
      <w:pStyle w:val="2"/>
      <w:spacing w:line="46" w:lineRule="auto"/>
      <w:rPr>
        <w:sz w:val="2"/>
      </w:rPr>
    </w:pPr>
    <w:r>
      <w:pict>
        <v:shape id="_x0000_s2049" o:spid="_x0000_s2049" style="position:absolute;left:0pt;margin-left:73.7pt;margin-top:47.3pt;height:0.75pt;width:447.85pt;mso-position-horizontal-relative:page;mso-position-vertical-relative:page;z-index:251659264;mso-width-relative:page;mso-height-relative:page;" fillcolor="#000000" filled="t" stroked="f" coordsize="8957,15" o:allowincell="f" path="m0,0l8956,0,8956,14,0,14,0,0xe">
          <v:path/>
          <v:fill on="t" focussize="0,0"/>
          <v:stroke on="f"/>
          <v:imagedata o:title=""/>
          <o:lock v:ext="edi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692B2">
    <w:pPr>
      <w:pStyle w:val="2"/>
      <w:spacing w:line="46" w:lineRule="auto"/>
      <w:rPr>
        <w:sz w:val="2"/>
      </w:rPr>
    </w:pPr>
    <w:r>
      <w:pict>
        <v:shape id="_x0000_s2060" o:spid="_x0000_s2060"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C5D15">
    <w:pPr>
      <w:pStyle w:val="2"/>
      <w:spacing w:line="46" w:lineRule="auto"/>
      <w:rPr>
        <w:sz w:val="2"/>
      </w:rPr>
    </w:pPr>
    <w:r>
      <w:pict>
        <v:shape id="_x0000_s2061" o:spid="_x0000_s2061" style="position:absolute;left:0pt;margin-left:60.95pt;margin-top:53.85pt;height:0.75pt;width:473.4pt;mso-position-horizontal-relative:page;mso-position-vertical-relative:page;z-index:251673600;mso-width-relative:page;mso-height-relative:page;" fillcolor="#000000" filled="t" stroked="f" coordsize="9467,15" o:allowincell="f" path="m0,0l9467,0,9467,14,0,14,0,0xe">
          <v:path/>
          <v:fill on="t" focussize="0,0"/>
          <v:stroke on="f"/>
          <v:imagedata o:title=""/>
          <o:lock v:ext="edi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C8EF0">
    <w:pPr>
      <w:pStyle w:val="2"/>
      <w:spacing w:line="46" w:lineRule="auto"/>
      <w:rPr>
        <w:sz w:val="2"/>
      </w:rPr>
    </w:pPr>
    <w:r>
      <w:pict>
        <v:shape id="_x0000_s2062" o:spid="_x0000_s2062"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A409D">
    <w:pPr>
      <w:pStyle w:val="2"/>
      <w:spacing w:line="46" w:lineRule="auto"/>
      <w:rPr>
        <w:sz w:val="2"/>
      </w:rPr>
    </w:pPr>
    <w:r>
      <w:pict>
        <v:shape id="_x0000_s2063" o:spid="_x0000_s2063"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7A494">
    <w:pPr>
      <w:pStyle w:val="2"/>
      <w:spacing w:line="46" w:lineRule="auto"/>
      <w:rPr>
        <w:sz w:val="2"/>
      </w:rPr>
    </w:pPr>
    <w:r>
      <w:pict>
        <v:shape id="_x0000_s2064" o:spid="_x0000_s2064"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45ECC">
    <w:pPr>
      <w:pStyle w:val="2"/>
      <w:spacing w:line="46" w:lineRule="auto"/>
      <w:rPr>
        <w:sz w:val="2"/>
      </w:rPr>
    </w:pPr>
    <w:r>
      <w:pict>
        <v:shape id="_x0000_s2065" o:spid="_x0000_s2065" style="position:absolute;left:0pt;margin-left:60.95pt;margin-top:53.85pt;height:0.75pt;width:473.4pt;mso-position-horizontal-relative:page;mso-position-vertical-relative:page;z-index:251673600;mso-width-relative:page;mso-height-relative:page;" fillcolor="#000000" filled="t" stroked="f" coordsize="9467,15" o:allowincell="f" path="m0,0l9467,0,9467,14,0,14,0,0xe">
          <v:path/>
          <v:fill on="t" focussize="0,0"/>
          <v:stroke on="f"/>
          <v:imagedata o:title=""/>
          <o:lock v:ext="edit"/>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FE3C">
    <w:pPr>
      <w:pStyle w:val="2"/>
      <w:spacing w:line="46" w:lineRule="auto"/>
      <w:rPr>
        <w:sz w:val="2"/>
      </w:rPr>
    </w:pPr>
    <w:r>
      <w:pict>
        <v:shape id="_x0000_s2066" o:spid="_x0000_s2066"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5FD0">
    <w:pPr>
      <w:pStyle w:val="2"/>
      <w:spacing w:line="46" w:lineRule="auto"/>
      <w:rPr>
        <w:sz w:val="2"/>
      </w:rPr>
    </w:pPr>
    <w:r>
      <w:pict>
        <v:shape id="_x0000_s2067" o:spid="_x0000_s2067" style="position:absolute;left:0pt;margin-left:60.95pt;margin-top:53.85pt;height:0.75pt;width:473.4pt;mso-position-horizontal-relative:page;mso-position-vertical-relative:page;z-index:251675648;mso-width-relative:page;mso-height-relative:page;" fillcolor="#000000" filled="t" stroked="f" coordsize="9467,15" o:allowincell="f" path="m0,0l9467,0,9467,14,0,14,0,0xe">
          <v:path/>
          <v:fill on="t" focussize="0,0"/>
          <v:stroke on="f"/>
          <v:imagedata o:title=""/>
          <o:lock v:ext="edit"/>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39754">
    <w:pPr>
      <w:pStyle w:val="2"/>
      <w:spacing w:line="46" w:lineRule="auto"/>
      <w:rPr>
        <w:sz w:val="2"/>
      </w:rPr>
    </w:pPr>
    <w:r>
      <w:pict>
        <v:shape id="_x0000_s2068" o:spid="_x0000_s2068" style="position:absolute;left:0pt;margin-left:60.95pt;margin-top:53.85pt;height:0.75pt;width:473.4pt;mso-position-horizontal-relative:page;mso-position-vertical-relative:page;z-index:251673600;mso-width-relative:page;mso-height-relative:page;" fillcolor="#000000" filled="t" stroked="f" coordsize="9467,15" o:allowincell="f" path="m0,0l9467,0,9467,14,0,14,0,0xe">
          <v:path/>
          <v:fill on="t" focussize="0,0"/>
          <v:stroke on="f"/>
          <v:imagedata o:title=""/>
          <o:lock v:ext="edit"/>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930">
    <w:pPr>
      <w:pStyle w:val="2"/>
      <w:spacing w:line="46" w:lineRule="auto"/>
      <w:rPr>
        <w:sz w:val="2"/>
      </w:rPr>
    </w:pPr>
    <w:r>
      <w:pict>
        <v:shape id="_x0000_s2069" o:spid="_x0000_s2069"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BD930">
    <w:pPr>
      <w:pStyle w:val="2"/>
      <w:spacing w:line="46" w:lineRule="auto"/>
      <w:rPr>
        <w:sz w:val="2"/>
      </w:rPr>
    </w:pPr>
    <w:r>
      <w:pict>
        <v:shape id="_x0000_s2052" o:spid="_x0000_s2052" style="position:absolute;left:0pt;margin-left:73.7pt;margin-top:47.3pt;height:0.75pt;width:447.85pt;mso-position-horizontal-relative:page;mso-position-vertical-relative:page;z-index:251660288;mso-width-relative:page;mso-height-relative:page;" fillcolor="#000000" filled="t" stroked="f" coordsize="8957,15" o:allowincell="f" path="m0,0l8956,0,8956,14,0,14,0,0xe">
          <v:path/>
          <v:fill on="t" focussize="0,0"/>
          <v:stroke on="f"/>
          <v:imagedata o:title=""/>
          <o:lock v:ext="edit"/>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F4138">
    <w:pPr>
      <w:pStyle w:val="2"/>
      <w:spacing w:line="46" w:lineRule="auto"/>
      <w:rPr>
        <w:sz w:val="2"/>
      </w:rPr>
    </w:pPr>
    <w:r>
      <w:pict>
        <v:shape id="_x0000_s2070" o:spid="_x0000_s2070" style="position:absolute;left:0pt;margin-left:60.95pt;margin-top:53.85pt;height:0.75pt;width:473.4pt;mso-position-horizontal-relative:page;mso-position-vertical-relative:page;z-index:251676672;mso-width-relative:page;mso-height-relative:page;" fillcolor="#000000" filled="t" stroked="f" coordsize="9467,15" o:allowincell="f" path="m0,0l9467,0,9467,14,0,14,0,0xe">
          <v:path/>
          <v:fill on="t" focussize="0,0"/>
          <v:stroke on="f"/>
          <v:imagedata o:title=""/>
          <o:lock v:ext="edit"/>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922EA">
    <w:pPr>
      <w:pStyle w:val="2"/>
      <w:spacing w:line="46" w:lineRule="auto"/>
      <w:rPr>
        <w:sz w:val="2"/>
      </w:rPr>
    </w:pPr>
    <w:r>
      <w:pict>
        <v:shape id="_x0000_s2071" o:spid="_x0000_s2071"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A996A">
    <w:pPr>
      <w:pStyle w:val="2"/>
      <w:spacing w:line="46" w:lineRule="auto"/>
      <w:rPr>
        <w:sz w:val="2"/>
      </w:rPr>
    </w:pPr>
    <w:r>
      <w:pict>
        <v:shape id="_x0000_s2072" o:spid="_x0000_s2072" style="position:absolute;left:0pt;margin-left:60.95pt;margin-top:53.85pt;height:0.75pt;width:473.4pt;mso-position-horizontal-relative:page;mso-position-vertical-relative:page;z-index:251676672;mso-width-relative:page;mso-height-relative:page;" fillcolor="#000000" filled="t" stroked="f" coordsize="9467,15" o:allowincell="f" path="m0,0l9467,0,9467,14,0,14,0,0xe">
          <v:path/>
          <v:fill on="t" focussize="0,0"/>
          <v:stroke on="f"/>
          <v:imagedata o:title=""/>
          <o:lock v:ext="edit"/>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5D700">
    <w:pPr>
      <w:pStyle w:val="2"/>
      <w:spacing w:line="46" w:lineRule="auto"/>
      <w:rPr>
        <w:sz w:val="2"/>
      </w:rPr>
    </w:pPr>
    <w:r>
      <w:pict>
        <v:shape id="_x0000_s2073" o:spid="_x0000_s2073"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A297E">
    <w:pPr>
      <w:pStyle w:val="2"/>
      <w:spacing w:line="46" w:lineRule="auto"/>
      <w:rPr>
        <w:sz w:val="2"/>
      </w:rPr>
    </w:pPr>
    <w:r>
      <w:pict>
        <v:shape id="_x0000_s2074" o:spid="_x0000_s2074" style="position:absolute;left:0pt;margin-left:60.95pt;margin-top:53.85pt;height:0.75pt;width:473.4pt;mso-position-horizontal-relative:page;mso-position-vertical-relative:page;z-index:251673600;mso-width-relative:page;mso-height-relative:page;" fillcolor="#000000" filled="t" stroked="f" coordsize="9467,15" o:allowincell="f" path="m0,0l9467,0,9467,14,0,14,0,0xe">
          <v:path/>
          <v:fill on="t" focussize="0,0"/>
          <v:stroke on="f"/>
          <v:imagedata o:title=""/>
          <o:lock v:ext="edit"/>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ECA72">
    <w:pPr>
      <w:pStyle w:val="2"/>
      <w:spacing w:line="46" w:lineRule="auto"/>
      <w:rPr>
        <w:sz w:val="2"/>
      </w:rPr>
    </w:pPr>
    <w:r>
      <w:pict>
        <v:shape id="_x0000_s2075" o:spid="_x0000_s2075"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8F956">
    <w:pPr>
      <w:pStyle w:val="2"/>
      <w:spacing w:line="46" w:lineRule="auto"/>
      <w:rPr>
        <w:sz w:val="2"/>
      </w:rPr>
    </w:pPr>
    <w:r>
      <w:pict>
        <v:shape id="_x0000_s2076" o:spid="_x0000_s2076" style="position:absolute;left:0pt;margin-left:60.95pt;margin-top:53.85pt;height:0.75pt;width:473.4pt;mso-position-horizontal-relative:page;mso-position-vertical-relative:page;z-index:251676672;mso-width-relative:page;mso-height-relative:page;" fillcolor="#000000" filled="t" stroked="f" coordsize="9467,15" o:allowincell="f" path="m0,0l9467,0,9467,14,0,14,0,0xe">
          <v:path/>
          <v:fill on="t" focussize="0,0"/>
          <v:stroke on="f"/>
          <v:imagedata o:title=""/>
          <o:lock v:ext="edit"/>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18CCD">
    <w:pPr>
      <w:pStyle w:val="2"/>
      <w:spacing w:line="46" w:lineRule="auto"/>
      <w:rPr>
        <w:sz w:val="2"/>
      </w:rPr>
    </w:pPr>
    <w:r>
      <w:pict>
        <v:shape id="_x0000_s2077" o:spid="_x0000_s2077" style="position:absolute;left:0pt;margin-left:60.95pt;margin-top:53.85pt;height:0.75pt;width:473.4pt;mso-position-horizontal-relative:page;mso-position-vertical-relative:page;z-index:251677696;mso-width-relative:page;mso-height-relative:page;" fillcolor="#000000" filled="t" stroked="f" coordsize="9467,15" o:allowincell="f" path="m0,0l9467,0,9467,14,0,14,0,0xe">
          <v:path/>
          <v:fill on="t" focussize="0,0"/>
          <v:stroke on="f"/>
          <v:imagedata o:title=""/>
          <o:lock v:ext="edit"/>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F9376">
    <w:pPr>
      <w:pStyle w:val="2"/>
      <w:spacing w:line="46" w:lineRule="auto"/>
      <w:rPr>
        <w:sz w:val="2"/>
      </w:rPr>
    </w:pPr>
    <w:r>
      <w:pict>
        <v:shape id="_x0000_s2078" o:spid="_x0000_s2078"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5DA7">
    <w:pPr>
      <w:pStyle w:val="2"/>
      <w:spacing w:line="46" w:lineRule="auto"/>
      <w:rPr>
        <w:sz w:val="2"/>
      </w:rPr>
    </w:pPr>
    <w:r>
      <w:pict>
        <v:shape id="_x0000_s2079" o:spid="_x0000_s2079"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10ACA">
    <w:pPr>
      <w:pStyle w:val="2"/>
      <w:spacing w:line="14" w:lineRule="auto"/>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61F1A">
    <w:pPr>
      <w:pStyle w:val="2"/>
      <w:spacing w:line="46" w:lineRule="auto"/>
      <w:rPr>
        <w:sz w:val="2"/>
      </w:rPr>
    </w:pPr>
    <w:r>
      <w:pict>
        <v:shape id="_x0000_s2080" o:spid="_x0000_s2080"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9C72">
    <w:pPr>
      <w:pStyle w:val="2"/>
      <w:spacing w:line="46" w:lineRule="auto"/>
      <w:rPr>
        <w:sz w:val="2"/>
      </w:rPr>
    </w:pPr>
    <w:r>
      <w:pict>
        <v:shape id="_x0000_s2081" o:spid="_x0000_s2081"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764E0">
    <w:pPr>
      <w:pStyle w:val="2"/>
      <w:spacing w:line="46" w:lineRule="auto"/>
      <w:rPr>
        <w:sz w:val="2"/>
      </w:rPr>
    </w:pPr>
    <w:r>
      <w:pict>
        <v:shape id="_x0000_s2082" o:spid="_x0000_s2082" style="position:absolute;left:0pt;margin-left:60.95pt;margin-top:53.85pt;height:0.75pt;width:473.4pt;mso-position-horizontal-relative:page;mso-position-vertical-relative:page;z-index:251676672;mso-width-relative:page;mso-height-relative:page;" fillcolor="#000000" filled="t" stroked="f" coordsize="9467,15" o:allowincell="f" path="m0,0l9467,0,9467,14,0,14,0,0xe">
          <v:path/>
          <v:fill on="t" focussize="0,0"/>
          <v:stroke on="f"/>
          <v:imagedata o:title=""/>
          <o:lock v:ext="edit"/>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16C16">
    <w:pPr>
      <w:pStyle w:val="2"/>
      <w:spacing w:line="46" w:lineRule="auto"/>
      <w:rPr>
        <w:sz w:val="2"/>
      </w:rPr>
    </w:pPr>
    <w:r>
      <w:pict>
        <v:shape id="_x0000_s2083" o:spid="_x0000_s2083" style="position:absolute;left:0pt;margin-left:60.95pt;margin-top:53.85pt;height:0.75pt;width:473.4pt;mso-position-horizontal-relative:page;mso-position-vertical-relative:page;z-index:251678720;mso-width-relative:page;mso-height-relative:page;" fillcolor="#000000" filled="t" stroked="f" coordsize="9467,15" o:allowincell="f" path="m0,0l9467,0,9467,14,0,14,0,0xe">
          <v:path/>
          <v:fill on="t" focussize="0,0"/>
          <v:stroke on="f"/>
          <v:imagedata o:title=""/>
          <o:lock v:ext="edit"/>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2A93B">
    <w:pPr>
      <w:pStyle w:val="2"/>
      <w:spacing w:line="46" w:lineRule="auto"/>
      <w:rPr>
        <w:sz w:val="2"/>
      </w:rPr>
    </w:pPr>
    <w:r>
      <w:pict>
        <v:shape id="_x0000_s2084" o:spid="_x0000_s2084" style="position:absolute;left:0pt;margin-left:60.95pt;margin-top:53.85pt;height:0.75pt;width:473.4pt;mso-position-horizontal-relative:page;mso-position-vertical-relative:page;z-index:251673600;mso-width-relative:page;mso-height-relative:page;" fillcolor="#000000" filled="t" stroked="f" coordsize="9467,15" o:allowincell="f" path="m0,0l9467,0,9467,14,0,14,0,0xe">
          <v:path/>
          <v:fill on="t" focussize="0,0"/>
          <v:stroke on="f"/>
          <v:imagedata o:title=""/>
          <o:lock v:ext="edit"/>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5E06">
    <w:pPr>
      <w:pStyle w:val="2"/>
      <w:spacing w:line="46" w:lineRule="auto"/>
      <w:rPr>
        <w:sz w:val="2"/>
      </w:rPr>
    </w:pPr>
    <w:r>
      <w:pict>
        <v:shape id="_x0000_s2085" o:spid="_x0000_s2085" style="position:absolute;left:0pt;margin-left:60.95pt;margin-top:53.85pt;height:0.75pt;width:473.4pt;mso-position-horizontal-relative:page;mso-position-vertical-relative:page;z-index:251676672;mso-width-relative:page;mso-height-relative:page;" fillcolor="#000000" filled="t" stroked="f" coordsize="9467,15" o:allowincell="f" path="m0,0l9467,0,9467,14,0,14,0,0xe">
          <v:path/>
          <v:fill on="t" focussize="0,0"/>
          <v:stroke on="f"/>
          <v:imagedata o:title=""/>
          <o:lock v:ext="edit"/>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83DEA">
    <w:pPr>
      <w:pStyle w:val="2"/>
      <w:spacing w:line="46" w:lineRule="auto"/>
      <w:rPr>
        <w:sz w:val="2"/>
      </w:rPr>
    </w:pPr>
    <w:r>
      <w:pict>
        <v:shape id="_x0000_s2086" o:spid="_x0000_s2086" style="position:absolute;left:0pt;margin-left:60.95pt;margin-top:53.85pt;height:0.75pt;width:473.4pt;mso-position-horizontal-relative:page;mso-position-vertical-relative:page;z-index:251675648;mso-width-relative:page;mso-height-relative:page;" fillcolor="#000000" filled="t" stroked="f" coordsize="9467,15" o:allowincell="f" path="m0,0l9467,0,9467,14,0,14,0,0xe">
          <v:path/>
          <v:fill on="t" focussize="0,0"/>
          <v:stroke on="f"/>
          <v:imagedata o:title=""/>
          <o:lock v:ext="edit"/>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59854">
    <w:pPr>
      <w:pStyle w:val="2"/>
      <w:spacing w:line="46" w:lineRule="auto"/>
      <w:rPr>
        <w:sz w:val="2"/>
      </w:rPr>
    </w:pPr>
    <w:r>
      <w:pict>
        <v:shape id="_x0000_s2087" o:spid="_x0000_s2087" style="position:absolute;left:0pt;margin-left:60.95pt;margin-top:53.85pt;height:0.75pt;width:473.4pt;mso-position-horizontal-relative:page;mso-position-vertical-relative:page;z-index:251679744;mso-width-relative:page;mso-height-relative:page;" fillcolor="#000000" filled="t" stroked="f" coordsize="9467,15" o:allowincell="f" path="m0,0l9467,0,9467,14,0,14,0,0xe">
          <v:path/>
          <v:fill on="t" focussize="0,0"/>
          <v:stroke on="f"/>
          <v:imagedata o:title=""/>
          <o:lock v:ext="edit"/>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5E5B">
    <w:pPr>
      <w:pStyle w:val="2"/>
      <w:spacing w:line="46" w:lineRule="auto"/>
      <w:rPr>
        <w:sz w:val="2"/>
      </w:rPr>
    </w:pPr>
    <w:r>
      <w:pict>
        <v:shape id="_x0000_s2088" o:spid="_x0000_s2088" style="position:absolute;left:0pt;margin-left:60.95pt;margin-top:53.85pt;height:0.75pt;width:473.4pt;mso-position-horizontal-relative:page;mso-position-vertical-relative:page;z-index:251676672;mso-width-relative:page;mso-height-relative:page;" fillcolor="#000000" filled="t" stroked="f" coordsize="9467,15" o:allowincell="f" path="m0,0l9467,0,9467,14,0,14,0,0xe">
          <v:path/>
          <v:fill on="t" focussize="0,0"/>
          <v:stroke on="f"/>
          <v:imagedata o:title=""/>
          <o:lock v:ext="edit"/>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37CEC">
    <w:pPr>
      <w:pStyle w:val="2"/>
      <w:spacing w:line="46" w:lineRule="auto"/>
      <w:rPr>
        <w:sz w:val="2"/>
      </w:rPr>
    </w:pPr>
    <w:r>
      <w:pict>
        <v:shape id="_x0000_s2089" o:spid="_x0000_s2089" style="position:absolute;left:0pt;margin-left:60.95pt;margin-top:53.85pt;height:0.75pt;width:473.4pt;mso-position-horizontal-relative:page;mso-position-vertical-relative:page;z-index:251682816;mso-width-relative:page;mso-height-relative:page;" fillcolor="#000000" filled="t" stroked="f" coordsize="9467,15" o:allowincell="f" path="m0,0l9467,0,9467,14,0,14,0,0x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0B3F">
    <w:pPr>
      <w:pStyle w:val="2"/>
      <w:spacing w:line="187" w:lineRule="exact"/>
      <w:rPr>
        <w:sz w:val="16"/>
      </w:rPr>
    </w:pPr>
    <w:r>
      <w:pict>
        <v:shape id="_x0000_s2054" o:spid="_x0000_s2054" style="position:absolute;left:0pt;margin-left:73.7pt;margin-top:47.3pt;height:0.75pt;width:447.85pt;mso-position-horizontal-relative:page;mso-position-vertical-relative:page;z-index:251662336;mso-width-relative:page;mso-height-relative:page;" fillcolor="#000000" filled="t" stroked="f" coordsize="8957,15" o:allowincell="f" path="m0,0l8956,0,8956,14,0,14,0,0xe">
          <v:path/>
          <v:fill on="t" focussize="0,0"/>
          <v:stroke on="f"/>
          <v:imagedata o:title=""/>
          <o:lock v:ext="edit"/>
        </v:shape>
      </w:pict>
    </w:r>
    <w:r>
      <w:pict>
        <v:shape id="_x0000_s2055" o:spid="_x0000_s2055" style="position:absolute;left:0pt;margin-left:49.8pt;margin-top:56.7pt;height:0.5pt;width:495.65pt;mso-position-horizontal-relative:page;mso-position-vertical-relative:page;z-index:251663360;mso-width-relative:page;mso-height-relative:page;" filled="f" stroked="t" coordsize="9912,10" o:allowincell="f" path="m0,4l9912,4e">
          <v:fill on="f" focussize="0,0"/>
          <v:stroke weight="0.48pt" color="#000000" miterlimit="2" joinstyle="bevel"/>
          <v:imagedata o:title=""/>
          <o:lock v:ext="edit"/>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20804">
    <w:pPr>
      <w:pStyle w:val="2"/>
      <w:spacing w:line="46" w:lineRule="auto"/>
      <w:rPr>
        <w:sz w:val="2"/>
      </w:rPr>
    </w:pPr>
    <w:r>
      <w:pict>
        <v:shape id="_x0000_s2090" o:spid="_x0000_s2090"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CE94C">
    <w:pPr>
      <w:pStyle w:val="2"/>
      <w:spacing w:line="46" w:lineRule="auto"/>
      <w:rPr>
        <w:sz w:val="2"/>
      </w:rPr>
    </w:pPr>
    <w:r>
      <w:pict>
        <v:shape id="_x0000_s2091" o:spid="_x0000_s2091" style="position:absolute;left:0pt;margin-left:60.95pt;margin-top:53.85pt;height:0.75pt;width:473.4pt;mso-position-horizontal-relative:page;mso-position-vertical-relative:page;z-index:251673600;mso-width-relative:page;mso-height-relative:page;" fillcolor="#000000" filled="t" stroked="f" coordsize="9467,15" o:allowincell="f" path="m0,0l9467,0,9467,14,0,14,0,0xe">
          <v:path/>
          <v:fill on="t" focussize="0,0"/>
          <v:stroke on="f"/>
          <v:imagedata o:title=""/>
          <o:lock v:ext="edit"/>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422E9">
    <w:pPr>
      <w:pStyle w:val="2"/>
      <w:spacing w:line="46" w:lineRule="auto"/>
      <w:rPr>
        <w:sz w:val="2"/>
      </w:rPr>
    </w:pPr>
    <w:r>
      <w:pict>
        <v:shape id="_x0000_s2092" o:spid="_x0000_s2092"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7C3A6">
    <w:pPr>
      <w:pStyle w:val="2"/>
      <w:spacing w:line="46" w:lineRule="auto"/>
      <w:rPr>
        <w:sz w:val="2"/>
      </w:rPr>
    </w:pPr>
    <w:r>
      <w:pict>
        <v:shape id="_x0000_s2093" o:spid="_x0000_s2093"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4780F">
    <w:pPr>
      <w:pStyle w:val="2"/>
      <w:spacing w:line="46" w:lineRule="auto"/>
      <w:rPr>
        <w:sz w:val="2"/>
      </w:rPr>
    </w:pPr>
    <w:r>
      <w:pict>
        <v:shape id="_x0000_s2094" o:spid="_x0000_s2094" style="position:absolute;left:0pt;margin-left:60.95pt;margin-top:53.85pt;height:0.75pt;width:473.4pt;mso-position-horizontal-relative:page;mso-position-vertical-relative:page;z-index:251675648;mso-width-relative:page;mso-height-relative:page;" fillcolor="#000000" filled="t" stroked="f" coordsize="9467,15" o:allowincell="f" path="m0,0l9467,0,9467,14,0,14,0,0xe">
          <v:path/>
          <v:fill on="t" focussize="0,0"/>
          <v:stroke on="f"/>
          <v:imagedata o:title=""/>
          <o:lock v:ext="edit"/>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45D0">
    <w:pPr>
      <w:pStyle w:val="2"/>
      <w:spacing w:line="46" w:lineRule="auto"/>
      <w:rPr>
        <w:sz w:val="2"/>
      </w:rPr>
    </w:pPr>
    <w:r>
      <w:pict>
        <v:shape id="_x0000_s2095" o:spid="_x0000_s2095"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9F7F9">
    <w:pPr>
      <w:pStyle w:val="2"/>
      <w:spacing w:line="46" w:lineRule="auto"/>
      <w:rPr>
        <w:sz w:val="2"/>
      </w:rPr>
    </w:pPr>
    <w:r>
      <w:pict>
        <v:shape id="_x0000_s2096" o:spid="_x0000_s2096"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0819">
    <w:pPr>
      <w:pStyle w:val="2"/>
      <w:spacing w:line="46" w:lineRule="auto"/>
      <w:rPr>
        <w:sz w:val="2"/>
      </w:rPr>
    </w:pPr>
    <w:r>
      <w:pict>
        <v:shape id="_x0000_s2097" o:spid="_x0000_s2097" style="position:absolute;left:0pt;margin-left:60.95pt;margin-top:53.85pt;height:0.75pt;width:473.4pt;mso-position-horizontal-relative:page;mso-position-vertical-relative:page;z-index:251689984;mso-width-relative:page;mso-height-relative:page;" fillcolor="#000000" filled="t" stroked="f" coordsize="9467,15" o:allowincell="f" path="m0,0l9467,0,9467,14,0,14,0,0xe">
          <v:path/>
          <v:fill on="t" focussize="0,0"/>
          <v:stroke on="f"/>
          <v:imagedata o:title=""/>
          <o:lock v:ext="edit"/>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B84B5">
    <w:pPr>
      <w:pStyle w:val="2"/>
      <w:spacing w:line="46" w:lineRule="auto"/>
      <w:rPr>
        <w:sz w:val="2"/>
      </w:rPr>
    </w:pPr>
    <w:r>
      <w:pict>
        <v:shape id="_x0000_s2098" o:spid="_x0000_s2098"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B23D">
    <w:pPr>
      <w:pStyle w:val="2"/>
      <w:spacing w:line="46" w:lineRule="auto"/>
      <w:rPr>
        <w:sz w:val="2"/>
      </w:rPr>
    </w:pPr>
    <w:r>
      <w:pict>
        <v:shape id="_x0000_s2099" o:spid="_x0000_s2099"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9A471">
    <w:pPr>
      <w:pStyle w:val="2"/>
      <w:spacing w:line="46" w:lineRule="auto"/>
      <w:rPr>
        <w:sz w:val="2"/>
      </w:rPr>
    </w:pPr>
    <w:r>
      <w:pict>
        <v:shape id="_x0000_s2056" o:spid="_x0000_s2056" style="position:absolute;left:0pt;margin-left:79.35pt;margin-top:47.3pt;height:0.75pt;width:436.6pt;mso-position-horizontal-relative:page;mso-position-vertical-relative:page;z-index:251664384;mso-width-relative:page;mso-height-relative:page;" fillcolor="#000000" filled="t" stroked="f" coordsize="8732,15" o:allowincell="f" path="m0,0l8731,0,8731,14,0,14,0,0xe">
          <v:path/>
          <v:fill on="t" focussize="0,0"/>
          <v:stroke on="f"/>
          <v:imagedata o:title=""/>
          <o:lock v:ext="edit"/>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8ACDB">
    <w:pPr>
      <w:pStyle w:val="2"/>
      <w:spacing w:line="46" w:lineRule="auto"/>
      <w:rPr>
        <w:sz w:val="2"/>
      </w:rPr>
    </w:pPr>
    <w:r>
      <w:pict>
        <v:shape id="_x0000_s2100" o:spid="_x0000_s2100"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7B28D">
    <w:pPr>
      <w:pStyle w:val="2"/>
      <w:spacing w:line="46" w:lineRule="auto"/>
      <w:rPr>
        <w:sz w:val="2"/>
      </w:rPr>
    </w:pPr>
    <w:r>
      <w:pict>
        <v:shape id="_x0000_s2101" o:spid="_x0000_s2101" style="position:absolute;left:0pt;margin-left:60.95pt;margin-top:53.85pt;height:0.75pt;width:473.4pt;mso-position-horizontal-relative:page;mso-position-vertical-relative:page;z-index:251693056;mso-width-relative:page;mso-height-relative:page;" fillcolor="#000000" filled="t" stroked="f" coordsize="9467,15" o:allowincell="f" path="m0,0l9467,0,9467,14,0,14,0,0xe">
          <v:path/>
          <v:fill on="t" focussize="0,0"/>
          <v:stroke on="f"/>
          <v:imagedata o:title=""/>
          <o:lock v:ext="edit"/>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D7CE">
    <w:pPr>
      <w:pStyle w:val="2"/>
      <w:spacing w:line="46" w:lineRule="auto"/>
      <w:rPr>
        <w:sz w:val="2"/>
      </w:rPr>
    </w:pPr>
    <w:r>
      <w:pict>
        <v:shape id="_x0000_s2102" o:spid="_x0000_s2102" style="position:absolute;left:0pt;margin-left:60.95pt;margin-top:53.85pt;height:0.75pt;width:473.4pt;mso-position-horizontal-relative:page;mso-position-vertical-relative:page;z-index:251673600;mso-width-relative:page;mso-height-relative:page;" fillcolor="#000000" filled="t" stroked="f" coordsize="9467,15" o:allowincell="f" path="m0,0l9467,0,9467,14,0,14,0,0xe">
          <v:path/>
          <v:fill on="t" focussize="0,0"/>
          <v:stroke on="f"/>
          <v:imagedata o:title=""/>
          <o:lock v:ext="edit"/>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24F7">
    <w:pPr>
      <w:pStyle w:val="2"/>
      <w:spacing w:line="46" w:lineRule="auto"/>
      <w:rPr>
        <w:sz w:val="2"/>
      </w:rPr>
    </w:pPr>
    <w:r>
      <w:pict>
        <v:shape id="_x0000_s2103" o:spid="_x0000_s2103"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BAD61">
    <w:pPr>
      <w:pStyle w:val="2"/>
      <w:spacing w:line="46" w:lineRule="auto"/>
      <w:rPr>
        <w:sz w:val="2"/>
      </w:rPr>
    </w:pPr>
    <w:r>
      <w:pict>
        <v:shape id="_x0000_s2104" o:spid="_x0000_s2104" style="position:absolute;left:0pt;margin-left:60.95pt;margin-top:53.85pt;height:0.75pt;width:473.4pt;mso-position-horizontal-relative:page;mso-position-vertical-relative:page;z-index:251674624;mso-width-relative:page;mso-height-relative:page;" fillcolor="#000000" filled="t" stroked="f" coordsize="9467,15" o:allowincell="f" path="m0,0l9467,0,9467,14,0,14,0,0xe">
          <v:path/>
          <v:fill on="t" focussize="0,0"/>
          <v:stroke on="f"/>
          <v:imagedata o:title=""/>
          <o:lock v:ext="edit"/>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54620">
    <w:pPr>
      <w:pStyle w:val="2"/>
      <w:spacing w:line="46" w:lineRule="auto"/>
      <w:rPr>
        <w:sz w:val="2"/>
      </w:rPr>
    </w:pPr>
    <w:r>
      <w:pict>
        <v:shape id="_x0000_s2105" o:spid="_x0000_s2105"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7A8AB">
    <w:pPr>
      <w:pStyle w:val="2"/>
      <w:spacing w:line="46" w:lineRule="auto"/>
      <w:rPr>
        <w:sz w:val="2"/>
      </w:rPr>
    </w:pPr>
    <w:r>
      <w:pict>
        <v:shape id="_x0000_s2106" o:spid="_x0000_s2106" style="position:absolute;left:0pt;margin-left:60.95pt;margin-top:53.85pt;height:0.75pt;width:473.4pt;mso-position-horizontal-relative:page;mso-position-vertical-relative:page;z-index:251697152;mso-width-relative:page;mso-height-relative:page;" fillcolor="#000000" filled="t" stroked="f" coordsize="9467,15" o:allowincell="f" path="m0,0l9467,0,9467,14,0,14,0,0xe">
          <v:path/>
          <v:fill on="t" focussize="0,0"/>
          <v:stroke on="f"/>
          <v:imagedata o:title=""/>
          <o:lock v:ext="edit"/>
        </v:shape>
      </w:pic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CDC29">
    <w:pPr>
      <w:pStyle w:val="2"/>
      <w:spacing w:line="46" w:lineRule="auto"/>
      <w:rPr>
        <w:sz w:val="2"/>
      </w:rPr>
    </w:pPr>
    <w:r>
      <w:pict>
        <v:shape id="_x0000_s2107" o:spid="_x0000_s2107" style="position:absolute;left:0pt;margin-left:60.95pt;margin-top:53.85pt;height:0.75pt;width:473.4pt;mso-position-horizontal-relative:page;mso-position-vertical-relative:page;z-index:251676672;mso-width-relative:page;mso-height-relative:page;" fillcolor="#000000" filled="t" stroked="f" coordsize="9467,15" o:allowincell="f" path="m0,0l9467,0,9467,14,0,14,0,0xe">
          <v:path/>
          <v:fill on="t" focussize="0,0"/>
          <v:stroke on="f"/>
          <v:imagedata o:title=""/>
          <o:lock v:ext="edit"/>
        </v:shape>
      </w:pic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704F8">
    <w:pPr>
      <w:pStyle w:val="2"/>
      <w:spacing w:line="46" w:lineRule="auto"/>
      <w:rPr>
        <w:sz w:val="2"/>
      </w:rPr>
    </w:pPr>
    <w:r>
      <w:pict>
        <v:shape id="_x0000_s2108" o:spid="_x0000_s2108" style="position:absolute;left:0pt;margin-left:60.95pt;margin-top:53.85pt;height:0.75pt;width:473.4pt;mso-position-horizontal-relative:page;mso-position-vertical-relative:page;z-index:251700224;mso-width-relative:page;mso-height-relative:page;" fillcolor="#000000" filled="t" stroked="f" coordsize="9467,15" o:allowincell="f" path="m0,0l9467,0,9467,14,0,14,0,0xe">
          <v:path/>
          <v:fill on="t" focussize="0,0"/>
          <v:stroke on="f"/>
          <v:imagedata o:title=""/>
          <o:lock v:ext="edit"/>
        </v:shape>
      </w:pic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97457">
    <w:pPr>
      <w:pStyle w:val="2"/>
      <w:spacing w:line="46" w:lineRule="auto"/>
      <w:rPr>
        <w:sz w:val="2"/>
      </w:rPr>
    </w:pPr>
    <w:r>
      <w:pict>
        <v:shape id="_x0000_s2109" o:spid="_x0000_s2109"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17EFD">
    <w:pPr>
      <w:pStyle w:val="2"/>
      <w:spacing w:line="46" w:lineRule="auto"/>
      <w:rPr>
        <w:sz w:val="2"/>
      </w:rPr>
    </w:pPr>
    <w:r>
      <w:pict>
        <v:shape id="_x0000_s2057" o:spid="_x0000_s2057" style="position:absolute;left:0pt;margin-left:79.35pt;margin-top:47.3pt;height:0.75pt;width:436.6pt;mso-position-horizontal-relative:page;mso-position-vertical-relative:page;z-index:251665408;mso-width-relative:page;mso-height-relative:page;" fillcolor="#000000" filled="t" stroked="f" coordsize="8732,15" o:allowincell="f" path="m0,0l8731,0,8731,14,0,14,0,0xe">
          <v:path/>
          <v:fill on="t" focussize="0,0"/>
          <v:stroke on="f"/>
          <v:imagedata o:title=""/>
          <o:lock v:ext="edit"/>
        </v:shape>
      </w:pic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EF7D4">
    <w:pPr>
      <w:pStyle w:val="2"/>
      <w:spacing w:line="14" w:lineRule="auto"/>
      <w:rPr>
        <w:sz w:val="2"/>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91CD4">
    <w:pPr>
      <w:pStyle w:val="2"/>
      <w:spacing w:line="46" w:lineRule="auto"/>
      <w:rPr>
        <w:sz w:val="2"/>
      </w:rPr>
    </w:pPr>
    <w:r>
      <w:pict>
        <v:shape id="_x0000_s2110" o:spid="_x0000_s2110"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0FE20">
    <w:pPr>
      <w:pStyle w:val="2"/>
      <w:spacing w:line="14" w:lineRule="auto"/>
      <w:rPr>
        <w:sz w:val="2"/>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ED421">
    <w:pPr>
      <w:pStyle w:val="2"/>
      <w:spacing w:line="46" w:lineRule="auto"/>
      <w:rPr>
        <w:sz w:val="2"/>
      </w:rPr>
    </w:pPr>
    <w:r>
      <w:pict>
        <v:shape id="_x0000_s2111" o:spid="_x0000_s2111" style="position:absolute;left:0pt;margin-left:60.95pt;margin-top:53.85pt;height:0.75pt;width:473.4pt;mso-position-horizontal-relative:page;mso-position-vertical-relative:page;z-index:251693056;mso-width-relative:page;mso-height-relative:page;" fillcolor="#000000" filled="t" stroked="f" coordsize="9467,15" o:allowincell="f" path="m0,0l9467,0,9467,14,0,14,0,0xe">
          <v:path/>
          <v:fill on="t" focussize="0,0"/>
          <v:stroke on="f"/>
          <v:imagedata o:title=""/>
          <o:lock v:ext="edit"/>
        </v:shape>
      </w:pict>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63327">
    <w:pPr>
      <w:pStyle w:val="2"/>
      <w:spacing w:line="46" w:lineRule="auto"/>
      <w:rPr>
        <w:sz w:val="2"/>
      </w:rPr>
    </w:pPr>
    <w:r>
      <w:pict>
        <v:shape id="_x0000_s2112" o:spid="_x0000_s2112" style="position:absolute;left:0pt;margin-left:60.95pt;margin-top:53.85pt;height:0.75pt;width:473.4pt;mso-position-horizontal-relative:page;mso-position-vertical-relative:page;z-index:251689984;mso-width-relative:page;mso-height-relative:page;" fillcolor="#000000" filled="t" stroked="f" coordsize="9467,15" o:allowincell="f" path="m0,0l9467,0,9467,14,0,14,0,0xe">
          <v:path/>
          <v:fill on="t" focussize="0,0"/>
          <v:stroke on="f"/>
          <v:imagedata o:title=""/>
          <o:lock v:ext="edit"/>
        </v:shape>
      </w:pict>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5D754">
    <w:pPr>
      <w:pStyle w:val="2"/>
      <w:spacing w:line="14" w:lineRule="auto"/>
      <w:rPr>
        <w:sz w:val="2"/>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51D21">
    <w:pPr>
      <w:pStyle w:val="2"/>
      <w:spacing w:line="46" w:lineRule="auto"/>
      <w:rPr>
        <w:sz w:val="2"/>
      </w:rPr>
    </w:pPr>
    <w:r>
      <w:pict>
        <v:shape id="_x0000_s2113" o:spid="_x0000_s2113"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B8266">
    <w:pPr>
      <w:pStyle w:val="2"/>
      <w:spacing w:line="14" w:lineRule="auto"/>
      <w:rPr>
        <w:sz w:val="2"/>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6BB2A">
    <w:pPr>
      <w:pStyle w:val="2"/>
      <w:spacing w:line="46" w:lineRule="auto"/>
      <w:rPr>
        <w:sz w:val="2"/>
      </w:rPr>
    </w:pPr>
    <w:r>
      <w:pict>
        <v:shape id="_x0000_s2114" o:spid="_x0000_s2114"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27911">
    <w:pPr>
      <w:pStyle w:val="2"/>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FE440">
    <w:pPr>
      <w:pStyle w:val="2"/>
      <w:spacing w:line="14" w:lineRule="auto"/>
      <w:rPr>
        <w:sz w:val="2"/>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F3AF8">
    <w:pPr>
      <w:pStyle w:val="2"/>
      <w:spacing w:line="46" w:lineRule="auto"/>
      <w:rPr>
        <w:sz w:val="2"/>
      </w:rPr>
    </w:pPr>
    <w:r>
      <w:pict>
        <v:shape id="_x0000_s2115" o:spid="_x0000_s2115"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38A34">
    <w:pPr>
      <w:pStyle w:val="2"/>
      <w:spacing w:line="14" w:lineRule="auto"/>
      <w:rPr>
        <w:sz w:val="2"/>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F60EA">
    <w:pPr>
      <w:pStyle w:val="2"/>
      <w:spacing w:line="46" w:lineRule="auto"/>
      <w:rPr>
        <w:sz w:val="2"/>
      </w:rPr>
    </w:pPr>
    <w:r>
      <w:pict>
        <v:shape id="_x0000_s2116" o:spid="_x0000_s2116"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811F">
    <w:pPr>
      <w:pStyle w:val="2"/>
      <w:spacing w:line="46" w:lineRule="auto"/>
      <w:rPr>
        <w:sz w:val="2"/>
      </w:rPr>
    </w:pPr>
    <w:r>
      <w:pict>
        <v:shape id="_x0000_s2117" o:spid="_x0000_s2117" style="position:absolute;left:0pt;margin-left:60.95pt;margin-top:53.85pt;height:0.75pt;width:473.4pt;mso-position-horizontal-relative:page;mso-position-vertical-relative:page;z-index:251706368;mso-width-relative:page;mso-height-relative:page;" fillcolor="#000000" filled="t" stroked="f" coordsize="9467,15" o:allowincell="f" path="m0,0l9467,0,9467,14,0,14,0,0xe">
          <v:path/>
          <v:fill on="t" focussize="0,0"/>
          <v:stroke on="f"/>
          <v:imagedata o:title=""/>
          <o:lock v:ext="edit"/>
        </v:shape>
      </w:pict>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DAF9">
    <w:pPr>
      <w:pStyle w:val="2"/>
      <w:spacing w:line="46" w:lineRule="auto"/>
      <w:rPr>
        <w:sz w:val="2"/>
      </w:rPr>
    </w:pPr>
    <w:r>
      <w:pict>
        <v:shape id="_x0000_s2118" o:spid="_x0000_s2118" style="position:absolute;left:0pt;margin-left:60.95pt;margin-top:53.85pt;height:0.75pt;width:473.4pt;mso-position-horizontal-relative:page;mso-position-vertical-relative:page;z-index:251707392;mso-width-relative:page;mso-height-relative:page;" fillcolor="#000000" filled="t" stroked="f" coordsize="9467,15" o:allowincell="f" path="m0,0l9467,0,9467,14,0,14,0,0xe">
          <v:path/>
          <v:fill on="t" focussize="0,0"/>
          <v:stroke on="f"/>
          <v:imagedata o:title=""/>
          <o:lock v:ext="edit"/>
        </v:shape>
      </w:pic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52369">
    <w:pPr>
      <w:pStyle w:val="2"/>
      <w:spacing w:line="46" w:lineRule="auto"/>
      <w:rPr>
        <w:sz w:val="2"/>
      </w:rPr>
    </w:pPr>
    <w:r>
      <w:pict>
        <v:shape id="_x0000_s2119" o:spid="_x0000_s2119" style="position:absolute;left:0pt;margin-left:60.95pt;margin-top:53.85pt;height:0.75pt;width:473.4pt;mso-position-horizontal-relative:page;mso-position-vertical-relative:page;z-index:251672576;mso-width-relative:page;mso-height-relative:page;" fillcolor="#000000" filled="t" stroked="f" coordsize="9467,15" o:allowincell="f" path="m0,0l9467,0,9467,14,0,14,0,0xe">
          <v:path/>
          <v:fill on="t" focussize="0,0"/>
          <v:stroke on="f"/>
          <v:imagedata o:title=""/>
          <o:lock v:ext="edit"/>
        </v:shape>
      </w:pict>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045E3">
    <w:pPr>
      <w:pStyle w:val="2"/>
      <w:spacing w:line="46" w:lineRule="auto"/>
      <w:rPr>
        <w:sz w:val="2"/>
      </w:rPr>
    </w:pPr>
    <w:r>
      <w:pict>
        <v:shape id="_x0000_s2120" o:spid="_x0000_s2120" style="position:absolute;left:0pt;margin-left:90pt;margin-top:53.85pt;height:0.75pt;width:415.3pt;mso-position-horizontal-relative:page;mso-position-vertical-relative:page;z-index:251708416;mso-width-relative:page;mso-height-relative:page;" fillcolor="#000000" filled="t" stroked="f" coordsize="8305,15" o:allowincell="f" path="m0,0l8305,0,8305,14,0,14,0,0xe">
          <v:path/>
          <v:fill on="t" focussize="0,0"/>
          <v:stroke on="f"/>
          <v:imagedata o:title=""/>
          <o:lock v:ext="edit"/>
        </v:shape>
      </w:pict>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D30E">
    <w:pPr>
      <w:pStyle w:val="2"/>
      <w:spacing w:line="46" w:lineRule="auto"/>
      <w:rPr>
        <w:sz w:val="2"/>
      </w:rPr>
    </w:pPr>
    <w:r>
      <w:pict>
        <v:shape id="_x0000_s2121" o:spid="_x0000_s2121" style="position:absolute;left:0pt;margin-left:90pt;margin-top:53.85pt;height:0.75pt;width:415.3pt;mso-position-horizontal-relative:page;mso-position-vertical-relative:page;z-index:251709440;mso-width-relative:page;mso-height-relative:page;" fillcolor="#000000" filled="t" stroked="f" coordsize="8305,15" o:allowincell="f" path="m0,0l8305,0,8305,14,0,14,0,0xe">
          <v:path/>
          <v:fill on="t" focussize="0,0"/>
          <v:stroke on="f"/>
          <v:imagedata o:title=""/>
          <o:lock v:ext="edit"/>
        </v:shape>
      </w:pict>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F13C8">
    <w:pPr>
      <w:pStyle w:val="2"/>
      <w:spacing w:line="46" w:lineRule="auto"/>
      <w:rPr>
        <w:sz w:val="2"/>
      </w:rPr>
    </w:pPr>
    <w:r>
      <w:pict>
        <v:shape id="_x0000_s2122" o:spid="_x0000_s2122" style="position:absolute;left:0pt;margin-left:90pt;margin-top:53.85pt;height:0.75pt;width:415.3pt;mso-position-horizontal-relative:page;mso-position-vertical-relative:page;z-index:251710464;mso-width-relative:page;mso-height-relative:page;" fillcolor="#000000" filled="t" stroked="f" coordsize="8305,15" o:allowincell="f" path="m0,0l8305,0,8305,14,0,14,0,0xe">
          <v:path/>
          <v:fill on="t" focussize="0,0"/>
          <v:stroke on="f"/>
          <v:imagedata o:title=""/>
          <o:lock v:ext="edit"/>
        </v:shape>
      </w:pict>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657F4">
    <w:pPr>
      <w:pStyle w:val="2"/>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ACB31">
    <w:pPr>
      <w:pStyle w:val="2"/>
      <w:spacing w:line="46" w:lineRule="auto"/>
      <w:rPr>
        <w:sz w:val="2"/>
      </w:rPr>
    </w:pPr>
    <w:r>
      <w:pict>
        <v:shape id="_x0000_s2058" o:spid="_x0000_s2058" style="position:absolute;left:0pt;margin-left:56.7pt;margin-top:11.3pt;height:0.75pt;width:481.95pt;mso-position-horizontal-relative:page;mso-position-vertical-relative:page;z-index:251670528;mso-width-relative:page;mso-height-relative:page;" fillcolor="#000000" filled="t" stroked="f" coordsize="9639,15" o:allowincell="f" path="m0,0l9638,0,9638,14,0,14,0,0x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7A28">
    <w:pPr>
      <w:pStyle w:val="2"/>
      <w:spacing w:line="46" w:lineRule="auto"/>
      <w:rPr>
        <w:sz w:val="2"/>
      </w:rPr>
    </w:pPr>
    <w:r>
      <w:pict>
        <v:shape id="_x0000_s2059" o:spid="_x0000_s2059" style="position:absolute;left:0pt;margin-left:60.95pt;margin-top:53.85pt;height:0.75pt;width:473.4pt;mso-position-horizontal-relative:page;mso-position-vertical-relative:page;z-index:251671552;mso-width-relative:page;mso-height-relative:page;" fillcolor="#000000" filled="t" stroked="f" coordsize="9467,15" o:allowincell="f" path="m0,0l9467,0,9467,14,0,14,0,0x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F239CA"/>
    <w:multiLevelType w:val="singleLevel"/>
    <w:tmpl w:val="77F239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7153A5"/>
    <w:rsid w:val="03E730AF"/>
    <w:rsid w:val="04882BC0"/>
    <w:rsid w:val="049F168E"/>
    <w:rsid w:val="077F1687"/>
    <w:rsid w:val="087B2CE7"/>
    <w:rsid w:val="09DB2911"/>
    <w:rsid w:val="0A8B4FE6"/>
    <w:rsid w:val="0CC50FC7"/>
    <w:rsid w:val="0F9B0EE8"/>
    <w:rsid w:val="0F9C42D2"/>
    <w:rsid w:val="16691563"/>
    <w:rsid w:val="18FF6806"/>
    <w:rsid w:val="1B0A50FA"/>
    <w:rsid w:val="1B2A1722"/>
    <w:rsid w:val="1B9B26A0"/>
    <w:rsid w:val="1BEC3DC9"/>
    <w:rsid w:val="1F77470B"/>
    <w:rsid w:val="201C5584"/>
    <w:rsid w:val="22672929"/>
    <w:rsid w:val="22AA7A2F"/>
    <w:rsid w:val="25586F13"/>
    <w:rsid w:val="27673E35"/>
    <w:rsid w:val="278725F8"/>
    <w:rsid w:val="2A430F19"/>
    <w:rsid w:val="2C86798E"/>
    <w:rsid w:val="2D64028A"/>
    <w:rsid w:val="2E951288"/>
    <w:rsid w:val="320C339A"/>
    <w:rsid w:val="34FB796B"/>
    <w:rsid w:val="350845A4"/>
    <w:rsid w:val="351831AD"/>
    <w:rsid w:val="3701520E"/>
    <w:rsid w:val="3974645A"/>
    <w:rsid w:val="3980612A"/>
    <w:rsid w:val="3BEC68D3"/>
    <w:rsid w:val="3BED0C70"/>
    <w:rsid w:val="3C6B7ACC"/>
    <w:rsid w:val="443E3008"/>
    <w:rsid w:val="46357180"/>
    <w:rsid w:val="47C15863"/>
    <w:rsid w:val="4AAD0316"/>
    <w:rsid w:val="4C9A3E35"/>
    <w:rsid w:val="4D7F3CDB"/>
    <w:rsid w:val="4F85070E"/>
    <w:rsid w:val="4FCB74FE"/>
    <w:rsid w:val="51A85FD8"/>
    <w:rsid w:val="53B06332"/>
    <w:rsid w:val="57425DF2"/>
    <w:rsid w:val="58600972"/>
    <w:rsid w:val="5B3C1A65"/>
    <w:rsid w:val="5BBA3E20"/>
    <w:rsid w:val="5D9F285E"/>
    <w:rsid w:val="5F166FCB"/>
    <w:rsid w:val="5F8D66F8"/>
    <w:rsid w:val="63DC4C88"/>
    <w:rsid w:val="647B3D4D"/>
    <w:rsid w:val="660C5310"/>
    <w:rsid w:val="68A47863"/>
    <w:rsid w:val="6C34175B"/>
    <w:rsid w:val="6C3E20D6"/>
    <w:rsid w:val="6D627B76"/>
    <w:rsid w:val="6EB51B6F"/>
    <w:rsid w:val="70DA6D98"/>
    <w:rsid w:val="72C05CFA"/>
    <w:rsid w:val="7450554C"/>
    <w:rsid w:val="757D16A2"/>
    <w:rsid w:val="757D214A"/>
    <w:rsid w:val="78135A15"/>
    <w:rsid w:val="78663838"/>
    <w:rsid w:val="798F3A5E"/>
    <w:rsid w:val="7B551150"/>
    <w:rsid w:val="7BA1460B"/>
    <w:rsid w:val="7F7122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toc 3"/>
    <w:basedOn w:val="1"/>
    <w:next w:val="1"/>
    <w:qFormat/>
    <w:uiPriority w:val="0"/>
    <w:pPr>
      <w:ind w:left="840" w:leftChars="400"/>
    </w:pPr>
  </w:style>
  <w:style w:type="paragraph" w:styleId="4">
    <w:name w:val="toc 1"/>
    <w:basedOn w:val="1"/>
    <w:next w:val="1"/>
    <w:qFormat/>
    <w:uiPriority w:val="0"/>
  </w:style>
  <w:style w:type="paragraph" w:styleId="5">
    <w:name w:val="toc 2"/>
    <w:basedOn w:val="1"/>
    <w:next w:val="1"/>
    <w:qFormat/>
    <w:uiPriority w:val="0"/>
    <w:pPr>
      <w:ind w:left="420" w:leftChars="200"/>
    </w:p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14.xml"/><Relationship Id="rId98" Type="http://schemas.openxmlformats.org/officeDocument/2006/relationships/footer" Target="footer81.xml"/><Relationship Id="rId97" Type="http://schemas.openxmlformats.org/officeDocument/2006/relationships/footer" Target="footer80.xml"/><Relationship Id="rId96" Type="http://schemas.openxmlformats.org/officeDocument/2006/relationships/footer" Target="footer79.xml"/><Relationship Id="rId95" Type="http://schemas.openxmlformats.org/officeDocument/2006/relationships/header" Target="header13.xml"/><Relationship Id="rId94" Type="http://schemas.openxmlformats.org/officeDocument/2006/relationships/footer" Target="footer78.xml"/><Relationship Id="rId93" Type="http://schemas.openxmlformats.org/officeDocument/2006/relationships/header" Target="header12.xml"/><Relationship Id="rId92" Type="http://schemas.openxmlformats.org/officeDocument/2006/relationships/footer" Target="footer77.xml"/><Relationship Id="rId91" Type="http://schemas.openxmlformats.org/officeDocument/2006/relationships/header" Target="header11.xml"/><Relationship Id="rId90" Type="http://schemas.openxmlformats.org/officeDocument/2006/relationships/footer" Target="footer76.xml"/><Relationship Id="rId9" Type="http://schemas.openxmlformats.org/officeDocument/2006/relationships/header" Target="header3.xml"/><Relationship Id="rId89" Type="http://schemas.openxmlformats.org/officeDocument/2006/relationships/footer" Target="footer75.xml"/><Relationship Id="rId88" Type="http://schemas.openxmlformats.org/officeDocument/2006/relationships/header" Target="header10.xml"/><Relationship Id="rId87" Type="http://schemas.openxmlformats.org/officeDocument/2006/relationships/footer" Target="footer74.xml"/><Relationship Id="rId86" Type="http://schemas.openxmlformats.org/officeDocument/2006/relationships/header" Target="header9.xml"/><Relationship Id="rId85" Type="http://schemas.openxmlformats.org/officeDocument/2006/relationships/footer" Target="footer73.xml"/><Relationship Id="rId84" Type="http://schemas.openxmlformats.org/officeDocument/2006/relationships/header" Target="header8.xml"/><Relationship Id="rId83" Type="http://schemas.openxmlformats.org/officeDocument/2006/relationships/footer" Target="footer72.xml"/><Relationship Id="rId82" Type="http://schemas.openxmlformats.org/officeDocument/2006/relationships/footer" Target="footer71.xml"/><Relationship Id="rId81" Type="http://schemas.openxmlformats.org/officeDocument/2006/relationships/footer" Target="footer70.xml"/><Relationship Id="rId80" Type="http://schemas.openxmlformats.org/officeDocument/2006/relationships/footer" Target="footer69.xml"/><Relationship Id="rId8" Type="http://schemas.openxmlformats.org/officeDocument/2006/relationships/footer" Target="footer2.xml"/><Relationship Id="rId79" Type="http://schemas.openxmlformats.org/officeDocument/2006/relationships/footer" Target="footer68.xml"/><Relationship Id="rId78" Type="http://schemas.openxmlformats.org/officeDocument/2006/relationships/footer" Target="footer67.xml"/><Relationship Id="rId77" Type="http://schemas.openxmlformats.org/officeDocument/2006/relationships/footer" Target="footer66.xml"/><Relationship Id="rId76" Type="http://schemas.openxmlformats.org/officeDocument/2006/relationships/footer" Target="footer65.xml"/><Relationship Id="rId75" Type="http://schemas.openxmlformats.org/officeDocument/2006/relationships/footer" Target="footer64.xml"/><Relationship Id="rId74" Type="http://schemas.openxmlformats.org/officeDocument/2006/relationships/footer" Target="footer63.xml"/><Relationship Id="rId73" Type="http://schemas.openxmlformats.org/officeDocument/2006/relationships/footer" Target="footer62.xml"/><Relationship Id="rId72" Type="http://schemas.openxmlformats.org/officeDocument/2006/relationships/footer" Target="footer61.xml"/><Relationship Id="rId71" Type="http://schemas.openxmlformats.org/officeDocument/2006/relationships/footer" Target="footer60.xml"/><Relationship Id="rId70" Type="http://schemas.openxmlformats.org/officeDocument/2006/relationships/footer" Target="footer59.xml"/><Relationship Id="rId7" Type="http://schemas.openxmlformats.org/officeDocument/2006/relationships/header" Target="header2.xml"/><Relationship Id="rId69" Type="http://schemas.openxmlformats.org/officeDocument/2006/relationships/footer" Target="footer58.xml"/><Relationship Id="rId68" Type="http://schemas.openxmlformats.org/officeDocument/2006/relationships/footer" Target="footer57.xml"/><Relationship Id="rId67" Type="http://schemas.openxmlformats.org/officeDocument/2006/relationships/footer" Target="footer56.xml"/><Relationship Id="rId66" Type="http://schemas.openxmlformats.org/officeDocument/2006/relationships/footer" Target="footer55.xml"/><Relationship Id="rId65" Type="http://schemas.openxmlformats.org/officeDocument/2006/relationships/footer" Target="footer54.xml"/><Relationship Id="rId64" Type="http://schemas.openxmlformats.org/officeDocument/2006/relationships/footer" Target="footer53.xml"/><Relationship Id="rId63" Type="http://schemas.openxmlformats.org/officeDocument/2006/relationships/footer" Target="footer52.xml"/><Relationship Id="rId62" Type="http://schemas.openxmlformats.org/officeDocument/2006/relationships/footer" Target="footer51.xml"/><Relationship Id="rId61" Type="http://schemas.openxmlformats.org/officeDocument/2006/relationships/footer" Target="footer50.xml"/><Relationship Id="rId60" Type="http://schemas.openxmlformats.org/officeDocument/2006/relationships/footer" Target="footer49.xml"/><Relationship Id="rId6" Type="http://schemas.openxmlformats.org/officeDocument/2006/relationships/footer" Target="footer1.xml"/><Relationship Id="rId59" Type="http://schemas.openxmlformats.org/officeDocument/2006/relationships/footer" Target="footer48.xml"/><Relationship Id="rId58" Type="http://schemas.openxmlformats.org/officeDocument/2006/relationships/footer" Target="footer47.xml"/><Relationship Id="rId57" Type="http://schemas.openxmlformats.org/officeDocument/2006/relationships/footer" Target="footer46.xml"/><Relationship Id="rId56" Type="http://schemas.openxmlformats.org/officeDocument/2006/relationships/footer" Target="footer45.xml"/><Relationship Id="rId55" Type="http://schemas.openxmlformats.org/officeDocument/2006/relationships/footer" Target="footer44.xml"/><Relationship Id="rId54" Type="http://schemas.openxmlformats.org/officeDocument/2006/relationships/footer" Target="footer43.xml"/><Relationship Id="rId53" Type="http://schemas.openxmlformats.org/officeDocument/2006/relationships/footer" Target="footer42.xml"/><Relationship Id="rId52" Type="http://schemas.openxmlformats.org/officeDocument/2006/relationships/footer" Target="footer41.xml"/><Relationship Id="rId51" Type="http://schemas.openxmlformats.org/officeDocument/2006/relationships/footer" Target="footer40.xml"/><Relationship Id="rId50" Type="http://schemas.openxmlformats.org/officeDocument/2006/relationships/footer" Target="footer39.xml"/><Relationship Id="rId5" Type="http://schemas.openxmlformats.org/officeDocument/2006/relationships/header" Target="header1.xml"/><Relationship Id="rId49" Type="http://schemas.openxmlformats.org/officeDocument/2006/relationships/footer" Target="footer38.xml"/><Relationship Id="rId48" Type="http://schemas.openxmlformats.org/officeDocument/2006/relationships/footer" Target="footer37.xml"/><Relationship Id="rId47" Type="http://schemas.openxmlformats.org/officeDocument/2006/relationships/footer" Target="footer36.xml"/><Relationship Id="rId46" Type="http://schemas.openxmlformats.org/officeDocument/2006/relationships/footer" Target="footer35.xml"/><Relationship Id="rId45" Type="http://schemas.openxmlformats.org/officeDocument/2006/relationships/footer" Target="footer34.xml"/><Relationship Id="rId44" Type="http://schemas.openxmlformats.org/officeDocument/2006/relationships/footer" Target="footer33.xml"/><Relationship Id="rId43" Type="http://schemas.openxmlformats.org/officeDocument/2006/relationships/footer" Target="footer32.xml"/><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footer" Target="footer29.xml"/><Relationship Id="rId4" Type="http://schemas.openxmlformats.org/officeDocument/2006/relationships/endnotes" Target="endnotes.xml"/><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footer" Target="footer26.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footnotes" Target="footnotes.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footer" Target="footer16.xml"/><Relationship Id="rId264" Type="http://schemas.openxmlformats.org/officeDocument/2006/relationships/fontTable" Target="fontTable.xml"/><Relationship Id="rId263" Type="http://schemas.openxmlformats.org/officeDocument/2006/relationships/numbering" Target="numbering.xml"/><Relationship Id="rId262" Type="http://schemas.openxmlformats.org/officeDocument/2006/relationships/customXml" Target="../customXml/item1.xml"/><Relationship Id="rId261" Type="http://schemas.openxmlformats.org/officeDocument/2006/relationships/image" Target="media/image5.png"/><Relationship Id="rId260" Type="http://schemas.openxmlformats.org/officeDocument/2006/relationships/image" Target="media/image4.png"/><Relationship Id="rId26" Type="http://schemas.openxmlformats.org/officeDocument/2006/relationships/footer" Target="footer15.xml"/><Relationship Id="rId259" Type="http://schemas.openxmlformats.org/officeDocument/2006/relationships/image" Target="media/image3.png"/><Relationship Id="rId258" Type="http://schemas.openxmlformats.org/officeDocument/2006/relationships/image" Target="media/image2.png"/><Relationship Id="rId257" Type="http://schemas.openxmlformats.org/officeDocument/2006/relationships/image" Target="media/image1.jpeg"/><Relationship Id="rId256" Type="http://schemas.openxmlformats.org/officeDocument/2006/relationships/theme" Target="theme/theme1.xml"/><Relationship Id="rId255" Type="http://schemas.openxmlformats.org/officeDocument/2006/relationships/footer" Target="footer172.xml"/><Relationship Id="rId254" Type="http://schemas.openxmlformats.org/officeDocument/2006/relationships/footer" Target="footer171.xml"/><Relationship Id="rId253" Type="http://schemas.openxmlformats.org/officeDocument/2006/relationships/footer" Target="footer170.xml"/><Relationship Id="rId252" Type="http://schemas.openxmlformats.org/officeDocument/2006/relationships/footer" Target="footer169.xml"/><Relationship Id="rId251" Type="http://schemas.openxmlformats.org/officeDocument/2006/relationships/footer" Target="footer168.xml"/><Relationship Id="rId250" Type="http://schemas.openxmlformats.org/officeDocument/2006/relationships/header" Target="header79.xml"/><Relationship Id="rId25" Type="http://schemas.openxmlformats.org/officeDocument/2006/relationships/footer" Target="footer14.xml"/><Relationship Id="rId249" Type="http://schemas.openxmlformats.org/officeDocument/2006/relationships/footer" Target="footer167.xml"/><Relationship Id="rId248" Type="http://schemas.openxmlformats.org/officeDocument/2006/relationships/header" Target="header78.xml"/><Relationship Id="rId247" Type="http://schemas.openxmlformats.org/officeDocument/2006/relationships/footer" Target="footer166.xml"/><Relationship Id="rId246" Type="http://schemas.openxmlformats.org/officeDocument/2006/relationships/header" Target="header77.xml"/><Relationship Id="rId245" Type="http://schemas.openxmlformats.org/officeDocument/2006/relationships/footer" Target="footer165.xml"/><Relationship Id="rId244" Type="http://schemas.openxmlformats.org/officeDocument/2006/relationships/header" Target="header76.xml"/><Relationship Id="rId243" Type="http://schemas.openxmlformats.org/officeDocument/2006/relationships/footer" Target="footer164.xml"/><Relationship Id="rId242" Type="http://schemas.openxmlformats.org/officeDocument/2006/relationships/header" Target="header75.xml"/><Relationship Id="rId241" Type="http://schemas.openxmlformats.org/officeDocument/2006/relationships/footer" Target="footer163.xml"/><Relationship Id="rId240" Type="http://schemas.openxmlformats.org/officeDocument/2006/relationships/header" Target="header74.xml"/><Relationship Id="rId24" Type="http://schemas.openxmlformats.org/officeDocument/2006/relationships/footer" Target="footer13.xml"/><Relationship Id="rId239" Type="http://schemas.openxmlformats.org/officeDocument/2006/relationships/footer" Target="footer162.xml"/><Relationship Id="rId238" Type="http://schemas.openxmlformats.org/officeDocument/2006/relationships/header" Target="header73.xml"/><Relationship Id="rId237" Type="http://schemas.openxmlformats.org/officeDocument/2006/relationships/footer" Target="footer161.xml"/><Relationship Id="rId236" Type="http://schemas.openxmlformats.org/officeDocument/2006/relationships/header" Target="header72.xml"/><Relationship Id="rId235" Type="http://schemas.openxmlformats.org/officeDocument/2006/relationships/footer" Target="footer160.xml"/><Relationship Id="rId234" Type="http://schemas.openxmlformats.org/officeDocument/2006/relationships/footer" Target="footer159.xml"/><Relationship Id="rId233" Type="http://schemas.openxmlformats.org/officeDocument/2006/relationships/footer" Target="footer158.xml"/><Relationship Id="rId232" Type="http://schemas.openxmlformats.org/officeDocument/2006/relationships/footer" Target="footer157.xml"/><Relationship Id="rId231" Type="http://schemas.openxmlformats.org/officeDocument/2006/relationships/header" Target="header71.xml"/><Relationship Id="rId230" Type="http://schemas.openxmlformats.org/officeDocument/2006/relationships/footer" Target="footer156.xml"/><Relationship Id="rId23" Type="http://schemas.openxmlformats.org/officeDocument/2006/relationships/footer" Target="footer12.xml"/><Relationship Id="rId229" Type="http://schemas.openxmlformats.org/officeDocument/2006/relationships/header" Target="header70.xml"/><Relationship Id="rId228" Type="http://schemas.openxmlformats.org/officeDocument/2006/relationships/footer" Target="footer155.xml"/><Relationship Id="rId227" Type="http://schemas.openxmlformats.org/officeDocument/2006/relationships/footer" Target="footer154.xml"/><Relationship Id="rId226" Type="http://schemas.openxmlformats.org/officeDocument/2006/relationships/footer" Target="footer153.xml"/><Relationship Id="rId225" Type="http://schemas.openxmlformats.org/officeDocument/2006/relationships/footer" Target="footer152.xml"/><Relationship Id="rId224" Type="http://schemas.openxmlformats.org/officeDocument/2006/relationships/footer" Target="footer151.xml"/><Relationship Id="rId223" Type="http://schemas.openxmlformats.org/officeDocument/2006/relationships/footer" Target="footer150.xml"/><Relationship Id="rId222" Type="http://schemas.openxmlformats.org/officeDocument/2006/relationships/footer" Target="footer149.xml"/><Relationship Id="rId221" Type="http://schemas.openxmlformats.org/officeDocument/2006/relationships/header" Target="header69.xml"/><Relationship Id="rId220" Type="http://schemas.openxmlformats.org/officeDocument/2006/relationships/footer" Target="footer148.xml"/><Relationship Id="rId22" Type="http://schemas.openxmlformats.org/officeDocument/2006/relationships/footer" Target="footer11.xml"/><Relationship Id="rId219" Type="http://schemas.openxmlformats.org/officeDocument/2006/relationships/header" Target="header68.xml"/><Relationship Id="rId218" Type="http://schemas.openxmlformats.org/officeDocument/2006/relationships/footer" Target="footer147.xml"/><Relationship Id="rId217" Type="http://schemas.openxmlformats.org/officeDocument/2006/relationships/footer" Target="footer146.xml"/><Relationship Id="rId216" Type="http://schemas.openxmlformats.org/officeDocument/2006/relationships/header" Target="header67.xml"/><Relationship Id="rId215" Type="http://schemas.openxmlformats.org/officeDocument/2006/relationships/footer" Target="footer145.xml"/><Relationship Id="rId214" Type="http://schemas.openxmlformats.org/officeDocument/2006/relationships/header" Target="header66.xml"/><Relationship Id="rId213" Type="http://schemas.openxmlformats.org/officeDocument/2006/relationships/footer" Target="footer144.xml"/><Relationship Id="rId212" Type="http://schemas.openxmlformats.org/officeDocument/2006/relationships/header" Target="header65.xml"/><Relationship Id="rId211" Type="http://schemas.openxmlformats.org/officeDocument/2006/relationships/footer" Target="footer143.xml"/><Relationship Id="rId210" Type="http://schemas.openxmlformats.org/officeDocument/2006/relationships/header" Target="header64.xml"/><Relationship Id="rId21" Type="http://schemas.openxmlformats.org/officeDocument/2006/relationships/footer" Target="footer10.xml"/><Relationship Id="rId209" Type="http://schemas.openxmlformats.org/officeDocument/2006/relationships/footer" Target="footer142.xml"/><Relationship Id="rId208" Type="http://schemas.openxmlformats.org/officeDocument/2006/relationships/header" Target="header63.xml"/><Relationship Id="rId207" Type="http://schemas.openxmlformats.org/officeDocument/2006/relationships/footer" Target="footer141.xml"/><Relationship Id="rId206" Type="http://schemas.openxmlformats.org/officeDocument/2006/relationships/footer" Target="footer140.xml"/><Relationship Id="rId205" Type="http://schemas.openxmlformats.org/officeDocument/2006/relationships/footer" Target="footer139.xml"/><Relationship Id="rId204" Type="http://schemas.openxmlformats.org/officeDocument/2006/relationships/header" Target="header62.xml"/><Relationship Id="rId203" Type="http://schemas.openxmlformats.org/officeDocument/2006/relationships/footer" Target="footer138.xml"/><Relationship Id="rId202" Type="http://schemas.openxmlformats.org/officeDocument/2006/relationships/header" Target="header61.xml"/><Relationship Id="rId201" Type="http://schemas.openxmlformats.org/officeDocument/2006/relationships/footer" Target="footer137.xml"/><Relationship Id="rId200" Type="http://schemas.openxmlformats.org/officeDocument/2006/relationships/footer" Target="footer136.xml"/><Relationship Id="rId20" Type="http://schemas.openxmlformats.org/officeDocument/2006/relationships/footer" Target="footer9.xml"/><Relationship Id="rId2" Type="http://schemas.openxmlformats.org/officeDocument/2006/relationships/settings" Target="settings.xml"/><Relationship Id="rId199" Type="http://schemas.openxmlformats.org/officeDocument/2006/relationships/footer" Target="footer135.xml"/><Relationship Id="rId198" Type="http://schemas.openxmlformats.org/officeDocument/2006/relationships/footer" Target="footer134.xml"/><Relationship Id="rId197" Type="http://schemas.openxmlformats.org/officeDocument/2006/relationships/footer" Target="footer133.xml"/><Relationship Id="rId196" Type="http://schemas.openxmlformats.org/officeDocument/2006/relationships/footer" Target="footer132.xml"/><Relationship Id="rId195" Type="http://schemas.openxmlformats.org/officeDocument/2006/relationships/header" Target="header60.xml"/><Relationship Id="rId194" Type="http://schemas.openxmlformats.org/officeDocument/2006/relationships/footer" Target="footer131.xml"/><Relationship Id="rId193" Type="http://schemas.openxmlformats.org/officeDocument/2006/relationships/footer" Target="footer130.xml"/><Relationship Id="rId192" Type="http://schemas.openxmlformats.org/officeDocument/2006/relationships/header" Target="header59.xml"/><Relationship Id="rId191" Type="http://schemas.openxmlformats.org/officeDocument/2006/relationships/footer" Target="footer129.xml"/><Relationship Id="rId190" Type="http://schemas.openxmlformats.org/officeDocument/2006/relationships/header" Target="header58.xml"/><Relationship Id="rId19" Type="http://schemas.openxmlformats.org/officeDocument/2006/relationships/header" Target="header7.xml"/><Relationship Id="rId189" Type="http://schemas.openxmlformats.org/officeDocument/2006/relationships/footer" Target="footer128.xml"/><Relationship Id="rId188" Type="http://schemas.openxmlformats.org/officeDocument/2006/relationships/header" Target="header57.xml"/><Relationship Id="rId187" Type="http://schemas.openxmlformats.org/officeDocument/2006/relationships/footer" Target="footer127.xml"/><Relationship Id="rId186" Type="http://schemas.openxmlformats.org/officeDocument/2006/relationships/header" Target="header56.xml"/><Relationship Id="rId185" Type="http://schemas.openxmlformats.org/officeDocument/2006/relationships/footer" Target="footer126.xml"/><Relationship Id="rId184" Type="http://schemas.openxmlformats.org/officeDocument/2006/relationships/header" Target="header55.xml"/><Relationship Id="rId183" Type="http://schemas.openxmlformats.org/officeDocument/2006/relationships/footer" Target="footer125.xml"/><Relationship Id="rId182" Type="http://schemas.openxmlformats.org/officeDocument/2006/relationships/header" Target="header54.xml"/><Relationship Id="rId181" Type="http://schemas.openxmlformats.org/officeDocument/2006/relationships/footer" Target="footer124.xml"/><Relationship Id="rId180" Type="http://schemas.openxmlformats.org/officeDocument/2006/relationships/header" Target="header53.xml"/><Relationship Id="rId18" Type="http://schemas.openxmlformats.org/officeDocument/2006/relationships/footer" Target="footer8.xml"/><Relationship Id="rId179" Type="http://schemas.openxmlformats.org/officeDocument/2006/relationships/footer" Target="footer123.xml"/><Relationship Id="rId178" Type="http://schemas.openxmlformats.org/officeDocument/2006/relationships/header" Target="header52.xml"/><Relationship Id="rId177" Type="http://schemas.openxmlformats.org/officeDocument/2006/relationships/footer" Target="footer122.xml"/><Relationship Id="rId176" Type="http://schemas.openxmlformats.org/officeDocument/2006/relationships/header" Target="header51.xml"/><Relationship Id="rId175" Type="http://schemas.openxmlformats.org/officeDocument/2006/relationships/footer" Target="footer121.xml"/><Relationship Id="rId174" Type="http://schemas.openxmlformats.org/officeDocument/2006/relationships/footer" Target="footer120.xml"/><Relationship Id="rId173" Type="http://schemas.openxmlformats.org/officeDocument/2006/relationships/header" Target="header50.xml"/><Relationship Id="rId172" Type="http://schemas.openxmlformats.org/officeDocument/2006/relationships/footer" Target="footer119.xml"/><Relationship Id="rId171" Type="http://schemas.openxmlformats.org/officeDocument/2006/relationships/header" Target="header49.xml"/><Relationship Id="rId170" Type="http://schemas.openxmlformats.org/officeDocument/2006/relationships/footer" Target="footer118.xml"/><Relationship Id="rId17" Type="http://schemas.openxmlformats.org/officeDocument/2006/relationships/header" Target="header6.xml"/><Relationship Id="rId169" Type="http://schemas.openxmlformats.org/officeDocument/2006/relationships/header" Target="header48.xml"/><Relationship Id="rId168" Type="http://schemas.openxmlformats.org/officeDocument/2006/relationships/footer" Target="footer117.xml"/><Relationship Id="rId167" Type="http://schemas.openxmlformats.org/officeDocument/2006/relationships/header" Target="header47.xml"/><Relationship Id="rId166" Type="http://schemas.openxmlformats.org/officeDocument/2006/relationships/footer" Target="footer116.xml"/><Relationship Id="rId165" Type="http://schemas.openxmlformats.org/officeDocument/2006/relationships/header" Target="header46.xml"/><Relationship Id="rId164" Type="http://schemas.openxmlformats.org/officeDocument/2006/relationships/footer" Target="footer115.xml"/><Relationship Id="rId163" Type="http://schemas.openxmlformats.org/officeDocument/2006/relationships/header" Target="header45.xml"/><Relationship Id="rId162" Type="http://schemas.openxmlformats.org/officeDocument/2006/relationships/footer" Target="footer114.xml"/><Relationship Id="rId161" Type="http://schemas.openxmlformats.org/officeDocument/2006/relationships/header" Target="header44.xml"/><Relationship Id="rId160" Type="http://schemas.openxmlformats.org/officeDocument/2006/relationships/footer" Target="footer113.xml"/><Relationship Id="rId16" Type="http://schemas.openxmlformats.org/officeDocument/2006/relationships/footer" Target="footer7.xml"/><Relationship Id="rId159" Type="http://schemas.openxmlformats.org/officeDocument/2006/relationships/footer" Target="footer112.xml"/><Relationship Id="rId158" Type="http://schemas.openxmlformats.org/officeDocument/2006/relationships/header" Target="header43.xml"/><Relationship Id="rId157" Type="http://schemas.openxmlformats.org/officeDocument/2006/relationships/footer" Target="footer111.xml"/><Relationship Id="rId156" Type="http://schemas.openxmlformats.org/officeDocument/2006/relationships/header" Target="header42.xml"/><Relationship Id="rId155" Type="http://schemas.openxmlformats.org/officeDocument/2006/relationships/footer" Target="footer110.xml"/><Relationship Id="rId154" Type="http://schemas.openxmlformats.org/officeDocument/2006/relationships/header" Target="header41.xml"/><Relationship Id="rId153" Type="http://schemas.openxmlformats.org/officeDocument/2006/relationships/footer" Target="footer109.xml"/><Relationship Id="rId152" Type="http://schemas.openxmlformats.org/officeDocument/2006/relationships/header" Target="header40.xml"/><Relationship Id="rId151" Type="http://schemas.openxmlformats.org/officeDocument/2006/relationships/footer" Target="footer108.xml"/><Relationship Id="rId150" Type="http://schemas.openxmlformats.org/officeDocument/2006/relationships/header" Target="header39.xml"/><Relationship Id="rId15" Type="http://schemas.openxmlformats.org/officeDocument/2006/relationships/footer" Target="footer6.xml"/><Relationship Id="rId149" Type="http://schemas.openxmlformats.org/officeDocument/2006/relationships/footer" Target="footer107.xml"/><Relationship Id="rId148" Type="http://schemas.openxmlformats.org/officeDocument/2006/relationships/header" Target="header38.xml"/><Relationship Id="rId147" Type="http://schemas.openxmlformats.org/officeDocument/2006/relationships/footer" Target="footer106.xml"/><Relationship Id="rId146" Type="http://schemas.openxmlformats.org/officeDocument/2006/relationships/header" Target="header37.xml"/><Relationship Id="rId145" Type="http://schemas.openxmlformats.org/officeDocument/2006/relationships/footer" Target="footer105.xml"/><Relationship Id="rId144" Type="http://schemas.openxmlformats.org/officeDocument/2006/relationships/header" Target="header36.xml"/><Relationship Id="rId143" Type="http://schemas.openxmlformats.org/officeDocument/2006/relationships/footer" Target="footer104.xml"/><Relationship Id="rId142" Type="http://schemas.openxmlformats.org/officeDocument/2006/relationships/header" Target="header35.xml"/><Relationship Id="rId141" Type="http://schemas.openxmlformats.org/officeDocument/2006/relationships/footer" Target="footer103.xml"/><Relationship Id="rId140" Type="http://schemas.openxmlformats.org/officeDocument/2006/relationships/header" Target="header34.xml"/><Relationship Id="rId14" Type="http://schemas.openxmlformats.org/officeDocument/2006/relationships/footer" Target="footer5.xml"/><Relationship Id="rId139" Type="http://schemas.openxmlformats.org/officeDocument/2006/relationships/footer" Target="footer102.xml"/><Relationship Id="rId138" Type="http://schemas.openxmlformats.org/officeDocument/2006/relationships/header" Target="header33.xml"/><Relationship Id="rId137" Type="http://schemas.openxmlformats.org/officeDocument/2006/relationships/footer" Target="footer101.xml"/><Relationship Id="rId136" Type="http://schemas.openxmlformats.org/officeDocument/2006/relationships/header" Target="header32.xml"/><Relationship Id="rId135" Type="http://schemas.openxmlformats.org/officeDocument/2006/relationships/footer" Target="footer100.xml"/><Relationship Id="rId134" Type="http://schemas.openxmlformats.org/officeDocument/2006/relationships/header" Target="header31.xml"/><Relationship Id="rId133" Type="http://schemas.openxmlformats.org/officeDocument/2006/relationships/footer" Target="footer99.xml"/><Relationship Id="rId132" Type="http://schemas.openxmlformats.org/officeDocument/2006/relationships/header" Target="header30.xml"/><Relationship Id="rId131" Type="http://schemas.openxmlformats.org/officeDocument/2006/relationships/footer" Target="footer98.xml"/><Relationship Id="rId130" Type="http://schemas.openxmlformats.org/officeDocument/2006/relationships/header" Target="header29.xml"/><Relationship Id="rId13" Type="http://schemas.openxmlformats.org/officeDocument/2006/relationships/header" Target="header5.xml"/><Relationship Id="rId129" Type="http://schemas.openxmlformats.org/officeDocument/2006/relationships/footer" Target="footer97.xml"/><Relationship Id="rId128" Type="http://schemas.openxmlformats.org/officeDocument/2006/relationships/header" Target="header28.xml"/><Relationship Id="rId127" Type="http://schemas.openxmlformats.org/officeDocument/2006/relationships/footer" Target="footer96.xml"/><Relationship Id="rId126" Type="http://schemas.openxmlformats.org/officeDocument/2006/relationships/header" Target="header27.xml"/><Relationship Id="rId125" Type="http://schemas.openxmlformats.org/officeDocument/2006/relationships/footer" Target="footer95.xml"/><Relationship Id="rId124" Type="http://schemas.openxmlformats.org/officeDocument/2006/relationships/header" Target="header26.xml"/><Relationship Id="rId123" Type="http://schemas.openxmlformats.org/officeDocument/2006/relationships/footer" Target="footer94.xml"/><Relationship Id="rId122" Type="http://schemas.openxmlformats.org/officeDocument/2006/relationships/header" Target="header25.xml"/><Relationship Id="rId121" Type="http://schemas.openxmlformats.org/officeDocument/2006/relationships/footer" Target="footer93.xml"/><Relationship Id="rId120" Type="http://schemas.openxmlformats.org/officeDocument/2006/relationships/header" Target="header24.xml"/><Relationship Id="rId12" Type="http://schemas.openxmlformats.org/officeDocument/2006/relationships/footer" Target="footer4.xml"/><Relationship Id="rId119" Type="http://schemas.openxmlformats.org/officeDocument/2006/relationships/footer" Target="footer92.xml"/><Relationship Id="rId118" Type="http://schemas.openxmlformats.org/officeDocument/2006/relationships/footer" Target="footer91.xml"/><Relationship Id="rId117" Type="http://schemas.openxmlformats.org/officeDocument/2006/relationships/header" Target="header23.xml"/><Relationship Id="rId116" Type="http://schemas.openxmlformats.org/officeDocument/2006/relationships/footer" Target="footer90.xml"/><Relationship Id="rId115" Type="http://schemas.openxmlformats.org/officeDocument/2006/relationships/header" Target="header22.xml"/><Relationship Id="rId114" Type="http://schemas.openxmlformats.org/officeDocument/2006/relationships/footer" Target="footer89.xml"/><Relationship Id="rId113" Type="http://schemas.openxmlformats.org/officeDocument/2006/relationships/header" Target="header21.xml"/><Relationship Id="rId112" Type="http://schemas.openxmlformats.org/officeDocument/2006/relationships/footer" Target="footer88.xml"/><Relationship Id="rId111" Type="http://schemas.openxmlformats.org/officeDocument/2006/relationships/header" Target="header20.xml"/><Relationship Id="rId110" Type="http://schemas.openxmlformats.org/officeDocument/2006/relationships/footer" Target="footer87.xml"/><Relationship Id="rId11" Type="http://schemas.openxmlformats.org/officeDocument/2006/relationships/header" Target="header4.xml"/><Relationship Id="rId109" Type="http://schemas.openxmlformats.org/officeDocument/2006/relationships/header" Target="header19.xml"/><Relationship Id="rId108" Type="http://schemas.openxmlformats.org/officeDocument/2006/relationships/footer" Target="footer86.xml"/><Relationship Id="rId107" Type="http://schemas.openxmlformats.org/officeDocument/2006/relationships/header" Target="header18.xml"/><Relationship Id="rId106" Type="http://schemas.openxmlformats.org/officeDocument/2006/relationships/footer" Target="footer85.xml"/><Relationship Id="rId105" Type="http://schemas.openxmlformats.org/officeDocument/2006/relationships/header" Target="header17.xml"/><Relationship Id="rId104" Type="http://schemas.openxmlformats.org/officeDocument/2006/relationships/footer" Target="footer84.xml"/><Relationship Id="rId103" Type="http://schemas.openxmlformats.org/officeDocument/2006/relationships/header" Target="header16.xml"/><Relationship Id="rId102" Type="http://schemas.openxmlformats.org/officeDocument/2006/relationships/footer" Target="footer83.xml"/><Relationship Id="rId101" Type="http://schemas.openxmlformats.org/officeDocument/2006/relationships/header" Target="header15.xml"/><Relationship Id="rId100" Type="http://schemas.openxmlformats.org/officeDocument/2006/relationships/footer" Target="footer82.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2"/>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189</Pages>
  <Words>10189</Words>
  <Characters>12122</Characters>
  <TotalTime>0</TotalTime>
  <ScaleCrop>false</ScaleCrop>
  <LinksUpToDate>false</LinksUpToDate>
  <CharactersWithSpaces>12676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2025-09-30T11:06:00Z</dcterms:created>
  <dc:creator>唐冰</dc:creator>
  <cp:lastModifiedBy>NTKO</cp:lastModifiedBy>
  <dcterms:modified xsi:type="dcterms:W3CDTF">2025-12-18T03:44:58Z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2025-10-11T15:16:24Z</vt:filetime>
  </property>
  <property fmtid="{D5CDD505-2E9C-101B-9397-08002B2CF9AE}" pid="4" name="KSOTemplateDocerSaveRecord">
    <vt:lpwstr>eyJoZGlkIjoiNWMyYjUxZjkxMzEyYzczYTQ2YzdjYjA4Y2JmMzY0YWIiLCJ1c2VySWQiOiI4MjU1MDk1NzYifQ==</vt:lpwstr>
  </property>
  <property fmtid="{D5CDD505-2E9C-101B-9397-08002B2CF9AE}" pid="5" name="KSOProductBuildVer">
    <vt:lpwstr>2052-12.1.0.23542</vt:lpwstr>
  </property>
  <property fmtid="{D5CDD505-2E9C-101B-9397-08002B2CF9AE}" pid="6" name="ICV">
    <vt:lpwstr>12C4FA802E4A4A0DA46404A89F6884E3_12</vt:lpwstr>
  </property>
</Properties>
</file>