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CBA00D">
      <w:pPr>
        <w:spacing w:before="156" w:beforeLines="50" w:line="360" w:lineRule="auto"/>
        <w:jc w:val="both"/>
        <w:rPr>
          <w:rFonts w:hint="eastAsia" w:ascii="宋体" w:hAnsi="宋体" w:eastAsia="宋体"/>
          <w:color w:val="000000"/>
          <w:sz w:val="28"/>
          <w:szCs w:val="28"/>
          <w:highlight w:val="none"/>
          <w:lang w:eastAsia="zh-CN"/>
        </w:rPr>
      </w:pPr>
      <w:r>
        <w:rPr>
          <w:rFonts w:hint="eastAsia" w:ascii="宋体" w:hAnsi="宋体" w:eastAsia="宋体"/>
          <w:color w:val="000000"/>
          <w:sz w:val="28"/>
          <w:szCs w:val="28"/>
          <w:highlight w:val="none"/>
          <w:lang w:eastAsia="zh-CN"/>
        </w:rPr>
        <w:drawing>
          <wp:inline distT="0" distB="0" distL="114300" distR="114300">
            <wp:extent cx="6097905" cy="8625205"/>
            <wp:effectExtent l="0" t="0" r="17145" b="4445"/>
            <wp:docPr id="5" name="图片 5" descr="SCAN0007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AN0007_05"/>
                    <pic:cNvPicPr>
                      <a:picLocks noChangeAspect="1"/>
                    </pic:cNvPicPr>
                  </pic:nvPicPr>
                  <pic:blipFill>
                    <a:blip r:embed="rId18"/>
                    <a:stretch>
                      <a:fillRect/>
                    </a:stretch>
                  </pic:blipFill>
                  <pic:spPr>
                    <a:xfrm>
                      <a:off x="0" y="0"/>
                      <a:ext cx="6097905" cy="8625205"/>
                    </a:xfrm>
                    <a:prstGeom prst="rect">
                      <a:avLst/>
                    </a:prstGeom>
                  </pic:spPr>
                </pic:pic>
              </a:graphicData>
            </a:graphic>
          </wp:inline>
        </w:drawing>
      </w:r>
    </w:p>
    <w:p w14:paraId="4194F20E">
      <w:pPr>
        <w:pStyle w:val="7"/>
        <w:rPr>
          <w:rFonts w:hint="eastAsia" w:ascii="宋体" w:hAnsi="宋体" w:cs="宋体"/>
          <w:b/>
          <w:color w:val="auto"/>
          <w:sz w:val="28"/>
          <w:szCs w:val="28"/>
          <w:highlight w:val="none"/>
          <w:lang w:eastAsia="zh-CN"/>
        </w:rPr>
      </w:pPr>
    </w:p>
    <w:p w14:paraId="4FA266EC">
      <w:pPr>
        <w:pStyle w:val="7"/>
        <w:jc w:val="center"/>
        <w:rPr>
          <w:rFonts w:hint="eastAsia" w:ascii="宋体" w:hAnsi="宋体" w:eastAsia="宋体" w:cs="宋体"/>
          <w:b/>
          <w:bCs/>
          <w:color w:val="auto"/>
          <w:sz w:val="10"/>
          <w:highlight w:val="none"/>
          <w:lang w:eastAsia="zh-CN"/>
        </w:rPr>
      </w:pPr>
      <w:r>
        <w:rPr>
          <w:rFonts w:hint="eastAsia" w:ascii="宋体" w:hAnsi="宋体" w:cs="宋体"/>
          <w:b/>
          <w:color w:val="auto"/>
          <w:sz w:val="72"/>
          <w:szCs w:val="72"/>
          <w:highlight w:val="none"/>
          <w:lang w:eastAsia="zh-CN"/>
        </w:rPr>
        <w:t>广西政投项目咨询有限公司</w:t>
      </w:r>
    </w:p>
    <w:p w14:paraId="4FD5AA08">
      <w:pPr>
        <w:spacing w:before="156" w:beforeLines="50" w:line="360" w:lineRule="auto"/>
        <w:jc w:val="both"/>
        <w:rPr>
          <w:rFonts w:ascii="宋体" w:hAnsi="宋体"/>
          <w:color w:val="000000"/>
          <w:sz w:val="36"/>
          <w:szCs w:val="36"/>
          <w:highlight w:val="none"/>
        </w:rPr>
      </w:pPr>
    </w:p>
    <w:p w14:paraId="5BFF5915">
      <w:pPr>
        <w:spacing w:before="156" w:beforeLines="50" w:line="360" w:lineRule="auto"/>
        <w:jc w:val="center"/>
        <w:rPr>
          <w:rFonts w:ascii="宋体" w:hAnsi="宋体"/>
          <w:color w:val="000000"/>
          <w:sz w:val="36"/>
          <w:szCs w:val="36"/>
          <w:highlight w:val="none"/>
        </w:rPr>
      </w:pPr>
    </w:p>
    <w:p w14:paraId="1B91E1A8">
      <w:pPr>
        <w:snapToGrid w:val="0"/>
        <w:spacing w:before="156" w:beforeLines="50" w:line="360" w:lineRule="auto"/>
        <w:jc w:val="center"/>
        <w:rPr>
          <w:rFonts w:ascii="宋体" w:hAnsi="宋体" w:cs="方正小标宋简体"/>
          <w:b/>
          <w:bCs/>
          <w:color w:val="000000"/>
          <w:sz w:val="44"/>
          <w:szCs w:val="44"/>
          <w:highlight w:val="none"/>
        </w:rPr>
      </w:pPr>
      <w:r>
        <w:rPr>
          <w:rFonts w:hint="eastAsia" w:ascii="宋体" w:hAnsi="宋体"/>
          <w:b/>
          <w:bCs/>
          <w:color w:val="000000"/>
          <w:sz w:val="72"/>
          <w:szCs w:val="72"/>
          <w:highlight w:val="none"/>
        </w:rPr>
        <w:t>竞争性磋商文件</w:t>
      </w:r>
    </w:p>
    <w:p w14:paraId="3C363A07">
      <w:pPr>
        <w:spacing w:before="312" w:beforeLines="100" w:after="156" w:afterLines="50" w:line="360" w:lineRule="auto"/>
        <w:jc w:val="center"/>
        <w:rPr>
          <w:rFonts w:ascii="宋体" w:hAnsi="宋体"/>
          <w:b/>
          <w:color w:val="000000"/>
          <w:sz w:val="24"/>
          <w:szCs w:val="24"/>
          <w:highlight w:val="none"/>
        </w:rPr>
      </w:pPr>
      <w:r>
        <w:rPr>
          <w:rFonts w:hint="eastAsia" w:ascii="宋体" w:hAnsi="宋体"/>
          <w:color w:val="000000"/>
          <w:sz w:val="24"/>
          <w:szCs w:val="24"/>
          <w:highlight w:val="none"/>
        </w:rPr>
        <w:t>（全流程电子化评标）</w:t>
      </w:r>
    </w:p>
    <w:p w14:paraId="36CEB278">
      <w:pPr>
        <w:spacing w:line="360" w:lineRule="auto"/>
        <w:jc w:val="center"/>
        <w:rPr>
          <w:rFonts w:ascii="宋体" w:hAnsi="宋体"/>
          <w:b/>
          <w:color w:val="000000"/>
          <w:sz w:val="32"/>
          <w:szCs w:val="32"/>
          <w:highlight w:val="none"/>
        </w:rPr>
      </w:pPr>
    </w:p>
    <w:p w14:paraId="5A28E952">
      <w:pPr>
        <w:keepNext w:val="0"/>
        <w:keepLines w:val="0"/>
        <w:pageBreakBefore w:val="0"/>
        <w:widowControl w:val="0"/>
        <w:kinsoku/>
        <w:wordWrap/>
        <w:overflowPunct/>
        <w:topLinePunct w:val="0"/>
        <w:autoSpaceDE/>
        <w:autoSpaceDN/>
        <w:bidi w:val="0"/>
        <w:adjustRightInd/>
        <w:snapToGrid/>
        <w:spacing w:line="700" w:lineRule="exact"/>
        <w:ind w:left="2564" w:leftChars="456" w:hanging="1606" w:hangingChars="500"/>
        <w:textAlignment w:val="auto"/>
        <w:rPr>
          <w:rFonts w:hint="default" w:ascii="宋体" w:hAnsi="宋体" w:eastAsia="宋体"/>
          <w:b/>
          <w:color w:val="000000"/>
          <w:sz w:val="32"/>
          <w:szCs w:val="32"/>
          <w:highlight w:val="none"/>
          <w:lang w:val="en-US" w:eastAsia="zh-CN"/>
        </w:rPr>
      </w:pPr>
      <w:r>
        <w:rPr>
          <w:rFonts w:hint="eastAsia" w:ascii="宋体" w:hAnsi="宋体"/>
          <w:b/>
          <w:color w:val="000000"/>
          <w:sz w:val="32"/>
          <w:szCs w:val="32"/>
          <w:highlight w:val="none"/>
        </w:rPr>
        <w:t>项目名称：防城区小峰水库隘脚移民村美丽家园项目</w:t>
      </w:r>
    </w:p>
    <w:p w14:paraId="67916ACD">
      <w:pPr>
        <w:keepNext w:val="0"/>
        <w:keepLines w:val="0"/>
        <w:pageBreakBefore w:val="0"/>
        <w:widowControl w:val="0"/>
        <w:kinsoku/>
        <w:wordWrap/>
        <w:overflowPunct/>
        <w:topLinePunct w:val="0"/>
        <w:autoSpaceDE/>
        <w:autoSpaceDN/>
        <w:bidi w:val="0"/>
        <w:adjustRightInd/>
        <w:snapToGrid/>
        <w:spacing w:line="900" w:lineRule="exact"/>
        <w:ind w:firstLine="964" w:firstLineChars="300"/>
        <w:textAlignment w:val="auto"/>
        <w:rPr>
          <w:rFonts w:hint="default" w:ascii="宋体" w:hAnsi="宋体" w:eastAsia="宋体"/>
          <w:b/>
          <w:color w:val="000000"/>
          <w:sz w:val="32"/>
          <w:szCs w:val="32"/>
          <w:highlight w:val="none"/>
          <w:lang w:val="en-US" w:eastAsia="zh-CN"/>
        </w:rPr>
      </w:pPr>
      <w:r>
        <w:rPr>
          <w:rFonts w:hint="eastAsia" w:ascii="宋体" w:hAnsi="宋体"/>
          <w:b/>
          <w:color w:val="000000"/>
          <w:sz w:val="32"/>
          <w:szCs w:val="32"/>
          <w:highlight w:val="none"/>
        </w:rPr>
        <w:t>项目编号：FCZC2026-C2-030024-ZTZX</w:t>
      </w:r>
    </w:p>
    <w:p w14:paraId="0778F8BC">
      <w:pPr>
        <w:keepNext w:val="0"/>
        <w:keepLines w:val="0"/>
        <w:pageBreakBefore w:val="0"/>
        <w:widowControl w:val="0"/>
        <w:kinsoku/>
        <w:wordWrap/>
        <w:overflowPunct/>
        <w:topLinePunct w:val="0"/>
        <w:autoSpaceDE/>
        <w:autoSpaceDN/>
        <w:bidi w:val="0"/>
        <w:adjustRightInd/>
        <w:snapToGrid/>
        <w:spacing w:line="900" w:lineRule="exact"/>
        <w:textAlignment w:val="auto"/>
        <w:rPr>
          <w:rFonts w:hint="eastAsia" w:ascii="宋体" w:hAnsi="宋体"/>
          <w:b/>
          <w:color w:val="000000"/>
          <w:sz w:val="32"/>
          <w:szCs w:val="32"/>
          <w:highlight w:val="none"/>
        </w:rPr>
      </w:pPr>
    </w:p>
    <w:p w14:paraId="5831E7F0">
      <w:pPr>
        <w:keepNext w:val="0"/>
        <w:keepLines w:val="0"/>
        <w:pageBreakBefore w:val="0"/>
        <w:widowControl w:val="0"/>
        <w:kinsoku/>
        <w:wordWrap/>
        <w:overflowPunct/>
        <w:topLinePunct w:val="0"/>
        <w:autoSpaceDE/>
        <w:autoSpaceDN/>
        <w:bidi w:val="0"/>
        <w:adjustRightInd/>
        <w:snapToGrid/>
        <w:spacing w:line="900" w:lineRule="exact"/>
        <w:ind w:firstLine="964" w:firstLineChars="300"/>
        <w:textAlignment w:val="auto"/>
        <w:rPr>
          <w:rFonts w:hint="default" w:ascii="宋体" w:hAnsi="宋体" w:eastAsia="宋体"/>
          <w:b/>
          <w:color w:val="000000"/>
          <w:sz w:val="32"/>
          <w:szCs w:val="32"/>
          <w:highlight w:val="none"/>
          <w:lang w:val="en-US" w:eastAsia="zh-CN"/>
        </w:rPr>
      </w:pPr>
      <w:r>
        <w:rPr>
          <w:rFonts w:hint="eastAsia" w:ascii="宋体" w:hAnsi="宋体"/>
          <w:b/>
          <w:color w:val="000000"/>
          <w:sz w:val="32"/>
          <w:szCs w:val="32"/>
          <w:highlight w:val="none"/>
        </w:rPr>
        <w:t>采购人：</w:t>
      </w:r>
      <w:r>
        <w:rPr>
          <w:rFonts w:hint="eastAsia" w:ascii="宋体" w:hAnsi="宋体"/>
          <w:b/>
          <w:color w:val="000000"/>
          <w:sz w:val="32"/>
          <w:szCs w:val="32"/>
          <w:highlight w:val="none"/>
          <w:lang w:val="en-US" w:eastAsia="zh-CN"/>
        </w:rPr>
        <w:t>防城港市防城区发展和改革局</w:t>
      </w:r>
    </w:p>
    <w:p w14:paraId="78C7DD0B">
      <w:pPr>
        <w:keepNext w:val="0"/>
        <w:keepLines w:val="0"/>
        <w:pageBreakBefore w:val="0"/>
        <w:widowControl w:val="0"/>
        <w:kinsoku/>
        <w:wordWrap/>
        <w:overflowPunct/>
        <w:topLinePunct w:val="0"/>
        <w:autoSpaceDE/>
        <w:autoSpaceDN/>
        <w:bidi w:val="0"/>
        <w:adjustRightInd/>
        <w:snapToGrid/>
        <w:spacing w:line="900" w:lineRule="exact"/>
        <w:ind w:firstLine="964" w:firstLineChars="300"/>
        <w:textAlignment w:val="auto"/>
        <w:rPr>
          <w:rFonts w:ascii="宋体" w:hAnsi="宋体"/>
          <w:b/>
          <w:color w:val="000000"/>
          <w:sz w:val="32"/>
          <w:szCs w:val="32"/>
          <w:highlight w:val="none"/>
        </w:rPr>
      </w:pPr>
      <w:r>
        <w:rPr>
          <w:rFonts w:hint="eastAsia" w:ascii="宋体" w:hAnsi="宋体"/>
          <w:b/>
          <w:color w:val="000000"/>
          <w:sz w:val="32"/>
          <w:szCs w:val="32"/>
          <w:highlight w:val="none"/>
        </w:rPr>
        <w:t>采购代理机构：</w:t>
      </w:r>
      <w:r>
        <w:rPr>
          <w:rFonts w:hint="eastAsia" w:ascii="宋体" w:hAnsi="宋体"/>
          <w:b/>
          <w:color w:val="000000"/>
          <w:sz w:val="32"/>
          <w:szCs w:val="32"/>
          <w:highlight w:val="none"/>
          <w:lang w:eastAsia="zh-CN"/>
        </w:rPr>
        <w:t>广西政投项目咨询有限公司</w:t>
      </w:r>
    </w:p>
    <w:p w14:paraId="3DB89DBE">
      <w:pPr>
        <w:spacing w:line="360" w:lineRule="auto"/>
        <w:jc w:val="center"/>
        <w:rPr>
          <w:rFonts w:ascii="宋体" w:hAnsi="宋体"/>
          <w:b/>
          <w:color w:val="000000"/>
          <w:sz w:val="32"/>
          <w:szCs w:val="32"/>
          <w:highlight w:val="none"/>
        </w:rPr>
      </w:pPr>
    </w:p>
    <w:p w14:paraId="5450DBC7">
      <w:pPr>
        <w:spacing w:line="360" w:lineRule="auto"/>
        <w:jc w:val="center"/>
        <w:rPr>
          <w:rFonts w:hint="eastAsia" w:ascii="宋体" w:hAnsi="宋体" w:eastAsia="宋体"/>
          <w:b/>
          <w:color w:val="000000"/>
          <w:sz w:val="32"/>
          <w:szCs w:val="32"/>
          <w:highlight w:val="none"/>
          <w:lang w:val="en-US" w:eastAsia="zh-CN"/>
        </w:rPr>
        <w:sectPr>
          <w:footerReference r:id="rId5" w:type="first"/>
          <w:headerReference r:id="rId3" w:type="default"/>
          <w:footerReference r:id="rId4" w:type="default"/>
          <w:pgSz w:w="11906" w:h="16838"/>
          <w:pgMar w:top="1417" w:right="1417" w:bottom="1417" w:left="1417" w:header="851" w:footer="992" w:gutter="0"/>
          <w:pgNumType w:start="0"/>
          <w:cols w:space="720" w:num="1"/>
          <w:titlePg/>
          <w:rtlGutter w:val="0"/>
          <w:docGrid w:type="lines" w:linePitch="312" w:charSpace="0"/>
        </w:sectPr>
      </w:pPr>
      <w:r>
        <w:rPr>
          <w:rFonts w:hint="eastAsia" w:ascii="宋体" w:hAnsi="宋体" w:eastAsia="宋体"/>
          <w:b/>
          <w:color w:val="000000"/>
          <w:sz w:val="32"/>
          <w:szCs w:val="32"/>
          <w:highlight w:val="none"/>
          <w:lang w:eastAsia="zh-CN"/>
        </w:rPr>
        <w:t>202</w:t>
      </w:r>
      <w:r>
        <w:rPr>
          <w:rFonts w:hint="eastAsia" w:ascii="宋体" w:hAnsi="宋体"/>
          <w:b/>
          <w:color w:val="000000"/>
          <w:sz w:val="32"/>
          <w:szCs w:val="32"/>
          <w:highlight w:val="none"/>
          <w:lang w:val="en-US" w:eastAsia="zh-CN"/>
        </w:rPr>
        <w:t>6</w:t>
      </w:r>
      <w:r>
        <w:rPr>
          <w:rFonts w:hint="eastAsia" w:ascii="宋体" w:hAnsi="宋体" w:eastAsia="宋体"/>
          <w:b/>
          <w:color w:val="000000"/>
          <w:sz w:val="32"/>
          <w:szCs w:val="32"/>
          <w:highlight w:val="none"/>
          <w:lang w:eastAsia="zh-CN"/>
        </w:rPr>
        <w:t>年</w:t>
      </w:r>
      <w:r>
        <w:rPr>
          <w:rFonts w:hint="eastAsia" w:ascii="宋体" w:hAnsi="宋体"/>
          <w:b/>
          <w:color w:val="000000"/>
          <w:sz w:val="32"/>
          <w:szCs w:val="32"/>
          <w:highlight w:val="none"/>
          <w:lang w:val="en-US" w:eastAsia="zh-CN"/>
        </w:rPr>
        <w:t>3</w:t>
      </w:r>
      <w:r>
        <w:rPr>
          <w:rFonts w:hint="eastAsia" w:ascii="宋体" w:hAnsi="宋体" w:eastAsia="宋体"/>
          <w:b/>
          <w:color w:val="000000"/>
          <w:sz w:val="32"/>
          <w:szCs w:val="32"/>
          <w:highlight w:val="none"/>
          <w:lang w:eastAsia="zh-CN"/>
        </w:rPr>
        <w:t>月</w:t>
      </w:r>
    </w:p>
    <w:p w14:paraId="3CABA125">
      <w:pPr>
        <w:spacing w:line="360" w:lineRule="auto"/>
        <w:jc w:val="center"/>
        <w:rPr>
          <w:rFonts w:ascii="宋体" w:hAnsi="宋体"/>
          <w:b/>
          <w:color w:val="000000"/>
          <w:sz w:val="44"/>
          <w:szCs w:val="44"/>
          <w:highlight w:val="none"/>
        </w:rPr>
      </w:pPr>
      <w:r>
        <w:rPr>
          <w:rFonts w:hint="eastAsia" w:ascii="宋体" w:hAnsi="宋体"/>
          <w:b/>
          <w:color w:val="000000"/>
          <w:sz w:val="44"/>
          <w:szCs w:val="44"/>
          <w:highlight w:val="none"/>
        </w:rPr>
        <w:t>目   录</w:t>
      </w:r>
    </w:p>
    <w:p w14:paraId="6E534E3D">
      <w:pPr>
        <w:spacing w:line="400" w:lineRule="exact"/>
        <w:jc w:val="center"/>
        <w:rPr>
          <w:rFonts w:ascii="宋体" w:hAnsi="宋体"/>
          <w:b/>
          <w:color w:val="000000"/>
          <w:sz w:val="44"/>
          <w:szCs w:val="44"/>
          <w:highlight w:val="none"/>
        </w:rPr>
      </w:pPr>
    </w:p>
    <w:p w14:paraId="555C64C9">
      <w:pPr>
        <w:pStyle w:val="12"/>
        <w:keepNext w:val="0"/>
        <w:keepLines w:val="0"/>
        <w:pageBreakBefore w:val="0"/>
        <w:widowControl w:val="0"/>
        <w:tabs>
          <w:tab w:val="right" w:leader="dot" w:pos="9072"/>
        </w:tabs>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hAnsi="宋体" w:eastAsia="宋体" w:cs="宋体"/>
          <w:b/>
          <w:color w:val="000000"/>
          <w:sz w:val="24"/>
          <w:szCs w:val="24"/>
          <w:highlight w:val="none"/>
        </w:rPr>
        <w:fldChar w:fldCharType="begin"/>
      </w:r>
      <w:r>
        <w:rPr>
          <w:rFonts w:hint="eastAsia" w:ascii="宋体" w:hAnsi="宋体" w:eastAsia="宋体" w:cs="宋体"/>
          <w:b/>
          <w:color w:val="000000"/>
          <w:sz w:val="24"/>
          <w:szCs w:val="24"/>
          <w:highlight w:val="none"/>
        </w:rPr>
        <w:instrText xml:space="preserve">TOC \o "1-3" \h \z \u</w:instrText>
      </w:r>
      <w:r>
        <w:rPr>
          <w:rFonts w:hint="eastAsia" w:ascii="宋体" w:hAnsi="宋体" w:eastAsia="宋体" w:cs="宋体"/>
          <w:b/>
          <w:color w:val="000000"/>
          <w:sz w:val="24"/>
          <w:szCs w:val="24"/>
          <w:highlight w:val="none"/>
        </w:rPr>
        <w:fldChar w:fldCharType="separate"/>
      </w:r>
      <w:r>
        <w:rPr>
          <w:rFonts w:hint="eastAsia" w:ascii="宋体" w:hAnsi="宋体" w:eastAsia="宋体" w:cs="宋体"/>
          <w:color w:val="000000"/>
          <w:sz w:val="24"/>
          <w:szCs w:val="24"/>
          <w:highlight w:val="none"/>
        </w:rPr>
        <w:fldChar w:fldCharType="begin"/>
      </w:r>
      <w:r>
        <w:rPr>
          <w:rFonts w:hint="eastAsia" w:ascii="宋体" w:hAnsi="宋体" w:eastAsia="宋体" w:cs="宋体"/>
          <w:sz w:val="24"/>
          <w:szCs w:val="24"/>
          <w:highlight w:val="none"/>
        </w:rPr>
        <w:instrText xml:space="preserve"> HYPERLINK \l _Toc645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highlight w:val="none"/>
        </w:rPr>
        <w:t>第一章 竞争性磋商公告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_Toc645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color w:val="000000"/>
          <w:sz w:val="24"/>
          <w:szCs w:val="24"/>
          <w:highlight w:val="none"/>
        </w:rPr>
        <w:fldChar w:fldCharType="end"/>
      </w:r>
    </w:p>
    <w:p w14:paraId="2A8100ED">
      <w:pPr>
        <w:pStyle w:val="12"/>
        <w:keepNext w:val="0"/>
        <w:keepLines w:val="0"/>
        <w:pageBreakBefore w:val="0"/>
        <w:widowControl w:val="0"/>
        <w:tabs>
          <w:tab w:val="right" w:leader="dot" w:pos="9072"/>
        </w:tabs>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hAnsi="宋体" w:eastAsia="宋体" w:cs="宋体"/>
          <w:color w:val="000000"/>
          <w:sz w:val="24"/>
          <w:szCs w:val="24"/>
          <w:highlight w:val="none"/>
        </w:rPr>
        <w:fldChar w:fldCharType="begin"/>
      </w:r>
      <w:r>
        <w:rPr>
          <w:rFonts w:hint="eastAsia" w:ascii="宋体" w:hAnsi="宋体" w:eastAsia="宋体" w:cs="宋体"/>
          <w:sz w:val="24"/>
          <w:szCs w:val="24"/>
          <w:highlight w:val="none"/>
        </w:rPr>
        <w:instrText xml:space="preserve"> HYPERLINK \l _Toc22763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第二章 采购需求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_Toc22763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color w:val="000000"/>
          <w:sz w:val="24"/>
          <w:szCs w:val="24"/>
          <w:highlight w:val="none"/>
        </w:rPr>
        <w:fldChar w:fldCharType="end"/>
      </w:r>
    </w:p>
    <w:p w14:paraId="7CF6C805">
      <w:pPr>
        <w:pStyle w:val="12"/>
        <w:keepNext w:val="0"/>
        <w:keepLines w:val="0"/>
        <w:pageBreakBefore w:val="0"/>
        <w:widowControl w:val="0"/>
        <w:tabs>
          <w:tab w:val="right" w:leader="dot" w:pos="9072"/>
        </w:tabs>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hAnsi="宋体" w:eastAsia="宋体" w:cs="宋体"/>
          <w:color w:val="000000"/>
          <w:sz w:val="24"/>
          <w:szCs w:val="24"/>
          <w:highlight w:val="none"/>
        </w:rPr>
        <w:fldChar w:fldCharType="begin"/>
      </w:r>
      <w:r>
        <w:rPr>
          <w:rFonts w:hint="eastAsia" w:ascii="宋体" w:hAnsi="宋体" w:eastAsia="宋体" w:cs="宋体"/>
          <w:sz w:val="24"/>
          <w:szCs w:val="24"/>
          <w:highlight w:val="none"/>
        </w:rPr>
        <w:instrText xml:space="preserve"> HYPERLINK \l _Toc9100 </w:instrText>
      </w:r>
      <w:r>
        <w:rPr>
          <w:rFonts w:hint="eastAsia" w:ascii="宋体" w:hAnsi="宋体" w:eastAsia="宋体" w:cs="宋体"/>
          <w:sz w:val="24"/>
          <w:szCs w:val="24"/>
          <w:highlight w:val="none"/>
        </w:rPr>
        <w:fldChar w:fldCharType="separate"/>
      </w:r>
      <w:r>
        <w:rPr>
          <w:rFonts w:hint="eastAsia" w:ascii="宋体" w:hAnsi="宋体" w:eastAsia="宋体" w:cs="宋体"/>
          <w:kern w:val="44"/>
          <w:sz w:val="24"/>
          <w:szCs w:val="24"/>
        </w:rPr>
        <w:t xml:space="preserve">第三章 </w:t>
      </w:r>
      <w:r>
        <w:rPr>
          <w:rFonts w:hint="eastAsia" w:ascii="宋体" w:hAnsi="宋体" w:eastAsia="宋体" w:cs="宋体"/>
          <w:kern w:val="44"/>
          <w:sz w:val="24"/>
          <w:szCs w:val="24"/>
          <w:highlight w:val="none"/>
        </w:rPr>
        <w:t>供应商须知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_Toc9100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color w:val="000000"/>
          <w:sz w:val="24"/>
          <w:szCs w:val="24"/>
          <w:highlight w:val="none"/>
        </w:rPr>
        <w:fldChar w:fldCharType="end"/>
      </w:r>
    </w:p>
    <w:p w14:paraId="2B7C4951">
      <w:pPr>
        <w:pStyle w:val="13"/>
        <w:keepNext w:val="0"/>
        <w:keepLines w:val="0"/>
        <w:pageBreakBefore w:val="0"/>
        <w:widowControl w:val="0"/>
        <w:tabs>
          <w:tab w:val="right" w:leader="dot" w:pos="9072"/>
          <w:tab w:val="clear" w:pos="8296"/>
        </w:tabs>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hAnsi="宋体" w:eastAsia="宋体" w:cs="宋体"/>
          <w:color w:val="000000"/>
          <w:sz w:val="24"/>
          <w:szCs w:val="24"/>
          <w:highlight w:val="none"/>
        </w:rPr>
        <w:fldChar w:fldCharType="begin"/>
      </w:r>
      <w:r>
        <w:rPr>
          <w:rFonts w:hint="eastAsia" w:ascii="宋体" w:hAnsi="宋体" w:eastAsia="宋体" w:cs="宋体"/>
          <w:sz w:val="24"/>
          <w:szCs w:val="24"/>
          <w:highlight w:val="none"/>
        </w:rPr>
        <w:instrText xml:space="preserve"> HYPERLINK \l _Toc16798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第一节 供应商须知前附表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_Toc16798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color w:val="000000"/>
          <w:sz w:val="24"/>
          <w:szCs w:val="24"/>
          <w:highlight w:val="none"/>
        </w:rPr>
        <w:fldChar w:fldCharType="end"/>
      </w:r>
    </w:p>
    <w:p w14:paraId="02B3043D">
      <w:pPr>
        <w:pStyle w:val="13"/>
        <w:keepNext w:val="0"/>
        <w:keepLines w:val="0"/>
        <w:pageBreakBefore w:val="0"/>
        <w:widowControl w:val="0"/>
        <w:tabs>
          <w:tab w:val="right" w:leader="dot" w:pos="9072"/>
          <w:tab w:val="clear" w:pos="8296"/>
        </w:tabs>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hAnsi="宋体" w:eastAsia="宋体" w:cs="宋体"/>
          <w:color w:val="000000"/>
          <w:sz w:val="24"/>
          <w:szCs w:val="24"/>
          <w:highlight w:val="none"/>
        </w:rPr>
        <w:fldChar w:fldCharType="begin"/>
      </w:r>
      <w:r>
        <w:rPr>
          <w:rFonts w:hint="eastAsia" w:ascii="宋体" w:hAnsi="宋体" w:eastAsia="宋体" w:cs="宋体"/>
          <w:sz w:val="24"/>
          <w:szCs w:val="24"/>
          <w:highlight w:val="none"/>
        </w:rPr>
        <w:instrText xml:space="preserve"> HYPERLINK \l _Toc30518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第二节 供应商须知正文</w:t>
      </w:r>
      <w:bookmarkStart w:id="970" w:name="_GoBack"/>
      <w:bookmarkEnd w:id="970"/>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_Toc30518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color w:val="000000"/>
          <w:sz w:val="24"/>
          <w:szCs w:val="24"/>
          <w:highlight w:val="none"/>
        </w:rPr>
        <w:fldChar w:fldCharType="end"/>
      </w:r>
    </w:p>
    <w:p w14:paraId="3A19A581">
      <w:pPr>
        <w:pStyle w:val="12"/>
        <w:keepNext w:val="0"/>
        <w:keepLines w:val="0"/>
        <w:pageBreakBefore w:val="0"/>
        <w:widowControl w:val="0"/>
        <w:tabs>
          <w:tab w:val="right" w:leader="dot" w:pos="9072"/>
        </w:tabs>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hAnsi="宋体" w:eastAsia="宋体" w:cs="宋体"/>
          <w:color w:val="000000"/>
          <w:sz w:val="24"/>
          <w:szCs w:val="24"/>
          <w:highlight w:val="none"/>
        </w:rPr>
        <w:fldChar w:fldCharType="begin"/>
      </w:r>
      <w:r>
        <w:rPr>
          <w:rFonts w:hint="eastAsia" w:ascii="宋体" w:hAnsi="宋体" w:eastAsia="宋体" w:cs="宋体"/>
          <w:sz w:val="24"/>
          <w:szCs w:val="24"/>
          <w:highlight w:val="none"/>
        </w:rPr>
        <w:instrText xml:space="preserve"> HYPERLINK \l _Toc10035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highlight w:val="none"/>
        </w:rPr>
        <w:t>第四章  评审程序、评审方法和评审标准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_Toc10035 \h </w:instrText>
      </w:r>
      <w:r>
        <w:rPr>
          <w:rFonts w:hint="eastAsia" w:ascii="宋体" w:hAnsi="宋体" w:eastAsia="宋体" w:cs="宋体"/>
          <w:sz w:val="24"/>
          <w:szCs w:val="24"/>
        </w:rPr>
        <w:fldChar w:fldCharType="separate"/>
      </w:r>
      <w:r>
        <w:rPr>
          <w:rFonts w:hint="eastAsia" w:ascii="宋体" w:hAnsi="宋体" w:eastAsia="宋体" w:cs="宋体"/>
          <w:sz w:val="24"/>
          <w:szCs w:val="24"/>
        </w:rPr>
        <w:t>30</w:t>
      </w:r>
      <w:r>
        <w:rPr>
          <w:rFonts w:hint="eastAsia" w:ascii="宋体" w:hAnsi="宋体" w:eastAsia="宋体" w:cs="宋体"/>
          <w:sz w:val="24"/>
          <w:szCs w:val="24"/>
        </w:rPr>
        <w:fldChar w:fldCharType="end"/>
      </w:r>
      <w:r>
        <w:rPr>
          <w:rFonts w:hint="eastAsia" w:ascii="宋体" w:hAnsi="宋体" w:eastAsia="宋体" w:cs="宋体"/>
          <w:color w:val="000000"/>
          <w:sz w:val="24"/>
          <w:szCs w:val="24"/>
          <w:highlight w:val="none"/>
        </w:rPr>
        <w:fldChar w:fldCharType="end"/>
      </w:r>
    </w:p>
    <w:p w14:paraId="41F35485">
      <w:pPr>
        <w:pStyle w:val="13"/>
        <w:keepNext w:val="0"/>
        <w:keepLines w:val="0"/>
        <w:pageBreakBefore w:val="0"/>
        <w:widowControl w:val="0"/>
        <w:tabs>
          <w:tab w:val="right" w:leader="dot" w:pos="9072"/>
          <w:tab w:val="clear" w:pos="8296"/>
        </w:tabs>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hAnsi="宋体" w:eastAsia="宋体" w:cs="宋体"/>
          <w:color w:val="000000"/>
          <w:sz w:val="24"/>
          <w:szCs w:val="24"/>
          <w:highlight w:val="none"/>
        </w:rPr>
        <w:fldChar w:fldCharType="begin"/>
      </w:r>
      <w:r>
        <w:rPr>
          <w:rFonts w:hint="eastAsia" w:ascii="宋体" w:hAnsi="宋体" w:eastAsia="宋体" w:cs="宋体"/>
          <w:sz w:val="24"/>
          <w:szCs w:val="24"/>
          <w:highlight w:val="none"/>
        </w:rPr>
        <w:instrText xml:space="preserve"> HYPERLINK \l _Toc14409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第一节 评审程序和评审方法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_Toc14409 \h </w:instrText>
      </w:r>
      <w:r>
        <w:rPr>
          <w:rFonts w:hint="eastAsia" w:ascii="宋体" w:hAnsi="宋体" w:eastAsia="宋体" w:cs="宋体"/>
          <w:sz w:val="24"/>
          <w:szCs w:val="24"/>
        </w:rPr>
        <w:fldChar w:fldCharType="separate"/>
      </w:r>
      <w:r>
        <w:rPr>
          <w:rFonts w:hint="eastAsia" w:ascii="宋体" w:hAnsi="宋体" w:eastAsia="宋体" w:cs="宋体"/>
          <w:sz w:val="24"/>
          <w:szCs w:val="24"/>
        </w:rPr>
        <w:t>30</w:t>
      </w:r>
      <w:r>
        <w:rPr>
          <w:rFonts w:hint="eastAsia" w:ascii="宋体" w:hAnsi="宋体" w:eastAsia="宋体" w:cs="宋体"/>
          <w:sz w:val="24"/>
          <w:szCs w:val="24"/>
        </w:rPr>
        <w:fldChar w:fldCharType="end"/>
      </w:r>
      <w:r>
        <w:rPr>
          <w:rFonts w:hint="eastAsia" w:ascii="宋体" w:hAnsi="宋体" w:eastAsia="宋体" w:cs="宋体"/>
          <w:color w:val="000000"/>
          <w:sz w:val="24"/>
          <w:szCs w:val="24"/>
          <w:highlight w:val="none"/>
        </w:rPr>
        <w:fldChar w:fldCharType="end"/>
      </w:r>
    </w:p>
    <w:p w14:paraId="2F0ECA5D">
      <w:pPr>
        <w:pStyle w:val="13"/>
        <w:keepNext w:val="0"/>
        <w:keepLines w:val="0"/>
        <w:pageBreakBefore w:val="0"/>
        <w:widowControl w:val="0"/>
        <w:tabs>
          <w:tab w:val="right" w:leader="dot" w:pos="9072"/>
          <w:tab w:val="clear" w:pos="8296"/>
        </w:tabs>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hAnsi="宋体" w:eastAsia="宋体" w:cs="宋体"/>
          <w:color w:val="000000"/>
          <w:sz w:val="24"/>
          <w:szCs w:val="24"/>
          <w:highlight w:val="none"/>
        </w:rPr>
        <w:fldChar w:fldCharType="begin"/>
      </w:r>
      <w:r>
        <w:rPr>
          <w:rFonts w:hint="eastAsia" w:ascii="宋体" w:hAnsi="宋体" w:eastAsia="宋体" w:cs="宋体"/>
          <w:sz w:val="24"/>
          <w:szCs w:val="24"/>
          <w:highlight w:val="none"/>
        </w:rPr>
        <w:instrText xml:space="preserve"> HYPERLINK \l _Toc10999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第二节 评标报告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_Toc10999 \h </w:instrText>
      </w:r>
      <w:r>
        <w:rPr>
          <w:rFonts w:hint="eastAsia" w:ascii="宋体" w:hAnsi="宋体" w:eastAsia="宋体" w:cs="宋体"/>
          <w:sz w:val="24"/>
          <w:szCs w:val="24"/>
        </w:rPr>
        <w:fldChar w:fldCharType="separate"/>
      </w:r>
      <w:r>
        <w:rPr>
          <w:rFonts w:hint="eastAsia" w:ascii="宋体" w:hAnsi="宋体" w:eastAsia="宋体" w:cs="宋体"/>
          <w:sz w:val="24"/>
          <w:szCs w:val="24"/>
        </w:rPr>
        <w:t>41</w:t>
      </w:r>
      <w:r>
        <w:rPr>
          <w:rFonts w:hint="eastAsia" w:ascii="宋体" w:hAnsi="宋体" w:eastAsia="宋体" w:cs="宋体"/>
          <w:sz w:val="24"/>
          <w:szCs w:val="24"/>
        </w:rPr>
        <w:fldChar w:fldCharType="end"/>
      </w:r>
      <w:r>
        <w:rPr>
          <w:rFonts w:hint="eastAsia" w:ascii="宋体" w:hAnsi="宋体" w:eastAsia="宋体" w:cs="宋体"/>
          <w:color w:val="000000"/>
          <w:sz w:val="24"/>
          <w:szCs w:val="24"/>
          <w:highlight w:val="none"/>
        </w:rPr>
        <w:fldChar w:fldCharType="end"/>
      </w:r>
    </w:p>
    <w:p w14:paraId="4F08AD69">
      <w:pPr>
        <w:pStyle w:val="13"/>
        <w:keepNext w:val="0"/>
        <w:keepLines w:val="0"/>
        <w:pageBreakBefore w:val="0"/>
        <w:widowControl w:val="0"/>
        <w:tabs>
          <w:tab w:val="right" w:leader="dot" w:pos="9072"/>
          <w:tab w:val="clear" w:pos="8296"/>
        </w:tabs>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hAnsi="宋体" w:eastAsia="宋体" w:cs="宋体"/>
          <w:color w:val="000000"/>
          <w:sz w:val="24"/>
          <w:szCs w:val="24"/>
          <w:highlight w:val="none"/>
        </w:rPr>
        <w:fldChar w:fldCharType="begin"/>
      </w:r>
      <w:r>
        <w:rPr>
          <w:rFonts w:hint="eastAsia" w:ascii="宋体" w:hAnsi="宋体" w:eastAsia="宋体" w:cs="宋体"/>
          <w:sz w:val="24"/>
          <w:szCs w:val="24"/>
          <w:highlight w:val="none"/>
        </w:rPr>
        <w:instrText xml:space="preserve"> HYPERLINK \l _Toc4491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第三节 评审过程的保密与录像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_Toc4491 \h </w:instrText>
      </w:r>
      <w:r>
        <w:rPr>
          <w:rFonts w:hint="eastAsia" w:ascii="宋体" w:hAnsi="宋体" w:eastAsia="宋体" w:cs="宋体"/>
          <w:sz w:val="24"/>
          <w:szCs w:val="24"/>
        </w:rPr>
        <w:fldChar w:fldCharType="separate"/>
      </w:r>
      <w:r>
        <w:rPr>
          <w:rFonts w:hint="eastAsia" w:ascii="宋体" w:hAnsi="宋体" w:eastAsia="宋体" w:cs="宋体"/>
          <w:sz w:val="24"/>
          <w:szCs w:val="24"/>
        </w:rPr>
        <w:t>42</w:t>
      </w:r>
      <w:r>
        <w:rPr>
          <w:rFonts w:hint="eastAsia" w:ascii="宋体" w:hAnsi="宋体" w:eastAsia="宋体" w:cs="宋体"/>
          <w:sz w:val="24"/>
          <w:szCs w:val="24"/>
        </w:rPr>
        <w:fldChar w:fldCharType="end"/>
      </w:r>
      <w:r>
        <w:rPr>
          <w:rFonts w:hint="eastAsia" w:ascii="宋体" w:hAnsi="宋体" w:eastAsia="宋体" w:cs="宋体"/>
          <w:color w:val="000000"/>
          <w:sz w:val="24"/>
          <w:szCs w:val="24"/>
          <w:highlight w:val="none"/>
        </w:rPr>
        <w:fldChar w:fldCharType="end"/>
      </w:r>
    </w:p>
    <w:p w14:paraId="008A67B6">
      <w:pPr>
        <w:pStyle w:val="12"/>
        <w:keepNext w:val="0"/>
        <w:keepLines w:val="0"/>
        <w:pageBreakBefore w:val="0"/>
        <w:widowControl w:val="0"/>
        <w:tabs>
          <w:tab w:val="right" w:leader="dot" w:pos="9072"/>
        </w:tabs>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hAnsi="宋体" w:eastAsia="宋体" w:cs="宋体"/>
          <w:color w:val="000000"/>
          <w:sz w:val="24"/>
          <w:szCs w:val="24"/>
          <w:highlight w:val="none"/>
        </w:rPr>
        <w:fldChar w:fldCharType="begin"/>
      </w:r>
      <w:r>
        <w:rPr>
          <w:rFonts w:hint="eastAsia" w:ascii="宋体" w:hAnsi="宋体" w:eastAsia="宋体" w:cs="宋体"/>
          <w:sz w:val="24"/>
          <w:szCs w:val="24"/>
          <w:highlight w:val="none"/>
        </w:rPr>
        <w:instrText xml:space="preserve"> HYPERLINK \l _Toc20650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highlight w:val="none"/>
        </w:rPr>
        <w:t>第五章 响应文件格式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_Toc20650 \h </w:instrText>
      </w:r>
      <w:r>
        <w:rPr>
          <w:rFonts w:hint="eastAsia" w:ascii="宋体" w:hAnsi="宋体" w:eastAsia="宋体" w:cs="宋体"/>
          <w:sz w:val="24"/>
          <w:szCs w:val="24"/>
        </w:rPr>
        <w:fldChar w:fldCharType="separate"/>
      </w:r>
      <w:r>
        <w:rPr>
          <w:rFonts w:hint="eastAsia" w:ascii="宋体" w:hAnsi="宋体" w:eastAsia="宋体" w:cs="宋体"/>
          <w:sz w:val="24"/>
          <w:szCs w:val="24"/>
        </w:rPr>
        <w:t>43</w:t>
      </w:r>
      <w:r>
        <w:rPr>
          <w:rFonts w:hint="eastAsia" w:ascii="宋体" w:hAnsi="宋体" w:eastAsia="宋体" w:cs="宋体"/>
          <w:sz w:val="24"/>
          <w:szCs w:val="24"/>
        </w:rPr>
        <w:fldChar w:fldCharType="end"/>
      </w:r>
      <w:r>
        <w:rPr>
          <w:rFonts w:hint="eastAsia" w:ascii="宋体" w:hAnsi="宋体" w:eastAsia="宋体" w:cs="宋体"/>
          <w:color w:val="000000"/>
          <w:sz w:val="24"/>
          <w:szCs w:val="24"/>
          <w:highlight w:val="none"/>
        </w:rPr>
        <w:fldChar w:fldCharType="end"/>
      </w:r>
    </w:p>
    <w:p w14:paraId="7DC8530F">
      <w:pPr>
        <w:pStyle w:val="13"/>
        <w:keepNext w:val="0"/>
        <w:keepLines w:val="0"/>
        <w:pageBreakBefore w:val="0"/>
        <w:widowControl w:val="0"/>
        <w:tabs>
          <w:tab w:val="right" w:leader="dot" w:pos="9072"/>
          <w:tab w:val="clear" w:pos="8296"/>
        </w:tabs>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hAnsi="宋体" w:eastAsia="宋体" w:cs="宋体"/>
          <w:color w:val="000000"/>
          <w:sz w:val="24"/>
          <w:szCs w:val="24"/>
          <w:highlight w:val="none"/>
        </w:rPr>
        <w:fldChar w:fldCharType="begin"/>
      </w:r>
      <w:r>
        <w:rPr>
          <w:rFonts w:hint="eastAsia" w:ascii="宋体" w:hAnsi="宋体" w:eastAsia="宋体" w:cs="宋体"/>
          <w:sz w:val="24"/>
          <w:szCs w:val="24"/>
          <w:highlight w:val="none"/>
        </w:rPr>
        <w:instrText xml:space="preserve"> HYPERLINK \l _Toc28327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第一节 封面格式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_Toc28327 \h </w:instrText>
      </w:r>
      <w:r>
        <w:rPr>
          <w:rFonts w:hint="eastAsia" w:ascii="宋体" w:hAnsi="宋体" w:eastAsia="宋体" w:cs="宋体"/>
          <w:sz w:val="24"/>
          <w:szCs w:val="24"/>
        </w:rPr>
        <w:fldChar w:fldCharType="separate"/>
      </w:r>
      <w:r>
        <w:rPr>
          <w:rFonts w:hint="eastAsia" w:ascii="宋体" w:hAnsi="宋体" w:eastAsia="宋体" w:cs="宋体"/>
          <w:sz w:val="24"/>
          <w:szCs w:val="24"/>
        </w:rPr>
        <w:t>44</w:t>
      </w:r>
      <w:r>
        <w:rPr>
          <w:rFonts w:hint="eastAsia" w:ascii="宋体" w:hAnsi="宋体" w:eastAsia="宋体" w:cs="宋体"/>
          <w:sz w:val="24"/>
          <w:szCs w:val="24"/>
        </w:rPr>
        <w:fldChar w:fldCharType="end"/>
      </w:r>
      <w:r>
        <w:rPr>
          <w:rFonts w:hint="eastAsia" w:ascii="宋体" w:hAnsi="宋体" w:eastAsia="宋体" w:cs="宋体"/>
          <w:color w:val="000000"/>
          <w:sz w:val="24"/>
          <w:szCs w:val="24"/>
          <w:highlight w:val="none"/>
        </w:rPr>
        <w:fldChar w:fldCharType="end"/>
      </w:r>
    </w:p>
    <w:p w14:paraId="0038F7D8">
      <w:pPr>
        <w:pStyle w:val="13"/>
        <w:keepNext w:val="0"/>
        <w:keepLines w:val="0"/>
        <w:pageBreakBefore w:val="0"/>
        <w:widowControl w:val="0"/>
        <w:tabs>
          <w:tab w:val="right" w:leader="dot" w:pos="9072"/>
          <w:tab w:val="clear" w:pos="8296"/>
        </w:tabs>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hAnsi="宋体" w:eastAsia="宋体" w:cs="宋体"/>
          <w:color w:val="000000"/>
          <w:sz w:val="24"/>
          <w:szCs w:val="24"/>
          <w:highlight w:val="none"/>
        </w:rPr>
        <w:fldChar w:fldCharType="begin"/>
      </w:r>
      <w:r>
        <w:rPr>
          <w:rFonts w:hint="eastAsia" w:ascii="宋体" w:hAnsi="宋体" w:eastAsia="宋体" w:cs="宋体"/>
          <w:sz w:val="24"/>
          <w:szCs w:val="24"/>
          <w:highlight w:val="none"/>
        </w:rPr>
        <w:instrText xml:space="preserve"> HYPERLINK \l _Toc9936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第二节 资格证明文件格式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_Toc9936 \h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r>
        <w:rPr>
          <w:rFonts w:hint="eastAsia" w:ascii="宋体" w:hAnsi="宋体" w:eastAsia="宋体" w:cs="宋体"/>
          <w:color w:val="000000"/>
          <w:sz w:val="24"/>
          <w:szCs w:val="24"/>
          <w:highlight w:val="none"/>
        </w:rPr>
        <w:fldChar w:fldCharType="end"/>
      </w:r>
    </w:p>
    <w:p w14:paraId="32702E45">
      <w:pPr>
        <w:pStyle w:val="13"/>
        <w:keepNext w:val="0"/>
        <w:keepLines w:val="0"/>
        <w:pageBreakBefore w:val="0"/>
        <w:widowControl w:val="0"/>
        <w:tabs>
          <w:tab w:val="right" w:leader="dot" w:pos="9072"/>
          <w:tab w:val="clear" w:pos="8296"/>
        </w:tabs>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hAnsi="宋体" w:eastAsia="宋体" w:cs="宋体"/>
          <w:color w:val="000000"/>
          <w:sz w:val="24"/>
          <w:szCs w:val="24"/>
          <w:highlight w:val="none"/>
        </w:rPr>
        <w:fldChar w:fldCharType="begin"/>
      </w:r>
      <w:r>
        <w:rPr>
          <w:rFonts w:hint="eastAsia" w:ascii="宋体" w:hAnsi="宋体" w:eastAsia="宋体" w:cs="宋体"/>
          <w:sz w:val="24"/>
          <w:szCs w:val="24"/>
          <w:highlight w:val="none"/>
        </w:rPr>
        <w:instrText xml:space="preserve"> HYPERLINK \l _Toc11274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xml:space="preserve">第三节 </w:t>
      </w:r>
      <w:r>
        <w:rPr>
          <w:rFonts w:hint="eastAsia" w:ascii="宋体" w:hAnsi="宋体" w:eastAsia="宋体" w:cs="宋体"/>
          <w:bCs/>
          <w:sz w:val="24"/>
          <w:szCs w:val="24"/>
          <w:highlight w:val="none"/>
        </w:rPr>
        <w:t>商务技术文件格式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_Toc11274 \h </w:instrText>
      </w:r>
      <w:r>
        <w:rPr>
          <w:rFonts w:hint="eastAsia" w:ascii="宋体" w:hAnsi="宋体" w:eastAsia="宋体" w:cs="宋体"/>
          <w:sz w:val="24"/>
          <w:szCs w:val="24"/>
        </w:rPr>
        <w:fldChar w:fldCharType="separate"/>
      </w:r>
      <w:r>
        <w:rPr>
          <w:rFonts w:hint="eastAsia" w:ascii="宋体" w:hAnsi="宋体" w:eastAsia="宋体" w:cs="宋体"/>
          <w:sz w:val="24"/>
          <w:szCs w:val="24"/>
        </w:rPr>
        <w:t>54</w:t>
      </w:r>
      <w:r>
        <w:rPr>
          <w:rFonts w:hint="eastAsia" w:ascii="宋体" w:hAnsi="宋体" w:eastAsia="宋体" w:cs="宋体"/>
          <w:sz w:val="24"/>
          <w:szCs w:val="24"/>
        </w:rPr>
        <w:fldChar w:fldCharType="end"/>
      </w:r>
      <w:r>
        <w:rPr>
          <w:rFonts w:hint="eastAsia" w:ascii="宋体" w:hAnsi="宋体" w:eastAsia="宋体" w:cs="宋体"/>
          <w:color w:val="000000"/>
          <w:sz w:val="24"/>
          <w:szCs w:val="24"/>
          <w:highlight w:val="none"/>
        </w:rPr>
        <w:fldChar w:fldCharType="end"/>
      </w:r>
    </w:p>
    <w:p w14:paraId="36A4E64D">
      <w:pPr>
        <w:pStyle w:val="13"/>
        <w:keepNext w:val="0"/>
        <w:keepLines w:val="0"/>
        <w:pageBreakBefore w:val="0"/>
        <w:widowControl w:val="0"/>
        <w:tabs>
          <w:tab w:val="right" w:leader="dot" w:pos="9072"/>
          <w:tab w:val="clear" w:pos="8296"/>
        </w:tabs>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hAnsi="宋体" w:eastAsia="宋体" w:cs="宋体"/>
          <w:color w:val="000000"/>
          <w:sz w:val="24"/>
          <w:szCs w:val="24"/>
          <w:highlight w:val="none"/>
        </w:rPr>
        <w:fldChar w:fldCharType="begin"/>
      </w:r>
      <w:r>
        <w:rPr>
          <w:rFonts w:hint="eastAsia" w:ascii="宋体" w:hAnsi="宋体" w:eastAsia="宋体" w:cs="宋体"/>
          <w:sz w:val="24"/>
          <w:szCs w:val="24"/>
          <w:highlight w:val="none"/>
        </w:rPr>
        <w:instrText xml:space="preserve"> HYPERLINK \l _Toc7630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第四节 报价文件格式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_Toc7630 \h </w:instrText>
      </w:r>
      <w:r>
        <w:rPr>
          <w:rFonts w:hint="eastAsia" w:ascii="宋体" w:hAnsi="宋体" w:eastAsia="宋体" w:cs="宋体"/>
          <w:sz w:val="24"/>
          <w:szCs w:val="24"/>
        </w:rPr>
        <w:fldChar w:fldCharType="separate"/>
      </w:r>
      <w:r>
        <w:rPr>
          <w:rFonts w:hint="eastAsia" w:ascii="宋体" w:hAnsi="宋体" w:eastAsia="宋体" w:cs="宋体"/>
          <w:sz w:val="24"/>
          <w:szCs w:val="24"/>
        </w:rPr>
        <w:t>74</w:t>
      </w:r>
      <w:r>
        <w:rPr>
          <w:rFonts w:hint="eastAsia" w:ascii="宋体" w:hAnsi="宋体" w:eastAsia="宋体" w:cs="宋体"/>
          <w:sz w:val="24"/>
          <w:szCs w:val="24"/>
        </w:rPr>
        <w:fldChar w:fldCharType="end"/>
      </w:r>
      <w:r>
        <w:rPr>
          <w:rFonts w:hint="eastAsia" w:ascii="宋体" w:hAnsi="宋体" w:eastAsia="宋体" w:cs="宋体"/>
          <w:color w:val="000000"/>
          <w:sz w:val="24"/>
          <w:szCs w:val="24"/>
          <w:highlight w:val="none"/>
        </w:rPr>
        <w:fldChar w:fldCharType="end"/>
      </w:r>
    </w:p>
    <w:p w14:paraId="0578F3D0">
      <w:pPr>
        <w:pStyle w:val="12"/>
        <w:keepNext w:val="0"/>
        <w:keepLines w:val="0"/>
        <w:pageBreakBefore w:val="0"/>
        <w:widowControl w:val="0"/>
        <w:tabs>
          <w:tab w:val="right" w:leader="dot" w:pos="9072"/>
        </w:tabs>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hAnsi="宋体" w:eastAsia="宋体" w:cs="宋体"/>
          <w:color w:val="000000"/>
          <w:sz w:val="24"/>
          <w:szCs w:val="24"/>
          <w:highlight w:val="none"/>
        </w:rPr>
        <w:fldChar w:fldCharType="begin"/>
      </w:r>
      <w:r>
        <w:rPr>
          <w:rFonts w:hint="eastAsia" w:ascii="宋体" w:hAnsi="宋体" w:eastAsia="宋体" w:cs="宋体"/>
          <w:sz w:val="24"/>
          <w:szCs w:val="24"/>
          <w:highlight w:val="none"/>
        </w:rPr>
        <w:instrText xml:space="preserve"> HYPERLINK \l _Toc20680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highlight w:val="none"/>
          <w:lang w:val="en-US" w:eastAsia="zh-CN"/>
        </w:rPr>
        <w:t>第六章 合同文本</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_Toc20680 \h </w:instrText>
      </w:r>
      <w:r>
        <w:rPr>
          <w:rFonts w:hint="eastAsia" w:ascii="宋体" w:hAnsi="宋体" w:eastAsia="宋体" w:cs="宋体"/>
          <w:sz w:val="24"/>
          <w:szCs w:val="24"/>
        </w:rPr>
        <w:fldChar w:fldCharType="separate"/>
      </w:r>
      <w:r>
        <w:rPr>
          <w:rFonts w:hint="eastAsia" w:ascii="宋体" w:hAnsi="宋体" w:eastAsia="宋体" w:cs="宋体"/>
          <w:sz w:val="24"/>
          <w:szCs w:val="24"/>
        </w:rPr>
        <w:t>82</w:t>
      </w:r>
      <w:r>
        <w:rPr>
          <w:rFonts w:hint="eastAsia" w:ascii="宋体" w:hAnsi="宋体" w:eastAsia="宋体" w:cs="宋体"/>
          <w:sz w:val="24"/>
          <w:szCs w:val="24"/>
        </w:rPr>
        <w:fldChar w:fldCharType="end"/>
      </w:r>
      <w:r>
        <w:rPr>
          <w:rFonts w:hint="eastAsia" w:ascii="宋体" w:hAnsi="宋体" w:eastAsia="宋体" w:cs="宋体"/>
          <w:color w:val="000000"/>
          <w:sz w:val="24"/>
          <w:szCs w:val="24"/>
          <w:highlight w:val="none"/>
        </w:rPr>
        <w:fldChar w:fldCharType="end"/>
      </w:r>
    </w:p>
    <w:p w14:paraId="7266891C">
      <w:pPr>
        <w:pStyle w:val="12"/>
        <w:keepNext w:val="0"/>
        <w:keepLines w:val="0"/>
        <w:pageBreakBefore w:val="0"/>
        <w:widowControl w:val="0"/>
        <w:tabs>
          <w:tab w:val="right" w:leader="dot" w:pos="9072"/>
        </w:tabs>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fldChar w:fldCharType="begin"/>
      </w:r>
      <w:r>
        <w:rPr>
          <w:rFonts w:hint="eastAsia" w:ascii="宋体" w:hAnsi="宋体" w:eastAsia="宋体" w:cs="宋体"/>
          <w:sz w:val="24"/>
          <w:szCs w:val="24"/>
          <w:highlight w:val="none"/>
        </w:rPr>
        <w:instrText xml:space="preserve"> HYPERLINK \l _Toc10274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highlight w:val="none"/>
          <w:lang w:val="en-US" w:eastAsia="zh-CN" w:bidi="ar-SA"/>
        </w:rPr>
        <w:t>第七章 图纸和</w:t>
      </w:r>
      <w:r>
        <w:rPr>
          <w:rFonts w:hint="eastAsia" w:ascii="宋体" w:hAnsi="宋体" w:cs="宋体"/>
          <w:bCs/>
          <w:kern w:val="44"/>
          <w:sz w:val="24"/>
          <w:szCs w:val="24"/>
          <w:highlight w:val="none"/>
          <w:lang w:val="en-US" w:eastAsia="zh-CN" w:bidi="ar-SA"/>
        </w:rPr>
        <w:t>招标控制价</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_Toc10274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126</w:t>
      </w:r>
      <w:r>
        <w:rPr>
          <w:rFonts w:hint="eastAsia" w:ascii="宋体" w:hAnsi="宋体" w:eastAsia="宋体" w:cs="宋体"/>
          <w:sz w:val="24"/>
          <w:szCs w:val="24"/>
          <w:highlight w:val="none"/>
        </w:rPr>
        <w:fldChar w:fldCharType="end"/>
      </w:r>
      <w:r>
        <w:rPr>
          <w:rFonts w:hint="eastAsia" w:ascii="宋体" w:hAnsi="宋体" w:eastAsia="宋体" w:cs="宋体"/>
          <w:color w:val="000000"/>
          <w:sz w:val="24"/>
          <w:szCs w:val="24"/>
          <w:highlight w:val="none"/>
        </w:rPr>
        <w:fldChar w:fldCharType="end"/>
      </w:r>
    </w:p>
    <w:p w14:paraId="52A94BA3">
      <w:pPr>
        <w:pStyle w:val="12"/>
        <w:keepNext w:val="0"/>
        <w:keepLines w:val="0"/>
        <w:pageBreakBefore w:val="0"/>
        <w:widowControl w:val="0"/>
        <w:tabs>
          <w:tab w:val="right" w:leader="dot" w:pos="9072"/>
        </w:tabs>
        <w:kinsoku/>
        <w:wordWrap/>
        <w:overflowPunct/>
        <w:topLinePunct w:val="0"/>
        <w:autoSpaceDE/>
        <w:autoSpaceDN/>
        <w:bidi w:val="0"/>
        <w:adjustRightInd/>
        <w:snapToGrid/>
        <w:spacing w:line="560" w:lineRule="exact"/>
        <w:textAlignment w:val="auto"/>
      </w:pPr>
      <w:r>
        <w:rPr>
          <w:rFonts w:hint="eastAsia" w:ascii="宋体" w:hAnsi="宋体" w:eastAsia="宋体" w:cs="宋体"/>
          <w:color w:val="000000"/>
          <w:sz w:val="24"/>
          <w:szCs w:val="24"/>
          <w:highlight w:val="none"/>
        </w:rPr>
        <w:fldChar w:fldCharType="begin"/>
      </w:r>
      <w:r>
        <w:rPr>
          <w:rFonts w:hint="eastAsia" w:ascii="宋体" w:hAnsi="宋体" w:eastAsia="宋体" w:cs="宋体"/>
          <w:sz w:val="24"/>
          <w:szCs w:val="24"/>
          <w:highlight w:val="none"/>
        </w:rPr>
        <w:instrText xml:space="preserve"> HYPERLINK \l _Toc14536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lang w:val="en-US" w:eastAsia="zh-CN" w:bidi="ar-SA"/>
        </w:rPr>
        <w:t xml:space="preserve">第八章 </w:t>
      </w:r>
      <w:r>
        <w:rPr>
          <w:rFonts w:hint="eastAsia" w:ascii="宋体" w:hAnsi="宋体" w:eastAsia="宋体" w:cs="宋体"/>
          <w:sz w:val="24"/>
          <w:szCs w:val="24"/>
          <w:highlight w:val="none"/>
        </w:rPr>
        <w:t>质疑、投诉材料格式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_Toc14536 \h </w:instrText>
      </w:r>
      <w:r>
        <w:rPr>
          <w:rFonts w:hint="eastAsia" w:ascii="宋体" w:hAnsi="宋体" w:eastAsia="宋体" w:cs="宋体"/>
          <w:sz w:val="24"/>
          <w:szCs w:val="24"/>
        </w:rPr>
        <w:fldChar w:fldCharType="separate"/>
      </w:r>
      <w:r>
        <w:rPr>
          <w:rFonts w:hint="eastAsia" w:ascii="宋体" w:hAnsi="宋体" w:eastAsia="宋体" w:cs="宋体"/>
          <w:sz w:val="24"/>
          <w:szCs w:val="24"/>
        </w:rPr>
        <w:t>127</w:t>
      </w:r>
      <w:r>
        <w:rPr>
          <w:rFonts w:hint="eastAsia" w:ascii="宋体" w:hAnsi="宋体" w:eastAsia="宋体" w:cs="宋体"/>
          <w:sz w:val="24"/>
          <w:szCs w:val="24"/>
        </w:rPr>
        <w:fldChar w:fldCharType="end"/>
      </w:r>
      <w:r>
        <w:rPr>
          <w:rFonts w:hint="eastAsia" w:ascii="宋体" w:hAnsi="宋体" w:eastAsia="宋体" w:cs="宋体"/>
          <w:color w:val="000000"/>
          <w:sz w:val="24"/>
          <w:szCs w:val="24"/>
          <w:highlight w:val="none"/>
        </w:rPr>
        <w:fldChar w:fldCharType="end"/>
      </w:r>
    </w:p>
    <w:p w14:paraId="771A5026">
      <w:pPr>
        <w:keepNext w:val="0"/>
        <w:keepLines w:val="0"/>
        <w:pageBreakBefore w:val="0"/>
        <w:widowControl w:val="0"/>
        <w:tabs>
          <w:tab w:val="right" w:leader="dot" w:pos="8296"/>
        </w:tabs>
        <w:kinsoku/>
        <w:wordWrap/>
        <w:overflowPunct/>
        <w:topLinePunct w:val="0"/>
        <w:autoSpaceDE/>
        <w:autoSpaceDN/>
        <w:bidi w:val="0"/>
        <w:adjustRightInd/>
        <w:snapToGrid/>
        <w:spacing w:line="480" w:lineRule="exact"/>
        <w:ind w:left="420" w:leftChars="200"/>
        <w:textAlignment w:val="auto"/>
        <w:rPr>
          <w:rFonts w:ascii="宋体" w:hAnsi="宋体"/>
          <w:b/>
          <w:color w:val="000000"/>
          <w:sz w:val="32"/>
          <w:szCs w:val="32"/>
          <w:highlight w:val="none"/>
        </w:rPr>
        <w:sectPr>
          <w:footerReference r:id="rId7" w:type="first"/>
          <w:footerReference r:id="rId6" w:type="default"/>
          <w:pgSz w:w="11906" w:h="16838"/>
          <w:pgMar w:top="1417" w:right="1417" w:bottom="1417" w:left="1417" w:header="851" w:footer="992" w:gutter="0"/>
          <w:pgNumType w:start="1"/>
          <w:cols w:space="720" w:num="1"/>
          <w:titlePg/>
          <w:rtlGutter w:val="0"/>
          <w:docGrid w:type="lines" w:linePitch="312" w:charSpace="0"/>
        </w:sectPr>
      </w:pPr>
      <w:r>
        <w:rPr>
          <w:rFonts w:hint="eastAsia" w:ascii="宋体" w:hAnsi="宋体" w:eastAsia="宋体" w:cs="宋体"/>
          <w:color w:val="000000"/>
          <w:szCs w:val="24"/>
          <w:highlight w:val="none"/>
        </w:rPr>
        <w:fldChar w:fldCharType="end"/>
      </w:r>
    </w:p>
    <w:p w14:paraId="5032C341">
      <w:pPr>
        <w:pStyle w:val="2"/>
        <w:numPr>
          <w:ilvl w:val="0"/>
          <w:numId w:val="1"/>
        </w:numPr>
        <w:bidi w:val="0"/>
        <w:spacing w:line="240" w:lineRule="auto"/>
        <w:jc w:val="center"/>
        <w:rPr>
          <w:sz w:val="36"/>
          <w:szCs w:val="36"/>
        </w:rPr>
      </w:pPr>
      <w:bookmarkStart w:id="0" w:name="_Toc645"/>
      <w:r>
        <w:rPr>
          <w:rFonts w:hint="eastAsia"/>
          <w:sz w:val="36"/>
          <w:szCs w:val="36"/>
        </w:rPr>
        <w:t>竞争性磋商公告</w:t>
      </w:r>
      <w:bookmarkEnd w:id="0"/>
      <w:bookmarkStart w:id="1" w:name="_Toc44229878"/>
      <w:bookmarkStart w:id="2" w:name="_Toc35393629"/>
      <w:bookmarkStart w:id="3" w:name="_Toc35393798"/>
      <w:bookmarkStart w:id="4" w:name="_Toc28359089"/>
      <w:bookmarkStart w:id="5" w:name="_Toc28359012"/>
      <w:bookmarkStart w:id="6" w:name="_Toc35393792"/>
      <w:bookmarkStart w:id="7" w:name="_Toc28359004"/>
      <w:bookmarkStart w:id="8" w:name="_Toc28359081"/>
      <w:bookmarkStart w:id="9" w:name="_Toc35393623"/>
    </w:p>
    <w:p w14:paraId="199540FF">
      <w:pPr>
        <w:spacing w:line="240" w:lineRule="auto"/>
        <w:jc w:val="center"/>
        <w:rPr>
          <w:rFonts w:hint="eastAsia" w:ascii="宋体" w:hAnsi="宋体"/>
          <w:b/>
          <w:color w:val="000000"/>
          <w:sz w:val="30"/>
          <w:szCs w:val="30"/>
          <w:highlight w:val="none"/>
          <w:lang w:eastAsia="zh-CN"/>
        </w:rPr>
      </w:pPr>
      <w:r>
        <w:rPr>
          <w:rFonts w:hint="eastAsia" w:ascii="宋体" w:hAnsi="宋体"/>
          <w:b/>
          <w:color w:val="000000"/>
          <w:sz w:val="30"/>
          <w:szCs w:val="30"/>
          <w:highlight w:val="none"/>
          <w:lang w:eastAsia="zh-CN"/>
        </w:rPr>
        <w:t>广西政投项目咨询有限公司</w:t>
      </w:r>
      <w:r>
        <w:rPr>
          <w:rFonts w:hint="eastAsia" w:ascii="宋体" w:hAnsi="宋体"/>
          <w:b/>
          <w:color w:val="000000"/>
          <w:sz w:val="30"/>
          <w:szCs w:val="30"/>
          <w:highlight w:val="none"/>
          <w:lang w:val="en-US" w:eastAsia="zh-CN"/>
        </w:rPr>
        <w:t>关于防城区小峰水库隘脚移民村美丽家园项目</w:t>
      </w:r>
      <w:r>
        <w:rPr>
          <w:rFonts w:hint="eastAsia" w:ascii="宋体" w:hAnsi="宋体"/>
          <w:b/>
          <w:color w:val="000000"/>
          <w:sz w:val="30"/>
          <w:szCs w:val="30"/>
          <w:highlight w:val="none"/>
          <w:lang w:eastAsia="zh-CN"/>
        </w:rPr>
        <w:t>的竞争性磋商公告（</w:t>
      </w:r>
      <w:r>
        <w:rPr>
          <w:rFonts w:hint="eastAsia" w:ascii="宋体" w:hAnsi="宋体"/>
          <w:b/>
          <w:color w:val="000000"/>
          <w:sz w:val="30"/>
          <w:szCs w:val="30"/>
          <w:highlight w:val="none"/>
          <w:lang w:val="en-US" w:eastAsia="zh-CN"/>
        </w:rPr>
        <w:t>远程异地评标</w:t>
      </w:r>
      <w:r>
        <w:rPr>
          <w:rFonts w:hint="eastAsia" w:ascii="宋体" w:hAnsi="宋体"/>
          <w:b/>
          <w:color w:val="000000"/>
          <w:sz w:val="30"/>
          <w:szCs w:val="30"/>
          <w:highlight w:val="none"/>
          <w:lang w:eastAsia="zh-CN"/>
        </w:rPr>
        <w:t>）</w:t>
      </w:r>
    </w:p>
    <w:p w14:paraId="7CF9CDC5">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项目概况</w:t>
      </w:r>
    </w:p>
    <w:p w14:paraId="74476C9C">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s="宋体"/>
          <w:b/>
          <w:color w:val="000000"/>
          <w:kern w:val="44"/>
          <w:sz w:val="24"/>
          <w:highlight w:val="none"/>
        </w:rPr>
      </w:pPr>
      <w:bookmarkStart w:id="10" w:name="_Toc71365905"/>
      <w:r>
        <w:rPr>
          <w:rFonts w:hint="eastAsia" w:ascii="宋体" w:hAnsi="宋体"/>
          <w:color w:val="auto"/>
          <w:szCs w:val="21"/>
          <w:highlight w:val="none"/>
          <w:u w:val="single"/>
        </w:rPr>
        <w:t>防城区小峰水库隘脚移民村美丽家园项目</w:t>
      </w:r>
      <w:r>
        <w:rPr>
          <w:rFonts w:hint="eastAsia" w:ascii="宋体" w:hAnsi="宋体"/>
          <w:color w:val="auto"/>
          <w:szCs w:val="21"/>
          <w:highlight w:val="none"/>
        </w:rPr>
        <w:t>的潜在供应商应在广西政府采购云平台</w:t>
      </w:r>
      <w:r>
        <w:rPr>
          <w:rFonts w:hint="eastAsia" w:ascii="宋体" w:hAnsi="宋体"/>
          <w:snapToGrid w:val="0"/>
          <w:color w:val="auto"/>
          <w:szCs w:val="21"/>
          <w:highlight w:val="none"/>
        </w:rPr>
        <w:t>获取（下载）</w:t>
      </w:r>
      <w:r>
        <w:rPr>
          <w:rFonts w:hint="eastAsia" w:ascii="宋体" w:hAnsi="宋体"/>
          <w:color w:val="auto"/>
          <w:szCs w:val="21"/>
          <w:highlight w:val="none"/>
        </w:rPr>
        <w:t>竞争性磋商文件，并于</w:t>
      </w:r>
      <w:r>
        <w:rPr>
          <w:rFonts w:hint="eastAsia" w:ascii="宋体" w:hAnsi="宋体"/>
          <w:color w:val="auto"/>
          <w:szCs w:val="21"/>
          <w:highlight w:val="none"/>
          <w:u w:val="none"/>
          <w:lang w:eastAsia="zh-CN"/>
        </w:rPr>
        <w:t>202</w:t>
      </w:r>
      <w:r>
        <w:rPr>
          <w:rFonts w:hint="eastAsia" w:ascii="宋体" w:hAnsi="宋体"/>
          <w:color w:val="auto"/>
          <w:szCs w:val="21"/>
          <w:highlight w:val="none"/>
          <w:u w:val="none"/>
          <w:lang w:val="en-US" w:eastAsia="zh-CN"/>
        </w:rPr>
        <w:t>6</w:t>
      </w:r>
      <w:r>
        <w:rPr>
          <w:rFonts w:hint="eastAsia" w:ascii="宋体" w:hAnsi="宋体"/>
          <w:color w:val="auto"/>
          <w:szCs w:val="21"/>
          <w:highlight w:val="none"/>
          <w:u w:val="none"/>
          <w:lang w:eastAsia="zh-CN"/>
        </w:rPr>
        <w:t>年</w:t>
      </w:r>
      <w:r>
        <w:rPr>
          <w:rFonts w:hint="eastAsia" w:ascii="宋体" w:hAnsi="宋体"/>
          <w:color w:val="auto"/>
          <w:szCs w:val="21"/>
          <w:highlight w:val="none"/>
          <w:u w:val="none"/>
          <w:lang w:val="en-US" w:eastAsia="zh-CN"/>
        </w:rPr>
        <w:t>4</w:t>
      </w:r>
      <w:r>
        <w:rPr>
          <w:rFonts w:hint="eastAsia" w:ascii="宋体" w:hAnsi="宋体"/>
          <w:color w:val="auto"/>
          <w:szCs w:val="21"/>
          <w:highlight w:val="none"/>
          <w:u w:val="none"/>
          <w:lang w:eastAsia="zh-CN"/>
        </w:rPr>
        <w:t>月</w:t>
      </w:r>
      <w:r>
        <w:rPr>
          <w:rFonts w:hint="eastAsia" w:ascii="宋体" w:hAnsi="宋体"/>
          <w:color w:val="auto"/>
          <w:szCs w:val="21"/>
          <w:highlight w:val="none"/>
          <w:u w:val="none"/>
          <w:lang w:val="en-US" w:eastAsia="zh-CN"/>
        </w:rPr>
        <w:t>13 日09</w:t>
      </w:r>
      <w:r>
        <w:rPr>
          <w:rFonts w:hint="eastAsia" w:ascii="宋体" w:hAnsi="宋体"/>
          <w:color w:val="auto"/>
          <w:szCs w:val="21"/>
          <w:highlight w:val="none"/>
          <w:u w:val="none"/>
          <w:lang w:eastAsia="zh-CN"/>
        </w:rPr>
        <w:t>时</w:t>
      </w:r>
      <w:r>
        <w:rPr>
          <w:rFonts w:hint="eastAsia" w:ascii="宋体" w:hAnsi="宋体"/>
          <w:color w:val="auto"/>
          <w:szCs w:val="21"/>
          <w:highlight w:val="none"/>
          <w:u w:val="none"/>
          <w:lang w:val="en-US" w:eastAsia="zh-CN"/>
        </w:rPr>
        <w:t>30</w:t>
      </w:r>
      <w:r>
        <w:rPr>
          <w:rFonts w:hint="eastAsia" w:ascii="宋体" w:hAnsi="宋体"/>
          <w:color w:val="auto"/>
          <w:szCs w:val="21"/>
          <w:highlight w:val="none"/>
          <w:u w:val="none"/>
          <w:lang w:eastAsia="zh-CN"/>
        </w:rPr>
        <w:t>分</w:t>
      </w:r>
      <w:r>
        <w:rPr>
          <w:rFonts w:hint="eastAsia" w:ascii="宋体" w:hAnsi="宋体"/>
          <w:bCs/>
          <w:color w:val="auto"/>
          <w:szCs w:val="21"/>
          <w:highlight w:val="none"/>
        </w:rPr>
        <w:t>（北京时间）前提交响应</w:t>
      </w:r>
      <w:r>
        <w:rPr>
          <w:rFonts w:ascii="宋体" w:hAnsi="宋体"/>
          <w:bCs/>
          <w:color w:val="auto"/>
          <w:szCs w:val="21"/>
          <w:highlight w:val="none"/>
        </w:rPr>
        <w:t>文件</w:t>
      </w:r>
      <w:r>
        <w:rPr>
          <w:rFonts w:hint="eastAsia" w:ascii="宋体" w:hAnsi="宋体"/>
          <w:color w:val="auto"/>
          <w:szCs w:val="21"/>
          <w:highlight w:val="none"/>
        </w:rPr>
        <w:t>。</w:t>
      </w:r>
      <w:bookmarkEnd w:id="10"/>
    </w:p>
    <w:p w14:paraId="783852DD">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rPr>
          <w:rFonts w:hint="eastAsia" w:ascii="宋体" w:hAnsi="宋体" w:eastAsia="宋体" w:cs="宋体"/>
          <w:b/>
          <w:color w:val="000000"/>
          <w:sz w:val="21"/>
          <w:szCs w:val="21"/>
          <w:highlight w:val="none"/>
        </w:rPr>
      </w:pPr>
      <w:r>
        <w:rPr>
          <w:rFonts w:hint="eastAsia" w:ascii="宋体" w:hAnsi="宋体" w:eastAsia="宋体" w:cs="宋体"/>
          <w:b/>
          <w:bCs w:val="0"/>
          <w:color w:val="000000"/>
          <w:sz w:val="21"/>
          <w:szCs w:val="21"/>
          <w:highlight w:val="none"/>
        </w:rPr>
        <w:t>一、项目基本情况</w:t>
      </w:r>
      <w:bookmarkEnd w:id="1"/>
      <w:bookmarkEnd w:id="2"/>
      <w:bookmarkEnd w:id="3"/>
      <w:bookmarkEnd w:id="4"/>
      <w:bookmarkEnd w:id="5"/>
    </w:p>
    <w:p w14:paraId="1433E0F5">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rPr>
        <w:t>1.项目编号：FCZC2026-C2-030024-ZTZX</w:t>
      </w:r>
    </w:p>
    <w:p w14:paraId="20C24B2A">
      <w:pPr>
        <w:keepNext w:val="0"/>
        <w:keepLines w:val="0"/>
        <w:pageBreakBefore w:val="0"/>
        <w:kinsoku/>
        <w:wordWrap/>
        <w:overflowPunct/>
        <w:topLinePunct w:val="0"/>
        <w:autoSpaceDE/>
        <w:autoSpaceDN/>
        <w:bidi w:val="0"/>
        <w:spacing w:line="400" w:lineRule="exact"/>
        <w:ind w:left="1680" w:leftChars="200" w:hanging="1260" w:hangingChars="600"/>
        <w:textAlignment w:val="auto"/>
        <w:rPr>
          <w:rFonts w:hint="eastAsia" w:ascii="宋体" w:hAnsi="宋体" w:eastAsia="宋体" w:cs="宋体"/>
          <w:color w:val="000000"/>
          <w:sz w:val="21"/>
          <w:szCs w:val="21"/>
          <w:highlight w:val="none"/>
          <w:u w:val="single"/>
          <w:lang w:eastAsia="zh-CN"/>
        </w:rPr>
      </w:pPr>
      <w:r>
        <w:rPr>
          <w:rFonts w:hint="eastAsia" w:ascii="宋体" w:hAnsi="宋体" w:eastAsia="宋体" w:cs="宋体"/>
          <w:color w:val="000000"/>
          <w:sz w:val="21"/>
          <w:szCs w:val="21"/>
          <w:highlight w:val="none"/>
        </w:rPr>
        <w:t>2.项目名称：防城区小峰水库隘脚移民村美丽家园项目</w:t>
      </w:r>
      <w:r>
        <w:rPr>
          <w:rFonts w:hint="eastAsia" w:ascii="宋体" w:hAnsi="宋体" w:eastAsia="宋体" w:cs="宋体"/>
          <w:color w:val="000000"/>
          <w:spacing w:val="-4"/>
          <w:sz w:val="21"/>
          <w:szCs w:val="21"/>
          <w:highlight w:val="none"/>
          <w:lang w:eastAsia="zh-CN"/>
        </w:rPr>
        <w:t xml:space="preserve"> </w:t>
      </w:r>
    </w:p>
    <w:p w14:paraId="0D97524B">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3.采购方式：竞争性磋商</w:t>
      </w:r>
    </w:p>
    <w:p w14:paraId="166BF4D7">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4.预算金额：</w:t>
      </w:r>
      <w:r>
        <w:rPr>
          <w:rFonts w:hint="eastAsia" w:ascii="宋体" w:hAnsi="宋体" w:eastAsia="宋体" w:cs="宋体"/>
          <w:color w:val="000000"/>
          <w:sz w:val="21"/>
          <w:szCs w:val="21"/>
          <w:highlight w:val="none"/>
          <w:lang w:val="en-US" w:eastAsia="zh-CN"/>
        </w:rPr>
        <w:t>人民币壹佰零伍万柒仟玖佰陆拾元肆角叁分（¥1057960.43元）</w:t>
      </w:r>
    </w:p>
    <w:p w14:paraId="287DB34D">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rPr>
        <w:t>5.最高限价：</w:t>
      </w:r>
      <w:r>
        <w:rPr>
          <w:rFonts w:hint="eastAsia" w:ascii="宋体" w:hAnsi="宋体" w:eastAsia="宋体" w:cs="宋体"/>
          <w:color w:val="000000"/>
          <w:sz w:val="21"/>
          <w:szCs w:val="21"/>
          <w:highlight w:val="none"/>
          <w:lang w:val="en-US" w:eastAsia="zh-CN"/>
        </w:rPr>
        <w:t>人民币壹佰零伍万柒仟玖佰陆拾元肆角叁分（¥1057960.43元）</w:t>
      </w:r>
    </w:p>
    <w:p w14:paraId="6DB82833">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6.采购需求：本工程为防城区小峰水库隘脚移民村美丽家园项目，主要施工内容包括：拆除破损路面，新建排水明沟、盖板排水沟、φ0.5m钢筋砼管涵、φ0.8m钢筋砼管涵、挡土墙、花圃，新建道路硬化、道路翻新、场地硬化、植草砖铺装、栏杆及竣工标志牌等，具体详见施工图纸及招标控制价。</w:t>
      </w:r>
    </w:p>
    <w:p w14:paraId="0DA321C3">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7.合同履行期限</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工期</w:t>
      </w:r>
      <w:r>
        <w:rPr>
          <w:rFonts w:hint="eastAsia" w:ascii="宋体" w:hAnsi="宋体" w:cs="宋体"/>
          <w:color w:val="000000"/>
          <w:sz w:val="21"/>
          <w:szCs w:val="21"/>
          <w:highlight w:val="none"/>
          <w:lang w:val="en-US" w:eastAsia="zh-CN"/>
        </w:rPr>
        <w:t>120</w:t>
      </w:r>
      <w:r>
        <w:rPr>
          <w:rFonts w:hint="eastAsia" w:ascii="宋体" w:hAnsi="宋体" w:eastAsia="宋体" w:cs="宋体"/>
          <w:color w:val="000000"/>
          <w:sz w:val="21"/>
          <w:szCs w:val="21"/>
          <w:highlight w:val="none"/>
        </w:rPr>
        <w:t>日历天</w:t>
      </w:r>
    </w:p>
    <w:p w14:paraId="115E0CBD">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8.本项目是否接受联合体：□是，</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否。</w:t>
      </w:r>
    </w:p>
    <w:p w14:paraId="436BDAC3">
      <w:pPr>
        <w:keepNext w:val="0"/>
        <w:keepLines w:val="0"/>
        <w:pageBreakBefore w:val="0"/>
        <w:kinsoku/>
        <w:wordWrap/>
        <w:overflowPunct/>
        <w:topLinePunct w:val="0"/>
        <w:autoSpaceDE/>
        <w:autoSpaceDN/>
        <w:bidi w:val="0"/>
        <w:spacing w:line="400" w:lineRule="exact"/>
        <w:ind w:firstLine="422" w:firstLineChars="200"/>
        <w:textAlignment w:val="auto"/>
        <w:rPr>
          <w:rFonts w:hint="default" w:ascii="宋体" w:hAnsi="宋体" w:eastAsia="宋体" w:cs="宋体"/>
          <w:bCs/>
          <w:color w:val="000000"/>
          <w:sz w:val="21"/>
          <w:szCs w:val="21"/>
          <w:highlight w:val="none"/>
          <w:lang w:val="en-US" w:eastAsia="zh-CN"/>
        </w:rPr>
      </w:pPr>
      <w:bookmarkStart w:id="11" w:name="_Toc28359013"/>
      <w:bookmarkStart w:id="12" w:name="_Toc35393799"/>
      <w:bookmarkStart w:id="13" w:name="_Toc28359090"/>
      <w:bookmarkStart w:id="14" w:name="_Toc44229879"/>
      <w:bookmarkStart w:id="15" w:name="_Toc35393630"/>
      <w:r>
        <w:rPr>
          <w:rFonts w:hint="eastAsia" w:ascii="宋体" w:hAnsi="宋体" w:eastAsia="宋体" w:cs="宋体"/>
          <w:b/>
          <w:color w:val="000000"/>
          <w:kern w:val="44"/>
          <w:sz w:val="21"/>
          <w:szCs w:val="21"/>
          <w:highlight w:val="none"/>
        </w:rPr>
        <w:t>二、</w:t>
      </w:r>
      <w:bookmarkEnd w:id="11"/>
      <w:bookmarkEnd w:id="12"/>
      <w:bookmarkEnd w:id="13"/>
      <w:bookmarkEnd w:id="14"/>
      <w:bookmarkEnd w:id="15"/>
      <w:r>
        <w:rPr>
          <w:rFonts w:hint="eastAsia" w:ascii="宋体" w:hAnsi="宋体" w:eastAsia="宋体" w:cs="宋体"/>
          <w:b/>
          <w:color w:val="000000"/>
          <w:kern w:val="44"/>
          <w:sz w:val="21"/>
          <w:szCs w:val="21"/>
          <w:highlight w:val="none"/>
          <w:lang w:val="en-US" w:eastAsia="zh-CN"/>
        </w:rPr>
        <w:t>申请人的资格要求</w:t>
      </w:r>
    </w:p>
    <w:p w14:paraId="3C670FAB">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1.满足《中华人民共和国政府采购法》第二十二条规定。</w:t>
      </w:r>
    </w:p>
    <w:p w14:paraId="0AD05408">
      <w:pPr>
        <w:keepNext w:val="0"/>
        <w:keepLines w:val="0"/>
        <w:pageBreakBefore w:val="0"/>
        <w:kinsoku/>
        <w:wordWrap/>
        <w:overflowPunct/>
        <w:topLinePunct w:val="0"/>
        <w:autoSpaceDE/>
        <w:autoSpaceDN/>
        <w:bidi w:val="0"/>
        <w:spacing w:line="400" w:lineRule="exact"/>
        <w:ind w:firstLine="420" w:firstLineChars="200"/>
        <w:textAlignment w:val="auto"/>
        <w:rPr>
          <w:rFonts w:hint="default" w:ascii="宋体" w:hAnsi="宋体" w:eastAsia="宋体" w:cs="宋体"/>
          <w:b/>
          <w:bCs/>
          <w:color w:val="000000"/>
          <w:sz w:val="21"/>
          <w:szCs w:val="21"/>
          <w:highlight w:val="none"/>
          <w:lang w:val="en-US" w:eastAsia="zh-CN"/>
        </w:rPr>
      </w:pPr>
      <w:r>
        <w:rPr>
          <w:rFonts w:hint="eastAsia" w:ascii="宋体" w:hAnsi="宋体" w:eastAsia="宋体" w:cs="宋体"/>
          <w:color w:val="000000"/>
          <w:sz w:val="21"/>
          <w:szCs w:val="21"/>
          <w:highlight w:val="none"/>
        </w:rPr>
        <w:t>2.落实政府采购政策需满足的资格要求：</w:t>
      </w:r>
      <w:r>
        <w:rPr>
          <w:rFonts w:hint="eastAsia" w:ascii="宋体" w:hAnsi="宋体" w:eastAsia="宋体" w:cs="宋体"/>
          <w:b w:val="0"/>
          <w:bCs w:val="0"/>
          <w:color w:val="000000"/>
          <w:sz w:val="21"/>
          <w:szCs w:val="21"/>
          <w:highlight w:val="none"/>
          <w:lang w:val="en-US" w:eastAsia="zh-CN"/>
        </w:rPr>
        <w:t>本项目为</w:t>
      </w:r>
      <w:r>
        <w:rPr>
          <w:rFonts w:hint="eastAsia" w:ascii="宋体" w:hAnsi="宋体" w:eastAsia="宋体" w:cs="宋体"/>
          <w:b w:val="0"/>
          <w:bCs w:val="0"/>
          <w:color w:val="000000"/>
          <w:sz w:val="21"/>
          <w:szCs w:val="21"/>
          <w:highlight w:val="none"/>
        </w:rPr>
        <w:t>专门面向中小企业采购的项目</w:t>
      </w:r>
      <w:r>
        <w:rPr>
          <w:rFonts w:hint="eastAsia" w:ascii="宋体" w:hAnsi="宋体" w:eastAsia="宋体" w:cs="宋体"/>
          <w:b w:val="0"/>
          <w:bCs w:val="0"/>
          <w:color w:val="000000"/>
          <w:sz w:val="21"/>
          <w:szCs w:val="21"/>
          <w:highlight w:val="none"/>
          <w:lang w:eastAsia="zh-CN"/>
        </w:rPr>
        <w:t>，</w:t>
      </w:r>
      <w:r>
        <w:rPr>
          <w:rFonts w:hint="eastAsia" w:ascii="宋体" w:hAnsi="宋体" w:eastAsia="宋体" w:cs="宋体"/>
          <w:b w:val="0"/>
          <w:bCs w:val="0"/>
          <w:color w:val="000000"/>
          <w:sz w:val="21"/>
          <w:szCs w:val="21"/>
          <w:highlight w:val="none"/>
        </w:rPr>
        <w:t>供应商</w:t>
      </w:r>
      <w:r>
        <w:rPr>
          <w:rFonts w:hint="eastAsia" w:ascii="宋体" w:hAnsi="宋体" w:eastAsia="宋体" w:cs="宋体"/>
          <w:b w:val="0"/>
          <w:bCs w:val="0"/>
          <w:color w:val="000000"/>
          <w:sz w:val="21"/>
          <w:szCs w:val="21"/>
          <w:highlight w:val="none"/>
          <w:lang w:val="en-US" w:eastAsia="zh-CN"/>
        </w:rPr>
        <w:t>必须</w:t>
      </w:r>
      <w:r>
        <w:rPr>
          <w:rFonts w:hint="eastAsia" w:ascii="宋体" w:hAnsi="宋体" w:eastAsia="宋体" w:cs="宋体"/>
          <w:b w:val="0"/>
          <w:bCs w:val="0"/>
          <w:color w:val="000000"/>
          <w:sz w:val="21"/>
          <w:szCs w:val="21"/>
          <w:highlight w:val="none"/>
        </w:rPr>
        <w:t>为中小</w:t>
      </w:r>
      <w:r>
        <w:rPr>
          <w:rFonts w:hint="eastAsia" w:ascii="宋体" w:hAnsi="宋体" w:eastAsia="宋体" w:cs="宋体"/>
          <w:b w:val="0"/>
          <w:bCs w:val="0"/>
          <w:color w:val="000000"/>
          <w:sz w:val="21"/>
          <w:szCs w:val="21"/>
          <w:highlight w:val="none"/>
          <w:lang w:val="en-US" w:eastAsia="zh-CN"/>
        </w:rPr>
        <w:t>微</w:t>
      </w:r>
      <w:r>
        <w:rPr>
          <w:rFonts w:hint="eastAsia" w:ascii="宋体" w:hAnsi="宋体" w:eastAsia="宋体" w:cs="宋体"/>
          <w:b w:val="0"/>
          <w:bCs w:val="0"/>
          <w:color w:val="000000"/>
          <w:sz w:val="21"/>
          <w:szCs w:val="21"/>
          <w:highlight w:val="none"/>
        </w:rPr>
        <w:t>企业</w:t>
      </w:r>
      <w:r>
        <w:rPr>
          <w:rFonts w:hint="eastAsia" w:ascii="宋体" w:hAnsi="宋体" w:eastAsia="宋体" w:cs="宋体"/>
          <w:b w:val="0"/>
          <w:bCs w:val="0"/>
          <w:color w:val="000000"/>
          <w:sz w:val="21"/>
          <w:szCs w:val="21"/>
          <w:highlight w:val="none"/>
          <w:lang w:val="en-US" w:eastAsia="zh-CN"/>
        </w:rPr>
        <w:t>或</w:t>
      </w:r>
      <w:r>
        <w:rPr>
          <w:rFonts w:hint="eastAsia" w:ascii="宋体" w:hAnsi="宋体" w:eastAsia="宋体" w:cs="宋体"/>
          <w:b w:val="0"/>
          <w:bCs w:val="0"/>
          <w:color w:val="000000"/>
          <w:sz w:val="21"/>
          <w:szCs w:val="21"/>
          <w:highlight w:val="none"/>
        </w:rPr>
        <w:t>监狱企业</w:t>
      </w:r>
      <w:r>
        <w:rPr>
          <w:rFonts w:hint="eastAsia" w:ascii="宋体" w:hAnsi="宋体" w:eastAsia="宋体" w:cs="宋体"/>
          <w:b w:val="0"/>
          <w:bCs w:val="0"/>
          <w:color w:val="000000"/>
          <w:sz w:val="21"/>
          <w:szCs w:val="21"/>
          <w:highlight w:val="none"/>
          <w:lang w:val="en-US" w:eastAsia="zh-CN"/>
        </w:rPr>
        <w:t>或</w:t>
      </w:r>
      <w:r>
        <w:rPr>
          <w:rFonts w:hint="eastAsia" w:ascii="宋体" w:hAnsi="宋体" w:eastAsia="宋体" w:cs="宋体"/>
          <w:b w:val="0"/>
          <w:bCs w:val="0"/>
          <w:color w:val="000000"/>
          <w:sz w:val="21"/>
          <w:szCs w:val="21"/>
          <w:highlight w:val="none"/>
        </w:rPr>
        <w:t>残疾人福利性单位</w:t>
      </w:r>
      <w:r>
        <w:rPr>
          <w:rFonts w:hint="eastAsia" w:ascii="宋体" w:hAnsi="宋体" w:eastAsia="宋体" w:cs="宋体"/>
          <w:b w:val="0"/>
          <w:bCs w:val="0"/>
          <w:color w:val="auto"/>
          <w:sz w:val="21"/>
          <w:szCs w:val="21"/>
          <w:highlight w:val="none"/>
          <w:lang w:val="en-US" w:eastAsia="zh-CN"/>
        </w:rPr>
        <w:t>。</w:t>
      </w:r>
    </w:p>
    <w:p w14:paraId="41D2E397">
      <w:pPr>
        <w:keepNext w:val="0"/>
        <w:keepLines w:val="0"/>
        <w:pageBreakBefore w:val="0"/>
        <w:numPr>
          <w:ilvl w:val="0"/>
          <w:numId w:val="0"/>
        </w:numPr>
        <w:kinsoku/>
        <w:wordWrap/>
        <w:overflowPunct/>
        <w:topLinePunct w:val="0"/>
        <w:autoSpaceDE/>
        <w:autoSpaceDN/>
        <w:bidi w:val="0"/>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本项目的特定资格要求：</w:t>
      </w:r>
      <w:r>
        <w:rPr>
          <w:rFonts w:hint="eastAsia" w:ascii="宋体" w:hAnsi="宋体" w:eastAsia="宋体" w:cs="宋体"/>
          <w:color w:val="auto"/>
          <w:sz w:val="21"/>
          <w:szCs w:val="21"/>
          <w:highlight w:val="none"/>
          <w:lang w:val="en-US" w:eastAsia="zh-CN"/>
        </w:rPr>
        <w:t>供应商具备市政公用工程施工总承包三级以上（含三级）资质且具有省级及以上建设行政主管部门颁发的安全生产许可证，并在人员、设备、资金等方面具备相应的施工能力；拟派项目经理须具备市政公用工程专业二级（含二级）以上注册建造师执业资格且具备有效的安全生产考核合格证书（B 类），</w:t>
      </w:r>
      <w:r>
        <w:rPr>
          <w:rFonts w:hint="eastAsia" w:ascii="宋体" w:hAnsi="宋体" w:eastAsia="宋体" w:cs="宋体"/>
          <w:color w:val="auto"/>
          <w:sz w:val="21"/>
          <w:szCs w:val="21"/>
          <w:highlight w:val="none"/>
        </w:rPr>
        <w:t>本项目不接受有在建、已中标未开工或已列为其他项目中标候选人第一名的建造师作为项目经理（符合《广西壮族自治区建筑市场诚信卡管理暂行办法》第十六条第一款及桂建管﹝2016﹞70号、桂建管〔2019〕26号和桂建管〔2020〕11号文除外）。</w:t>
      </w:r>
    </w:p>
    <w:p w14:paraId="47970A95">
      <w:pPr>
        <w:keepNext w:val="0"/>
        <w:keepLines w:val="0"/>
        <w:pageBreakBefore w:val="0"/>
        <w:kinsoku/>
        <w:wordWrap/>
        <w:overflowPunct/>
        <w:topLinePunct w:val="0"/>
        <w:autoSpaceDE/>
        <w:autoSpaceDN/>
        <w:bidi w:val="0"/>
        <w:spacing w:line="400" w:lineRule="exact"/>
        <w:ind w:firstLine="422" w:firstLineChars="20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三、获取竞争性磋商文件</w:t>
      </w:r>
      <w:bookmarkEnd w:id="6"/>
      <w:bookmarkEnd w:id="7"/>
      <w:bookmarkEnd w:id="8"/>
      <w:bookmarkEnd w:id="9"/>
    </w:p>
    <w:p w14:paraId="112D1C7A">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color w:val="000000"/>
          <w:sz w:val="21"/>
          <w:szCs w:val="21"/>
          <w:highlight w:val="none"/>
        </w:rPr>
      </w:pPr>
      <w:bookmarkStart w:id="16" w:name="_Toc35393793"/>
      <w:bookmarkStart w:id="17" w:name="_Toc28359082"/>
      <w:bookmarkStart w:id="18" w:name="_Toc28359005"/>
      <w:bookmarkStart w:id="19" w:name="_Toc35393624"/>
      <w:r>
        <w:rPr>
          <w:rFonts w:hint="eastAsia" w:ascii="宋体" w:hAnsi="宋体" w:eastAsia="宋体" w:cs="宋体"/>
          <w:color w:val="000000"/>
          <w:sz w:val="21"/>
          <w:szCs w:val="21"/>
          <w:highlight w:val="none"/>
        </w:rPr>
        <w:t>时间：202</w:t>
      </w:r>
      <w:r>
        <w:rPr>
          <w:rFonts w:hint="eastAsia" w:ascii="宋体" w:hAnsi="宋体" w:cs="宋体"/>
          <w:color w:val="000000"/>
          <w:sz w:val="21"/>
          <w:szCs w:val="21"/>
          <w:highlight w:val="none"/>
          <w:lang w:val="en-US" w:eastAsia="zh-CN"/>
        </w:rPr>
        <w:t>6</w:t>
      </w:r>
      <w:r>
        <w:rPr>
          <w:rFonts w:hint="eastAsia" w:ascii="宋体" w:hAnsi="宋体" w:eastAsia="宋体" w:cs="宋体"/>
          <w:color w:val="000000"/>
          <w:sz w:val="21"/>
          <w:szCs w:val="21"/>
          <w:highlight w:val="none"/>
        </w:rPr>
        <w:t>年</w:t>
      </w:r>
      <w:r>
        <w:rPr>
          <w:rFonts w:hint="eastAsia" w:ascii="宋体" w:hAnsi="宋体" w:cs="宋体"/>
          <w:color w:val="000000"/>
          <w:sz w:val="21"/>
          <w:szCs w:val="21"/>
          <w:highlight w:val="none"/>
          <w:lang w:val="en-US" w:eastAsia="zh-CN"/>
        </w:rPr>
        <w:t>3</w:t>
      </w:r>
      <w:r>
        <w:rPr>
          <w:rFonts w:hint="eastAsia" w:ascii="宋体" w:hAnsi="宋体" w:eastAsia="宋体" w:cs="宋体"/>
          <w:color w:val="000000"/>
          <w:sz w:val="21"/>
          <w:szCs w:val="21"/>
          <w:highlight w:val="none"/>
        </w:rPr>
        <w:t>月</w:t>
      </w:r>
      <w:r>
        <w:rPr>
          <w:rFonts w:hint="eastAsia" w:ascii="宋体" w:hAnsi="宋体" w:cs="宋体"/>
          <w:color w:val="000000"/>
          <w:sz w:val="21"/>
          <w:szCs w:val="21"/>
          <w:highlight w:val="none"/>
          <w:lang w:val="en-US" w:eastAsia="zh-CN"/>
        </w:rPr>
        <w:t>30</w:t>
      </w:r>
      <w:r>
        <w:rPr>
          <w:rFonts w:hint="eastAsia" w:ascii="宋体" w:hAnsi="宋体" w:eastAsia="宋体" w:cs="宋体"/>
          <w:color w:val="000000"/>
          <w:sz w:val="21"/>
          <w:szCs w:val="21"/>
          <w:highlight w:val="none"/>
        </w:rPr>
        <w:t>日至202</w:t>
      </w:r>
      <w:r>
        <w:rPr>
          <w:rFonts w:hint="eastAsia" w:ascii="宋体" w:hAnsi="宋体" w:cs="宋体"/>
          <w:color w:val="000000"/>
          <w:sz w:val="21"/>
          <w:szCs w:val="21"/>
          <w:highlight w:val="none"/>
          <w:lang w:val="en-US" w:eastAsia="zh-CN"/>
        </w:rPr>
        <w:t>6</w:t>
      </w:r>
      <w:r>
        <w:rPr>
          <w:rFonts w:hint="eastAsia" w:ascii="宋体" w:hAnsi="宋体" w:eastAsia="宋体" w:cs="宋体"/>
          <w:color w:val="000000"/>
          <w:sz w:val="21"/>
          <w:szCs w:val="21"/>
          <w:highlight w:val="none"/>
        </w:rPr>
        <w:t>年</w:t>
      </w:r>
      <w:r>
        <w:rPr>
          <w:rFonts w:hint="eastAsia" w:ascii="宋体" w:hAnsi="宋体" w:cs="宋体"/>
          <w:color w:val="000000"/>
          <w:sz w:val="21"/>
          <w:szCs w:val="21"/>
          <w:highlight w:val="none"/>
          <w:lang w:val="en-US" w:eastAsia="zh-CN"/>
        </w:rPr>
        <w:t>4</w:t>
      </w:r>
      <w:r>
        <w:rPr>
          <w:rFonts w:hint="eastAsia" w:ascii="宋体" w:hAnsi="宋体" w:eastAsia="宋体" w:cs="宋体"/>
          <w:color w:val="000000"/>
          <w:sz w:val="21"/>
          <w:szCs w:val="21"/>
          <w:highlight w:val="none"/>
        </w:rPr>
        <w:t>月</w:t>
      </w:r>
      <w:r>
        <w:rPr>
          <w:rFonts w:hint="eastAsia" w:ascii="宋体" w:hAnsi="宋体" w:cs="宋体"/>
          <w:color w:val="000000"/>
          <w:sz w:val="21"/>
          <w:szCs w:val="21"/>
          <w:highlight w:val="none"/>
          <w:lang w:val="en-US" w:eastAsia="zh-CN"/>
        </w:rPr>
        <w:t xml:space="preserve">7 </w:t>
      </w:r>
      <w:r>
        <w:rPr>
          <w:rFonts w:hint="eastAsia" w:ascii="宋体" w:hAnsi="宋体" w:eastAsia="宋体" w:cs="宋体"/>
          <w:color w:val="000000"/>
          <w:sz w:val="21"/>
          <w:szCs w:val="21"/>
          <w:highlight w:val="none"/>
        </w:rPr>
        <w:t>日，每天08:00至12:00，</w:t>
      </w:r>
      <w:r>
        <w:rPr>
          <w:rFonts w:hint="eastAsia" w:ascii="宋体" w:hAnsi="宋体" w:eastAsia="宋体" w:cs="宋体"/>
          <w:color w:val="000000"/>
          <w:sz w:val="21"/>
          <w:szCs w:val="21"/>
          <w:highlight w:val="none"/>
          <w:lang w:val="en-US" w:eastAsia="zh-CN"/>
        </w:rPr>
        <w:t>15</w:t>
      </w:r>
      <w:r>
        <w:rPr>
          <w:rFonts w:hint="eastAsia" w:ascii="宋体" w:hAnsi="宋体" w:eastAsia="宋体" w:cs="宋体"/>
          <w:color w:val="000000"/>
          <w:sz w:val="21"/>
          <w:szCs w:val="21"/>
          <w:highlight w:val="none"/>
        </w:rPr>
        <w:t>:00至</w:t>
      </w:r>
      <w:r>
        <w:rPr>
          <w:rFonts w:hint="eastAsia" w:ascii="宋体" w:hAnsi="宋体" w:eastAsia="宋体" w:cs="宋体"/>
          <w:color w:val="000000"/>
          <w:sz w:val="21"/>
          <w:szCs w:val="21"/>
          <w:highlight w:val="none"/>
          <w:lang w:val="en-US" w:eastAsia="zh-CN"/>
        </w:rPr>
        <w:t>18</w:t>
      </w:r>
      <w:r>
        <w:rPr>
          <w:rFonts w:hint="eastAsia" w:ascii="宋体" w:hAnsi="宋体" w:eastAsia="宋体" w:cs="宋体"/>
          <w:color w:val="000000"/>
          <w:sz w:val="21"/>
          <w:szCs w:val="21"/>
          <w:highlight w:val="none"/>
        </w:rPr>
        <w:t>:00（北京时间，法定节假日除外）。</w:t>
      </w:r>
    </w:p>
    <w:p w14:paraId="2F5AF647">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地点（网址）：广西政府采购云平台</w:t>
      </w:r>
      <w:r>
        <w:rPr>
          <w:rFonts w:hint="eastAsia" w:ascii="宋体" w:hAnsi="宋体" w:eastAsia="宋体" w:cs="宋体"/>
          <w:color w:val="000000"/>
          <w:sz w:val="21"/>
          <w:szCs w:val="21"/>
          <w:highlight w:val="none"/>
          <w:lang w:eastAsia="zh-CN"/>
        </w:rPr>
        <w:t>。</w:t>
      </w:r>
    </w:p>
    <w:p w14:paraId="06D03454">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获取方式:网上下载。本项目不发放纸质文件，供应商自行在</w:t>
      </w:r>
      <w:r>
        <w:rPr>
          <w:rFonts w:hint="eastAsia" w:ascii="宋体" w:hAnsi="宋体" w:eastAsia="宋体" w:cs="宋体"/>
          <w:color w:val="000000"/>
          <w:sz w:val="21"/>
          <w:szCs w:val="21"/>
          <w:highlight w:val="none"/>
        </w:rPr>
        <w:fldChar w:fldCharType="begin"/>
      </w:r>
      <w:r>
        <w:rPr>
          <w:rFonts w:hint="eastAsia" w:ascii="宋体" w:hAnsi="宋体" w:eastAsia="宋体" w:cs="宋体"/>
          <w:color w:val="000000"/>
          <w:sz w:val="21"/>
          <w:szCs w:val="21"/>
          <w:highlight w:val="none"/>
        </w:rPr>
        <w:instrText xml:space="preserve"> HYPERLINK "" </w:instrText>
      </w:r>
      <w:r>
        <w:rPr>
          <w:rFonts w:hint="eastAsia" w:ascii="宋体" w:hAnsi="宋体" w:eastAsia="宋体" w:cs="宋体"/>
          <w:color w:val="000000"/>
          <w:sz w:val="21"/>
          <w:szCs w:val="21"/>
          <w:highlight w:val="none"/>
        </w:rPr>
        <w:fldChar w:fldCharType="separate"/>
      </w:r>
      <w:r>
        <w:rPr>
          <w:rFonts w:hint="eastAsia" w:ascii="宋体" w:hAnsi="宋体" w:eastAsia="宋体" w:cs="宋体"/>
          <w:color w:val="000000"/>
          <w:sz w:val="21"/>
          <w:szCs w:val="21"/>
          <w:highlight w:val="none"/>
        </w:rPr>
        <w:fldChar w:fldCharType="end"/>
      </w:r>
      <w:r>
        <w:rPr>
          <w:rFonts w:hint="eastAsia" w:ascii="宋体" w:hAnsi="宋体" w:eastAsia="宋体" w:cs="宋体"/>
          <w:color w:val="000000"/>
          <w:sz w:val="21"/>
          <w:szCs w:val="21"/>
          <w:highlight w:val="none"/>
          <w:lang w:val="en-US" w:eastAsia="zh-CN"/>
        </w:rPr>
        <w:t>广西政府采购云平台</w:t>
      </w:r>
      <w:r>
        <w:rPr>
          <w:rFonts w:hint="eastAsia" w:ascii="宋体" w:hAnsi="宋体" w:eastAsia="宋体" w:cs="宋体"/>
          <w:color w:val="000000"/>
          <w:sz w:val="21"/>
          <w:szCs w:val="21"/>
          <w:highlight w:val="none"/>
        </w:rPr>
        <w:t>下载采购文件（操作路径：登录“</w:t>
      </w:r>
      <w:r>
        <w:rPr>
          <w:rFonts w:hint="eastAsia" w:ascii="宋体" w:hAnsi="宋体" w:eastAsia="宋体" w:cs="宋体"/>
          <w:color w:val="000000"/>
          <w:sz w:val="21"/>
          <w:szCs w:val="21"/>
          <w:highlight w:val="none"/>
          <w:lang w:val="en-US" w:eastAsia="zh-CN"/>
        </w:rPr>
        <w:t>广西政府采购云平台</w:t>
      </w:r>
      <w:r>
        <w:rPr>
          <w:rFonts w:hint="eastAsia" w:ascii="宋体" w:hAnsi="宋体" w:eastAsia="宋体" w:cs="宋体"/>
          <w:color w:val="000000"/>
          <w:sz w:val="21"/>
          <w:szCs w:val="21"/>
          <w:highlight w:val="none"/>
        </w:rPr>
        <w:t>”-项目采购-获取采购文件-找到本项目-点击“申请获取采购文件”），电子响应文件制作需要基于“</w:t>
      </w:r>
      <w:r>
        <w:rPr>
          <w:rFonts w:hint="eastAsia" w:ascii="宋体" w:hAnsi="宋体" w:eastAsia="宋体" w:cs="宋体"/>
          <w:color w:val="000000"/>
          <w:sz w:val="21"/>
          <w:szCs w:val="21"/>
          <w:highlight w:val="none"/>
          <w:lang w:val="en-US" w:eastAsia="zh-CN"/>
        </w:rPr>
        <w:t>广西政府采购云平台</w:t>
      </w:r>
      <w:r>
        <w:rPr>
          <w:rFonts w:hint="eastAsia" w:ascii="宋体" w:hAnsi="宋体" w:eastAsia="宋体" w:cs="宋体"/>
          <w:color w:val="000000"/>
          <w:sz w:val="21"/>
          <w:szCs w:val="21"/>
          <w:highlight w:val="none"/>
        </w:rPr>
        <w:t>”获取的采购文件编制，通过其他方式获取采购文件的，将有可能导致供应商无法在“</w:t>
      </w:r>
      <w:r>
        <w:rPr>
          <w:rFonts w:hint="eastAsia" w:ascii="宋体" w:hAnsi="宋体" w:eastAsia="宋体" w:cs="宋体"/>
          <w:color w:val="000000"/>
          <w:sz w:val="21"/>
          <w:szCs w:val="21"/>
          <w:highlight w:val="none"/>
          <w:lang w:val="en-US" w:eastAsia="zh-CN"/>
        </w:rPr>
        <w:t>广西政府采购云平台</w:t>
      </w:r>
      <w:r>
        <w:rPr>
          <w:rFonts w:hint="eastAsia" w:ascii="宋体" w:hAnsi="宋体" w:eastAsia="宋体" w:cs="宋体"/>
          <w:color w:val="000000"/>
          <w:sz w:val="21"/>
          <w:szCs w:val="21"/>
          <w:highlight w:val="none"/>
        </w:rPr>
        <w:t>”编制及上传响应文件。</w:t>
      </w:r>
    </w:p>
    <w:p w14:paraId="3D3B2672">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售价：0元。</w:t>
      </w:r>
    </w:p>
    <w:p w14:paraId="310E37DA">
      <w:pPr>
        <w:keepNext w:val="0"/>
        <w:keepLines w:val="0"/>
        <w:pageBreakBefore w:val="0"/>
        <w:kinsoku/>
        <w:wordWrap/>
        <w:overflowPunct/>
        <w:topLinePunct w:val="0"/>
        <w:autoSpaceDE/>
        <w:autoSpaceDN/>
        <w:bidi w:val="0"/>
        <w:spacing w:line="400" w:lineRule="exact"/>
        <w:ind w:firstLine="422" w:firstLineChars="20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四、</w:t>
      </w:r>
      <w:bookmarkEnd w:id="16"/>
      <w:bookmarkEnd w:id="17"/>
      <w:bookmarkEnd w:id="18"/>
      <w:bookmarkEnd w:id="19"/>
      <w:r>
        <w:rPr>
          <w:rFonts w:hint="eastAsia" w:ascii="宋体" w:hAnsi="宋体" w:eastAsia="宋体" w:cs="宋体"/>
          <w:b/>
          <w:bCs/>
          <w:color w:val="000000"/>
          <w:sz w:val="21"/>
          <w:szCs w:val="21"/>
          <w:highlight w:val="none"/>
        </w:rPr>
        <w:t>响应文件提交</w:t>
      </w:r>
    </w:p>
    <w:p w14:paraId="38209E3D">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截止时间：202</w:t>
      </w:r>
      <w:r>
        <w:rPr>
          <w:rFonts w:hint="eastAsia" w:ascii="宋体" w:hAnsi="宋体" w:cs="宋体"/>
          <w:color w:val="000000"/>
          <w:sz w:val="21"/>
          <w:szCs w:val="21"/>
          <w:highlight w:val="none"/>
          <w:lang w:val="en-US" w:eastAsia="zh-CN"/>
        </w:rPr>
        <w:t>6</w:t>
      </w:r>
      <w:r>
        <w:rPr>
          <w:rFonts w:hint="eastAsia" w:ascii="宋体" w:hAnsi="宋体" w:eastAsia="宋体" w:cs="宋体"/>
          <w:color w:val="000000"/>
          <w:sz w:val="21"/>
          <w:szCs w:val="21"/>
          <w:highlight w:val="none"/>
        </w:rPr>
        <w:t>年</w:t>
      </w:r>
      <w:r>
        <w:rPr>
          <w:rFonts w:hint="eastAsia" w:ascii="宋体" w:hAnsi="宋体" w:cs="宋体"/>
          <w:color w:val="000000"/>
          <w:sz w:val="21"/>
          <w:szCs w:val="21"/>
          <w:highlight w:val="none"/>
          <w:lang w:val="en-US" w:eastAsia="zh-CN"/>
        </w:rPr>
        <w:t>4</w:t>
      </w:r>
      <w:r>
        <w:rPr>
          <w:rFonts w:hint="eastAsia" w:ascii="宋体" w:hAnsi="宋体" w:eastAsia="宋体" w:cs="宋体"/>
          <w:color w:val="000000"/>
          <w:sz w:val="21"/>
          <w:szCs w:val="21"/>
          <w:highlight w:val="none"/>
        </w:rPr>
        <w:t>月</w:t>
      </w:r>
      <w:r>
        <w:rPr>
          <w:rFonts w:hint="eastAsia" w:ascii="宋体" w:hAnsi="宋体" w:cs="宋体"/>
          <w:color w:val="000000"/>
          <w:sz w:val="21"/>
          <w:szCs w:val="21"/>
          <w:highlight w:val="none"/>
          <w:lang w:val="en-US" w:eastAsia="zh-CN"/>
        </w:rPr>
        <w:t>13</w:t>
      </w:r>
      <w:r>
        <w:rPr>
          <w:rFonts w:hint="eastAsia" w:ascii="宋体" w:hAnsi="宋体" w:eastAsia="宋体" w:cs="宋体"/>
          <w:color w:val="000000"/>
          <w:sz w:val="21"/>
          <w:szCs w:val="21"/>
          <w:highlight w:val="none"/>
        </w:rPr>
        <w:t>日</w:t>
      </w:r>
      <w:r>
        <w:rPr>
          <w:rFonts w:hint="eastAsia" w:ascii="宋体" w:hAnsi="宋体" w:eastAsia="宋体" w:cs="宋体"/>
          <w:color w:val="000000"/>
          <w:sz w:val="21"/>
          <w:szCs w:val="21"/>
          <w:highlight w:val="none"/>
          <w:lang w:val="en-US" w:eastAsia="zh-CN"/>
        </w:rPr>
        <w:t>09</w:t>
      </w:r>
      <w:r>
        <w:rPr>
          <w:rFonts w:hint="eastAsia" w:ascii="宋体" w:hAnsi="宋体" w:cs="宋体"/>
          <w:color w:val="000000"/>
          <w:sz w:val="21"/>
          <w:szCs w:val="21"/>
          <w:highlight w:val="none"/>
          <w:lang w:val="en-US" w:eastAsia="zh-CN"/>
        </w:rPr>
        <w:t>时</w:t>
      </w:r>
      <w:r>
        <w:rPr>
          <w:rFonts w:hint="eastAsia" w:ascii="宋体" w:hAnsi="宋体" w:eastAsia="宋体" w:cs="宋体"/>
          <w:color w:val="000000"/>
          <w:sz w:val="21"/>
          <w:szCs w:val="21"/>
          <w:highlight w:val="none"/>
          <w:lang w:val="en-US" w:eastAsia="zh-CN"/>
        </w:rPr>
        <w:t>30</w:t>
      </w:r>
      <w:r>
        <w:rPr>
          <w:rFonts w:hint="eastAsia" w:ascii="宋体" w:hAnsi="宋体" w:eastAsia="宋体" w:cs="宋体"/>
          <w:color w:val="000000"/>
          <w:sz w:val="21"/>
          <w:szCs w:val="21"/>
          <w:highlight w:val="none"/>
        </w:rPr>
        <w:t>分（北京时间）</w:t>
      </w:r>
    </w:p>
    <w:p w14:paraId="75E880DD">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地点：</w:t>
      </w:r>
      <w:r>
        <w:rPr>
          <w:rFonts w:hint="eastAsia" w:ascii="宋体" w:hAnsi="宋体" w:eastAsia="宋体" w:cs="宋体"/>
          <w:color w:val="000000"/>
          <w:sz w:val="21"/>
          <w:szCs w:val="21"/>
          <w:highlight w:val="none"/>
          <w:lang w:val="en-US" w:eastAsia="zh-CN"/>
        </w:rPr>
        <w:t>广西政府采购云平台</w:t>
      </w:r>
    </w:p>
    <w:p w14:paraId="67750BB0">
      <w:pPr>
        <w:keepNext w:val="0"/>
        <w:keepLines w:val="0"/>
        <w:pageBreakBefore w:val="0"/>
        <w:kinsoku/>
        <w:wordWrap/>
        <w:overflowPunct/>
        <w:topLinePunct w:val="0"/>
        <w:autoSpaceDE/>
        <w:autoSpaceDN/>
        <w:bidi w:val="0"/>
        <w:spacing w:line="400" w:lineRule="exact"/>
        <w:ind w:firstLine="422" w:firstLineChars="20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五、开启</w:t>
      </w:r>
    </w:p>
    <w:p w14:paraId="4EA282A3">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时间：</w:t>
      </w:r>
      <w:r>
        <w:rPr>
          <w:rFonts w:hint="eastAsia" w:ascii="宋体" w:hAnsi="宋体" w:eastAsia="宋体" w:cs="宋体"/>
          <w:color w:val="000000"/>
          <w:sz w:val="21"/>
          <w:szCs w:val="21"/>
          <w:highlight w:val="none"/>
        </w:rPr>
        <w:t>202</w:t>
      </w:r>
      <w:r>
        <w:rPr>
          <w:rFonts w:hint="eastAsia" w:ascii="宋体" w:hAnsi="宋体" w:cs="宋体"/>
          <w:color w:val="000000"/>
          <w:sz w:val="21"/>
          <w:szCs w:val="21"/>
          <w:highlight w:val="none"/>
          <w:lang w:val="en-US" w:eastAsia="zh-CN"/>
        </w:rPr>
        <w:t>6</w:t>
      </w:r>
      <w:r>
        <w:rPr>
          <w:rFonts w:hint="eastAsia" w:ascii="宋体" w:hAnsi="宋体" w:eastAsia="宋体" w:cs="宋体"/>
          <w:color w:val="000000"/>
          <w:sz w:val="21"/>
          <w:szCs w:val="21"/>
          <w:highlight w:val="none"/>
        </w:rPr>
        <w:t>年</w:t>
      </w:r>
      <w:r>
        <w:rPr>
          <w:rFonts w:hint="eastAsia" w:ascii="宋体" w:hAnsi="宋体" w:cs="宋体"/>
          <w:color w:val="000000"/>
          <w:sz w:val="21"/>
          <w:szCs w:val="21"/>
          <w:highlight w:val="none"/>
          <w:lang w:val="en-US" w:eastAsia="zh-CN"/>
        </w:rPr>
        <w:t>4</w:t>
      </w:r>
      <w:r>
        <w:rPr>
          <w:rFonts w:hint="eastAsia" w:ascii="宋体" w:hAnsi="宋体" w:eastAsia="宋体" w:cs="宋体"/>
          <w:color w:val="000000"/>
          <w:sz w:val="21"/>
          <w:szCs w:val="21"/>
          <w:highlight w:val="none"/>
        </w:rPr>
        <w:t>月</w:t>
      </w:r>
      <w:r>
        <w:rPr>
          <w:rFonts w:hint="eastAsia" w:ascii="宋体" w:hAnsi="宋体" w:cs="宋体"/>
          <w:color w:val="000000"/>
          <w:sz w:val="21"/>
          <w:szCs w:val="21"/>
          <w:highlight w:val="none"/>
          <w:lang w:val="en-US" w:eastAsia="zh-CN"/>
        </w:rPr>
        <w:t>13</w:t>
      </w:r>
      <w:r>
        <w:rPr>
          <w:rFonts w:hint="eastAsia" w:ascii="宋体" w:hAnsi="宋体" w:eastAsia="宋体" w:cs="宋体"/>
          <w:color w:val="000000"/>
          <w:sz w:val="21"/>
          <w:szCs w:val="21"/>
          <w:highlight w:val="none"/>
        </w:rPr>
        <w:t>日</w:t>
      </w:r>
      <w:r>
        <w:rPr>
          <w:rFonts w:hint="eastAsia" w:ascii="宋体" w:hAnsi="宋体" w:eastAsia="宋体" w:cs="宋体"/>
          <w:color w:val="000000"/>
          <w:sz w:val="21"/>
          <w:szCs w:val="21"/>
          <w:highlight w:val="none"/>
          <w:lang w:val="en-US" w:eastAsia="zh-CN"/>
        </w:rPr>
        <w:t>09</w:t>
      </w:r>
      <w:r>
        <w:rPr>
          <w:rFonts w:hint="eastAsia" w:ascii="宋体" w:hAnsi="宋体" w:cs="宋体"/>
          <w:color w:val="000000"/>
          <w:sz w:val="21"/>
          <w:szCs w:val="21"/>
          <w:highlight w:val="none"/>
          <w:lang w:val="en-US" w:eastAsia="zh-CN"/>
        </w:rPr>
        <w:t>时</w:t>
      </w:r>
      <w:r>
        <w:rPr>
          <w:rFonts w:hint="eastAsia" w:ascii="宋体" w:hAnsi="宋体" w:eastAsia="宋体" w:cs="宋体"/>
          <w:color w:val="000000"/>
          <w:sz w:val="21"/>
          <w:szCs w:val="21"/>
          <w:highlight w:val="none"/>
          <w:lang w:val="en-US" w:eastAsia="zh-CN"/>
        </w:rPr>
        <w:t>30</w:t>
      </w:r>
      <w:r>
        <w:rPr>
          <w:rFonts w:hint="eastAsia" w:ascii="宋体" w:hAnsi="宋体" w:eastAsia="宋体" w:cs="宋体"/>
          <w:color w:val="000000"/>
          <w:sz w:val="21"/>
          <w:szCs w:val="21"/>
          <w:highlight w:val="none"/>
        </w:rPr>
        <w:t>分（北京时间）</w:t>
      </w:r>
    </w:p>
    <w:p w14:paraId="4AB06C01">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地点：广西壮族自治区防城港市开标室1政府采购开标室1</w:t>
      </w:r>
    </w:p>
    <w:p w14:paraId="1AF46126">
      <w:pPr>
        <w:keepNext w:val="0"/>
        <w:keepLines w:val="0"/>
        <w:pageBreakBefore w:val="0"/>
        <w:kinsoku/>
        <w:wordWrap/>
        <w:overflowPunct/>
        <w:topLinePunct w:val="0"/>
        <w:autoSpaceDE/>
        <w:autoSpaceDN/>
        <w:bidi w:val="0"/>
        <w:spacing w:line="400" w:lineRule="exact"/>
        <w:ind w:firstLine="422" w:firstLineChars="200"/>
        <w:textAlignment w:val="auto"/>
        <w:rPr>
          <w:rFonts w:hint="eastAsia" w:ascii="宋体" w:hAnsi="宋体" w:eastAsia="宋体" w:cs="宋体"/>
          <w:b/>
          <w:bCs/>
          <w:color w:val="000000"/>
          <w:sz w:val="21"/>
          <w:szCs w:val="21"/>
          <w:highlight w:val="none"/>
        </w:rPr>
      </w:pPr>
      <w:bookmarkStart w:id="20" w:name="_Toc28359007"/>
      <w:bookmarkStart w:id="21" w:name="_Toc28359084"/>
      <w:bookmarkStart w:id="22" w:name="_Toc35393794"/>
      <w:bookmarkStart w:id="23" w:name="_Toc35393625"/>
      <w:r>
        <w:rPr>
          <w:rFonts w:hint="eastAsia" w:ascii="宋体" w:hAnsi="宋体" w:eastAsia="宋体" w:cs="宋体"/>
          <w:b/>
          <w:bCs/>
          <w:color w:val="000000"/>
          <w:sz w:val="21"/>
          <w:szCs w:val="21"/>
          <w:highlight w:val="none"/>
        </w:rPr>
        <w:t>六、公告期限</w:t>
      </w:r>
      <w:bookmarkEnd w:id="20"/>
      <w:bookmarkEnd w:id="21"/>
      <w:bookmarkEnd w:id="22"/>
      <w:bookmarkEnd w:id="23"/>
    </w:p>
    <w:p w14:paraId="3297DE8C">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自本公告发布之日起</w:t>
      </w:r>
      <w:r>
        <w:rPr>
          <w:rFonts w:hint="eastAsia" w:ascii="宋体" w:hAnsi="宋体" w:eastAsia="宋体" w:cs="宋体"/>
          <w:color w:val="000000"/>
          <w:kern w:val="0"/>
          <w:sz w:val="21"/>
          <w:szCs w:val="21"/>
          <w:highlight w:val="none"/>
          <w:lang w:val="en-US" w:eastAsia="zh-CN"/>
        </w:rPr>
        <w:t>5</w:t>
      </w:r>
      <w:r>
        <w:rPr>
          <w:rFonts w:hint="eastAsia" w:ascii="宋体" w:hAnsi="宋体" w:eastAsia="宋体" w:cs="宋体"/>
          <w:color w:val="000000"/>
          <w:kern w:val="0"/>
          <w:sz w:val="21"/>
          <w:szCs w:val="21"/>
          <w:highlight w:val="none"/>
        </w:rPr>
        <w:t>个工作日。</w:t>
      </w:r>
    </w:p>
    <w:p w14:paraId="73B00E50">
      <w:pPr>
        <w:keepNext w:val="0"/>
        <w:keepLines w:val="0"/>
        <w:pageBreakBefore w:val="0"/>
        <w:kinsoku/>
        <w:wordWrap/>
        <w:overflowPunct/>
        <w:topLinePunct w:val="0"/>
        <w:autoSpaceDE/>
        <w:autoSpaceDN/>
        <w:bidi w:val="0"/>
        <w:spacing w:line="400" w:lineRule="exact"/>
        <w:ind w:firstLine="422" w:firstLineChars="200"/>
        <w:textAlignment w:val="auto"/>
        <w:rPr>
          <w:rFonts w:hint="eastAsia" w:ascii="宋体" w:hAnsi="宋体" w:eastAsia="宋体" w:cs="宋体"/>
          <w:b/>
          <w:bCs/>
          <w:color w:val="000000"/>
          <w:sz w:val="21"/>
          <w:szCs w:val="21"/>
          <w:highlight w:val="none"/>
        </w:rPr>
      </w:pPr>
      <w:bookmarkStart w:id="24" w:name="_Toc35393795"/>
      <w:bookmarkStart w:id="25" w:name="_Toc35393626"/>
      <w:r>
        <w:rPr>
          <w:rFonts w:hint="eastAsia" w:ascii="宋体" w:hAnsi="宋体" w:eastAsia="宋体" w:cs="宋体"/>
          <w:b/>
          <w:bCs/>
          <w:color w:val="000000"/>
          <w:sz w:val="21"/>
          <w:szCs w:val="21"/>
          <w:highlight w:val="none"/>
        </w:rPr>
        <w:t>七、其他补充事宜</w:t>
      </w:r>
      <w:bookmarkEnd w:id="24"/>
      <w:bookmarkEnd w:id="25"/>
    </w:p>
    <w:p w14:paraId="2A4D0B9F">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val="en-US" w:eastAsia="zh-CN"/>
        </w:rPr>
        <w:t>1</w:t>
      </w:r>
      <w:r>
        <w:rPr>
          <w:rFonts w:hint="eastAsia" w:ascii="宋体" w:hAnsi="宋体" w:eastAsia="宋体" w:cs="宋体"/>
          <w:color w:val="000000"/>
          <w:kern w:val="0"/>
          <w:sz w:val="21"/>
          <w:szCs w:val="21"/>
          <w:highlight w:val="none"/>
        </w:rPr>
        <w:t>.申请人的其他资格要求</w:t>
      </w:r>
    </w:p>
    <w:p w14:paraId="076A9E7C">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3353E7E2">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2）对在“信用中国”网站、中国政府采购网等渠道列入失信被执行人、重大税收违法案件当事人名单、政府采购严重违法失信行为记录名单及其他不符合《中华人民共和国政府采购法》第二十二条规定条件的供应商，不得参与政府采购活动。</w:t>
      </w:r>
    </w:p>
    <w:p w14:paraId="2BC34C1C">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lang w:val="en-US" w:eastAsia="zh-CN"/>
        </w:rPr>
        <w:t>2</w:t>
      </w:r>
      <w:r>
        <w:rPr>
          <w:rFonts w:hint="eastAsia" w:ascii="宋体" w:hAnsi="宋体" w:eastAsia="宋体" w:cs="宋体"/>
          <w:color w:val="000000"/>
          <w:kern w:val="0"/>
          <w:sz w:val="21"/>
          <w:szCs w:val="21"/>
          <w:highlight w:val="none"/>
        </w:rPr>
        <w:t>.磋商保证金：本项目不收取磋商保证金</w:t>
      </w:r>
      <w:r>
        <w:rPr>
          <w:rFonts w:hint="eastAsia" w:ascii="宋体" w:hAnsi="宋体" w:eastAsia="宋体" w:cs="宋体"/>
          <w:color w:val="000000"/>
          <w:kern w:val="0"/>
          <w:sz w:val="21"/>
          <w:szCs w:val="21"/>
          <w:highlight w:val="none"/>
          <w:lang w:eastAsia="zh-CN"/>
        </w:rPr>
        <w:t>。</w:t>
      </w:r>
    </w:p>
    <w:p w14:paraId="066B0EC8">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color w:val="000000"/>
          <w:kern w:val="0"/>
          <w:sz w:val="21"/>
          <w:szCs w:val="21"/>
          <w:highlight w:val="none"/>
          <w:lang w:eastAsia="zh-CN"/>
        </w:rPr>
      </w:pPr>
      <w:bookmarkStart w:id="26" w:name="_Hlk37429585"/>
      <w:r>
        <w:rPr>
          <w:rFonts w:hint="eastAsia" w:ascii="宋体" w:hAnsi="宋体" w:eastAsia="宋体" w:cs="宋体"/>
          <w:color w:val="000000"/>
          <w:kern w:val="0"/>
          <w:sz w:val="21"/>
          <w:szCs w:val="21"/>
          <w:highlight w:val="none"/>
          <w:lang w:val="en-US" w:eastAsia="zh-CN"/>
        </w:rPr>
        <w:t>3</w:t>
      </w:r>
      <w:r>
        <w:rPr>
          <w:rFonts w:hint="eastAsia" w:ascii="宋体" w:hAnsi="宋体" w:eastAsia="宋体" w:cs="宋体"/>
          <w:color w:val="000000"/>
          <w:kern w:val="0"/>
          <w:sz w:val="21"/>
          <w:szCs w:val="21"/>
          <w:highlight w:val="none"/>
        </w:rPr>
        <w:t>.</w:t>
      </w:r>
      <w:bookmarkStart w:id="27" w:name="_Hlk37429595"/>
      <w:r>
        <w:rPr>
          <w:rFonts w:hint="eastAsia" w:ascii="宋体" w:hAnsi="宋体" w:eastAsia="宋体" w:cs="宋体"/>
          <w:color w:val="000000"/>
          <w:kern w:val="0"/>
          <w:sz w:val="21"/>
          <w:szCs w:val="21"/>
          <w:highlight w:val="none"/>
        </w:rPr>
        <w:t>网上查询地址</w:t>
      </w:r>
      <w:bookmarkEnd w:id="26"/>
      <w:bookmarkEnd w:id="27"/>
      <w:bookmarkStart w:id="28" w:name="_Hlk37429674"/>
      <w:r>
        <w:rPr>
          <w:rFonts w:hint="eastAsia" w:ascii="宋体" w:hAnsi="宋体" w:eastAsia="宋体" w:cs="宋体"/>
          <w:color w:val="000000"/>
          <w:kern w:val="0"/>
          <w:sz w:val="21"/>
          <w:szCs w:val="21"/>
          <w:highlight w:val="none"/>
          <w:lang w:eastAsia="zh-CN"/>
        </w:rPr>
        <w:t>：</w:t>
      </w:r>
      <w:r>
        <w:rPr>
          <w:rFonts w:hint="eastAsia" w:ascii="宋体" w:hAnsi="宋体" w:eastAsia="宋体" w:cs="宋体"/>
          <w:color w:val="000000"/>
          <w:kern w:val="0"/>
          <w:sz w:val="21"/>
          <w:szCs w:val="21"/>
          <w:highlight w:val="none"/>
        </w:rPr>
        <w:t>中国政府采购网、 广西政府采购网、全国公共资源交易平台（广西•防城港）</w:t>
      </w:r>
      <w:r>
        <w:rPr>
          <w:rFonts w:hint="eastAsia" w:ascii="宋体" w:hAnsi="宋体" w:eastAsia="宋体" w:cs="宋体"/>
          <w:color w:val="000000"/>
          <w:kern w:val="0"/>
          <w:sz w:val="21"/>
          <w:szCs w:val="21"/>
          <w:highlight w:val="none"/>
          <w:lang w:eastAsia="zh-CN"/>
        </w:rPr>
        <w:t>。</w:t>
      </w:r>
    </w:p>
    <w:p w14:paraId="55E996EE">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sz w:val="21"/>
          <w:szCs w:val="21"/>
          <w:highlight w:val="none"/>
          <w:lang w:val="en-US" w:eastAsia="zh-CN"/>
        </w:rPr>
        <w:t>4</w:t>
      </w:r>
      <w:r>
        <w:rPr>
          <w:rFonts w:hint="eastAsia" w:ascii="宋体" w:hAnsi="宋体" w:eastAsia="宋体" w:cs="宋体"/>
          <w:color w:val="000000"/>
          <w:sz w:val="21"/>
          <w:szCs w:val="21"/>
          <w:highlight w:val="none"/>
        </w:rPr>
        <w:t>.</w:t>
      </w:r>
      <w:r>
        <w:rPr>
          <w:rFonts w:hint="eastAsia" w:ascii="宋体" w:hAnsi="宋体" w:eastAsia="宋体" w:cs="宋体"/>
          <w:color w:val="000000"/>
          <w:kern w:val="0"/>
          <w:sz w:val="21"/>
          <w:szCs w:val="21"/>
          <w:highlight w:val="none"/>
        </w:rPr>
        <w:t>本项目需要落实的政府采购政策</w:t>
      </w:r>
    </w:p>
    <w:bookmarkEnd w:id="28"/>
    <w:p w14:paraId="5D8E0F0C">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（1）政府采购促进中小企业发展。</w:t>
      </w:r>
    </w:p>
    <w:p w14:paraId="4D1C6FC9">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（2）政府采购支持采用本国产品的政策。</w:t>
      </w:r>
    </w:p>
    <w:p w14:paraId="028DD605">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（3）强制采购节能产品；优先采购节能产品、环境标志产品。</w:t>
      </w:r>
    </w:p>
    <w:p w14:paraId="0CB1E470">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（4）政府采购促进残疾人就业政策。</w:t>
      </w:r>
    </w:p>
    <w:p w14:paraId="6ABFBBA6">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（5）政府采购支持监狱企业发展。</w:t>
      </w:r>
    </w:p>
    <w:p w14:paraId="43554D35">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（6）</w:t>
      </w:r>
      <w:r>
        <w:rPr>
          <w:rFonts w:hint="eastAsia" w:ascii="宋体" w:hAnsi="宋体" w:eastAsia="宋体" w:cs="宋体"/>
          <w:color w:val="000000"/>
          <w:kern w:val="0"/>
          <w:sz w:val="21"/>
          <w:szCs w:val="21"/>
          <w:highlight w:val="none"/>
        </w:rPr>
        <w:t>落实政府绿色采购政策</w:t>
      </w:r>
      <w:r>
        <w:rPr>
          <w:rFonts w:hint="eastAsia" w:ascii="宋体" w:hAnsi="宋体" w:eastAsia="宋体" w:cs="宋体"/>
          <w:color w:val="000000"/>
          <w:kern w:val="0"/>
          <w:sz w:val="21"/>
          <w:szCs w:val="21"/>
          <w:highlight w:val="none"/>
          <w:lang w:eastAsia="zh-CN"/>
        </w:rPr>
        <w:t>。</w:t>
      </w:r>
    </w:p>
    <w:p w14:paraId="3986586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val="en-US" w:eastAsia="zh-CN"/>
        </w:rPr>
        <w:t>5</w:t>
      </w:r>
      <w:r>
        <w:rPr>
          <w:rFonts w:hint="eastAsia" w:ascii="宋体" w:hAnsi="宋体" w:eastAsia="宋体" w:cs="宋体"/>
          <w:color w:val="000000"/>
          <w:kern w:val="0"/>
          <w:sz w:val="21"/>
          <w:szCs w:val="21"/>
          <w:highlight w:val="none"/>
        </w:rPr>
        <w:t>.若对项目采购电子交易系统操作有疑问，可登录</w:t>
      </w:r>
      <w:r>
        <w:rPr>
          <w:rFonts w:hint="eastAsia" w:ascii="宋体" w:hAnsi="宋体" w:eastAsia="宋体" w:cs="宋体"/>
          <w:color w:val="000000"/>
          <w:kern w:val="0"/>
          <w:sz w:val="21"/>
          <w:szCs w:val="21"/>
          <w:highlight w:val="none"/>
          <w:lang w:eastAsia="zh-CN"/>
        </w:rPr>
        <w:t>“</w:t>
      </w:r>
      <w:r>
        <w:rPr>
          <w:rFonts w:hint="eastAsia" w:ascii="宋体" w:hAnsi="宋体" w:eastAsia="宋体" w:cs="宋体"/>
          <w:color w:val="000000"/>
          <w:kern w:val="0"/>
          <w:sz w:val="21"/>
          <w:szCs w:val="21"/>
          <w:highlight w:val="none"/>
          <w:lang w:val="en-US" w:eastAsia="zh-CN"/>
        </w:rPr>
        <w:t>广西政府采购云平台</w:t>
      </w:r>
      <w:r>
        <w:rPr>
          <w:rFonts w:hint="eastAsia" w:ascii="宋体" w:hAnsi="宋体" w:eastAsia="宋体" w:cs="宋体"/>
          <w:color w:val="000000"/>
          <w:kern w:val="0"/>
          <w:sz w:val="21"/>
          <w:szCs w:val="21"/>
          <w:highlight w:val="none"/>
          <w:lang w:eastAsia="zh-CN"/>
        </w:rPr>
        <w:t>”</w:t>
      </w:r>
      <w:r>
        <w:rPr>
          <w:rFonts w:hint="eastAsia" w:ascii="宋体" w:hAnsi="宋体" w:eastAsia="宋体" w:cs="宋体"/>
          <w:color w:val="000000"/>
          <w:kern w:val="0"/>
          <w:sz w:val="21"/>
          <w:szCs w:val="21"/>
          <w:highlight w:val="none"/>
        </w:rPr>
        <w:t xml:space="preserve">，点击右侧咨询小采，获取采小蜜智能服务管家帮助，或拨打服务热线95763获取热线服务帮助。 </w:t>
      </w:r>
    </w:p>
    <w:p w14:paraId="2C18286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6</w:t>
      </w:r>
      <w:r>
        <w:rPr>
          <w:rFonts w:hint="eastAsia" w:ascii="宋体" w:hAnsi="宋体" w:eastAsia="宋体" w:cs="Times New Roman"/>
          <w:color w:val="auto"/>
          <w:szCs w:val="21"/>
        </w:rPr>
        <w:t>.监督部门:</w:t>
      </w:r>
      <w:r>
        <w:rPr>
          <w:rFonts w:hint="eastAsia" w:ascii="宋体" w:hAnsi="宋体" w:eastAsia="宋体" w:cs="Times New Roman"/>
          <w:color w:val="auto"/>
          <w:szCs w:val="21"/>
          <w:lang w:eastAsia="zh-CN"/>
        </w:rPr>
        <w:t>防城港市防城区政府采购中心</w:t>
      </w:r>
      <w:r>
        <w:rPr>
          <w:rFonts w:hint="eastAsia" w:ascii="宋体" w:hAnsi="宋体" w:eastAsia="宋体" w:cs="Times New Roman"/>
          <w:color w:val="auto"/>
          <w:szCs w:val="21"/>
        </w:rPr>
        <w:t>；联系电话：</w:t>
      </w:r>
      <w:r>
        <w:rPr>
          <w:rFonts w:hint="eastAsia" w:ascii="宋体" w:hAnsi="宋体" w:eastAsia="宋体" w:cs="Times New Roman"/>
          <w:color w:val="auto"/>
          <w:szCs w:val="21"/>
          <w:lang w:eastAsia="zh-CN"/>
        </w:rPr>
        <w:t>0770-2213681</w:t>
      </w:r>
      <w:r>
        <w:rPr>
          <w:rFonts w:hint="eastAsia" w:ascii="宋体" w:hAnsi="宋体" w:eastAsia="宋体" w:cs="Times New Roman"/>
          <w:color w:val="auto"/>
          <w:szCs w:val="21"/>
        </w:rPr>
        <w:t>。</w:t>
      </w:r>
    </w:p>
    <w:p w14:paraId="0B59C0F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宋体" w:hAnsi="宋体" w:cs="Times New Roman"/>
          <w:color w:val="auto"/>
          <w:szCs w:val="21"/>
          <w:lang w:val="en-US" w:eastAsia="zh-CN"/>
        </w:rPr>
      </w:pPr>
      <w:r>
        <w:rPr>
          <w:rFonts w:hint="eastAsia" w:ascii="宋体" w:hAnsi="宋体" w:cs="Times New Roman"/>
          <w:color w:val="auto"/>
          <w:szCs w:val="21"/>
          <w:lang w:val="en-US" w:eastAsia="zh-CN"/>
        </w:rPr>
        <w:t>7.本项目采用远程异地评标，评标主场设在防城港市公共资源交易中心，评标副场设在南宁市公共资源交易中心。</w:t>
      </w:r>
    </w:p>
    <w:p w14:paraId="620CC126">
      <w:pPr>
        <w:keepNext w:val="0"/>
        <w:keepLines w:val="0"/>
        <w:pageBreakBefore w:val="0"/>
        <w:kinsoku/>
        <w:wordWrap/>
        <w:overflowPunct/>
        <w:topLinePunct w:val="0"/>
        <w:autoSpaceDE/>
        <w:autoSpaceDN/>
        <w:bidi w:val="0"/>
        <w:spacing w:line="400" w:lineRule="exact"/>
        <w:ind w:firstLine="422" w:firstLineChars="200"/>
        <w:textAlignment w:val="auto"/>
        <w:rPr>
          <w:rFonts w:hint="eastAsia" w:ascii="宋体" w:hAnsi="宋体" w:eastAsia="宋体" w:cs="宋体"/>
          <w:bCs/>
          <w:color w:val="000000"/>
          <w:sz w:val="21"/>
          <w:szCs w:val="21"/>
          <w:highlight w:val="none"/>
        </w:rPr>
      </w:pPr>
      <w:r>
        <w:rPr>
          <w:rFonts w:hint="eastAsia" w:ascii="宋体" w:hAnsi="宋体" w:eastAsia="宋体" w:cs="宋体"/>
          <w:b/>
          <w:color w:val="000000"/>
          <w:kern w:val="44"/>
          <w:sz w:val="21"/>
          <w:szCs w:val="21"/>
          <w:highlight w:val="none"/>
        </w:rPr>
        <w:t>八、凡对本次采购提出询问，请按以下方式联系</w:t>
      </w:r>
    </w:p>
    <w:p w14:paraId="51FD08DA">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1.采购人信息</w:t>
      </w:r>
    </w:p>
    <w:p w14:paraId="4405AC3C">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left"/>
        <w:textAlignment w:val="auto"/>
        <w:rPr>
          <w:rFonts w:hint="default" w:ascii="宋体" w:hAnsi="宋体" w:eastAsia="宋体" w:cs="宋体"/>
          <w:color w:val="000000"/>
          <w:sz w:val="21"/>
          <w:szCs w:val="21"/>
          <w:highlight w:val="none"/>
          <w:u w:val="none"/>
          <w:lang w:val="en-US" w:eastAsia="zh-CN"/>
        </w:rPr>
      </w:pPr>
      <w:r>
        <w:rPr>
          <w:rFonts w:hint="eastAsia" w:ascii="宋体" w:hAnsi="宋体" w:eastAsia="宋体" w:cs="宋体"/>
          <w:color w:val="000000"/>
          <w:sz w:val="21"/>
          <w:szCs w:val="21"/>
          <w:highlight w:val="none"/>
          <w:u w:val="none"/>
        </w:rPr>
        <w:t>名称：</w:t>
      </w:r>
      <w:r>
        <w:rPr>
          <w:rFonts w:hint="eastAsia" w:ascii="宋体" w:hAnsi="宋体" w:eastAsia="宋体" w:cs="宋体"/>
          <w:color w:val="000000"/>
          <w:sz w:val="21"/>
          <w:szCs w:val="21"/>
          <w:highlight w:val="none"/>
          <w:u w:val="none"/>
          <w:lang w:val="en-US" w:eastAsia="zh-CN"/>
        </w:rPr>
        <w:t>防城港市防城区发展和改革局</w:t>
      </w:r>
    </w:p>
    <w:p w14:paraId="790719B6">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left"/>
        <w:textAlignment w:val="auto"/>
        <w:rPr>
          <w:rFonts w:hint="eastAsia" w:ascii="宋体" w:hAnsi="宋体" w:eastAsia="宋体" w:cs="宋体"/>
          <w:color w:val="000000"/>
          <w:sz w:val="21"/>
          <w:szCs w:val="21"/>
          <w:highlight w:val="none"/>
          <w:u w:val="none"/>
          <w:lang w:eastAsia="zh-CN"/>
        </w:rPr>
      </w:pPr>
      <w:r>
        <w:rPr>
          <w:rFonts w:hint="eastAsia" w:ascii="宋体" w:hAnsi="宋体" w:eastAsia="宋体" w:cs="宋体"/>
          <w:color w:val="000000"/>
          <w:sz w:val="21"/>
          <w:szCs w:val="21"/>
          <w:highlight w:val="none"/>
          <w:u w:val="none"/>
        </w:rPr>
        <w:t>地址：</w:t>
      </w:r>
      <w:r>
        <w:rPr>
          <w:rFonts w:hint="eastAsia" w:ascii="宋体" w:hAnsi="宋体"/>
          <w:color w:val="auto"/>
          <w:sz w:val="21"/>
          <w:szCs w:val="21"/>
          <w:lang w:eastAsia="zh-CN"/>
        </w:rPr>
        <w:t>防城港市防城区防北路112号</w:t>
      </w:r>
    </w:p>
    <w:p w14:paraId="0D32DCDA">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left"/>
        <w:textAlignment w:val="auto"/>
        <w:rPr>
          <w:rFonts w:hint="eastAsia" w:ascii="宋体" w:hAnsi="宋体" w:eastAsia="宋体" w:cs="宋体"/>
          <w:color w:val="000000"/>
          <w:sz w:val="21"/>
          <w:szCs w:val="21"/>
          <w:highlight w:val="none"/>
          <w:u w:val="none"/>
          <w:lang w:eastAsia="zh-CN"/>
        </w:rPr>
      </w:pPr>
      <w:r>
        <w:rPr>
          <w:rFonts w:hint="eastAsia" w:ascii="宋体" w:hAnsi="宋体" w:eastAsia="宋体" w:cs="宋体"/>
          <w:color w:val="000000"/>
          <w:sz w:val="21"/>
          <w:szCs w:val="21"/>
          <w:highlight w:val="none"/>
          <w:u w:val="none"/>
        </w:rPr>
        <w:t>联系方式：</w:t>
      </w:r>
      <w:r>
        <w:rPr>
          <w:rFonts w:hint="eastAsia" w:ascii="宋体" w:hAnsi="宋体" w:eastAsia="宋体" w:cs="Times New Roman"/>
          <w:color w:val="auto"/>
          <w:sz w:val="21"/>
          <w:szCs w:val="21"/>
          <w:lang w:eastAsia="zh-CN"/>
        </w:rPr>
        <w:t>禤宣任；0770-2035236</w:t>
      </w:r>
    </w:p>
    <w:p w14:paraId="5FB39302">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left"/>
        <w:textAlignment w:val="auto"/>
        <w:rPr>
          <w:rFonts w:hint="eastAsia" w:ascii="宋体" w:hAnsi="宋体" w:eastAsia="宋体" w:cs="宋体"/>
          <w:color w:val="000000"/>
          <w:sz w:val="21"/>
          <w:szCs w:val="21"/>
          <w:highlight w:val="none"/>
          <w:u w:val="none"/>
        </w:rPr>
      </w:pPr>
      <w:r>
        <w:rPr>
          <w:rFonts w:hint="eastAsia" w:ascii="宋体" w:hAnsi="宋体" w:eastAsia="宋体" w:cs="宋体"/>
          <w:color w:val="000000"/>
          <w:sz w:val="21"/>
          <w:szCs w:val="21"/>
          <w:highlight w:val="none"/>
          <w:u w:val="none"/>
        </w:rPr>
        <w:t>2.采购代理机构信息</w:t>
      </w:r>
    </w:p>
    <w:p w14:paraId="70DD9066">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left"/>
        <w:textAlignment w:val="auto"/>
        <w:rPr>
          <w:rFonts w:hint="eastAsia" w:ascii="宋体" w:hAnsi="宋体" w:eastAsia="宋体" w:cs="宋体"/>
          <w:color w:val="000000"/>
          <w:sz w:val="21"/>
          <w:szCs w:val="21"/>
          <w:highlight w:val="none"/>
          <w:u w:val="single"/>
          <w:lang w:eastAsia="zh-CN"/>
        </w:rPr>
      </w:pPr>
      <w:r>
        <w:rPr>
          <w:rFonts w:hint="eastAsia" w:ascii="宋体" w:hAnsi="宋体" w:eastAsia="宋体" w:cs="宋体"/>
          <w:color w:val="000000"/>
          <w:sz w:val="21"/>
          <w:szCs w:val="21"/>
          <w:highlight w:val="none"/>
        </w:rPr>
        <w:t>名称：</w:t>
      </w:r>
      <w:r>
        <w:rPr>
          <w:rFonts w:hint="eastAsia" w:ascii="宋体" w:hAnsi="宋体" w:eastAsia="宋体" w:cs="宋体"/>
          <w:color w:val="000000"/>
          <w:sz w:val="21"/>
          <w:szCs w:val="21"/>
          <w:highlight w:val="none"/>
          <w:lang w:eastAsia="zh-CN"/>
        </w:rPr>
        <w:t>广西政投项目咨询有限公司</w:t>
      </w:r>
    </w:p>
    <w:p w14:paraId="051C7B45">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left"/>
        <w:textAlignment w:val="auto"/>
        <w:rPr>
          <w:rFonts w:hint="eastAsia" w:ascii="宋体" w:hAnsi="宋体" w:eastAsia="宋体" w:cs="宋体"/>
          <w:color w:val="000000"/>
          <w:sz w:val="21"/>
          <w:szCs w:val="21"/>
          <w:highlight w:val="none"/>
          <w:u w:val="none"/>
          <w:lang w:val="en-US" w:eastAsia="zh-CN"/>
        </w:rPr>
      </w:pPr>
      <w:r>
        <w:rPr>
          <w:rFonts w:hint="eastAsia" w:ascii="宋体" w:hAnsi="宋体" w:eastAsia="宋体" w:cs="宋体"/>
          <w:color w:val="000000"/>
          <w:sz w:val="21"/>
          <w:szCs w:val="21"/>
          <w:highlight w:val="none"/>
          <w:u w:val="none"/>
          <w:lang w:val="en-US" w:eastAsia="zh-CN"/>
        </w:rPr>
        <w:t>地址：中国（广西）自由贸易试验区南宁片区凯旋路16号广西裕达集团南宁五象总部基地广东大厦二十六层2602、2603、2605号房</w:t>
      </w:r>
    </w:p>
    <w:p w14:paraId="01C57A3B">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left"/>
        <w:textAlignment w:val="auto"/>
        <w:rPr>
          <w:rFonts w:hint="eastAsia" w:ascii="宋体" w:hAnsi="宋体" w:eastAsia="宋体" w:cs="宋体"/>
          <w:color w:val="000000"/>
          <w:sz w:val="21"/>
          <w:szCs w:val="21"/>
          <w:highlight w:val="none"/>
          <w:u w:val="none"/>
          <w:lang w:val="en-US" w:eastAsia="zh-CN"/>
        </w:rPr>
      </w:pPr>
      <w:r>
        <w:rPr>
          <w:rFonts w:hint="eastAsia" w:ascii="宋体" w:hAnsi="宋体" w:eastAsia="宋体" w:cs="宋体"/>
          <w:color w:val="000000"/>
          <w:sz w:val="21"/>
          <w:szCs w:val="21"/>
          <w:highlight w:val="none"/>
          <w:u w:val="none"/>
          <w:lang w:val="en-US" w:eastAsia="zh-CN"/>
        </w:rPr>
        <w:t>联系方式：0771-5891216</w:t>
      </w:r>
    </w:p>
    <w:p w14:paraId="658C5B0D">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left"/>
        <w:textAlignment w:val="auto"/>
        <w:rPr>
          <w:rFonts w:hint="eastAsia" w:ascii="宋体" w:hAnsi="宋体" w:eastAsia="宋体" w:cs="宋体"/>
          <w:color w:val="000000"/>
          <w:sz w:val="21"/>
          <w:szCs w:val="21"/>
          <w:highlight w:val="none"/>
          <w:u w:val="none"/>
          <w:lang w:val="en-US" w:eastAsia="zh-CN"/>
        </w:rPr>
      </w:pPr>
      <w:bookmarkStart w:id="29" w:name="_Toc28359021"/>
      <w:bookmarkStart w:id="30" w:name="_Toc35393808"/>
      <w:bookmarkStart w:id="31" w:name="_Toc35393639"/>
      <w:bookmarkStart w:id="32" w:name="_Toc28359098"/>
      <w:r>
        <w:rPr>
          <w:rFonts w:hint="eastAsia" w:ascii="宋体" w:hAnsi="宋体" w:eastAsia="宋体" w:cs="宋体"/>
          <w:color w:val="000000"/>
          <w:sz w:val="21"/>
          <w:szCs w:val="21"/>
          <w:highlight w:val="none"/>
          <w:u w:val="none"/>
          <w:lang w:val="en-US" w:eastAsia="zh-CN"/>
        </w:rPr>
        <w:t>3.项目联系方式</w:t>
      </w:r>
      <w:bookmarkEnd w:id="29"/>
      <w:bookmarkEnd w:id="30"/>
      <w:bookmarkEnd w:id="31"/>
      <w:bookmarkEnd w:id="32"/>
    </w:p>
    <w:p w14:paraId="2B69ABEB">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left"/>
        <w:textAlignment w:val="auto"/>
        <w:rPr>
          <w:rFonts w:hint="default" w:ascii="宋体" w:hAnsi="宋体" w:eastAsia="宋体" w:cs="宋体"/>
          <w:color w:val="000000"/>
          <w:sz w:val="21"/>
          <w:szCs w:val="21"/>
          <w:highlight w:val="none"/>
          <w:u w:val="none"/>
          <w:lang w:val="en-US" w:eastAsia="zh-CN"/>
        </w:rPr>
      </w:pPr>
      <w:r>
        <w:rPr>
          <w:rFonts w:hint="eastAsia" w:ascii="宋体" w:hAnsi="宋体" w:eastAsia="宋体" w:cs="宋体"/>
          <w:color w:val="000000"/>
          <w:sz w:val="21"/>
          <w:szCs w:val="21"/>
          <w:highlight w:val="none"/>
          <w:u w:val="none"/>
          <w:lang w:val="en-US" w:eastAsia="zh-CN"/>
        </w:rPr>
        <w:t>项目联系人：玉积</w:t>
      </w:r>
    </w:p>
    <w:p w14:paraId="405BBECD">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left"/>
        <w:textAlignment w:val="auto"/>
        <w:rPr>
          <w:rFonts w:hint="eastAsia" w:ascii="宋体" w:hAnsi="宋体" w:eastAsia="宋体" w:cs="宋体"/>
          <w:color w:val="000000"/>
          <w:sz w:val="21"/>
          <w:szCs w:val="21"/>
          <w:highlight w:val="none"/>
          <w:u w:val="none"/>
          <w:lang w:val="en-US" w:eastAsia="zh-CN"/>
        </w:rPr>
      </w:pPr>
      <w:r>
        <w:rPr>
          <w:rFonts w:hint="eastAsia" w:ascii="宋体" w:hAnsi="宋体" w:eastAsia="宋体" w:cs="宋体"/>
          <w:color w:val="000000"/>
          <w:sz w:val="21"/>
          <w:szCs w:val="21"/>
          <w:highlight w:val="none"/>
          <w:u w:val="none"/>
          <w:lang w:val="en-US" w:eastAsia="zh-CN"/>
        </w:rPr>
        <w:t>电话：0771-5891216</w:t>
      </w:r>
    </w:p>
    <w:p w14:paraId="11E99B49">
      <w:pPr>
        <w:keepNext w:val="0"/>
        <w:keepLines w:val="0"/>
        <w:pageBreakBefore w:val="0"/>
        <w:kinsoku/>
        <w:wordWrap/>
        <w:overflowPunct/>
        <w:topLinePunct w:val="0"/>
        <w:autoSpaceDE/>
        <w:autoSpaceDN/>
        <w:bidi w:val="0"/>
        <w:spacing w:line="400" w:lineRule="exact"/>
        <w:ind w:firstLine="420" w:firstLineChars="200"/>
        <w:jc w:val="left"/>
        <w:textAlignment w:val="auto"/>
        <w:rPr>
          <w:rFonts w:hint="eastAsia" w:ascii="宋体" w:hAnsi="宋体" w:eastAsia="宋体" w:cs="宋体"/>
          <w:color w:val="000000"/>
          <w:sz w:val="21"/>
          <w:szCs w:val="21"/>
          <w:highlight w:val="none"/>
        </w:rPr>
      </w:pPr>
    </w:p>
    <w:p w14:paraId="2CE9E623">
      <w:pPr>
        <w:keepNext w:val="0"/>
        <w:keepLines w:val="0"/>
        <w:pageBreakBefore w:val="0"/>
        <w:kinsoku/>
        <w:wordWrap/>
        <w:overflowPunct/>
        <w:topLinePunct w:val="0"/>
        <w:autoSpaceDE/>
        <w:autoSpaceDN/>
        <w:bidi w:val="0"/>
        <w:spacing w:line="400" w:lineRule="exact"/>
        <w:ind w:firstLine="420" w:firstLineChars="200"/>
        <w:jc w:val="left"/>
        <w:textAlignment w:val="auto"/>
        <w:rPr>
          <w:rFonts w:hint="eastAsia" w:ascii="宋体" w:hAnsi="宋体" w:eastAsia="宋体" w:cs="宋体"/>
          <w:color w:val="000000"/>
          <w:sz w:val="21"/>
          <w:szCs w:val="21"/>
          <w:highlight w:val="none"/>
        </w:rPr>
      </w:pPr>
    </w:p>
    <w:p w14:paraId="575A9A41">
      <w:pPr>
        <w:keepNext w:val="0"/>
        <w:keepLines w:val="0"/>
        <w:pageBreakBefore w:val="0"/>
        <w:kinsoku/>
        <w:wordWrap/>
        <w:overflowPunct/>
        <w:topLinePunct w:val="0"/>
        <w:autoSpaceDE/>
        <w:autoSpaceDN/>
        <w:bidi w:val="0"/>
        <w:spacing w:line="400" w:lineRule="exact"/>
        <w:ind w:firstLine="420" w:firstLineChars="200"/>
        <w:jc w:val="right"/>
        <w:textAlignment w:val="auto"/>
        <w:rPr>
          <w:rFonts w:hint="eastAsia" w:ascii="宋体" w:hAnsi="宋体" w:eastAsia="宋体" w:cs="宋体"/>
          <w:color w:val="000000"/>
          <w:sz w:val="21"/>
          <w:szCs w:val="21"/>
          <w:highlight w:val="none"/>
          <w:lang w:eastAsia="zh-CN"/>
        </w:rPr>
      </w:pPr>
    </w:p>
    <w:p w14:paraId="0F7A34EF">
      <w:pPr>
        <w:pStyle w:val="9"/>
        <w:keepNext w:val="0"/>
        <w:keepLines w:val="0"/>
        <w:pageBreakBefore w:val="0"/>
        <w:widowControl w:val="0"/>
        <w:kinsoku/>
        <w:wordWrap/>
        <w:overflowPunct/>
        <w:topLinePunct w:val="0"/>
        <w:autoSpaceDE/>
        <w:autoSpaceDN/>
        <w:bidi w:val="0"/>
        <w:adjustRightInd/>
        <w:snapToGrid/>
        <w:spacing w:line="460" w:lineRule="exact"/>
        <w:ind w:firstLine="200"/>
        <w:jc w:val="right"/>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采购人：</w:t>
      </w:r>
      <w:r>
        <w:rPr>
          <w:rFonts w:hint="eastAsia" w:ascii="宋体" w:hAnsi="宋体" w:eastAsia="宋体" w:cs="宋体"/>
          <w:color w:val="000000"/>
          <w:sz w:val="21"/>
          <w:szCs w:val="21"/>
          <w:highlight w:val="none"/>
          <w:u w:val="none"/>
          <w:lang w:val="en-US" w:eastAsia="zh-CN"/>
        </w:rPr>
        <w:t>防城港市防城区发展和改革局</w:t>
      </w:r>
    </w:p>
    <w:p w14:paraId="4C2DEE37">
      <w:pPr>
        <w:keepNext w:val="0"/>
        <w:keepLines w:val="0"/>
        <w:pageBreakBefore w:val="0"/>
        <w:widowControl w:val="0"/>
        <w:kinsoku/>
        <w:wordWrap/>
        <w:overflowPunct/>
        <w:topLinePunct w:val="0"/>
        <w:autoSpaceDE/>
        <w:autoSpaceDN/>
        <w:bidi w:val="0"/>
        <w:adjustRightInd/>
        <w:snapToGrid/>
        <w:spacing w:line="460" w:lineRule="exact"/>
        <w:jc w:val="right"/>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采购代理机构：</w:t>
      </w:r>
      <w:r>
        <w:rPr>
          <w:rFonts w:hint="eastAsia" w:ascii="宋体" w:hAnsi="宋体" w:eastAsia="宋体" w:cs="宋体"/>
          <w:color w:val="auto"/>
          <w:sz w:val="21"/>
          <w:szCs w:val="21"/>
          <w:highlight w:val="none"/>
          <w:lang w:eastAsia="zh-CN"/>
        </w:rPr>
        <w:t>广西政投项目咨询有限公司</w:t>
      </w:r>
    </w:p>
    <w:p w14:paraId="733D43BF">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p>
    <w:p w14:paraId="26C1BD2B">
      <w:pPr>
        <w:keepNext w:val="0"/>
        <w:keepLines w:val="0"/>
        <w:pageBreakBefore w:val="0"/>
        <w:widowControl w:val="0"/>
        <w:kinsoku/>
        <w:wordWrap/>
        <w:overflowPunct/>
        <w:topLinePunct w:val="0"/>
        <w:autoSpaceDE/>
        <w:autoSpaceDN/>
        <w:bidi w:val="0"/>
        <w:adjustRightInd/>
        <w:snapToGrid/>
        <w:ind w:firstLine="7350" w:firstLineChars="35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 xml:space="preserve">30 </w:t>
      </w:r>
      <w:r>
        <w:rPr>
          <w:rFonts w:hint="eastAsia" w:ascii="宋体" w:hAnsi="宋体" w:eastAsia="宋体" w:cs="宋体"/>
          <w:color w:val="auto"/>
          <w:sz w:val="21"/>
          <w:szCs w:val="21"/>
          <w:highlight w:val="none"/>
        </w:rPr>
        <w:t>日</w:t>
      </w:r>
    </w:p>
    <w:p w14:paraId="259B0365">
      <w:pPr>
        <w:keepNext w:val="0"/>
        <w:keepLines w:val="0"/>
        <w:pageBreakBefore w:val="0"/>
        <w:widowControl w:val="0"/>
        <w:kinsoku/>
        <w:wordWrap/>
        <w:overflowPunct/>
        <w:topLinePunct w:val="0"/>
        <w:autoSpaceDE/>
        <w:autoSpaceDN/>
        <w:bidi w:val="0"/>
        <w:adjustRightInd/>
        <w:snapToGrid/>
        <w:jc w:val="center"/>
        <w:textAlignment w:val="auto"/>
        <w:outlineLvl w:val="0"/>
        <w:rPr>
          <w:rFonts w:ascii="宋体" w:hAnsi="宋体"/>
          <w:b/>
          <w:bCs/>
          <w:color w:val="000000"/>
          <w:kern w:val="44"/>
          <w:sz w:val="44"/>
          <w:szCs w:val="44"/>
          <w:highlight w:val="none"/>
        </w:rPr>
      </w:pPr>
      <w:r>
        <w:rPr>
          <w:rFonts w:hint="eastAsia" w:ascii="宋体" w:hAnsi="宋体" w:eastAsia="宋体" w:cs="宋体"/>
          <w:color w:val="auto"/>
          <w:sz w:val="21"/>
          <w:szCs w:val="21"/>
          <w:highlight w:val="none"/>
        </w:rPr>
        <w:br w:type="page"/>
      </w:r>
      <w:bookmarkStart w:id="33" w:name="_Toc22763"/>
      <w:r>
        <w:rPr>
          <w:rStyle w:val="17"/>
          <w:rFonts w:hint="eastAsia"/>
          <w:color w:val="000000"/>
          <w:highlight w:val="none"/>
        </w:rPr>
        <w:t>第二章 采购需求</w:t>
      </w:r>
      <w:bookmarkEnd w:id="33"/>
    </w:p>
    <w:p w14:paraId="610FE47E">
      <w:pPr>
        <w:spacing w:line="360" w:lineRule="auto"/>
        <w:jc w:val="left"/>
        <w:rPr>
          <w:rFonts w:ascii="宋体" w:hAnsi="宋体" w:cs="宋体"/>
          <w:color w:val="000000"/>
          <w:szCs w:val="21"/>
          <w:highlight w:val="none"/>
        </w:rPr>
      </w:pPr>
      <w:r>
        <w:rPr>
          <w:rFonts w:hint="eastAsia" w:ascii="宋体" w:hAnsi="宋体" w:cs="宋体"/>
          <w:color w:val="000000"/>
          <w:szCs w:val="21"/>
          <w:highlight w:val="none"/>
        </w:rPr>
        <w:t>说明：</w:t>
      </w:r>
    </w:p>
    <w:p w14:paraId="5820DDF9">
      <w:pPr>
        <w:spacing w:line="360" w:lineRule="auto"/>
        <w:ind w:firstLine="420" w:firstLineChars="200"/>
        <w:jc w:val="left"/>
        <w:rPr>
          <w:rFonts w:ascii="宋体" w:hAnsi="宋体" w:cs="宋体"/>
          <w:color w:val="000000"/>
          <w:szCs w:val="21"/>
          <w:highlight w:val="none"/>
        </w:rPr>
      </w:pPr>
      <w:r>
        <w:rPr>
          <w:rFonts w:hint="eastAsia" w:ascii="宋体" w:hAnsi="宋体"/>
          <w:color w:val="000000"/>
          <w:highlight w:val="none"/>
        </w:rPr>
        <w:t>1. 为落实政府采购政策需满足的要求</w:t>
      </w:r>
    </w:p>
    <w:p w14:paraId="2EB415B6">
      <w:pPr>
        <w:spacing w:line="360" w:lineRule="auto"/>
        <w:ind w:firstLine="420" w:firstLineChars="200"/>
        <w:jc w:val="left"/>
        <w:rPr>
          <w:rFonts w:ascii="宋体" w:hAnsi="宋体" w:cs="宋体"/>
          <w:color w:val="000000"/>
          <w:szCs w:val="21"/>
          <w:highlight w:val="none"/>
        </w:rPr>
      </w:pPr>
      <w:r>
        <w:rPr>
          <w:rFonts w:hint="eastAsia" w:ascii="宋体" w:hAnsi="宋体" w:cs="宋体"/>
          <w:color w:val="000000"/>
          <w:szCs w:val="21"/>
          <w:highlight w:val="none"/>
        </w:rPr>
        <w:t>（1）本竞争性磋商采购文件所称中小企业必须符合《政府采购促进中小企业发展管理办法》（财库〔2020〕46号）的规定。</w:t>
      </w:r>
    </w:p>
    <w:p w14:paraId="4E9FA0C3">
      <w:pPr>
        <w:tabs>
          <w:tab w:val="left" w:pos="180"/>
          <w:tab w:val="left" w:pos="1620"/>
        </w:tabs>
        <w:spacing w:line="360" w:lineRule="auto"/>
        <w:ind w:firstLine="420" w:firstLineChars="200"/>
        <w:rPr>
          <w:rFonts w:ascii="宋体" w:hAnsi="宋体" w:cs="宋体"/>
          <w:b/>
          <w:bCs/>
          <w:color w:val="000000"/>
          <w:szCs w:val="21"/>
          <w:highlight w:val="none"/>
        </w:rPr>
      </w:pPr>
      <w:r>
        <w:rPr>
          <w:rFonts w:hint="eastAsia" w:ascii="宋体" w:hAnsi="宋体" w:cs="宋体"/>
          <w:color w:val="000000"/>
          <w:szCs w:val="21"/>
          <w:highlight w:val="none"/>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否则响应文件作无效处理。如本项目包含的配套货物属于品目清单内非标注“★”的产品时，应优先采购。</w:t>
      </w:r>
    </w:p>
    <w:p w14:paraId="50EB7CD4">
      <w:pPr>
        <w:spacing w:line="360" w:lineRule="auto"/>
        <w:ind w:firstLine="420" w:firstLineChars="200"/>
        <w:jc w:val="left"/>
        <w:rPr>
          <w:rFonts w:ascii="宋体" w:hAnsi="宋体" w:cs="宋体"/>
          <w:color w:val="000000"/>
          <w:szCs w:val="21"/>
          <w:highlight w:val="none"/>
        </w:rPr>
      </w:pPr>
      <w:r>
        <w:rPr>
          <w:rFonts w:hint="eastAsia" w:ascii="宋体" w:hAnsi="宋体" w:cs="宋体"/>
          <w:color w:val="000000"/>
          <w:szCs w:val="21"/>
          <w:highlight w:val="none"/>
        </w:rPr>
        <w:t>（3）根据《关于信息安全产品实施政府采购的通知》（财库〔2010〕48号）的规定，本项目采购范围包含信息安全产品的（信息安全产品包括：防火墙、网络安全隔离卡与线路选择器、安全隔离与信息交换产品、安全路由器、智能卡COS、数据备份与恢复产品、安全操作系统、安全数据库系统、反垃圾邮件产品、入侵检测系统（IDS）、网络脆弱扫描产品、安全审计产品、网站恢复产品），供应商必须在响应文件中提供中国信息安全认证中心授予的有效的信息安全产品认证证书（加盖供应商公章），否则响应文件作无效处理。</w:t>
      </w:r>
    </w:p>
    <w:p w14:paraId="166AFBD5">
      <w:pPr>
        <w:spacing w:line="360" w:lineRule="auto"/>
        <w:ind w:firstLine="413" w:firstLineChars="196"/>
        <w:rPr>
          <w:rFonts w:ascii="宋体" w:hAnsi="宋体" w:cs="宋体"/>
          <w:b/>
          <w:bCs/>
          <w:color w:val="000000"/>
          <w:szCs w:val="21"/>
          <w:highlight w:val="none"/>
        </w:rPr>
      </w:pPr>
      <w:r>
        <w:rPr>
          <w:rFonts w:hint="eastAsia" w:ascii="宋体" w:hAnsi="宋体" w:cs="宋体"/>
          <w:b/>
          <w:bCs/>
          <w:color w:val="000000"/>
          <w:szCs w:val="21"/>
          <w:highlight w:val="none"/>
        </w:rPr>
        <w:t>2.“实质性要求”是指采购需求中带“▲”的条款或者不能负偏离的条款或者已经指明不满足按响应文件作无效处理的条款。</w:t>
      </w:r>
      <w:r>
        <w:rPr>
          <w:rFonts w:hint="eastAsia" w:ascii="宋体" w:hAnsi="宋体" w:cs="宋体"/>
          <w:b/>
          <w:color w:val="000000"/>
          <w:szCs w:val="21"/>
          <w:highlight w:val="none"/>
          <w:lang w:val="en-US" w:eastAsia="zh-CN"/>
        </w:rPr>
        <w:t>本章</w:t>
      </w:r>
      <w:r>
        <w:rPr>
          <w:rFonts w:hint="eastAsia" w:ascii="宋体" w:hAnsi="宋体" w:cs="宋体"/>
          <w:b/>
          <w:color w:val="000000"/>
          <w:szCs w:val="21"/>
          <w:highlight w:val="none"/>
        </w:rPr>
        <w:t>凡标注“▲”的条款或要求不响应或不满足的，其响应文件即作无效竞标处理。</w:t>
      </w:r>
    </w:p>
    <w:p w14:paraId="126A0AAB">
      <w:pPr>
        <w:spacing w:line="360" w:lineRule="auto"/>
        <w:ind w:firstLine="420" w:firstLineChars="200"/>
        <w:jc w:val="left"/>
        <w:rPr>
          <w:rFonts w:hint="eastAsia" w:ascii="宋体" w:hAnsi="宋体"/>
          <w:color w:val="000000"/>
          <w:highlight w:val="none"/>
        </w:rPr>
      </w:pPr>
      <w:r>
        <w:rPr>
          <w:rFonts w:hint="eastAsia" w:ascii="宋体" w:hAnsi="宋体" w:cs="宋体"/>
          <w:color w:val="000000"/>
          <w:szCs w:val="21"/>
          <w:highlight w:val="none"/>
        </w:rPr>
        <w:t>3.</w:t>
      </w:r>
      <w:r>
        <w:rPr>
          <w:rFonts w:hint="eastAsia" w:ascii="宋体" w:hAnsi="宋体"/>
          <w:color w:val="000000"/>
          <w:highlight w:val="none"/>
        </w:rPr>
        <w:t>如</w:t>
      </w:r>
      <w:r>
        <w:rPr>
          <w:rFonts w:hint="eastAsia" w:ascii="宋体" w:hAnsi="宋体"/>
          <w:color w:val="000000"/>
          <w:highlight w:val="none"/>
          <w:lang w:val="en-US" w:eastAsia="zh-CN"/>
        </w:rPr>
        <w:t>供应商竞</w:t>
      </w:r>
      <w:r>
        <w:rPr>
          <w:rFonts w:hint="eastAsia" w:ascii="宋体" w:hAnsi="宋体"/>
          <w:color w:val="000000"/>
          <w:highlight w:val="none"/>
        </w:rPr>
        <w:t>标产品存在侵犯他人的知识产权或者专利成果行为的，应承担相应法律责任。</w:t>
      </w:r>
    </w:p>
    <w:p w14:paraId="59EA8B12">
      <w:pPr>
        <w:spacing w:line="360" w:lineRule="auto"/>
        <w:ind w:firstLine="422" w:firstLineChars="200"/>
        <w:jc w:val="left"/>
        <w:rPr>
          <w:rFonts w:hint="eastAsia" w:ascii="宋体" w:hAnsi="宋体"/>
          <w:b/>
          <w:bCs/>
          <w:color w:val="000000"/>
          <w:highlight w:val="none"/>
          <w:lang w:val="en-US" w:eastAsia="zh-CN"/>
        </w:rPr>
      </w:pPr>
      <w:r>
        <w:rPr>
          <w:rFonts w:hint="eastAsia" w:ascii="宋体" w:hAnsi="宋体"/>
          <w:b/>
          <w:bCs/>
          <w:color w:val="000000"/>
          <w:highlight w:val="none"/>
          <w:lang w:val="en-US" w:eastAsia="zh-CN"/>
        </w:rPr>
        <w:t>4.</w:t>
      </w:r>
      <w:r>
        <w:rPr>
          <w:rFonts w:hint="eastAsia" w:ascii="宋体" w:hAnsi="宋体"/>
          <w:b/>
          <w:bCs/>
          <w:color w:val="000000"/>
          <w:highlight w:val="none"/>
        </w:rPr>
        <w:t>中小企业划分标准所属行业名称（行业名称及划分见本章附件2）</w:t>
      </w:r>
      <w:r>
        <w:rPr>
          <w:rFonts w:hint="eastAsia" w:ascii="宋体" w:hAnsi="宋体"/>
          <w:b/>
          <w:bCs/>
          <w:color w:val="000000"/>
          <w:highlight w:val="none"/>
          <w:lang w:val="en-US" w:eastAsia="zh-CN"/>
        </w:rPr>
        <w:t>:</w:t>
      </w:r>
      <w:r>
        <w:rPr>
          <w:rFonts w:hint="eastAsia" w:ascii="宋体" w:hAnsi="宋体"/>
          <w:b/>
          <w:bCs/>
          <w:color w:val="000000"/>
          <w:highlight w:val="none"/>
        </w:rPr>
        <w:t>建筑业</w:t>
      </w:r>
      <w:r>
        <w:rPr>
          <w:rFonts w:hint="eastAsia" w:ascii="宋体" w:hAnsi="宋体"/>
          <w:b/>
          <w:bCs/>
          <w:color w:val="000000"/>
          <w:highlight w:val="none"/>
          <w:lang w:val="en-US" w:eastAsia="zh-CN"/>
        </w:rPr>
        <w:t>。</w:t>
      </w:r>
    </w:p>
    <w:p w14:paraId="423C25F7">
      <w:pPr>
        <w:spacing w:line="420" w:lineRule="exact"/>
        <w:ind w:firstLine="422" w:firstLineChars="200"/>
        <w:jc w:val="left"/>
        <w:rPr>
          <w:rFonts w:hint="eastAsia" w:ascii="宋体" w:hAnsi="宋体"/>
          <w:b/>
          <w:bCs/>
          <w:color w:val="000000"/>
          <w:highlight w:val="none"/>
          <w:lang w:val="en-US" w:eastAsia="zh-CN"/>
        </w:rPr>
      </w:pPr>
    </w:p>
    <w:tbl>
      <w:tblPr>
        <w:tblStyle w:val="15"/>
        <w:tblW w:w="1019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39"/>
        <w:gridCol w:w="531"/>
        <w:gridCol w:w="1312"/>
        <w:gridCol w:w="705"/>
        <w:gridCol w:w="720"/>
        <w:gridCol w:w="4283"/>
        <w:gridCol w:w="1605"/>
      </w:tblGrid>
      <w:tr w14:paraId="4DD182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195" w:type="dxa"/>
            <w:gridSpan w:val="7"/>
            <w:tcBorders>
              <w:top w:val="single" w:color="auto" w:sz="4" w:space="0"/>
              <w:left w:val="single" w:color="auto" w:sz="4" w:space="0"/>
              <w:right w:val="single" w:color="auto" w:sz="4" w:space="0"/>
            </w:tcBorders>
            <w:noWrap w:val="0"/>
            <w:vAlign w:val="center"/>
          </w:tcPr>
          <w:p w14:paraId="54BD3DE3">
            <w:pPr>
              <w:keepNext w:val="0"/>
              <w:keepLines w:val="0"/>
              <w:pageBreakBefore w:val="0"/>
              <w:kinsoku/>
              <w:wordWrap/>
              <w:overflowPunct/>
              <w:topLinePunct w:val="0"/>
              <w:autoSpaceDE/>
              <w:autoSpaceDN/>
              <w:bidi w:val="0"/>
              <w:adjustRightInd/>
              <w:snapToGrid/>
              <w:spacing w:line="460" w:lineRule="exact"/>
              <w:ind w:firstLine="0" w:firstLineChars="0"/>
              <w:jc w:val="center"/>
              <w:textAlignment w:val="auto"/>
              <w:rPr>
                <w:rFonts w:hint="eastAsia" w:ascii="宋体" w:hAnsi="宋体" w:eastAsia="宋体" w:cs="宋体"/>
                <w:b/>
                <w:color w:val="000000"/>
                <w:sz w:val="21"/>
                <w:szCs w:val="21"/>
                <w:highlight w:val="none"/>
              </w:rPr>
            </w:pPr>
            <w:r>
              <w:rPr>
                <w:rFonts w:hint="eastAsia" w:ascii="宋体" w:hAnsi="宋体" w:eastAsia="宋体" w:cs="宋体"/>
                <w:b/>
                <w:bCs/>
                <w:color w:val="000000"/>
                <w:sz w:val="21"/>
                <w:szCs w:val="21"/>
                <w:highlight w:val="none"/>
                <w:lang w:val="en-US" w:eastAsia="zh-CN"/>
              </w:rPr>
              <w:br w:type="page"/>
            </w:r>
            <w:r>
              <w:rPr>
                <w:rFonts w:hint="eastAsia" w:ascii="宋体" w:hAnsi="宋体" w:eastAsia="宋体" w:cs="宋体"/>
                <w:color w:val="000000"/>
                <w:sz w:val="21"/>
                <w:szCs w:val="21"/>
                <w:highlight w:val="none"/>
              </w:rPr>
              <w:t>▲</w:t>
            </w:r>
            <w:r>
              <w:rPr>
                <w:rFonts w:hint="eastAsia" w:ascii="宋体" w:hAnsi="宋体" w:eastAsia="宋体" w:cs="宋体"/>
                <w:b/>
                <w:color w:val="000000"/>
                <w:sz w:val="21"/>
                <w:szCs w:val="21"/>
                <w:highlight w:val="none"/>
              </w:rPr>
              <w:t>采购需求一览表</w:t>
            </w:r>
          </w:p>
        </w:tc>
      </w:tr>
      <w:tr w14:paraId="4B0068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39" w:type="dxa"/>
            <w:vMerge w:val="restart"/>
            <w:tcBorders>
              <w:top w:val="single" w:color="auto" w:sz="4" w:space="0"/>
              <w:left w:val="single" w:color="auto" w:sz="4" w:space="0"/>
              <w:right w:val="single" w:color="auto" w:sz="4" w:space="0"/>
            </w:tcBorders>
            <w:noWrap w:val="0"/>
            <w:vAlign w:val="center"/>
          </w:tcPr>
          <w:p w14:paraId="6B429FE4">
            <w:pPr>
              <w:keepNext w:val="0"/>
              <w:keepLines w:val="0"/>
              <w:pageBreakBefore w:val="0"/>
              <w:kinsoku/>
              <w:wordWrap/>
              <w:overflowPunct/>
              <w:topLinePunct w:val="0"/>
              <w:autoSpaceDE/>
              <w:autoSpaceDN/>
              <w:bidi w:val="0"/>
              <w:adjustRightInd/>
              <w:snapToGrid/>
              <w:spacing w:line="348"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采购清单及技术参数</w:t>
            </w:r>
          </w:p>
        </w:tc>
        <w:tc>
          <w:tcPr>
            <w:tcW w:w="531"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8EF691A">
            <w:pPr>
              <w:keepNext w:val="0"/>
              <w:keepLines w:val="0"/>
              <w:pageBreakBefore w:val="0"/>
              <w:kinsoku/>
              <w:wordWrap/>
              <w:overflowPunct/>
              <w:topLinePunct w:val="0"/>
              <w:autoSpaceDE/>
              <w:autoSpaceDN/>
              <w:bidi w:val="0"/>
              <w:adjustRightInd/>
              <w:snapToGrid/>
              <w:spacing w:line="348"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序号</w:t>
            </w:r>
          </w:p>
        </w:tc>
        <w:tc>
          <w:tcPr>
            <w:tcW w:w="1312" w:type="dxa"/>
            <w:tcBorders>
              <w:top w:val="single" w:color="auto" w:sz="4" w:space="0"/>
              <w:left w:val="single" w:color="auto" w:sz="4" w:space="0"/>
              <w:bottom w:val="single" w:color="auto" w:sz="4" w:space="0"/>
              <w:right w:val="single" w:color="auto" w:sz="4" w:space="0"/>
            </w:tcBorders>
            <w:noWrap w:val="0"/>
            <w:vAlign w:val="center"/>
          </w:tcPr>
          <w:p w14:paraId="3183BA12">
            <w:pPr>
              <w:keepNext w:val="0"/>
              <w:keepLines w:val="0"/>
              <w:pageBreakBefore w:val="0"/>
              <w:kinsoku/>
              <w:wordWrap/>
              <w:overflowPunct/>
              <w:topLinePunct w:val="0"/>
              <w:autoSpaceDE/>
              <w:autoSpaceDN/>
              <w:bidi w:val="0"/>
              <w:adjustRightInd/>
              <w:snapToGrid/>
              <w:spacing w:line="348"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标的的名称</w:t>
            </w:r>
          </w:p>
        </w:tc>
        <w:tc>
          <w:tcPr>
            <w:tcW w:w="705" w:type="dxa"/>
            <w:tcBorders>
              <w:top w:val="single" w:color="auto" w:sz="4" w:space="0"/>
              <w:left w:val="single" w:color="auto" w:sz="4" w:space="0"/>
              <w:bottom w:val="single" w:color="auto" w:sz="4" w:space="0"/>
              <w:right w:val="single" w:color="auto" w:sz="4" w:space="0"/>
            </w:tcBorders>
            <w:noWrap w:val="0"/>
            <w:vAlign w:val="center"/>
          </w:tcPr>
          <w:p w14:paraId="6F3B527A">
            <w:pPr>
              <w:keepNext w:val="0"/>
              <w:keepLines w:val="0"/>
              <w:pageBreakBefore w:val="0"/>
              <w:kinsoku/>
              <w:wordWrap/>
              <w:overflowPunct/>
              <w:topLinePunct w:val="0"/>
              <w:autoSpaceDE/>
              <w:autoSpaceDN/>
              <w:bidi w:val="0"/>
              <w:adjustRightInd/>
              <w:snapToGrid/>
              <w:spacing w:line="348"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单位</w:t>
            </w:r>
          </w:p>
        </w:tc>
        <w:tc>
          <w:tcPr>
            <w:tcW w:w="720" w:type="dxa"/>
            <w:tcBorders>
              <w:top w:val="single" w:color="auto" w:sz="4" w:space="0"/>
              <w:left w:val="single" w:color="auto" w:sz="4" w:space="0"/>
              <w:bottom w:val="single" w:color="auto" w:sz="4" w:space="0"/>
              <w:right w:val="single" w:color="auto" w:sz="4" w:space="0"/>
            </w:tcBorders>
            <w:noWrap w:val="0"/>
            <w:vAlign w:val="center"/>
          </w:tcPr>
          <w:p w14:paraId="0715DA51">
            <w:pPr>
              <w:keepNext w:val="0"/>
              <w:keepLines w:val="0"/>
              <w:pageBreakBefore w:val="0"/>
              <w:kinsoku/>
              <w:wordWrap/>
              <w:overflowPunct/>
              <w:topLinePunct w:val="0"/>
              <w:autoSpaceDE/>
              <w:autoSpaceDN/>
              <w:bidi w:val="0"/>
              <w:adjustRightInd/>
              <w:snapToGrid/>
              <w:spacing w:line="348"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数量</w:t>
            </w:r>
          </w:p>
        </w:tc>
        <w:tc>
          <w:tcPr>
            <w:tcW w:w="4283" w:type="dxa"/>
            <w:tcBorders>
              <w:top w:val="single" w:color="auto" w:sz="4" w:space="0"/>
              <w:left w:val="single" w:color="auto" w:sz="4" w:space="0"/>
              <w:bottom w:val="single" w:color="auto" w:sz="4" w:space="0"/>
              <w:right w:val="single" w:color="auto" w:sz="4" w:space="0"/>
            </w:tcBorders>
            <w:noWrap w:val="0"/>
            <w:vAlign w:val="center"/>
          </w:tcPr>
          <w:p w14:paraId="1762FBD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工程概况及采购范围</w:t>
            </w:r>
          </w:p>
        </w:tc>
        <w:tc>
          <w:tcPr>
            <w:tcW w:w="1605" w:type="dxa"/>
            <w:tcBorders>
              <w:top w:val="single" w:color="auto" w:sz="4" w:space="0"/>
              <w:left w:val="single" w:color="auto" w:sz="4" w:space="0"/>
              <w:bottom w:val="single" w:color="auto" w:sz="4" w:space="0"/>
              <w:right w:val="single" w:color="auto" w:sz="4" w:space="0"/>
            </w:tcBorders>
            <w:noWrap w:val="0"/>
            <w:vAlign w:val="center"/>
          </w:tcPr>
          <w:p w14:paraId="532AB6B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b w:val="0"/>
                <w:bCs/>
                <w:color w:val="000000"/>
                <w:sz w:val="21"/>
                <w:szCs w:val="21"/>
                <w:highlight w:val="none"/>
              </w:rPr>
              <w:t>最高限价</w:t>
            </w:r>
            <w:r>
              <w:rPr>
                <w:rFonts w:hint="eastAsia" w:ascii="宋体" w:hAnsi="宋体" w:eastAsia="宋体" w:cs="宋体"/>
                <w:b w:val="0"/>
                <w:bCs/>
                <w:color w:val="000000"/>
                <w:sz w:val="21"/>
                <w:szCs w:val="21"/>
                <w:highlight w:val="none"/>
                <w:lang w:val="en-US" w:eastAsia="zh-CN"/>
              </w:rPr>
              <w:t>（</w:t>
            </w:r>
            <w:r>
              <w:rPr>
                <w:rFonts w:hint="eastAsia" w:ascii="宋体" w:hAnsi="宋体" w:eastAsia="宋体" w:cs="宋体"/>
                <w:b w:val="0"/>
                <w:bCs/>
                <w:color w:val="000000"/>
                <w:sz w:val="21"/>
                <w:szCs w:val="21"/>
                <w:highlight w:val="none"/>
                <w:lang w:eastAsia="zh-CN"/>
              </w:rPr>
              <w:t>招标控制价</w:t>
            </w:r>
            <w:r>
              <w:rPr>
                <w:rFonts w:hint="eastAsia" w:ascii="宋体" w:hAnsi="宋体" w:eastAsia="宋体" w:cs="宋体"/>
                <w:b w:val="0"/>
                <w:bCs/>
                <w:color w:val="000000"/>
                <w:sz w:val="21"/>
                <w:szCs w:val="21"/>
                <w:highlight w:val="none"/>
                <w:lang w:val="en-US" w:eastAsia="zh-CN"/>
              </w:rPr>
              <w:t>）</w:t>
            </w:r>
          </w:p>
        </w:tc>
      </w:tr>
      <w:tr w14:paraId="2C7C2A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039" w:type="dxa"/>
            <w:vMerge w:val="continue"/>
            <w:tcBorders>
              <w:left w:val="single" w:color="auto" w:sz="4" w:space="0"/>
              <w:right w:val="single" w:color="auto" w:sz="4" w:space="0"/>
            </w:tcBorders>
            <w:noWrap w:val="0"/>
            <w:vAlign w:val="top"/>
          </w:tcPr>
          <w:p w14:paraId="47F5C64F">
            <w:pPr>
              <w:keepNext w:val="0"/>
              <w:keepLines w:val="0"/>
              <w:pageBreakBefore w:val="0"/>
              <w:kinsoku/>
              <w:wordWrap/>
              <w:overflowPunct/>
              <w:topLinePunct w:val="0"/>
              <w:autoSpaceDE/>
              <w:autoSpaceDN/>
              <w:bidi w:val="0"/>
              <w:adjustRightInd/>
              <w:snapToGrid/>
              <w:spacing w:line="348" w:lineRule="auto"/>
              <w:jc w:val="center"/>
              <w:textAlignment w:val="auto"/>
              <w:rPr>
                <w:rFonts w:hint="eastAsia" w:ascii="宋体" w:hAnsi="宋体" w:eastAsia="宋体" w:cs="宋体"/>
                <w:b/>
                <w:bCs/>
                <w:color w:val="000000"/>
                <w:sz w:val="21"/>
                <w:szCs w:val="21"/>
                <w:highlight w:val="none"/>
              </w:rPr>
            </w:pPr>
          </w:p>
        </w:tc>
        <w:tc>
          <w:tcPr>
            <w:tcW w:w="531" w:type="dxa"/>
            <w:tcBorders>
              <w:top w:val="single" w:color="auto" w:sz="4" w:space="0"/>
              <w:left w:val="single" w:color="auto" w:sz="4" w:space="0"/>
              <w:bottom w:val="single" w:color="auto" w:sz="4" w:space="0"/>
              <w:right w:val="single" w:color="auto" w:sz="4" w:space="0"/>
            </w:tcBorders>
            <w:noWrap w:val="0"/>
            <w:vAlign w:val="center"/>
          </w:tcPr>
          <w:p w14:paraId="7712840B">
            <w:pPr>
              <w:keepNext w:val="0"/>
              <w:keepLines w:val="0"/>
              <w:pageBreakBefore w:val="0"/>
              <w:kinsoku/>
              <w:wordWrap/>
              <w:overflowPunct/>
              <w:topLinePunct w:val="0"/>
              <w:autoSpaceDE/>
              <w:autoSpaceDN/>
              <w:bidi w:val="0"/>
              <w:adjustRightInd/>
              <w:snapToGrid/>
              <w:spacing w:line="348"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p>
        </w:tc>
        <w:tc>
          <w:tcPr>
            <w:tcW w:w="1312" w:type="dxa"/>
            <w:tcBorders>
              <w:top w:val="single" w:color="auto" w:sz="4" w:space="0"/>
              <w:left w:val="single" w:color="auto" w:sz="4" w:space="0"/>
              <w:bottom w:val="single" w:color="auto" w:sz="4" w:space="0"/>
              <w:right w:val="single" w:color="auto" w:sz="4" w:space="0"/>
            </w:tcBorders>
            <w:noWrap w:val="0"/>
            <w:vAlign w:val="center"/>
          </w:tcPr>
          <w:p w14:paraId="097C1100">
            <w:pPr>
              <w:keepNext w:val="0"/>
              <w:keepLines w:val="0"/>
              <w:pageBreakBefore w:val="0"/>
              <w:kinsoku/>
              <w:wordWrap/>
              <w:overflowPunct/>
              <w:topLinePunct w:val="0"/>
              <w:autoSpaceDE/>
              <w:autoSpaceDN/>
              <w:bidi w:val="0"/>
              <w:adjustRightInd/>
              <w:snapToGrid/>
              <w:spacing w:line="348" w:lineRule="auto"/>
              <w:jc w:val="center"/>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防城区小峰水库隘脚移民村美丽家园项目</w:t>
            </w:r>
          </w:p>
          <w:p w14:paraId="4D93E751">
            <w:pPr>
              <w:keepNext w:val="0"/>
              <w:keepLines w:val="0"/>
              <w:pageBreakBefore w:val="0"/>
              <w:kinsoku/>
              <w:wordWrap/>
              <w:overflowPunct/>
              <w:topLinePunct w:val="0"/>
              <w:autoSpaceDE/>
              <w:autoSpaceDN/>
              <w:bidi w:val="0"/>
              <w:adjustRightInd/>
              <w:snapToGrid/>
              <w:spacing w:line="348" w:lineRule="auto"/>
              <w:jc w:val="center"/>
              <w:textAlignment w:val="auto"/>
              <w:rPr>
                <w:rFonts w:hint="eastAsia" w:ascii="宋体" w:hAnsi="宋体" w:eastAsia="宋体" w:cs="宋体"/>
                <w:color w:val="000000"/>
                <w:sz w:val="21"/>
                <w:szCs w:val="21"/>
                <w:highlight w:val="none"/>
                <w:lang w:eastAsia="zh-CN"/>
              </w:rPr>
            </w:pPr>
          </w:p>
        </w:tc>
        <w:tc>
          <w:tcPr>
            <w:tcW w:w="705" w:type="dxa"/>
            <w:tcBorders>
              <w:top w:val="single" w:color="auto" w:sz="4" w:space="0"/>
              <w:left w:val="single" w:color="auto" w:sz="4" w:space="0"/>
              <w:bottom w:val="single" w:color="auto" w:sz="4" w:space="0"/>
              <w:right w:val="single" w:color="auto" w:sz="4" w:space="0"/>
            </w:tcBorders>
            <w:noWrap w:val="0"/>
            <w:vAlign w:val="center"/>
          </w:tcPr>
          <w:p w14:paraId="1EA708FA">
            <w:pPr>
              <w:keepNext w:val="0"/>
              <w:keepLines w:val="0"/>
              <w:pageBreakBefore w:val="0"/>
              <w:kinsoku/>
              <w:wordWrap/>
              <w:overflowPunct/>
              <w:topLinePunct w:val="0"/>
              <w:autoSpaceDE/>
              <w:autoSpaceDN/>
              <w:bidi w:val="0"/>
              <w:adjustRightInd/>
              <w:snapToGrid/>
              <w:spacing w:line="348"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项</w:t>
            </w:r>
          </w:p>
        </w:tc>
        <w:tc>
          <w:tcPr>
            <w:tcW w:w="720" w:type="dxa"/>
            <w:tcBorders>
              <w:top w:val="single" w:color="auto" w:sz="4" w:space="0"/>
              <w:left w:val="single" w:color="auto" w:sz="4" w:space="0"/>
              <w:bottom w:val="single" w:color="auto" w:sz="4" w:space="0"/>
              <w:right w:val="single" w:color="auto" w:sz="4" w:space="0"/>
            </w:tcBorders>
            <w:noWrap w:val="0"/>
            <w:vAlign w:val="center"/>
          </w:tcPr>
          <w:p w14:paraId="7351F410">
            <w:pPr>
              <w:keepNext w:val="0"/>
              <w:keepLines w:val="0"/>
              <w:pageBreakBefore w:val="0"/>
              <w:kinsoku/>
              <w:wordWrap/>
              <w:overflowPunct/>
              <w:topLinePunct w:val="0"/>
              <w:autoSpaceDE/>
              <w:autoSpaceDN/>
              <w:bidi w:val="0"/>
              <w:adjustRightInd/>
              <w:snapToGrid/>
              <w:spacing w:line="348" w:lineRule="auto"/>
              <w:jc w:val="center"/>
              <w:textAlignment w:val="auto"/>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1</w:t>
            </w:r>
          </w:p>
        </w:tc>
        <w:tc>
          <w:tcPr>
            <w:tcW w:w="4283" w:type="dxa"/>
            <w:tcBorders>
              <w:top w:val="single" w:color="auto" w:sz="4" w:space="0"/>
              <w:left w:val="single" w:color="auto" w:sz="4" w:space="0"/>
              <w:bottom w:val="single" w:color="auto" w:sz="4" w:space="0"/>
              <w:right w:val="single" w:color="auto" w:sz="4" w:space="0"/>
            </w:tcBorders>
            <w:noWrap w:val="0"/>
            <w:vAlign w:val="center"/>
          </w:tcPr>
          <w:p w14:paraId="62CF080B">
            <w:pPr>
              <w:keepNext w:val="0"/>
              <w:keepLines w:val="0"/>
              <w:pageBreakBefore w:val="0"/>
              <w:widowControl/>
              <w:numPr>
                <w:ilvl w:val="0"/>
                <w:numId w:val="0"/>
              </w:numPr>
              <w:kinsoku/>
              <w:wordWrap/>
              <w:overflowPunct/>
              <w:topLinePunct w:val="0"/>
              <w:autoSpaceDE/>
              <w:autoSpaceDN/>
              <w:bidi w:val="0"/>
              <w:adjustRightInd/>
              <w:snapToGrid/>
              <w:spacing w:line="348" w:lineRule="auto"/>
              <w:textAlignment w:val="auto"/>
              <w:rPr>
                <w:rFonts w:hint="eastAsia" w:ascii="宋体" w:hAnsi="宋体" w:eastAsia="宋体" w:cs="宋体"/>
                <w:b w:val="0"/>
                <w:bCs w:val="0"/>
                <w:color w:val="000000"/>
                <w:spacing w:val="0"/>
                <w:kern w:val="2"/>
                <w:sz w:val="21"/>
                <w:szCs w:val="21"/>
                <w:highlight w:val="none"/>
                <w:lang w:val="en-US" w:eastAsia="zh-CN" w:bidi="ar-SA"/>
              </w:rPr>
            </w:pPr>
            <w:r>
              <w:rPr>
                <w:rFonts w:hint="eastAsia" w:ascii="宋体" w:hAnsi="宋体" w:eastAsia="宋体" w:cs="宋体"/>
                <w:b/>
                <w:bCs/>
                <w:color w:val="000000"/>
                <w:spacing w:val="0"/>
                <w:kern w:val="2"/>
                <w:sz w:val="21"/>
                <w:szCs w:val="21"/>
                <w:highlight w:val="none"/>
                <w:lang w:val="en-US" w:eastAsia="zh-CN" w:bidi="ar-SA"/>
              </w:rPr>
              <w:t>一、工程主要施工内容：</w:t>
            </w:r>
          </w:p>
          <w:p w14:paraId="3F04A40A">
            <w:pPr>
              <w:keepNext w:val="0"/>
              <w:keepLines w:val="0"/>
              <w:pageBreakBefore w:val="0"/>
              <w:widowControl/>
              <w:numPr>
                <w:ilvl w:val="0"/>
                <w:numId w:val="0"/>
              </w:numPr>
              <w:kinsoku/>
              <w:wordWrap/>
              <w:overflowPunct/>
              <w:topLinePunct w:val="0"/>
              <w:autoSpaceDE/>
              <w:autoSpaceDN/>
              <w:bidi w:val="0"/>
              <w:adjustRightInd/>
              <w:snapToGrid/>
              <w:spacing w:line="348" w:lineRule="auto"/>
              <w:textAlignment w:val="auto"/>
              <w:rPr>
                <w:rFonts w:hint="eastAsia" w:ascii="宋体" w:hAnsi="宋体" w:eastAsia="宋体" w:cs="宋体"/>
                <w:b w:val="0"/>
                <w:bCs w:val="0"/>
                <w:color w:val="000000"/>
                <w:spacing w:val="0"/>
                <w:sz w:val="21"/>
                <w:szCs w:val="21"/>
                <w:highlight w:val="none"/>
                <w:lang w:eastAsia="zh-CN"/>
              </w:rPr>
            </w:pPr>
            <w:r>
              <w:rPr>
                <w:rFonts w:hint="eastAsia" w:ascii="宋体" w:hAnsi="宋体" w:eastAsia="宋体" w:cs="宋体"/>
                <w:b w:val="0"/>
                <w:bCs w:val="0"/>
                <w:color w:val="000000"/>
                <w:spacing w:val="0"/>
                <w:kern w:val="2"/>
                <w:sz w:val="21"/>
                <w:szCs w:val="21"/>
                <w:highlight w:val="none"/>
                <w:lang w:val="en-US" w:eastAsia="zh-CN" w:bidi="ar-SA"/>
              </w:rPr>
              <w:t>1.</w:t>
            </w:r>
            <w:r>
              <w:rPr>
                <w:rFonts w:hint="eastAsia" w:ascii="宋体" w:hAnsi="宋体" w:eastAsia="宋体" w:cs="宋体"/>
                <w:b w:val="0"/>
                <w:bCs w:val="0"/>
                <w:color w:val="000000"/>
                <w:sz w:val="21"/>
                <w:szCs w:val="21"/>
                <w:highlight w:val="none"/>
                <w:u w:val="none"/>
                <w:shd w:val="clear" w:color="auto" w:fill="FFFFFF"/>
                <w:lang w:val="en-US" w:eastAsia="zh-CN"/>
              </w:rPr>
              <w:t>工程名称：防城区小峰水库隘脚移民村美丽家园项目</w:t>
            </w:r>
          </w:p>
          <w:p w14:paraId="29545C5D">
            <w:pPr>
              <w:keepNext w:val="0"/>
              <w:keepLines w:val="0"/>
              <w:pageBreakBefore w:val="0"/>
              <w:widowControl/>
              <w:numPr>
                <w:ilvl w:val="0"/>
                <w:numId w:val="0"/>
              </w:numPr>
              <w:kinsoku/>
              <w:wordWrap/>
              <w:overflowPunct/>
              <w:topLinePunct w:val="0"/>
              <w:autoSpaceDE/>
              <w:autoSpaceDN/>
              <w:bidi w:val="0"/>
              <w:adjustRightInd/>
              <w:snapToGrid/>
              <w:spacing w:line="348" w:lineRule="auto"/>
              <w:textAlignment w:val="auto"/>
              <w:rPr>
                <w:rFonts w:hint="eastAsia" w:ascii="宋体" w:hAnsi="宋体" w:eastAsia="宋体" w:cs="宋体"/>
                <w:b w:val="0"/>
                <w:bCs w:val="0"/>
                <w:color w:val="000000"/>
                <w:sz w:val="21"/>
                <w:szCs w:val="21"/>
                <w:highlight w:val="none"/>
                <w:u w:val="none"/>
                <w:shd w:val="clear" w:color="auto" w:fill="FFFFFF"/>
                <w:lang w:val="en-US" w:eastAsia="zh-CN"/>
              </w:rPr>
            </w:pPr>
            <w:r>
              <w:rPr>
                <w:rFonts w:hint="eastAsia" w:ascii="宋体" w:hAnsi="宋体" w:eastAsia="宋体" w:cs="宋体"/>
                <w:b w:val="0"/>
                <w:bCs w:val="0"/>
                <w:color w:val="000000"/>
                <w:kern w:val="2"/>
                <w:sz w:val="21"/>
                <w:szCs w:val="21"/>
                <w:highlight w:val="none"/>
                <w:shd w:val="clear" w:color="auto" w:fill="FFFFFF"/>
                <w:lang w:val="en-US" w:eastAsia="zh-CN" w:bidi="ar-SA"/>
              </w:rPr>
              <w:t>2.</w:t>
            </w:r>
            <w:r>
              <w:rPr>
                <w:rFonts w:hint="eastAsia" w:ascii="宋体" w:hAnsi="宋体" w:eastAsia="宋体" w:cs="宋体"/>
                <w:b w:val="0"/>
                <w:bCs w:val="0"/>
                <w:color w:val="000000"/>
                <w:sz w:val="21"/>
                <w:szCs w:val="21"/>
                <w:highlight w:val="none"/>
                <w:lang w:val="en-US" w:eastAsia="zh-CN"/>
              </w:rPr>
              <w:t>建设地点：防城港市防城区小峰水库。</w:t>
            </w:r>
          </w:p>
          <w:p w14:paraId="0584F90E">
            <w:pPr>
              <w:keepNext w:val="0"/>
              <w:keepLines w:val="0"/>
              <w:pageBreakBefore w:val="0"/>
              <w:widowControl/>
              <w:numPr>
                <w:ilvl w:val="0"/>
                <w:numId w:val="0"/>
              </w:numPr>
              <w:kinsoku/>
              <w:wordWrap/>
              <w:overflowPunct/>
              <w:topLinePunct w:val="0"/>
              <w:autoSpaceDE/>
              <w:autoSpaceDN/>
              <w:bidi w:val="0"/>
              <w:adjustRightInd/>
              <w:snapToGrid/>
              <w:spacing w:line="348" w:lineRule="auto"/>
              <w:textAlignment w:val="auto"/>
              <w:rPr>
                <w:rFonts w:hint="default" w:ascii="宋体" w:hAnsi="宋体" w:eastAsia="宋体" w:cs="宋体"/>
                <w:b w:val="0"/>
                <w:bCs w:val="0"/>
                <w:color w:val="000000"/>
                <w:kern w:val="2"/>
                <w:sz w:val="21"/>
                <w:szCs w:val="21"/>
                <w:highlight w:val="none"/>
                <w:shd w:val="clear" w:color="auto" w:fill="FFFFFF"/>
                <w:lang w:val="en-US" w:eastAsia="zh-CN" w:bidi="ar-SA"/>
              </w:rPr>
            </w:pPr>
            <w:r>
              <w:rPr>
                <w:rFonts w:hint="eastAsia" w:ascii="宋体" w:hAnsi="宋体" w:eastAsia="宋体" w:cs="宋体"/>
                <w:b w:val="0"/>
                <w:bCs w:val="0"/>
                <w:color w:val="000000"/>
                <w:kern w:val="2"/>
                <w:sz w:val="21"/>
                <w:szCs w:val="21"/>
                <w:highlight w:val="none"/>
                <w:shd w:val="clear" w:color="auto" w:fill="FFFFFF"/>
                <w:lang w:val="en-US" w:eastAsia="zh-CN" w:bidi="ar-SA"/>
              </w:rPr>
              <w:t>3.建设规模及建设内容：拆除破损路面，新建排水明沟、盖板排水沟、φ0.5m钢筋砼管涵、φ0.8m钢筋砼管涵、挡土墙、花圃，新建道路硬化、道路翻新、场地硬化、植草砖铺装、栏杆及竣工标志牌等，具体详见施工图纸及招标控制价</w:t>
            </w:r>
            <w:r>
              <w:rPr>
                <w:rFonts w:hint="eastAsia" w:ascii="宋体" w:hAnsi="宋体" w:eastAsia="宋体" w:cs="宋体"/>
                <w:b w:val="0"/>
                <w:bCs w:val="0"/>
                <w:color w:val="000000"/>
                <w:sz w:val="21"/>
                <w:szCs w:val="21"/>
                <w:highlight w:val="none"/>
                <w:lang w:eastAsia="zh-CN"/>
              </w:rPr>
              <w:t>。</w:t>
            </w:r>
          </w:p>
          <w:p w14:paraId="506BBF31">
            <w:pPr>
              <w:keepNext w:val="0"/>
              <w:keepLines w:val="0"/>
              <w:pageBreakBefore w:val="0"/>
              <w:widowControl/>
              <w:numPr>
                <w:ilvl w:val="0"/>
                <w:numId w:val="0"/>
              </w:numPr>
              <w:kinsoku/>
              <w:wordWrap/>
              <w:overflowPunct/>
              <w:topLinePunct w:val="0"/>
              <w:autoSpaceDE/>
              <w:autoSpaceDN/>
              <w:bidi w:val="0"/>
              <w:adjustRightInd/>
              <w:snapToGrid/>
              <w:spacing w:line="348" w:lineRule="auto"/>
              <w:textAlignment w:val="auto"/>
              <w:rPr>
                <w:rFonts w:hint="eastAsia" w:ascii="宋体" w:hAnsi="宋体" w:eastAsia="宋体" w:cs="宋体"/>
                <w:b w:val="0"/>
                <w:bCs w:val="0"/>
                <w:color w:val="000000"/>
                <w:sz w:val="21"/>
                <w:szCs w:val="21"/>
                <w:highlight w:val="none"/>
                <w:u w:val="none"/>
                <w:shd w:val="clear" w:color="auto" w:fill="FFFFFF"/>
                <w:lang w:val="en-US" w:eastAsia="zh-CN"/>
              </w:rPr>
            </w:pPr>
            <w:r>
              <w:rPr>
                <w:rFonts w:hint="eastAsia" w:ascii="宋体" w:hAnsi="宋体" w:eastAsia="宋体" w:cs="宋体"/>
                <w:b w:val="0"/>
                <w:bCs w:val="0"/>
                <w:color w:val="000000"/>
                <w:sz w:val="21"/>
                <w:szCs w:val="21"/>
                <w:highlight w:val="none"/>
                <w:u w:val="none"/>
                <w:shd w:val="clear" w:color="auto" w:fill="FFFFFF"/>
                <w:lang w:val="en-US" w:eastAsia="zh-CN"/>
              </w:rPr>
              <w:t>4.发包方式：固定综合单价，包工包料。</w:t>
            </w:r>
          </w:p>
          <w:p w14:paraId="5B0EAD12">
            <w:pPr>
              <w:keepNext w:val="0"/>
              <w:keepLines w:val="0"/>
              <w:pageBreakBefore w:val="0"/>
              <w:widowControl/>
              <w:numPr>
                <w:ilvl w:val="0"/>
                <w:numId w:val="0"/>
              </w:numPr>
              <w:kinsoku/>
              <w:wordWrap/>
              <w:overflowPunct/>
              <w:topLinePunct w:val="0"/>
              <w:autoSpaceDE/>
              <w:autoSpaceDN/>
              <w:bidi w:val="0"/>
              <w:adjustRightInd/>
              <w:snapToGrid/>
              <w:spacing w:line="348" w:lineRule="auto"/>
              <w:textAlignment w:val="auto"/>
              <w:rPr>
                <w:rFonts w:hint="eastAsia" w:ascii="宋体" w:hAnsi="宋体" w:eastAsia="宋体" w:cs="宋体"/>
                <w:b w:val="0"/>
                <w:bCs w:val="0"/>
                <w:color w:val="000000"/>
                <w:sz w:val="21"/>
                <w:szCs w:val="21"/>
                <w:highlight w:val="none"/>
                <w:lang w:val="en-US" w:eastAsia="zh-CN"/>
              </w:rPr>
            </w:pPr>
            <w:r>
              <w:rPr>
                <w:rFonts w:hint="eastAsia" w:ascii="宋体" w:hAnsi="宋体" w:eastAsia="宋体" w:cs="宋体"/>
                <w:b w:val="0"/>
                <w:bCs w:val="0"/>
                <w:color w:val="000000"/>
                <w:kern w:val="2"/>
                <w:sz w:val="21"/>
                <w:szCs w:val="21"/>
                <w:highlight w:val="none"/>
                <w:shd w:val="clear" w:color="auto" w:fill="FFFFFF"/>
                <w:lang w:val="en-US" w:eastAsia="zh-CN" w:bidi="ar-SA"/>
              </w:rPr>
              <w:t>5.</w:t>
            </w:r>
            <w:r>
              <w:rPr>
                <w:rFonts w:hint="eastAsia" w:ascii="宋体" w:hAnsi="宋体"/>
                <w:b w:val="0"/>
                <w:bCs w:val="0"/>
                <w:color w:val="000000"/>
                <w:kern w:val="0"/>
                <w:sz w:val="21"/>
                <w:szCs w:val="21"/>
                <w:highlight w:val="none"/>
              </w:rPr>
              <w:t>质量等级</w:t>
            </w:r>
            <w:r>
              <w:rPr>
                <w:rFonts w:hint="eastAsia" w:ascii="宋体" w:hAnsi="宋体" w:eastAsia="宋体" w:cs="宋体"/>
                <w:b w:val="0"/>
                <w:bCs w:val="0"/>
                <w:color w:val="000000"/>
                <w:sz w:val="21"/>
                <w:szCs w:val="21"/>
                <w:highlight w:val="none"/>
                <w:u w:val="none"/>
                <w:shd w:val="clear" w:color="auto" w:fill="FFFFFF"/>
                <w:lang w:val="en-US" w:eastAsia="zh-CN"/>
              </w:rPr>
              <w:t>：</w:t>
            </w:r>
            <w:r>
              <w:rPr>
                <w:rFonts w:hint="eastAsia" w:ascii="宋体" w:hAnsi="宋体" w:eastAsia="宋体" w:cs="宋体"/>
                <w:b w:val="0"/>
                <w:bCs w:val="0"/>
                <w:color w:val="000000"/>
                <w:sz w:val="21"/>
                <w:szCs w:val="21"/>
                <w:highlight w:val="none"/>
                <w:lang w:val="en-US" w:eastAsia="zh-CN"/>
              </w:rPr>
              <w:t>合格。</w:t>
            </w:r>
          </w:p>
          <w:p w14:paraId="7D5D0AC6">
            <w:pPr>
              <w:keepNext w:val="0"/>
              <w:keepLines w:val="0"/>
              <w:pageBreakBefore w:val="0"/>
              <w:widowControl/>
              <w:numPr>
                <w:ilvl w:val="0"/>
                <w:numId w:val="0"/>
              </w:numPr>
              <w:kinsoku/>
              <w:wordWrap/>
              <w:overflowPunct/>
              <w:topLinePunct w:val="0"/>
              <w:autoSpaceDE/>
              <w:autoSpaceDN/>
              <w:bidi w:val="0"/>
              <w:adjustRightInd/>
              <w:snapToGrid/>
              <w:spacing w:line="348" w:lineRule="auto"/>
              <w:textAlignment w:val="auto"/>
              <w:rPr>
                <w:rFonts w:hint="eastAsia" w:ascii="宋体" w:hAnsi="宋体" w:eastAsia="宋体" w:cs="宋体"/>
                <w:b w:val="0"/>
                <w:bCs w:val="0"/>
                <w:color w:val="000000"/>
                <w:sz w:val="21"/>
                <w:szCs w:val="21"/>
                <w:highlight w:val="none"/>
                <w:u w:val="none"/>
                <w:shd w:val="clear" w:color="auto" w:fill="FFFFFF"/>
                <w:lang w:val="en-US" w:eastAsia="zh-CN"/>
              </w:rPr>
            </w:pPr>
            <w:r>
              <w:rPr>
                <w:rFonts w:hint="eastAsia" w:ascii="宋体" w:hAnsi="宋体" w:eastAsia="宋体" w:cs="宋体"/>
                <w:b w:val="0"/>
                <w:bCs w:val="0"/>
                <w:color w:val="000000"/>
                <w:sz w:val="21"/>
                <w:szCs w:val="21"/>
                <w:highlight w:val="none"/>
                <w:lang w:val="en-US" w:eastAsia="zh-CN"/>
              </w:rPr>
              <w:t>6.质量标准：符合现行国家有关工程施工质量验收规范和标准</w:t>
            </w:r>
            <w:r>
              <w:rPr>
                <w:rFonts w:hint="eastAsia" w:ascii="宋体" w:hAnsi="宋体" w:eastAsia="宋体" w:cs="宋体"/>
                <w:b w:val="0"/>
                <w:bCs w:val="0"/>
                <w:color w:val="000000"/>
                <w:sz w:val="21"/>
                <w:szCs w:val="21"/>
                <w:highlight w:val="none"/>
                <w:u w:val="none"/>
                <w:shd w:val="clear" w:color="auto" w:fill="FFFFFF"/>
                <w:lang w:val="en-US" w:eastAsia="zh-CN"/>
              </w:rPr>
              <w:t>。</w:t>
            </w:r>
          </w:p>
          <w:p w14:paraId="702CF31D">
            <w:pPr>
              <w:keepNext w:val="0"/>
              <w:keepLines w:val="0"/>
              <w:pageBreakBefore w:val="0"/>
              <w:widowControl/>
              <w:numPr>
                <w:ilvl w:val="0"/>
                <w:numId w:val="0"/>
              </w:numPr>
              <w:kinsoku/>
              <w:wordWrap/>
              <w:overflowPunct/>
              <w:topLinePunct w:val="0"/>
              <w:autoSpaceDE/>
              <w:autoSpaceDN/>
              <w:bidi w:val="0"/>
              <w:adjustRightInd/>
              <w:snapToGrid/>
              <w:spacing w:line="348" w:lineRule="auto"/>
              <w:textAlignment w:val="auto"/>
              <w:rPr>
                <w:rFonts w:hint="eastAsia" w:ascii="宋体" w:hAnsi="宋体" w:eastAsia="宋体" w:cs="宋体"/>
                <w:b w:val="0"/>
                <w:bCs w:val="0"/>
                <w:color w:val="000000"/>
                <w:sz w:val="21"/>
                <w:szCs w:val="21"/>
                <w:highlight w:val="none"/>
                <w:u w:val="none"/>
                <w:shd w:val="clear" w:color="auto" w:fill="FFFFFF"/>
                <w:lang w:val="en-US" w:eastAsia="zh-CN"/>
              </w:rPr>
            </w:pPr>
            <w:r>
              <w:rPr>
                <w:rFonts w:hint="eastAsia" w:ascii="宋体" w:hAnsi="宋体" w:eastAsia="宋体" w:cs="宋体"/>
                <w:b w:val="0"/>
                <w:bCs w:val="0"/>
                <w:color w:val="000000"/>
                <w:kern w:val="2"/>
                <w:sz w:val="21"/>
                <w:szCs w:val="21"/>
                <w:highlight w:val="none"/>
                <w:shd w:val="clear" w:color="auto" w:fill="FFFFFF"/>
                <w:lang w:val="en-US" w:eastAsia="zh-CN" w:bidi="ar-SA"/>
              </w:rPr>
              <w:t>7.</w:t>
            </w:r>
            <w:r>
              <w:rPr>
                <w:rFonts w:hint="eastAsia" w:ascii="宋体" w:hAnsi="宋体" w:eastAsia="宋体" w:cs="宋体"/>
                <w:b w:val="0"/>
                <w:bCs w:val="0"/>
                <w:color w:val="000000"/>
                <w:sz w:val="21"/>
                <w:szCs w:val="21"/>
                <w:highlight w:val="none"/>
                <w:u w:val="none"/>
                <w:shd w:val="clear" w:color="auto" w:fill="FFFFFF"/>
                <w:lang w:val="en-US" w:eastAsia="zh-CN"/>
              </w:rPr>
              <w:t>开工时间：</w:t>
            </w:r>
            <w:r>
              <w:rPr>
                <w:rFonts w:hint="eastAsia" w:ascii="宋体" w:hAnsi="宋体" w:eastAsia="宋体" w:cs="宋体"/>
                <w:b w:val="0"/>
                <w:bCs w:val="0"/>
                <w:color w:val="auto"/>
                <w:sz w:val="21"/>
                <w:szCs w:val="21"/>
                <w:highlight w:val="none"/>
                <w:shd w:val="clear" w:color="auto" w:fill="FFFFFF"/>
              </w:rPr>
              <w:t>签订合同后，</w:t>
            </w:r>
            <w:r>
              <w:rPr>
                <w:rFonts w:hint="eastAsia" w:ascii="宋体" w:hAnsi="宋体" w:eastAsia="宋体" w:cs="宋体"/>
                <w:b w:val="0"/>
                <w:bCs w:val="0"/>
                <w:color w:val="000000"/>
                <w:sz w:val="21"/>
                <w:szCs w:val="21"/>
                <w:highlight w:val="none"/>
                <w:u w:val="none"/>
                <w:shd w:val="clear" w:color="auto" w:fill="FFFFFF"/>
                <w:lang w:val="en-US" w:eastAsia="zh-CN"/>
              </w:rPr>
              <w:t>具体以采购人（监理）开工令为准。</w:t>
            </w:r>
          </w:p>
          <w:p w14:paraId="4F54C809">
            <w:pPr>
              <w:pStyle w:val="18"/>
              <w:keepNext w:val="0"/>
              <w:keepLines w:val="0"/>
              <w:pageBreakBefore w:val="0"/>
              <w:widowControl w:val="0"/>
              <w:kinsoku/>
              <w:wordWrap/>
              <w:overflowPunct/>
              <w:topLinePunct w:val="0"/>
              <w:autoSpaceDE/>
              <w:autoSpaceDN/>
              <w:bidi w:val="0"/>
              <w:adjustRightInd/>
              <w:snapToGrid/>
              <w:spacing w:line="348" w:lineRule="auto"/>
              <w:jc w:val="left"/>
              <w:textAlignment w:val="auto"/>
              <w:rPr>
                <w:rFonts w:hint="eastAsia" w:ascii="宋体" w:hAnsi="宋体" w:eastAsia="宋体" w:cs="宋体"/>
                <w:b w:val="0"/>
                <w:bCs w:val="0"/>
                <w:color w:val="000000"/>
                <w:sz w:val="21"/>
                <w:szCs w:val="21"/>
                <w:highlight w:val="none"/>
                <w:lang w:val="en-US" w:eastAsia="zh-CN"/>
              </w:rPr>
            </w:pPr>
            <w:r>
              <w:rPr>
                <w:rFonts w:hint="eastAsia" w:ascii="宋体" w:hAnsi="宋体" w:cs="宋体"/>
                <w:b w:val="0"/>
                <w:bCs w:val="0"/>
                <w:color w:val="000000"/>
                <w:sz w:val="21"/>
                <w:szCs w:val="21"/>
                <w:highlight w:val="none"/>
                <w:lang w:val="en-US" w:eastAsia="zh-CN"/>
              </w:rPr>
              <w:t>8.</w:t>
            </w:r>
            <w:r>
              <w:rPr>
                <w:rStyle w:val="16"/>
                <w:rFonts w:hint="eastAsia" w:ascii="宋体" w:hAnsi="宋体" w:eastAsia="宋体" w:cs="宋体"/>
                <w:sz w:val="21"/>
                <w:szCs w:val="21"/>
                <w:highlight w:val="none"/>
              </w:rPr>
              <w:t>工程中涉及的建筑材料和设备</w:t>
            </w:r>
            <w:r>
              <w:rPr>
                <w:rFonts w:hint="eastAsia" w:ascii="宋体" w:hAnsi="宋体" w:eastAsia="宋体" w:cs="宋体"/>
                <w:b w:val="0"/>
                <w:bCs w:val="0"/>
                <w:color w:val="000000"/>
                <w:sz w:val="21"/>
                <w:szCs w:val="21"/>
                <w:highlight w:val="none"/>
              </w:rPr>
              <w:t>的商品包装、快递包装按照《关于印发</w:t>
            </w:r>
            <w:r>
              <w:rPr>
                <w:rFonts w:hint="eastAsia" w:ascii="宋体" w:hAnsi="宋体" w:eastAsia="宋体" w:cs="宋体"/>
                <w:b w:val="0"/>
                <w:bCs w:val="0"/>
                <w:color w:val="000000"/>
                <w:sz w:val="21"/>
                <w:szCs w:val="21"/>
                <w:highlight w:val="none"/>
                <w:lang w:val="en-US" w:eastAsia="zh-CN"/>
              </w:rPr>
              <w:t>&lt;</w:t>
            </w:r>
            <w:r>
              <w:rPr>
                <w:rFonts w:hint="eastAsia" w:ascii="宋体" w:hAnsi="宋体" w:eastAsia="宋体" w:cs="宋体"/>
                <w:b w:val="0"/>
                <w:bCs w:val="0"/>
                <w:color w:val="000000"/>
                <w:sz w:val="21"/>
                <w:szCs w:val="21"/>
                <w:highlight w:val="none"/>
              </w:rPr>
              <w:t>商品包装政府采购需求标准（试行）</w:t>
            </w:r>
            <w:r>
              <w:rPr>
                <w:rFonts w:hint="eastAsia" w:ascii="宋体" w:hAnsi="宋体" w:eastAsia="宋体" w:cs="宋体"/>
                <w:b w:val="0"/>
                <w:bCs w:val="0"/>
                <w:color w:val="000000"/>
                <w:sz w:val="21"/>
                <w:szCs w:val="21"/>
                <w:highlight w:val="none"/>
                <w:lang w:val="en-US" w:eastAsia="zh-CN"/>
              </w:rPr>
              <w:t>&gt;</w:t>
            </w:r>
            <w:r>
              <w:rPr>
                <w:rFonts w:hint="eastAsia" w:ascii="宋体" w:hAnsi="宋体" w:eastAsia="宋体" w:cs="宋体"/>
                <w:b w:val="0"/>
                <w:bCs w:val="0"/>
                <w:color w:val="000000"/>
                <w:sz w:val="21"/>
                <w:szCs w:val="21"/>
                <w:highlight w:val="none"/>
              </w:rPr>
              <w:t>》、</w:t>
            </w:r>
            <w:r>
              <w:rPr>
                <w:rFonts w:hint="eastAsia" w:ascii="宋体" w:hAnsi="宋体" w:eastAsia="宋体" w:cs="宋体"/>
                <w:b w:val="0"/>
                <w:bCs w:val="0"/>
                <w:color w:val="000000"/>
                <w:sz w:val="21"/>
                <w:szCs w:val="21"/>
                <w:highlight w:val="none"/>
                <w:lang w:val="en-US" w:eastAsia="zh-CN"/>
              </w:rPr>
              <w:t>&lt;</w:t>
            </w:r>
            <w:r>
              <w:rPr>
                <w:rFonts w:hint="eastAsia" w:ascii="宋体" w:hAnsi="宋体" w:eastAsia="宋体" w:cs="宋体"/>
                <w:b w:val="0"/>
                <w:bCs w:val="0"/>
                <w:color w:val="000000"/>
                <w:sz w:val="21"/>
                <w:szCs w:val="21"/>
                <w:highlight w:val="none"/>
              </w:rPr>
              <w:t>快递包装政府采购需求标准（试行）</w:t>
            </w:r>
            <w:r>
              <w:rPr>
                <w:rFonts w:hint="eastAsia" w:ascii="宋体" w:hAnsi="宋体" w:eastAsia="宋体" w:cs="宋体"/>
                <w:b w:val="0"/>
                <w:bCs w:val="0"/>
                <w:color w:val="000000"/>
                <w:sz w:val="21"/>
                <w:szCs w:val="21"/>
                <w:highlight w:val="none"/>
                <w:lang w:val="en-US" w:eastAsia="zh-CN"/>
              </w:rPr>
              <w:t>&gt;</w:t>
            </w:r>
            <w:r>
              <w:rPr>
                <w:rFonts w:hint="eastAsia" w:ascii="宋体" w:hAnsi="宋体" w:eastAsia="宋体" w:cs="宋体"/>
                <w:b w:val="0"/>
                <w:bCs w:val="0"/>
                <w:color w:val="000000"/>
                <w:sz w:val="21"/>
                <w:szCs w:val="21"/>
                <w:highlight w:val="none"/>
              </w:rPr>
              <w:t>的通知》（财办库〔2020〕123号）</w:t>
            </w:r>
            <w:r>
              <w:rPr>
                <w:rFonts w:hint="eastAsia" w:ascii="宋体" w:hAnsi="宋体" w:eastAsia="宋体" w:cs="宋体"/>
                <w:b w:val="0"/>
                <w:bCs w:val="0"/>
                <w:color w:val="000000"/>
                <w:sz w:val="21"/>
                <w:szCs w:val="21"/>
                <w:highlight w:val="none"/>
                <w:lang w:val="en-US" w:eastAsia="zh-CN"/>
              </w:rPr>
              <w:t>规定</w:t>
            </w:r>
            <w:r>
              <w:rPr>
                <w:rFonts w:hint="eastAsia" w:ascii="宋体" w:hAnsi="宋体" w:eastAsia="宋体" w:cs="宋体"/>
                <w:b w:val="0"/>
                <w:bCs w:val="0"/>
                <w:color w:val="000000"/>
                <w:sz w:val="21"/>
                <w:szCs w:val="21"/>
                <w:highlight w:val="none"/>
              </w:rPr>
              <w:t>执行</w:t>
            </w:r>
            <w:r>
              <w:rPr>
                <w:rStyle w:val="16"/>
                <w:rFonts w:hint="eastAsia" w:ascii="宋体" w:hAnsi="宋体" w:eastAsia="宋体" w:cs="Times New Roman"/>
                <w:b w:val="0"/>
                <w:bCs w:val="0"/>
                <w:color w:val="auto"/>
                <w:kern w:val="2"/>
                <w:sz w:val="21"/>
                <w:szCs w:val="21"/>
                <w:highlight w:val="none"/>
                <w:lang w:val="en-US" w:eastAsia="zh-CN" w:bidi="ar-SA"/>
              </w:rPr>
              <w:t>。</w:t>
            </w:r>
          </w:p>
          <w:p w14:paraId="714782D1">
            <w:pPr>
              <w:keepNext w:val="0"/>
              <w:keepLines w:val="0"/>
              <w:pageBreakBefore w:val="0"/>
              <w:kinsoku/>
              <w:wordWrap/>
              <w:overflowPunct/>
              <w:topLinePunct w:val="0"/>
              <w:autoSpaceDE/>
              <w:autoSpaceDN/>
              <w:bidi w:val="0"/>
              <w:adjustRightInd/>
              <w:snapToGrid/>
              <w:spacing w:line="348" w:lineRule="auto"/>
              <w:jc w:val="left"/>
              <w:textAlignment w:val="baseline"/>
              <w:rPr>
                <w:rFonts w:hint="eastAsia" w:ascii="宋体" w:hAnsi="宋体" w:eastAsia="宋体" w:cs="宋体"/>
                <w:b w:val="0"/>
                <w:bCs w:val="0"/>
                <w:color w:val="000000"/>
                <w:sz w:val="21"/>
                <w:szCs w:val="21"/>
                <w:highlight w:val="none"/>
                <w:lang w:val="en-US" w:eastAsia="zh-CN"/>
              </w:rPr>
            </w:pPr>
            <w:r>
              <w:rPr>
                <w:rFonts w:hint="eastAsia" w:ascii="宋体" w:hAnsi="宋体" w:eastAsia="宋体" w:cs="宋体"/>
                <w:b w:val="0"/>
                <w:bCs w:val="0"/>
                <w:color w:val="000000"/>
                <w:sz w:val="21"/>
                <w:szCs w:val="21"/>
                <w:highlight w:val="none"/>
                <w:lang w:val="en-US" w:eastAsia="zh-CN"/>
              </w:rPr>
              <w:t>9.</w:t>
            </w:r>
            <w:r>
              <w:rPr>
                <w:rStyle w:val="16"/>
                <w:rFonts w:hint="eastAsia" w:ascii="宋体" w:hAnsi="宋体" w:eastAsia="宋体" w:cs="宋体"/>
                <w:sz w:val="21"/>
                <w:szCs w:val="21"/>
                <w:highlight w:val="none"/>
              </w:rPr>
              <w:t>工程中涉及的建筑材料和设备</w:t>
            </w:r>
            <w:r>
              <w:rPr>
                <w:rFonts w:hint="eastAsia" w:ascii="宋体" w:hAnsi="宋体" w:eastAsia="宋体" w:cs="宋体"/>
                <w:b w:val="0"/>
                <w:bCs w:val="0"/>
                <w:color w:val="000000"/>
                <w:sz w:val="21"/>
                <w:szCs w:val="21"/>
                <w:highlight w:val="none"/>
              </w:rPr>
              <w:t>涉及到数据中心采购，按照《绿色数据中心政府采购需求标准（试行）（财库〔2023〕7号）执行</w:t>
            </w:r>
            <w:r>
              <w:rPr>
                <w:rFonts w:hint="eastAsia" w:ascii="宋体" w:hAnsi="宋体" w:eastAsia="宋体" w:cs="宋体"/>
                <w:b w:val="0"/>
                <w:bCs w:val="0"/>
                <w:color w:val="000000"/>
                <w:sz w:val="21"/>
                <w:szCs w:val="21"/>
                <w:highlight w:val="none"/>
                <w:lang w:eastAsia="zh-CN"/>
              </w:rPr>
              <w:t>。</w:t>
            </w:r>
          </w:p>
          <w:p w14:paraId="69621E9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snapToGrid/>
              <w:spacing w:before="0" w:beforeAutospacing="0" w:after="0" w:afterAutospacing="0" w:line="348" w:lineRule="auto"/>
              <w:ind w:left="0" w:right="0" w:firstLine="0"/>
              <w:jc w:val="both"/>
              <w:textAlignment w:val="baseline"/>
              <w:rPr>
                <w:rFonts w:hint="eastAsia" w:ascii="宋体" w:hAnsi="宋体" w:eastAsia="宋体" w:cs="宋体"/>
                <w:b w:val="0"/>
                <w:bCs w:val="0"/>
                <w:i w:val="0"/>
                <w:iCs w:val="0"/>
                <w:caps w:val="0"/>
                <w:color w:val="000000"/>
                <w:spacing w:val="0"/>
                <w:sz w:val="21"/>
                <w:szCs w:val="21"/>
                <w:highlight w:val="none"/>
                <w:shd w:val="clear" w:color="auto" w:fill="auto"/>
                <w:vertAlign w:val="baseline"/>
                <w:lang w:val="en-US" w:eastAsia="zh-CN"/>
              </w:rPr>
            </w:pPr>
            <w:r>
              <w:rPr>
                <w:rFonts w:hint="eastAsia" w:ascii="宋体" w:hAnsi="宋体" w:eastAsia="宋体" w:cs="宋体"/>
                <w:b w:val="0"/>
                <w:bCs w:val="0"/>
                <w:color w:val="000000"/>
                <w:sz w:val="21"/>
                <w:szCs w:val="21"/>
                <w:highlight w:val="none"/>
                <w:lang w:val="en-US" w:eastAsia="zh-CN"/>
              </w:rPr>
              <w:t>10.根据《财政部办公厅住房城乡建设部办公厅 工业和信息化部办公厅关于印发&lt;政府采购支持绿色建材促进建筑品质提升政策项目实施指南&gt;的通知》(财办库</w:t>
            </w:r>
            <w:r>
              <w:rPr>
                <w:rFonts w:hint="eastAsia" w:ascii="宋体" w:hAnsi="宋体" w:eastAsia="宋体" w:cs="宋体"/>
                <w:b w:val="0"/>
                <w:bCs w:val="0"/>
                <w:color w:val="000000"/>
                <w:sz w:val="21"/>
                <w:szCs w:val="21"/>
                <w:highlight w:val="none"/>
              </w:rPr>
              <w:t>〔</w:t>
            </w:r>
            <w:r>
              <w:rPr>
                <w:rFonts w:hint="eastAsia" w:ascii="宋体" w:hAnsi="宋体" w:eastAsia="宋体" w:cs="宋体"/>
                <w:b w:val="0"/>
                <w:bCs w:val="0"/>
                <w:color w:val="000000"/>
                <w:sz w:val="21"/>
                <w:szCs w:val="21"/>
                <w:highlight w:val="none"/>
                <w:lang w:val="en-US" w:eastAsia="zh-CN"/>
              </w:rPr>
              <w:t>2023</w:t>
            </w:r>
            <w:r>
              <w:rPr>
                <w:rFonts w:hint="eastAsia" w:ascii="宋体" w:hAnsi="宋体" w:eastAsia="宋体" w:cs="宋体"/>
                <w:b w:val="0"/>
                <w:bCs w:val="0"/>
                <w:color w:val="000000"/>
                <w:sz w:val="21"/>
                <w:szCs w:val="21"/>
                <w:highlight w:val="none"/>
              </w:rPr>
              <w:t>〕</w:t>
            </w:r>
            <w:r>
              <w:rPr>
                <w:rFonts w:hint="eastAsia" w:ascii="宋体" w:hAnsi="宋体" w:eastAsia="宋体" w:cs="宋体"/>
                <w:b w:val="0"/>
                <w:bCs w:val="0"/>
                <w:color w:val="000000"/>
                <w:sz w:val="21"/>
                <w:szCs w:val="21"/>
                <w:highlight w:val="none"/>
                <w:lang w:val="en-US" w:eastAsia="zh-CN"/>
              </w:rPr>
              <w:t>52号)和《财政部 住房城乡建设部 工业和信息化部关于进一步扩大政府采购支持绿色建材促进建筑品质提升政策实施范围的通知》(财库</w:t>
            </w:r>
            <w:r>
              <w:rPr>
                <w:rFonts w:hint="eastAsia" w:ascii="宋体" w:hAnsi="宋体" w:eastAsia="宋体" w:cs="宋体"/>
                <w:b w:val="0"/>
                <w:bCs w:val="0"/>
                <w:color w:val="000000"/>
                <w:sz w:val="21"/>
                <w:szCs w:val="21"/>
                <w:highlight w:val="none"/>
              </w:rPr>
              <w:t>〔</w:t>
            </w:r>
            <w:r>
              <w:rPr>
                <w:rFonts w:hint="eastAsia" w:ascii="宋体" w:hAnsi="宋体" w:eastAsia="宋体" w:cs="宋体"/>
                <w:b w:val="0"/>
                <w:bCs w:val="0"/>
                <w:color w:val="000000"/>
                <w:sz w:val="21"/>
                <w:szCs w:val="21"/>
                <w:highlight w:val="none"/>
                <w:lang w:val="en-US" w:eastAsia="zh-CN"/>
              </w:rPr>
              <w:t>2024</w:t>
            </w:r>
            <w:r>
              <w:rPr>
                <w:rFonts w:hint="eastAsia" w:ascii="宋体" w:hAnsi="宋体" w:eastAsia="宋体" w:cs="宋体"/>
                <w:b w:val="0"/>
                <w:bCs w:val="0"/>
                <w:color w:val="000000"/>
                <w:sz w:val="21"/>
                <w:szCs w:val="21"/>
                <w:highlight w:val="none"/>
              </w:rPr>
              <w:t>〕</w:t>
            </w:r>
            <w:r>
              <w:rPr>
                <w:rFonts w:hint="eastAsia" w:ascii="宋体" w:hAnsi="宋体" w:eastAsia="宋体" w:cs="宋体"/>
                <w:b w:val="0"/>
                <w:bCs w:val="0"/>
                <w:color w:val="000000"/>
                <w:sz w:val="21"/>
                <w:szCs w:val="21"/>
                <w:highlight w:val="none"/>
                <w:lang w:val="en-US" w:eastAsia="zh-CN"/>
              </w:rPr>
              <w:t>36号的有关规定，</w:t>
            </w:r>
            <w:r>
              <w:rPr>
                <w:rStyle w:val="16"/>
                <w:rFonts w:hint="eastAsia" w:ascii="宋体" w:hAnsi="宋体" w:eastAsia="宋体" w:cs="宋体"/>
                <w:sz w:val="21"/>
                <w:szCs w:val="21"/>
                <w:highlight w:val="none"/>
              </w:rPr>
              <w:t>工程中涉及的建筑材料和设备如</w:t>
            </w:r>
            <w:r>
              <w:rPr>
                <w:rFonts w:hint="eastAsia" w:ascii="宋体" w:hAnsi="宋体" w:eastAsia="宋体" w:cs="宋体"/>
                <w:b w:val="0"/>
                <w:bCs w:val="0"/>
                <w:color w:val="000000"/>
                <w:sz w:val="21"/>
                <w:szCs w:val="21"/>
                <w:highlight w:val="none"/>
                <w:lang w:val="en-US" w:eastAsia="zh-CN"/>
              </w:rPr>
              <w:t>属于</w:t>
            </w:r>
            <w:r>
              <w:rPr>
                <w:rFonts w:hint="eastAsia" w:ascii="宋体" w:hAnsi="宋体" w:eastAsia="宋体" w:cs="宋体"/>
                <w:b w:val="0"/>
                <w:bCs w:val="0"/>
                <w:i w:val="0"/>
                <w:iCs w:val="0"/>
                <w:caps w:val="0"/>
                <w:color w:val="000000"/>
                <w:spacing w:val="0"/>
                <w:sz w:val="21"/>
                <w:szCs w:val="21"/>
                <w:highlight w:val="none"/>
                <w:shd w:val="clear" w:color="auto" w:fill="auto"/>
                <w:vertAlign w:val="baseline"/>
              </w:rPr>
              <w:t>《绿色建筑和绿色建材政府采购需求标准（2025年版）》</w:t>
            </w:r>
            <w:r>
              <w:rPr>
                <w:rFonts w:hint="eastAsia" w:ascii="宋体" w:hAnsi="宋体" w:eastAsia="宋体" w:cs="宋体"/>
                <w:b w:val="0"/>
                <w:bCs w:val="0"/>
                <w:i w:val="0"/>
                <w:iCs w:val="0"/>
                <w:caps w:val="0"/>
                <w:color w:val="000000"/>
                <w:spacing w:val="0"/>
                <w:sz w:val="21"/>
                <w:szCs w:val="21"/>
                <w:highlight w:val="none"/>
                <w:shd w:val="clear" w:color="auto" w:fill="auto"/>
                <w:vertAlign w:val="baseline"/>
                <w:lang w:val="en-US" w:eastAsia="zh-CN"/>
              </w:rPr>
              <w:t>规定范围内的“必选类”的，应当全部采购和使用符合相关标准的绿色建材；属于“可选类”的，选择使用性价比高的绿色建材产品且选用种类应不低于建筑项目所涉及的建材种类的40%，供应商在供货时应当出具所提供建材产品符合需求标准的证明性文件，包括国家统一推行的绿色建材产品认证证书或符合需求标准的有效检测报告等。</w:t>
            </w:r>
          </w:p>
          <w:p w14:paraId="6170CCBE">
            <w:pPr>
              <w:keepNext w:val="0"/>
              <w:keepLines w:val="0"/>
              <w:pageBreakBefore w:val="0"/>
              <w:kinsoku/>
              <w:wordWrap/>
              <w:overflowPunct/>
              <w:topLinePunct w:val="0"/>
              <w:autoSpaceDE/>
              <w:autoSpaceDN/>
              <w:bidi w:val="0"/>
              <w:adjustRightInd/>
              <w:snapToGrid/>
              <w:spacing w:line="348" w:lineRule="auto"/>
              <w:jc w:val="left"/>
              <w:textAlignment w:val="baseline"/>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lang w:val="en-US" w:eastAsia="zh-CN"/>
              </w:rPr>
              <w:t>11.</w:t>
            </w:r>
            <w:r>
              <w:rPr>
                <w:rFonts w:hint="eastAsia" w:ascii="宋体" w:hAnsi="宋体" w:eastAsia="宋体" w:cs="宋体"/>
                <w:b w:val="0"/>
                <w:bCs w:val="0"/>
                <w:color w:val="000000"/>
                <w:sz w:val="21"/>
                <w:szCs w:val="21"/>
                <w:highlight w:val="none"/>
              </w:rPr>
              <w:t>工程建设地点的现场条件</w:t>
            </w:r>
          </w:p>
          <w:p w14:paraId="3C6CB4A8">
            <w:pPr>
              <w:keepNext w:val="0"/>
              <w:keepLines w:val="0"/>
              <w:pageBreakBefore w:val="0"/>
              <w:kinsoku/>
              <w:wordWrap/>
              <w:overflowPunct/>
              <w:topLinePunct w:val="0"/>
              <w:autoSpaceDE/>
              <w:autoSpaceDN/>
              <w:bidi w:val="0"/>
              <w:adjustRightInd/>
              <w:snapToGrid/>
              <w:spacing w:line="348" w:lineRule="auto"/>
              <w:jc w:val="left"/>
              <w:textAlignment w:val="baseline"/>
              <w:rPr>
                <w:rFonts w:hint="eastAsia" w:ascii="宋体" w:hAnsi="宋体" w:eastAsia="宋体" w:cs="宋体"/>
                <w:b w:val="0"/>
                <w:bCs w:val="0"/>
                <w:color w:val="000000"/>
                <w:sz w:val="21"/>
                <w:szCs w:val="21"/>
                <w:highlight w:val="none"/>
                <w:lang w:eastAsia="zh-CN"/>
              </w:rPr>
            </w:pPr>
            <w:r>
              <w:rPr>
                <w:rFonts w:hint="eastAsia" w:ascii="宋体" w:hAnsi="宋体" w:eastAsia="宋体" w:cs="宋体"/>
                <w:b w:val="0"/>
                <w:bCs w:val="0"/>
                <w:color w:val="000000"/>
                <w:sz w:val="21"/>
                <w:szCs w:val="21"/>
                <w:highlight w:val="none"/>
              </w:rPr>
              <w:t>（1）现场自然条件：满足施工要求</w:t>
            </w:r>
            <w:r>
              <w:rPr>
                <w:rFonts w:hint="eastAsia" w:ascii="宋体" w:hAnsi="宋体" w:eastAsia="宋体" w:cs="宋体"/>
                <w:b w:val="0"/>
                <w:bCs w:val="0"/>
                <w:color w:val="000000"/>
                <w:sz w:val="21"/>
                <w:szCs w:val="21"/>
                <w:highlight w:val="none"/>
                <w:lang w:eastAsia="zh-CN"/>
              </w:rPr>
              <w:t>。</w:t>
            </w:r>
          </w:p>
          <w:p w14:paraId="1D1D9C50">
            <w:pPr>
              <w:keepNext w:val="0"/>
              <w:keepLines w:val="0"/>
              <w:pageBreakBefore w:val="0"/>
              <w:kinsoku/>
              <w:wordWrap/>
              <w:overflowPunct/>
              <w:topLinePunct w:val="0"/>
              <w:autoSpaceDE/>
              <w:autoSpaceDN/>
              <w:bidi w:val="0"/>
              <w:adjustRightInd/>
              <w:snapToGrid/>
              <w:spacing w:line="348" w:lineRule="auto"/>
              <w:jc w:val="left"/>
              <w:textAlignment w:val="baseline"/>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（2）现场施工条件：符合施工要求。</w:t>
            </w:r>
          </w:p>
          <w:p w14:paraId="36BE2A96">
            <w:pPr>
              <w:keepNext w:val="0"/>
              <w:keepLines w:val="0"/>
              <w:pageBreakBefore w:val="0"/>
              <w:widowControl/>
              <w:kinsoku/>
              <w:wordWrap/>
              <w:overflowPunct/>
              <w:topLinePunct w:val="0"/>
              <w:autoSpaceDE/>
              <w:autoSpaceDN/>
              <w:bidi w:val="0"/>
              <w:adjustRightInd/>
              <w:snapToGrid/>
              <w:spacing w:line="348" w:lineRule="auto"/>
              <w:textAlignment w:val="auto"/>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lang w:val="en-US" w:eastAsia="zh-CN"/>
              </w:rPr>
              <w:t>12.</w:t>
            </w:r>
            <w:r>
              <w:rPr>
                <w:rFonts w:hint="eastAsia" w:ascii="宋体" w:hAnsi="宋体" w:eastAsia="宋体" w:cs="宋体"/>
                <w:b w:val="0"/>
                <w:bCs w:val="0"/>
                <w:color w:val="000000"/>
                <w:sz w:val="21"/>
                <w:szCs w:val="21"/>
                <w:highlight w:val="none"/>
              </w:rPr>
              <w:t>根据施工</w:t>
            </w:r>
            <w:r>
              <w:rPr>
                <w:rFonts w:hint="eastAsia" w:ascii="宋体" w:hAnsi="宋体" w:eastAsia="宋体" w:cs="宋体"/>
                <w:b w:val="0"/>
                <w:bCs w:val="0"/>
                <w:color w:val="000000"/>
                <w:sz w:val="21"/>
                <w:szCs w:val="21"/>
                <w:highlight w:val="none"/>
                <w:lang w:val="en-US" w:eastAsia="zh-CN"/>
              </w:rPr>
              <w:t>图纸</w:t>
            </w:r>
            <w:r>
              <w:rPr>
                <w:rFonts w:hint="eastAsia" w:ascii="宋体" w:hAnsi="宋体" w:eastAsia="宋体" w:cs="宋体"/>
                <w:b w:val="0"/>
                <w:bCs w:val="0"/>
                <w:color w:val="000000"/>
                <w:sz w:val="21"/>
                <w:szCs w:val="21"/>
                <w:highlight w:val="none"/>
              </w:rPr>
              <w:t>以及</w:t>
            </w:r>
            <w:r>
              <w:rPr>
                <w:rFonts w:hint="eastAsia" w:ascii="宋体" w:hAnsi="宋体" w:eastAsia="宋体" w:cs="宋体"/>
                <w:b w:val="0"/>
                <w:bCs w:val="0"/>
                <w:color w:val="000000"/>
                <w:sz w:val="21"/>
                <w:szCs w:val="21"/>
                <w:highlight w:val="none"/>
                <w:lang w:val="en-US" w:eastAsia="zh-CN"/>
              </w:rPr>
              <w:t>招标控制价</w:t>
            </w:r>
            <w:r>
              <w:rPr>
                <w:rFonts w:hint="eastAsia" w:ascii="宋体" w:hAnsi="宋体" w:eastAsia="宋体" w:cs="宋体"/>
                <w:b w:val="0"/>
                <w:bCs w:val="0"/>
                <w:color w:val="000000"/>
                <w:sz w:val="21"/>
                <w:szCs w:val="21"/>
                <w:highlight w:val="none"/>
              </w:rPr>
              <w:t>提供工程进度计划与措施；工程施工的重点和难点及保证措施、主要的施工方法。</w:t>
            </w:r>
          </w:p>
          <w:p w14:paraId="6A20D2F2">
            <w:pPr>
              <w:keepNext w:val="0"/>
              <w:keepLines w:val="0"/>
              <w:pageBreakBefore w:val="0"/>
              <w:widowControl/>
              <w:kinsoku/>
              <w:wordWrap/>
              <w:overflowPunct/>
              <w:topLinePunct w:val="0"/>
              <w:autoSpaceDE/>
              <w:autoSpaceDN/>
              <w:bidi w:val="0"/>
              <w:adjustRightInd/>
              <w:snapToGrid/>
              <w:spacing w:line="348" w:lineRule="auto"/>
              <w:textAlignment w:val="auto"/>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w:t>
            </w:r>
            <w:r>
              <w:rPr>
                <w:rFonts w:hint="eastAsia" w:ascii="宋体" w:hAnsi="宋体" w:eastAsia="宋体" w:cs="宋体"/>
                <w:b/>
                <w:bCs/>
                <w:color w:val="000000"/>
                <w:sz w:val="21"/>
                <w:szCs w:val="21"/>
                <w:highlight w:val="none"/>
                <w:lang w:val="en-US" w:eastAsia="zh-CN"/>
              </w:rPr>
              <w:t>二</w:t>
            </w:r>
            <w:r>
              <w:rPr>
                <w:rFonts w:hint="eastAsia" w:ascii="宋体" w:hAnsi="宋体" w:eastAsia="宋体" w:cs="宋体"/>
                <w:b/>
                <w:bCs/>
                <w:color w:val="000000"/>
                <w:sz w:val="21"/>
                <w:szCs w:val="21"/>
                <w:highlight w:val="none"/>
              </w:rPr>
              <w:t>、人员配备要求：</w:t>
            </w:r>
          </w:p>
          <w:p w14:paraId="62D0B917">
            <w:pPr>
              <w:keepNext w:val="0"/>
              <w:keepLines w:val="0"/>
              <w:pageBreakBefore w:val="0"/>
              <w:widowControl/>
              <w:kinsoku/>
              <w:wordWrap/>
              <w:overflowPunct/>
              <w:topLinePunct w:val="0"/>
              <w:autoSpaceDE/>
              <w:autoSpaceDN/>
              <w:bidi w:val="0"/>
              <w:adjustRightInd/>
              <w:snapToGrid/>
              <w:spacing w:line="348" w:lineRule="auto"/>
              <w:ind w:firstLine="210" w:firstLineChars="100"/>
              <w:textAlignment w:val="auto"/>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拟投入本工程的人员必须是竞标单位的在岗人员</w:t>
            </w:r>
            <w:r>
              <w:rPr>
                <w:rFonts w:hint="eastAsia" w:ascii="宋体" w:hAnsi="宋体" w:eastAsia="宋体" w:cs="宋体"/>
                <w:b w:val="0"/>
                <w:bCs w:val="0"/>
                <w:color w:val="000000"/>
                <w:sz w:val="21"/>
                <w:szCs w:val="21"/>
                <w:highlight w:val="none"/>
                <w:lang w:eastAsia="zh-CN"/>
              </w:rPr>
              <w:t>，</w:t>
            </w:r>
            <w:r>
              <w:rPr>
                <w:rFonts w:hint="eastAsia" w:ascii="宋体" w:hAnsi="宋体" w:eastAsia="宋体" w:cs="宋体"/>
                <w:b w:val="0"/>
                <w:bCs w:val="0"/>
                <w:color w:val="000000"/>
                <w:sz w:val="21"/>
                <w:szCs w:val="21"/>
                <w:highlight w:val="none"/>
              </w:rPr>
              <w:t>并持有有效的相应执业资格证书，对相关人员的具体条件要求如下：</w:t>
            </w:r>
          </w:p>
          <w:p w14:paraId="70F3EA45">
            <w:pPr>
              <w:keepNext w:val="0"/>
              <w:keepLines w:val="0"/>
              <w:pageBreakBefore w:val="0"/>
              <w:widowControl/>
              <w:kinsoku/>
              <w:wordWrap/>
              <w:overflowPunct/>
              <w:topLinePunct w:val="0"/>
              <w:autoSpaceDE/>
              <w:autoSpaceDN/>
              <w:bidi w:val="0"/>
              <w:adjustRightInd/>
              <w:snapToGrid/>
              <w:spacing w:line="348" w:lineRule="auto"/>
              <w:textAlignment w:val="auto"/>
              <w:rPr>
                <w:rFonts w:hint="eastAsia" w:ascii="宋体" w:hAnsi="宋体" w:eastAsia="宋体" w:cs="宋体"/>
                <w:b w:val="0"/>
                <w:bCs w:val="0"/>
                <w:color w:val="000000"/>
                <w:sz w:val="21"/>
                <w:szCs w:val="21"/>
                <w:highlight w:val="none"/>
                <w:lang w:eastAsia="zh-CN"/>
              </w:rPr>
            </w:pPr>
            <w:r>
              <w:rPr>
                <w:rFonts w:hint="eastAsia" w:ascii="宋体" w:hAnsi="宋体" w:eastAsia="宋体" w:cs="宋体"/>
                <w:b w:val="0"/>
                <w:bCs w:val="0"/>
                <w:color w:val="000000"/>
                <w:sz w:val="21"/>
                <w:szCs w:val="21"/>
                <w:highlight w:val="none"/>
              </w:rPr>
              <w:t>（1）项目经理：具备市政公用工程专业二级（含二级）以上注册建造师执业资格且具备有效的安全生产考核合格证书（B 类）</w:t>
            </w:r>
            <w:r>
              <w:rPr>
                <w:rFonts w:hint="eastAsia" w:ascii="宋体" w:hAnsi="宋体" w:eastAsia="宋体" w:cs="宋体"/>
                <w:b w:val="0"/>
                <w:bCs w:val="0"/>
                <w:color w:val="000000"/>
                <w:sz w:val="21"/>
                <w:szCs w:val="21"/>
                <w:highlight w:val="none"/>
                <w:lang w:eastAsia="zh-CN"/>
              </w:rPr>
              <w:t>，本项目不接受有在建、已中标未开工或已列为其他项目中标候选人第一名的建造师作为项目经理（符合《广西壮族自治区建筑市场诚信卡管理暂行办法》第十六条第一款及桂建管﹝2016﹞70号、桂建管〔2019〕26号和桂建管〔2020〕11号文除外）。</w:t>
            </w:r>
          </w:p>
          <w:p w14:paraId="560F87A1">
            <w:pPr>
              <w:keepNext w:val="0"/>
              <w:keepLines w:val="0"/>
              <w:pageBreakBefore w:val="0"/>
              <w:widowControl/>
              <w:kinsoku/>
              <w:wordWrap/>
              <w:overflowPunct/>
              <w:topLinePunct w:val="0"/>
              <w:autoSpaceDE/>
              <w:autoSpaceDN/>
              <w:bidi w:val="0"/>
              <w:adjustRightInd/>
              <w:snapToGrid/>
              <w:spacing w:line="348" w:lineRule="auto"/>
              <w:textAlignment w:val="auto"/>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（2）技术负责人：持有市政公用工程类专业中级或以上技术职称</w:t>
            </w:r>
            <w:r>
              <w:rPr>
                <w:rFonts w:hint="eastAsia" w:ascii="宋体" w:hAnsi="宋体" w:eastAsia="宋体" w:cs="宋体"/>
                <w:b w:val="0"/>
                <w:bCs w:val="0"/>
                <w:color w:val="000000"/>
                <w:sz w:val="21"/>
                <w:szCs w:val="21"/>
                <w:highlight w:val="none"/>
                <w:lang w:val="en-US" w:eastAsia="zh-CN"/>
              </w:rPr>
              <w:t>资格</w:t>
            </w:r>
            <w:r>
              <w:rPr>
                <w:rFonts w:hint="eastAsia" w:ascii="宋体" w:hAnsi="宋体" w:eastAsia="宋体" w:cs="宋体"/>
                <w:b w:val="0"/>
                <w:bCs w:val="0"/>
                <w:color w:val="000000"/>
                <w:sz w:val="21"/>
                <w:szCs w:val="21"/>
                <w:highlight w:val="none"/>
              </w:rPr>
              <w:t>（专业以技术职称证书所填写专业为准）。</w:t>
            </w:r>
          </w:p>
          <w:p w14:paraId="52983FA9">
            <w:pPr>
              <w:keepNext w:val="0"/>
              <w:keepLines w:val="0"/>
              <w:pageBreakBefore w:val="0"/>
              <w:widowControl/>
              <w:kinsoku/>
              <w:wordWrap/>
              <w:overflowPunct/>
              <w:topLinePunct w:val="0"/>
              <w:autoSpaceDE/>
              <w:autoSpaceDN/>
              <w:bidi w:val="0"/>
              <w:adjustRightInd/>
              <w:snapToGrid/>
              <w:spacing w:line="348" w:lineRule="auto"/>
              <w:textAlignment w:val="auto"/>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lang w:val="en-US" w:eastAsia="zh-CN"/>
              </w:rPr>
              <w:t>（3）专职安全生产管理人员具备有效的安全生产考核合格证 C 证，人数符合住房和城乡建设部《建筑施工企业安全生产管理机构设置及专职安全生产管理人员配备办法》（建质〔2008〕91 号）的规定不少于 1 人。</w:t>
            </w:r>
          </w:p>
        </w:tc>
        <w:tc>
          <w:tcPr>
            <w:tcW w:w="1605" w:type="dxa"/>
            <w:tcBorders>
              <w:top w:val="single" w:color="auto" w:sz="4" w:space="0"/>
              <w:left w:val="single" w:color="auto" w:sz="4" w:space="0"/>
              <w:bottom w:val="single" w:color="auto" w:sz="4" w:space="0"/>
              <w:right w:val="single" w:color="auto" w:sz="4" w:space="0"/>
            </w:tcBorders>
            <w:noWrap w:val="0"/>
            <w:vAlign w:val="center"/>
          </w:tcPr>
          <w:p w14:paraId="56173F47">
            <w:pPr>
              <w:keepNext w:val="0"/>
              <w:keepLines w:val="0"/>
              <w:pageBreakBefore w:val="0"/>
              <w:kinsoku/>
              <w:wordWrap/>
              <w:overflowPunct/>
              <w:topLinePunct w:val="0"/>
              <w:autoSpaceDE/>
              <w:autoSpaceDN/>
              <w:bidi w:val="0"/>
              <w:adjustRightInd/>
              <w:snapToGrid/>
              <w:spacing w:line="348"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1057960.43元</w:t>
            </w:r>
          </w:p>
        </w:tc>
      </w:tr>
      <w:tr w14:paraId="1187A9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1039" w:type="dxa"/>
            <w:tcBorders>
              <w:top w:val="single" w:color="auto" w:sz="4" w:space="0"/>
              <w:left w:val="single" w:color="auto" w:sz="4" w:space="0"/>
              <w:bottom w:val="single" w:color="auto" w:sz="4" w:space="0"/>
              <w:right w:val="single" w:color="auto" w:sz="4" w:space="0"/>
            </w:tcBorders>
            <w:noWrap w:val="0"/>
            <w:vAlign w:val="center"/>
          </w:tcPr>
          <w:p w14:paraId="5BF6DABC">
            <w:pPr>
              <w:keepNext w:val="0"/>
              <w:keepLines w:val="0"/>
              <w:pageBreakBefore w:val="0"/>
              <w:kinsoku/>
              <w:wordWrap/>
              <w:overflowPunct/>
              <w:topLinePunct w:val="0"/>
              <w:autoSpaceDE/>
              <w:autoSpaceDN/>
              <w:bidi w:val="0"/>
              <w:adjustRightInd/>
              <w:snapToGrid/>
              <w:spacing w:line="348"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▲商务条款</w:t>
            </w:r>
          </w:p>
        </w:tc>
        <w:tc>
          <w:tcPr>
            <w:tcW w:w="9156" w:type="dxa"/>
            <w:gridSpan w:val="6"/>
            <w:tcBorders>
              <w:top w:val="single" w:color="auto" w:sz="4" w:space="0"/>
              <w:left w:val="single" w:color="auto" w:sz="4" w:space="0"/>
              <w:bottom w:val="single" w:color="auto" w:sz="4" w:space="0"/>
              <w:right w:val="single" w:color="auto" w:sz="4" w:space="0"/>
            </w:tcBorders>
            <w:noWrap w:val="0"/>
            <w:vAlign w:val="top"/>
          </w:tcPr>
          <w:p w14:paraId="610DA3BE">
            <w:pPr>
              <w:keepNext w:val="0"/>
              <w:keepLines w:val="0"/>
              <w:pageBreakBefore w:val="0"/>
              <w:kinsoku/>
              <w:wordWrap w:val="0"/>
              <w:overflowPunct/>
              <w:topLinePunct w:val="0"/>
              <w:autoSpaceDE/>
              <w:autoSpaceDN/>
              <w:bidi w:val="0"/>
              <w:adjustRightInd w:val="0"/>
              <w:snapToGrid/>
              <w:spacing w:line="348"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一</w:t>
            </w:r>
            <w:r>
              <w:rPr>
                <w:rFonts w:hint="eastAsia" w:ascii="宋体" w:hAnsi="宋体" w:eastAsia="宋体" w:cs="宋体"/>
                <w:color w:val="000000"/>
                <w:sz w:val="21"/>
                <w:szCs w:val="21"/>
                <w:highlight w:val="none"/>
              </w:rPr>
              <w:t>、合同签订期：自成交通知书发出之日起25日内。</w:t>
            </w:r>
          </w:p>
          <w:p w14:paraId="41D30246">
            <w:pPr>
              <w:keepNext w:val="0"/>
              <w:keepLines w:val="0"/>
              <w:pageBreakBefore w:val="0"/>
              <w:kinsoku/>
              <w:wordWrap w:val="0"/>
              <w:overflowPunct/>
              <w:topLinePunct w:val="0"/>
              <w:autoSpaceDE/>
              <w:autoSpaceDN/>
              <w:bidi w:val="0"/>
              <w:adjustRightInd w:val="0"/>
              <w:snapToGrid/>
              <w:spacing w:line="348" w:lineRule="auto"/>
              <w:jc w:val="left"/>
              <w:textAlignment w:val="auto"/>
              <w:rPr>
                <w:rFonts w:hint="default" w:ascii="宋体" w:hAnsi="宋体" w:eastAsia="宋体" w:cs="宋体"/>
                <w:color w:val="000000"/>
                <w:sz w:val="21"/>
                <w:szCs w:val="21"/>
                <w:highlight w:val="none"/>
                <w:u w:val="none"/>
                <w:shd w:val="clear" w:color="auto" w:fill="FFFFFF"/>
                <w:lang w:val="en-US" w:eastAsia="zh-CN"/>
              </w:rPr>
            </w:pPr>
            <w:r>
              <w:rPr>
                <w:rFonts w:hint="eastAsia" w:ascii="宋体" w:hAnsi="宋体" w:eastAsia="宋体" w:cs="宋体"/>
                <w:color w:val="000000"/>
                <w:sz w:val="21"/>
                <w:szCs w:val="21"/>
                <w:highlight w:val="none"/>
                <w:lang w:val="en-US" w:eastAsia="zh-CN"/>
              </w:rPr>
              <w:t>二</w:t>
            </w:r>
            <w:r>
              <w:rPr>
                <w:rFonts w:hint="eastAsia" w:ascii="宋体" w:hAnsi="宋体" w:eastAsia="宋体" w:cs="宋体"/>
                <w:color w:val="000000"/>
                <w:sz w:val="21"/>
                <w:szCs w:val="21"/>
                <w:highlight w:val="none"/>
              </w:rPr>
              <w:t>、合同履行期限(工期)：</w:t>
            </w:r>
            <w:r>
              <w:rPr>
                <w:rFonts w:hint="eastAsia" w:ascii="宋体" w:hAnsi="宋体" w:cs="宋体"/>
                <w:color w:val="000000"/>
                <w:sz w:val="21"/>
                <w:szCs w:val="21"/>
                <w:highlight w:val="none"/>
                <w:lang w:val="en-US" w:eastAsia="zh-CN"/>
              </w:rPr>
              <w:t>120</w:t>
            </w:r>
            <w:r>
              <w:rPr>
                <w:rFonts w:hint="eastAsia" w:ascii="宋体" w:hAnsi="宋体" w:eastAsia="宋体" w:cs="宋体"/>
                <w:color w:val="000000"/>
                <w:sz w:val="21"/>
                <w:szCs w:val="21"/>
                <w:highlight w:val="none"/>
                <w:u w:val="none"/>
                <w:shd w:val="clear" w:color="auto" w:fill="FFFFFF"/>
                <w:lang w:val="en-US" w:eastAsia="zh-CN"/>
              </w:rPr>
              <w:t>日历天。</w:t>
            </w:r>
          </w:p>
          <w:p w14:paraId="1AADFE15">
            <w:pPr>
              <w:keepNext w:val="0"/>
              <w:keepLines w:val="0"/>
              <w:pageBreakBefore w:val="0"/>
              <w:kinsoku/>
              <w:wordWrap w:val="0"/>
              <w:overflowPunct/>
              <w:topLinePunct w:val="0"/>
              <w:autoSpaceDE/>
              <w:autoSpaceDN/>
              <w:bidi w:val="0"/>
              <w:adjustRightInd w:val="0"/>
              <w:snapToGrid/>
              <w:spacing w:line="348" w:lineRule="auto"/>
              <w:jc w:val="left"/>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三、</w:t>
            </w:r>
            <w:r>
              <w:rPr>
                <w:rFonts w:hint="eastAsia" w:ascii="宋体" w:hAnsi="宋体" w:eastAsia="宋体" w:cs="宋体"/>
                <w:color w:val="000000"/>
                <w:sz w:val="21"/>
                <w:szCs w:val="21"/>
                <w:highlight w:val="none"/>
              </w:rPr>
              <w:t>建设地点：</w:t>
            </w:r>
            <w:r>
              <w:rPr>
                <w:rFonts w:hint="eastAsia" w:ascii="宋体" w:hAnsi="宋体" w:eastAsia="宋体" w:cs="宋体"/>
                <w:color w:val="000000"/>
                <w:sz w:val="21"/>
                <w:szCs w:val="21"/>
                <w:highlight w:val="none"/>
                <w:u w:val="none"/>
                <w:shd w:val="clear" w:color="auto" w:fill="FFFFFF"/>
                <w:lang w:val="en-US" w:eastAsia="zh-CN"/>
              </w:rPr>
              <w:t>防城港市防城区小峰水库</w:t>
            </w:r>
            <w:r>
              <w:rPr>
                <w:rFonts w:hint="eastAsia" w:ascii="宋体" w:hAnsi="宋体" w:eastAsia="宋体" w:cs="宋体"/>
                <w:color w:val="000000"/>
                <w:sz w:val="21"/>
                <w:szCs w:val="21"/>
                <w:highlight w:val="none"/>
                <w:lang w:val="en-US" w:eastAsia="zh-CN"/>
              </w:rPr>
              <w:t>。</w:t>
            </w:r>
          </w:p>
          <w:p w14:paraId="26C96CCE">
            <w:pPr>
              <w:keepNext w:val="0"/>
              <w:keepLines w:val="0"/>
              <w:pageBreakBefore w:val="0"/>
              <w:kinsoku/>
              <w:wordWrap w:val="0"/>
              <w:overflowPunct/>
              <w:topLinePunct w:val="0"/>
              <w:autoSpaceDE/>
              <w:autoSpaceDN/>
              <w:bidi w:val="0"/>
              <w:adjustRightInd w:val="0"/>
              <w:snapToGrid/>
              <w:spacing w:line="348" w:lineRule="auto"/>
              <w:jc w:val="left"/>
              <w:textAlignment w:val="auto"/>
              <w:rPr>
                <w:rFonts w:hint="eastAsia" w:ascii="宋体" w:hAnsi="宋体" w:eastAsia="宋体" w:cs="宋体"/>
                <w:color w:val="000000"/>
                <w:sz w:val="21"/>
                <w:szCs w:val="21"/>
                <w:highlight w:val="none"/>
                <w:u w:val="none"/>
                <w:shd w:val="clear" w:color="auto" w:fill="FFFFFF"/>
                <w:lang w:val="en-US" w:eastAsia="zh-CN"/>
              </w:rPr>
            </w:pPr>
            <w:r>
              <w:rPr>
                <w:rFonts w:hint="eastAsia" w:ascii="宋体" w:hAnsi="宋体" w:eastAsia="宋体" w:cs="宋体"/>
                <w:color w:val="000000"/>
                <w:sz w:val="21"/>
                <w:szCs w:val="21"/>
                <w:highlight w:val="none"/>
                <w:u w:val="none"/>
                <w:shd w:val="clear" w:color="auto" w:fill="FFFFFF"/>
                <w:lang w:val="en-US" w:eastAsia="zh-CN"/>
              </w:rPr>
              <w:t>四、质量要求：达到国家施工验收规范合格标准。</w:t>
            </w:r>
          </w:p>
          <w:p w14:paraId="3DD4D4E4">
            <w:pPr>
              <w:keepNext w:val="0"/>
              <w:keepLines w:val="0"/>
              <w:pageBreakBefore w:val="0"/>
              <w:kinsoku/>
              <w:wordWrap w:val="0"/>
              <w:overflowPunct/>
              <w:topLinePunct w:val="0"/>
              <w:autoSpaceDE/>
              <w:autoSpaceDN/>
              <w:bidi w:val="0"/>
              <w:adjustRightInd w:val="0"/>
              <w:snapToGrid/>
              <w:spacing w:line="348" w:lineRule="auto"/>
              <w:jc w:val="left"/>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▲五、项目实施要求：</w:t>
            </w:r>
          </w:p>
          <w:p w14:paraId="4CEC565A">
            <w:pPr>
              <w:keepNext w:val="0"/>
              <w:keepLines w:val="0"/>
              <w:pageBreakBefore w:val="0"/>
              <w:kinsoku/>
              <w:wordWrap w:val="0"/>
              <w:overflowPunct/>
              <w:topLinePunct w:val="0"/>
              <w:autoSpaceDE/>
              <w:autoSpaceDN/>
              <w:bidi w:val="0"/>
              <w:adjustRightInd w:val="0"/>
              <w:snapToGrid/>
              <w:spacing w:line="348" w:lineRule="auto"/>
              <w:jc w:val="left"/>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1.处理问题响应时间：接到采购人处理问题通知后4小时内到达采购人指定现场，8小时内提出解决方案。在工程质量保修期期限内发生质量问题，必须在收到质保通知后的3个日历天内整改完毕。</w:t>
            </w:r>
          </w:p>
          <w:p w14:paraId="587E1524">
            <w:pPr>
              <w:keepNext w:val="0"/>
              <w:keepLines w:val="0"/>
              <w:pageBreakBefore w:val="0"/>
              <w:kinsoku/>
              <w:wordWrap w:val="0"/>
              <w:overflowPunct/>
              <w:topLinePunct w:val="0"/>
              <w:autoSpaceDE/>
              <w:autoSpaceDN/>
              <w:bidi w:val="0"/>
              <w:adjustRightInd w:val="0"/>
              <w:snapToGrid/>
              <w:spacing w:line="348" w:lineRule="auto"/>
              <w:jc w:val="left"/>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2.成交人如需更换项目管理人员，需向采购人书面申请，经采购人审批许可，替换的人员所具备的资质不得低于原人员的资质。</w:t>
            </w:r>
          </w:p>
          <w:p w14:paraId="6F85C5AE">
            <w:pPr>
              <w:keepNext w:val="0"/>
              <w:keepLines w:val="0"/>
              <w:pageBreakBefore w:val="0"/>
              <w:kinsoku/>
              <w:wordWrap w:val="0"/>
              <w:overflowPunct/>
              <w:topLinePunct w:val="0"/>
              <w:autoSpaceDE/>
              <w:autoSpaceDN/>
              <w:bidi w:val="0"/>
              <w:adjustRightInd w:val="0"/>
              <w:snapToGrid/>
              <w:spacing w:line="348" w:lineRule="auto"/>
              <w:jc w:val="left"/>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3.如因成交人原因导致本项目竣工验收不合格的，成交人应整改至通过竣工验收为止且自行承担相应的费用，采购人不另行支付费用。如因成交人原因导致本项目竣工验收不合格的，采购人不予支付合同款项并按合同扣罚违约金。</w:t>
            </w:r>
          </w:p>
          <w:p w14:paraId="3E3B8DE2">
            <w:pPr>
              <w:keepNext w:val="0"/>
              <w:keepLines w:val="0"/>
              <w:pageBreakBefore w:val="0"/>
              <w:kinsoku/>
              <w:wordWrap w:val="0"/>
              <w:overflowPunct/>
              <w:topLinePunct w:val="0"/>
              <w:autoSpaceDE/>
              <w:autoSpaceDN/>
              <w:bidi w:val="0"/>
              <w:adjustRightInd w:val="0"/>
              <w:snapToGrid/>
              <w:spacing w:line="348" w:lineRule="auto"/>
              <w:ind w:firstLine="0" w:firstLineChars="0"/>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六、</w:t>
            </w:r>
            <w:r>
              <w:rPr>
                <w:rFonts w:hint="eastAsia" w:ascii="宋体" w:hAnsi="宋体" w:eastAsia="宋体" w:cs="宋体"/>
                <w:color w:val="000000"/>
                <w:sz w:val="21"/>
                <w:szCs w:val="21"/>
                <w:highlight w:val="none"/>
              </w:rPr>
              <w:t>付款方式及条件：</w:t>
            </w:r>
          </w:p>
          <w:p w14:paraId="22091ED1">
            <w:pPr>
              <w:keepNext w:val="0"/>
              <w:keepLines w:val="0"/>
              <w:pageBreakBefore w:val="0"/>
              <w:kinsoku/>
              <w:wordWrap w:val="0"/>
              <w:overflowPunct/>
              <w:topLinePunct w:val="0"/>
              <w:autoSpaceDE/>
              <w:autoSpaceDN/>
              <w:bidi w:val="0"/>
              <w:adjustRightInd w:val="0"/>
              <w:snapToGrid/>
              <w:spacing w:line="348"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资金支付办法按照广西壮族自治区财政厅广西壮族自治区发展和改革委员会关于印发《广西壮族自治区水库移民后期扶持项目资金管理实施细则（暂行）》的通知（桂财规〔2024〕4号）和区财政国库管理制度有关规定进行。</w:t>
            </w:r>
          </w:p>
          <w:p w14:paraId="46ED2163">
            <w:pPr>
              <w:keepNext w:val="0"/>
              <w:keepLines w:val="0"/>
              <w:pageBreakBefore w:val="0"/>
              <w:kinsoku/>
              <w:wordWrap w:val="0"/>
              <w:overflowPunct/>
              <w:topLinePunct w:val="0"/>
              <w:autoSpaceDE/>
              <w:autoSpaceDN/>
              <w:bidi w:val="0"/>
              <w:adjustRightInd w:val="0"/>
              <w:snapToGrid/>
              <w:spacing w:line="348"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2.工程款支付方式，分次支付</w:t>
            </w:r>
          </w:p>
          <w:p w14:paraId="0BACE472">
            <w:pPr>
              <w:keepNext w:val="0"/>
              <w:keepLines w:val="0"/>
              <w:pageBreakBefore w:val="0"/>
              <w:kinsoku/>
              <w:wordWrap w:val="0"/>
              <w:overflowPunct/>
              <w:topLinePunct w:val="0"/>
              <w:autoSpaceDE/>
              <w:autoSpaceDN/>
              <w:bidi w:val="0"/>
              <w:adjustRightInd w:val="0"/>
              <w:snapToGrid/>
              <w:spacing w:line="348"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r>
              <w:rPr>
                <w:rFonts w:hint="eastAsia" w:ascii="宋体" w:hAnsi="宋体" w:eastAsia="宋体" w:cs="宋体"/>
                <w:color w:val="000000"/>
                <w:sz w:val="21"/>
                <w:szCs w:val="21"/>
                <w:highlight w:val="none"/>
                <w:lang w:val="en-US" w:eastAsia="zh-CN"/>
              </w:rPr>
              <w:t>采购人和成交人</w:t>
            </w:r>
            <w:r>
              <w:rPr>
                <w:rFonts w:hint="eastAsia" w:ascii="宋体" w:hAnsi="宋体" w:eastAsia="宋体" w:cs="宋体"/>
                <w:color w:val="000000"/>
                <w:sz w:val="21"/>
                <w:szCs w:val="21"/>
                <w:highlight w:val="none"/>
              </w:rPr>
              <w:t>签订施工合同后，</w:t>
            </w:r>
            <w:r>
              <w:rPr>
                <w:rFonts w:hint="eastAsia" w:ascii="宋体" w:hAnsi="宋体" w:eastAsia="宋体" w:cs="宋体"/>
                <w:color w:val="000000"/>
                <w:sz w:val="21"/>
                <w:szCs w:val="21"/>
                <w:highlight w:val="none"/>
                <w:lang w:val="en-US" w:eastAsia="zh-CN"/>
              </w:rPr>
              <w:t>成交人</w:t>
            </w:r>
            <w:r>
              <w:rPr>
                <w:rFonts w:hint="eastAsia" w:ascii="宋体" w:hAnsi="宋体" w:eastAsia="宋体" w:cs="宋体"/>
                <w:color w:val="000000"/>
                <w:sz w:val="21"/>
                <w:szCs w:val="21"/>
                <w:highlight w:val="none"/>
              </w:rPr>
              <w:t>接到开工令之日起一个星期内，施工项目人员、机械、材料进场且达到施工条件后，</w:t>
            </w:r>
            <w:r>
              <w:rPr>
                <w:rFonts w:hint="eastAsia" w:ascii="宋体" w:hAnsi="宋体" w:eastAsia="宋体" w:cs="宋体"/>
                <w:color w:val="000000"/>
                <w:sz w:val="21"/>
                <w:szCs w:val="21"/>
                <w:highlight w:val="none"/>
                <w:lang w:val="en-US" w:eastAsia="zh-CN"/>
              </w:rPr>
              <w:t>成交人</w:t>
            </w:r>
            <w:r>
              <w:rPr>
                <w:rFonts w:hint="eastAsia" w:ascii="宋体" w:hAnsi="宋体" w:eastAsia="宋体" w:cs="宋体"/>
                <w:color w:val="000000"/>
                <w:sz w:val="21"/>
                <w:szCs w:val="21"/>
                <w:highlight w:val="none"/>
              </w:rPr>
              <w:t>凭工程支出有效票据（税票）向</w:t>
            </w:r>
            <w:r>
              <w:rPr>
                <w:rFonts w:hint="eastAsia" w:ascii="宋体" w:hAnsi="宋体" w:eastAsia="宋体" w:cs="宋体"/>
                <w:color w:val="000000"/>
                <w:sz w:val="21"/>
                <w:szCs w:val="21"/>
                <w:highlight w:val="none"/>
                <w:lang w:val="en-US" w:eastAsia="zh-CN"/>
              </w:rPr>
              <w:t>采购人</w:t>
            </w:r>
            <w:r>
              <w:rPr>
                <w:rFonts w:hint="eastAsia" w:ascii="宋体" w:hAnsi="宋体" w:eastAsia="宋体" w:cs="宋体"/>
                <w:color w:val="000000"/>
                <w:sz w:val="21"/>
                <w:szCs w:val="21"/>
                <w:highlight w:val="none"/>
              </w:rPr>
              <w:t>申请合同价30%的项目启动资金。</w:t>
            </w:r>
          </w:p>
          <w:p w14:paraId="72D7A5FF">
            <w:pPr>
              <w:keepNext w:val="0"/>
              <w:keepLines w:val="0"/>
              <w:pageBreakBefore w:val="0"/>
              <w:kinsoku/>
              <w:wordWrap w:val="0"/>
              <w:overflowPunct/>
              <w:topLinePunct w:val="0"/>
              <w:autoSpaceDE/>
              <w:autoSpaceDN/>
              <w:bidi w:val="0"/>
              <w:adjustRightInd w:val="0"/>
              <w:snapToGrid/>
              <w:spacing w:line="348"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（2）项目进度款按照工程进度支付相应的进度款，合同内进度款支付限额为已完成工程量的80%，工程完工验收达到质量合格要求后，结算经区财政局审定后乙方凭工程支出有效票据（税票）向</w:t>
            </w:r>
            <w:r>
              <w:rPr>
                <w:rFonts w:hint="eastAsia" w:ascii="宋体" w:hAnsi="宋体" w:eastAsia="宋体" w:cs="宋体"/>
                <w:color w:val="000000"/>
                <w:sz w:val="21"/>
                <w:szCs w:val="21"/>
                <w:highlight w:val="none"/>
                <w:lang w:val="en-US" w:eastAsia="zh-CN"/>
              </w:rPr>
              <w:t>采购人</w:t>
            </w:r>
            <w:r>
              <w:rPr>
                <w:rFonts w:hint="eastAsia" w:ascii="宋体" w:hAnsi="宋体" w:eastAsia="宋体" w:cs="宋体"/>
                <w:color w:val="000000"/>
                <w:sz w:val="21"/>
                <w:szCs w:val="21"/>
                <w:highlight w:val="none"/>
              </w:rPr>
              <w:t>申请工程款支付至结算总价的97%。</w:t>
            </w:r>
          </w:p>
          <w:p w14:paraId="17E65124">
            <w:pPr>
              <w:keepNext w:val="0"/>
              <w:keepLines w:val="0"/>
              <w:pageBreakBefore w:val="0"/>
              <w:kinsoku/>
              <w:wordWrap w:val="0"/>
              <w:overflowPunct/>
              <w:topLinePunct w:val="0"/>
              <w:autoSpaceDE/>
              <w:autoSpaceDN/>
              <w:bidi w:val="0"/>
              <w:adjustRightInd w:val="0"/>
              <w:snapToGrid/>
              <w:spacing w:line="348"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w:t>
            </w:r>
            <w:r>
              <w:rPr>
                <w:rFonts w:hint="eastAsia" w:ascii="宋体" w:hAnsi="宋体" w:eastAsia="宋体" w:cs="宋体"/>
                <w:color w:val="000000"/>
                <w:sz w:val="21"/>
                <w:szCs w:val="21"/>
                <w:highlight w:val="none"/>
                <w:lang w:val="en-US" w:eastAsia="zh-CN"/>
              </w:rPr>
              <w:t>采购人</w:t>
            </w:r>
            <w:r>
              <w:rPr>
                <w:rFonts w:hint="eastAsia" w:ascii="宋体" w:hAnsi="宋体" w:eastAsia="宋体" w:cs="宋体"/>
                <w:color w:val="000000"/>
                <w:sz w:val="21"/>
                <w:szCs w:val="21"/>
                <w:highlight w:val="none"/>
              </w:rPr>
              <w:t>按工程价款结算总额3%预留工程质量保证金，如未发生工程质量问题的，在保质期满后1月内一次付清。</w:t>
            </w:r>
          </w:p>
          <w:p w14:paraId="56C38565">
            <w:pPr>
              <w:keepNext w:val="0"/>
              <w:keepLines w:val="0"/>
              <w:pageBreakBefore w:val="0"/>
              <w:kinsoku/>
              <w:wordWrap w:val="0"/>
              <w:overflowPunct/>
              <w:topLinePunct w:val="0"/>
              <w:autoSpaceDE/>
              <w:autoSpaceDN/>
              <w:bidi w:val="0"/>
              <w:adjustRightInd w:val="0"/>
              <w:snapToGrid/>
              <w:spacing w:line="348"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w:t>
            </w:r>
            <w:r>
              <w:rPr>
                <w:rFonts w:hint="eastAsia" w:ascii="宋体" w:hAnsi="宋体" w:cs="宋体"/>
                <w:color w:val="000000"/>
                <w:sz w:val="21"/>
                <w:szCs w:val="21"/>
                <w:highlight w:val="none"/>
                <w:lang w:val="en-US" w:eastAsia="zh-CN"/>
              </w:rPr>
              <w:t>成交人</w:t>
            </w:r>
            <w:r>
              <w:rPr>
                <w:rFonts w:hint="eastAsia" w:ascii="宋体" w:hAnsi="宋体" w:eastAsia="宋体" w:cs="宋体"/>
                <w:color w:val="000000"/>
                <w:sz w:val="21"/>
                <w:szCs w:val="21"/>
                <w:highlight w:val="none"/>
              </w:rPr>
              <w:t>不得以任何理由拒付农民工工资。</w:t>
            </w:r>
          </w:p>
          <w:p w14:paraId="3598F97F">
            <w:pPr>
              <w:keepNext w:val="0"/>
              <w:keepLines w:val="0"/>
              <w:pageBreakBefore w:val="0"/>
              <w:kinsoku/>
              <w:wordWrap w:val="0"/>
              <w:overflowPunct/>
              <w:topLinePunct w:val="0"/>
              <w:autoSpaceDE/>
              <w:autoSpaceDN/>
              <w:bidi w:val="0"/>
              <w:adjustRightInd w:val="0"/>
              <w:snapToGrid/>
              <w:spacing w:line="348"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（5）结算（付款）方式</w:t>
            </w:r>
          </w:p>
          <w:p w14:paraId="3A10C69B">
            <w:pPr>
              <w:keepNext w:val="0"/>
              <w:keepLines w:val="0"/>
              <w:pageBreakBefore w:val="0"/>
              <w:kinsoku/>
              <w:wordWrap w:val="0"/>
              <w:overflowPunct/>
              <w:topLinePunct w:val="0"/>
              <w:autoSpaceDE/>
              <w:autoSpaceDN/>
              <w:bidi w:val="0"/>
              <w:adjustRightInd w:val="0"/>
              <w:snapToGrid/>
              <w:spacing w:line="348" w:lineRule="auto"/>
              <w:jc w:val="left"/>
              <w:textAlignment w:val="auto"/>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val="en-US" w:eastAsia="zh-CN"/>
              </w:rPr>
              <w:t>采购人</w:t>
            </w:r>
            <w:r>
              <w:rPr>
                <w:rFonts w:hint="eastAsia" w:ascii="宋体" w:hAnsi="宋体" w:eastAsia="宋体" w:cs="宋体"/>
                <w:color w:val="000000"/>
                <w:sz w:val="21"/>
                <w:szCs w:val="21"/>
                <w:highlight w:val="none"/>
              </w:rPr>
              <w:t>以银行转账方式，项目验收合格</w:t>
            </w:r>
            <w:r>
              <w:rPr>
                <w:rFonts w:hint="eastAsia" w:ascii="宋体" w:hAnsi="宋体" w:eastAsia="宋体" w:cs="宋体"/>
                <w:color w:val="000000"/>
                <w:sz w:val="21"/>
                <w:szCs w:val="21"/>
                <w:highlight w:val="none"/>
                <w:lang w:val="en-US" w:eastAsia="zh-CN"/>
              </w:rPr>
              <w:t>并</w:t>
            </w:r>
            <w:r>
              <w:rPr>
                <w:rFonts w:hint="eastAsia" w:ascii="宋体" w:hAnsi="宋体" w:eastAsia="宋体" w:cs="宋体"/>
                <w:color w:val="000000"/>
                <w:sz w:val="21"/>
                <w:szCs w:val="21"/>
                <w:highlight w:val="none"/>
              </w:rPr>
              <w:t>经</w:t>
            </w:r>
            <w:r>
              <w:rPr>
                <w:rFonts w:hint="eastAsia" w:ascii="宋体" w:hAnsi="宋体" w:eastAsia="宋体" w:cs="宋体"/>
                <w:color w:val="000000"/>
                <w:sz w:val="21"/>
                <w:szCs w:val="21"/>
                <w:highlight w:val="none"/>
                <w:lang w:val="en-US" w:eastAsia="zh-CN"/>
              </w:rPr>
              <w:t>采购人</w:t>
            </w:r>
            <w:r>
              <w:rPr>
                <w:rFonts w:hint="eastAsia" w:ascii="宋体" w:hAnsi="宋体" w:eastAsia="宋体" w:cs="宋体"/>
                <w:color w:val="000000"/>
                <w:sz w:val="21"/>
                <w:szCs w:val="21"/>
                <w:highlight w:val="none"/>
              </w:rPr>
              <w:t>管理部门审核后、再按照相关程序结算拨付。</w:t>
            </w:r>
          </w:p>
          <w:p w14:paraId="6A369494">
            <w:pPr>
              <w:keepNext w:val="0"/>
              <w:keepLines w:val="0"/>
              <w:pageBreakBefore w:val="0"/>
              <w:kinsoku/>
              <w:wordWrap w:val="0"/>
              <w:overflowPunct/>
              <w:topLinePunct w:val="0"/>
              <w:autoSpaceDE/>
              <w:autoSpaceDN/>
              <w:bidi w:val="0"/>
              <w:adjustRightInd w:val="0"/>
              <w:snapToGrid/>
              <w:spacing w:line="348"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七、</w:t>
            </w:r>
            <w:r>
              <w:rPr>
                <w:rFonts w:hint="eastAsia" w:ascii="宋体" w:hAnsi="宋体" w:eastAsia="宋体" w:cs="宋体"/>
                <w:color w:val="000000"/>
                <w:sz w:val="21"/>
                <w:szCs w:val="21"/>
                <w:highlight w:val="none"/>
              </w:rPr>
              <w:t>验收条件及标准：</w:t>
            </w:r>
            <w:r>
              <w:rPr>
                <w:rFonts w:hint="eastAsia" w:ascii="宋体" w:hAnsi="宋体" w:eastAsia="宋体" w:cs="宋体"/>
                <w:color w:val="000000"/>
                <w:sz w:val="21"/>
                <w:szCs w:val="21"/>
                <w:highlight w:val="none"/>
                <w:lang w:val="en-US" w:eastAsia="zh-CN"/>
              </w:rPr>
              <w:t>施工质量达到合格要求，工程质量标准必须符合现行国家有关工程施工质量验收规范和标准。严格执行广西住房和城乡自治区住建厅《关于严格实行房屋建筑和市政基础设施工程质量终身责任承诺、永久性质量责任标牌、终身责任信息档案等制度的通知》（桂建管〔2014〕96号）要求，落实建设工程质量终身责任，其余按“第六章 合同文本”“合同专用条款”</w:t>
            </w:r>
            <w:r>
              <w:rPr>
                <w:rFonts w:hint="eastAsia" w:ascii="宋体" w:hAnsi="宋体" w:eastAsia="宋体" w:cs="宋体"/>
                <w:color w:val="auto"/>
                <w:kern w:val="0"/>
                <w:sz w:val="21"/>
                <w:szCs w:val="21"/>
                <w:highlight w:val="none"/>
                <w:lang w:val="en-US" w:eastAsia="zh-CN"/>
              </w:rPr>
              <w:t>关于验收的相关规定执行</w:t>
            </w:r>
            <w:r>
              <w:rPr>
                <w:rFonts w:hint="eastAsia" w:ascii="宋体" w:hAnsi="宋体" w:eastAsia="宋体" w:cs="宋体"/>
                <w:color w:val="000000"/>
                <w:sz w:val="21"/>
                <w:szCs w:val="21"/>
                <w:highlight w:val="none"/>
                <w:lang w:val="en-US" w:eastAsia="zh-CN"/>
              </w:rPr>
              <w:t>。</w:t>
            </w:r>
          </w:p>
          <w:p w14:paraId="0887CA10">
            <w:pPr>
              <w:keepNext w:val="0"/>
              <w:keepLines w:val="0"/>
              <w:pageBreakBefore w:val="0"/>
              <w:kinsoku/>
              <w:wordWrap w:val="0"/>
              <w:overflowPunct/>
              <w:topLinePunct w:val="0"/>
              <w:autoSpaceDE/>
              <w:autoSpaceDN/>
              <w:bidi w:val="0"/>
              <w:adjustRightInd w:val="0"/>
              <w:snapToGrid/>
              <w:spacing w:line="348"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八</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报价</w:t>
            </w:r>
            <w:r>
              <w:rPr>
                <w:rFonts w:hint="eastAsia" w:ascii="宋体" w:hAnsi="宋体" w:eastAsia="宋体" w:cs="宋体"/>
                <w:color w:val="000000"/>
                <w:sz w:val="21"/>
                <w:szCs w:val="21"/>
                <w:highlight w:val="none"/>
              </w:rPr>
              <w:t>要求</w:t>
            </w:r>
          </w:p>
          <w:p w14:paraId="0C2688C3">
            <w:pPr>
              <w:keepNext w:val="0"/>
              <w:keepLines w:val="0"/>
              <w:pageBreakBefore w:val="0"/>
              <w:kinsoku/>
              <w:wordWrap w:val="0"/>
              <w:overflowPunct/>
              <w:topLinePunct w:val="0"/>
              <w:autoSpaceDE/>
              <w:autoSpaceDN/>
              <w:bidi w:val="0"/>
              <w:adjustRightInd w:val="0"/>
              <w:snapToGrid/>
              <w:spacing w:line="348"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本项目</w:t>
            </w:r>
            <w:r>
              <w:rPr>
                <w:rFonts w:hint="eastAsia" w:ascii="宋体" w:hAnsi="宋体" w:eastAsia="宋体" w:cs="宋体"/>
                <w:color w:val="000000"/>
                <w:sz w:val="21"/>
                <w:szCs w:val="21"/>
                <w:highlight w:val="none"/>
                <w:lang w:eastAsia="zh-CN"/>
              </w:rPr>
              <w:t>采用工程量清单报价</w:t>
            </w:r>
            <w:r>
              <w:rPr>
                <w:rFonts w:hint="eastAsia" w:ascii="宋体" w:hAnsi="宋体" w:eastAsia="宋体" w:cs="宋体"/>
                <w:color w:val="000000"/>
                <w:sz w:val="21"/>
                <w:szCs w:val="21"/>
                <w:highlight w:val="none"/>
                <w:lang w:val="en-US" w:eastAsia="zh-CN"/>
              </w:rPr>
              <w:t>方式</w:t>
            </w:r>
            <w:r>
              <w:rPr>
                <w:rFonts w:hint="eastAsia" w:ascii="宋体" w:hAnsi="宋体" w:eastAsia="宋体" w:cs="宋体"/>
                <w:color w:val="000000"/>
                <w:sz w:val="21"/>
                <w:szCs w:val="21"/>
                <w:highlight w:val="none"/>
                <w:lang w:eastAsia="zh-CN"/>
              </w:rPr>
              <w:t>，竞标报价不得高于最高限价及采购预算，否则竞标无效</w:t>
            </w:r>
            <w:r>
              <w:rPr>
                <w:rFonts w:hint="eastAsia" w:ascii="宋体" w:hAnsi="宋体" w:eastAsia="宋体" w:cs="宋体"/>
                <w:color w:val="000000"/>
                <w:sz w:val="21"/>
                <w:szCs w:val="21"/>
                <w:highlight w:val="none"/>
              </w:rPr>
              <w:t>。报价必须包含以下部分，包括：</w:t>
            </w:r>
          </w:p>
          <w:p w14:paraId="272B8BE5">
            <w:pPr>
              <w:keepNext w:val="0"/>
              <w:keepLines w:val="0"/>
              <w:pageBreakBefore w:val="0"/>
              <w:kinsoku/>
              <w:wordWrap w:val="0"/>
              <w:overflowPunct/>
              <w:topLinePunct w:val="0"/>
              <w:autoSpaceDE/>
              <w:autoSpaceDN/>
              <w:bidi w:val="0"/>
              <w:adjustRightInd w:val="0"/>
              <w:snapToGrid/>
              <w:spacing w:line="348"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满足本次竞标全部采购需求工程的成本、调试、检验、技术服务、培训、税费等所有费用。</w:t>
            </w:r>
          </w:p>
          <w:p w14:paraId="12BD6535">
            <w:pPr>
              <w:keepNext w:val="0"/>
              <w:keepLines w:val="0"/>
              <w:pageBreakBefore w:val="0"/>
              <w:numPr>
                <w:ilvl w:val="0"/>
                <w:numId w:val="0"/>
              </w:numPr>
              <w:kinsoku/>
              <w:wordWrap w:val="0"/>
              <w:overflowPunct/>
              <w:topLinePunct w:val="0"/>
              <w:autoSpaceDE/>
              <w:autoSpaceDN/>
              <w:bidi w:val="0"/>
              <w:adjustRightInd w:val="0"/>
              <w:snapToGrid/>
              <w:spacing w:line="348" w:lineRule="auto"/>
              <w:jc w:val="left"/>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必要的保险费和各项税金（成交供应商需为该工程购买工程一切险）</w:t>
            </w:r>
            <w:r>
              <w:rPr>
                <w:rFonts w:hint="eastAsia" w:ascii="宋体" w:hAnsi="宋体" w:eastAsia="宋体" w:cs="宋体"/>
                <w:color w:val="000000"/>
                <w:sz w:val="21"/>
                <w:szCs w:val="21"/>
                <w:highlight w:val="none"/>
                <w:lang w:eastAsia="zh-CN"/>
              </w:rPr>
              <w:t>。</w:t>
            </w:r>
          </w:p>
          <w:p w14:paraId="436D663C">
            <w:pPr>
              <w:keepNext w:val="0"/>
              <w:keepLines w:val="0"/>
              <w:pageBreakBefore w:val="0"/>
              <w:kinsoku/>
              <w:wordWrap w:val="0"/>
              <w:overflowPunct/>
              <w:topLinePunct w:val="0"/>
              <w:autoSpaceDE/>
              <w:autoSpaceDN/>
              <w:bidi w:val="0"/>
              <w:adjustRightInd w:val="0"/>
              <w:snapToGrid/>
              <w:spacing w:line="348" w:lineRule="auto"/>
              <w:jc w:val="left"/>
              <w:rPr>
                <w:rFonts w:hint="eastAsia"/>
                <w:sz w:val="21"/>
                <w:szCs w:val="21"/>
                <w:lang w:eastAsia="zh-CN"/>
              </w:rPr>
            </w:pPr>
            <w:r>
              <w:rPr>
                <w:rFonts w:hint="eastAsia" w:ascii="宋体" w:hAnsi="宋体" w:eastAsia="宋体" w:cs="宋体"/>
                <w:color w:val="000000"/>
                <w:sz w:val="21"/>
                <w:szCs w:val="21"/>
                <w:highlight w:val="none"/>
                <w:lang w:val="en-US" w:eastAsia="zh-CN"/>
              </w:rPr>
              <w:t>2.</w:t>
            </w:r>
            <w:r>
              <w:rPr>
                <w:rFonts w:hint="eastAsia" w:ascii="宋体" w:hAnsi="宋体" w:eastAsia="宋体" w:cs="宋体"/>
                <w:b/>
                <w:bCs/>
                <w:color w:val="000000"/>
                <w:sz w:val="21"/>
                <w:szCs w:val="21"/>
                <w:highlight w:val="none"/>
                <w:lang w:eastAsia="zh-CN"/>
              </w:rPr>
              <w:t>本项目采用最后报价方式。竞标人的最后报价如有变动（如最后报价无变动的，可以采用首次报价清单），则必须以招标工程量清单报价表的格式编制提交，否则竞标无效。竞标人须提前做好相关准备并按时递交最后报价文件，否则竞标无效。</w:t>
            </w:r>
          </w:p>
        </w:tc>
      </w:tr>
      <w:tr w14:paraId="392ADD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1039" w:type="dxa"/>
            <w:tcBorders>
              <w:top w:val="single" w:color="auto" w:sz="4" w:space="0"/>
              <w:left w:val="single" w:color="auto" w:sz="4" w:space="0"/>
              <w:bottom w:val="single" w:color="auto" w:sz="4" w:space="0"/>
              <w:right w:val="single" w:color="auto" w:sz="4" w:space="0"/>
            </w:tcBorders>
            <w:noWrap w:val="0"/>
            <w:vAlign w:val="center"/>
          </w:tcPr>
          <w:p w14:paraId="1AF6A8CA">
            <w:pPr>
              <w:keepNext w:val="0"/>
              <w:keepLines w:val="0"/>
              <w:pageBreakBefore w:val="0"/>
              <w:kinsoku/>
              <w:wordWrap/>
              <w:overflowPunct/>
              <w:topLinePunct w:val="0"/>
              <w:autoSpaceDE/>
              <w:autoSpaceDN/>
              <w:bidi w:val="0"/>
              <w:adjustRightInd/>
              <w:snapToGrid/>
              <w:spacing w:line="348"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其他说明</w:t>
            </w:r>
          </w:p>
        </w:tc>
        <w:tc>
          <w:tcPr>
            <w:tcW w:w="9156" w:type="dxa"/>
            <w:gridSpan w:val="6"/>
            <w:tcBorders>
              <w:top w:val="single" w:color="auto" w:sz="4" w:space="0"/>
              <w:left w:val="single" w:color="auto" w:sz="4" w:space="0"/>
              <w:bottom w:val="single" w:color="auto" w:sz="4" w:space="0"/>
              <w:right w:val="single" w:color="auto" w:sz="4" w:space="0"/>
            </w:tcBorders>
            <w:noWrap w:val="0"/>
            <w:vAlign w:val="center"/>
          </w:tcPr>
          <w:p w14:paraId="56EC624E">
            <w:pPr>
              <w:keepNext w:val="0"/>
              <w:keepLines w:val="0"/>
              <w:pageBreakBefore w:val="0"/>
              <w:widowControl/>
              <w:shd w:val="clear" w:color="auto" w:fill="FFFFFF"/>
              <w:kinsoku/>
              <w:wordWrap/>
              <w:overflowPunct/>
              <w:topLinePunct w:val="0"/>
              <w:autoSpaceDE/>
              <w:autoSpaceDN/>
              <w:bidi w:val="0"/>
              <w:adjustRightInd/>
              <w:snapToGrid/>
              <w:spacing w:line="348" w:lineRule="auto"/>
              <w:textAlignment w:val="auto"/>
              <w:rPr>
                <w:rFonts w:hint="eastAsia" w:ascii="宋体" w:hAnsi="宋体" w:eastAsia="宋体" w:cs="宋体"/>
                <w:b/>
                <w:bCs/>
                <w:color w:val="auto"/>
                <w:sz w:val="21"/>
                <w:szCs w:val="21"/>
                <w:shd w:val="clear" w:color="auto" w:fill="FFFFFF"/>
                <w:lang w:bidi="ar"/>
              </w:rPr>
            </w:pPr>
            <w:r>
              <w:rPr>
                <w:rFonts w:hint="eastAsia" w:ascii="宋体" w:hAnsi="宋体" w:eastAsia="宋体" w:cs="宋体"/>
                <w:b/>
                <w:bCs/>
                <w:color w:val="auto"/>
                <w:sz w:val="21"/>
                <w:szCs w:val="21"/>
                <w:shd w:val="clear" w:color="auto" w:fill="FFFFFF"/>
                <w:lang w:bidi="ar"/>
              </w:rPr>
              <w:t>一、其他事项说明</w:t>
            </w:r>
          </w:p>
          <w:p w14:paraId="28CDE628">
            <w:pPr>
              <w:keepNext w:val="0"/>
              <w:keepLines w:val="0"/>
              <w:pageBreakBefore w:val="0"/>
              <w:widowControl/>
              <w:shd w:val="clear" w:color="auto" w:fill="FFFFFF"/>
              <w:kinsoku/>
              <w:wordWrap/>
              <w:overflowPunct/>
              <w:topLinePunct w:val="0"/>
              <w:autoSpaceDE/>
              <w:autoSpaceDN/>
              <w:bidi w:val="0"/>
              <w:adjustRightInd/>
              <w:snapToGrid/>
              <w:spacing w:line="348" w:lineRule="auto"/>
              <w:textAlignment w:val="auto"/>
              <w:rPr>
                <w:rFonts w:hint="eastAsia" w:ascii="宋体" w:hAnsi="宋体" w:eastAsia="宋体" w:cs="宋体"/>
                <w:color w:val="auto"/>
                <w:sz w:val="21"/>
                <w:szCs w:val="21"/>
                <w:shd w:val="clear" w:color="auto" w:fill="FFFFFF"/>
                <w:lang w:bidi="ar"/>
              </w:rPr>
            </w:pPr>
            <w:r>
              <w:rPr>
                <w:rFonts w:hint="eastAsia" w:ascii="宋体" w:hAnsi="宋体" w:eastAsia="宋体" w:cs="宋体"/>
                <w:color w:val="auto"/>
                <w:sz w:val="21"/>
                <w:szCs w:val="21"/>
                <w:shd w:val="clear" w:color="auto" w:fill="FFFFFF"/>
                <w:lang w:bidi="ar"/>
              </w:rPr>
              <w:t>1</w:t>
            </w:r>
            <w:r>
              <w:rPr>
                <w:rFonts w:hint="eastAsia" w:ascii="宋体" w:hAnsi="宋体" w:eastAsia="宋体" w:cs="宋体"/>
                <w:color w:val="auto"/>
                <w:sz w:val="21"/>
                <w:szCs w:val="21"/>
                <w:shd w:val="clear" w:color="auto" w:fill="FFFFFF"/>
                <w:lang w:val="en-US" w:eastAsia="zh-CN" w:bidi="ar"/>
              </w:rPr>
              <w:t>.</w:t>
            </w:r>
            <w:r>
              <w:rPr>
                <w:rFonts w:hint="eastAsia" w:ascii="宋体" w:hAnsi="宋体" w:eastAsia="宋体" w:cs="宋体"/>
                <w:color w:val="auto"/>
                <w:sz w:val="21"/>
                <w:szCs w:val="21"/>
                <w:shd w:val="clear" w:color="auto" w:fill="FFFFFF"/>
                <w:lang w:bidi="ar"/>
              </w:rPr>
              <w:t>进口产品说明：</w:t>
            </w:r>
            <w:r>
              <w:rPr>
                <w:rFonts w:hint="eastAsia" w:ascii="宋体" w:hAnsi="宋体" w:eastAsia="宋体" w:cs="宋体"/>
                <w:color w:val="auto"/>
                <w:sz w:val="21"/>
                <w:szCs w:val="21"/>
              </w:rPr>
              <w:t>本项目不涉及进口产品。</w:t>
            </w:r>
          </w:p>
          <w:p w14:paraId="262D9D9B">
            <w:pPr>
              <w:keepNext w:val="0"/>
              <w:keepLines w:val="0"/>
              <w:pageBreakBefore w:val="0"/>
              <w:widowControl/>
              <w:shd w:val="clear" w:color="auto" w:fill="FFFFFF"/>
              <w:kinsoku/>
              <w:wordWrap/>
              <w:overflowPunct/>
              <w:topLinePunct w:val="0"/>
              <w:autoSpaceDE/>
              <w:autoSpaceDN/>
              <w:bidi w:val="0"/>
              <w:adjustRightInd/>
              <w:snapToGrid/>
              <w:spacing w:line="348" w:lineRule="auto"/>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lang w:bidi="ar"/>
              </w:rPr>
              <w:t>2</w:t>
            </w:r>
            <w:r>
              <w:rPr>
                <w:rFonts w:hint="eastAsia" w:ascii="宋体" w:hAnsi="宋体" w:eastAsia="宋体" w:cs="宋体"/>
                <w:color w:val="auto"/>
                <w:sz w:val="21"/>
                <w:szCs w:val="21"/>
                <w:shd w:val="clear" w:color="auto" w:fill="FFFFFF"/>
                <w:lang w:val="en-US" w:eastAsia="zh-CN" w:bidi="ar"/>
              </w:rPr>
              <w:t>.</w:t>
            </w:r>
            <w:r>
              <w:rPr>
                <w:rFonts w:hint="eastAsia" w:ascii="宋体" w:hAnsi="宋体" w:eastAsia="宋体" w:cs="宋体"/>
                <w:color w:val="auto"/>
                <w:sz w:val="21"/>
                <w:szCs w:val="21"/>
                <w:shd w:val="clear" w:color="auto" w:fill="FFFFFF"/>
                <w:lang w:bidi="ar"/>
              </w:rPr>
              <w:t>演示：本项目不需要进行演示。</w:t>
            </w:r>
          </w:p>
          <w:p w14:paraId="01782785">
            <w:pPr>
              <w:keepNext w:val="0"/>
              <w:keepLines w:val="0"/>
              <w:pageBreakBefore w:val="0"/>
              <w:widowControl/>
              <w:shd w:val="clear" w:color="auto" w:fill="FFFFFF"/>
              <w:kinsoku/>
              <w:wordWrap/>
              <w:overflowPunct/>
              <w:topLinePunct w:val="0"/>
              <w:autoSpaceDE/>
              <w:autoSpaceDN/>
              <w:bidi w:val="0"/>
              <w:adjustRightInd/>
              <w:snapToGrid/>
              <w:spacing w:line="348" w:lineRule="auto"/>
              <w:textAlignment w:val="auto"/>
              <w:rPr>
                <w:rFonts w:hint="eastAsia" w:ascii="宋体" w:hAnsi="宋体" w:eastAsia="宋体" w:cs="宋体"/>
                <w:color w:val="auto"/>
                <w:sz w:val="21"/>
                <w:szCs w:val="21"/>
                <w:shd w:val="clear" w:color="auto" w:fill="FFFFFF"/>
                <w:lang w:bidi="ar"/>
              </w:rPr>
            </w:pPr>
            <w:r>
              <w:rPr>
                <w:rFonts w:hint="eastAsia" w:ascii="宋体" w:hAnsi="宋体" w:eastAsia="宋体" w:cs="宋体"/>
                <w:color w:val="auto"/>
                <w:sz w:val="21"/>
                <w:szCs w:val="21"/>
                <w:shd w:val="clear" w:color="auto" w:fill="FFFFFF"/>
                <w:lang w:bidi="ar"/>
              </w:rPr>
              <w:t>3</w:t>
            </w:r>
            <w:r>
              <w:rPr>
                <w:rFonts w:hint="eastAsia" w:ascii="宋体" w:hAnsi="宋体" w:eastAsia="宋体" w:cs="宋体"/>
                <w:color w:val="auto"/>
                <w:sz w:val="21"/>
                <w:szCs w:val="21"/>
                <w:shd w:val="clear" w:color="auto" w:fill="FFFFFF"/>
                <w:lang w:val="en-US" w:eastAsia="zh-CN" w:bidi="ar"/>
              </w:rPr>
              <w:t>.</w:t>
            </w:r>
            <w:r>
              <w:rPr>
                <w:rFonts w:hint="eastAsia" w:ascii="宋体" w:hAnsi="宋体" w:eastAsia="宋体" w:cs="宋体"/>
                <w:color w:val="auto"/>
                <w:sz w:val="21"/>
                <w:szCs w:val="21"/>
                <w:shd w:val="clear" w:color="auto" w:fill="FFFFFF"/>
                <w:lang w:bidi="ar"/>
              </w:rPr>
              <w:t>样品：本项目不要求提供样品。</w:t>
            </w:r>
          </w:p>
          <w:p w14:paraId="37630675">
            <w:pPr>
              <w:keepNext w:val="0"/>
              <w:keepLines w:val="0"/>
              <w:pageBreakBefore w:val="0"/>
              <w:widowControl/>
              <w:shd w:val="clear" w:color="auto" w:fill="FFFFFF"/>
              <w:kinsoku/>
              <w:wordWrap/>
              <w:overflowPunct/>
              <w:topLinePunct w:val="0"/>
              <w:autoSpaceDE/>
              <w:autoSpaceDN/>
              <w:bidi w:val="0"/>
              <w:adjustRightInd/>
              <w:snapToGrid/>
              <w:spacing w:line="348"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本项目为</w:t>
            </w:r>
            <w:r>
              <w:rPr>
                <w:rFonts w:hint="eastAsia" w:ascii="宋体" w:hAnsi="宋体" w:eastAsia="宋体" w:cs="宋体"/>
                <w:color w:val="000000"/>
                <w:sz w:val="21"/>
                <w:szCs w:val="21"/>
                <w:lang w:val="en-US" w:eastAsia="zh-CN"/>
              </w:rPr>
              <w:t>工程</w:t>
            </w:r>
            <w:r>
              <w:rPr>
                <w:rFonts w:hint="eastAsia" w:ascii="宋体" w:hAnsi="宋体" w:eastAsia="宋体" w:cs="宋体"/>
                <w:color w:val="000000"/>
                <w:sz w:val="21"/>
                <w:szCs w:val="21"/>
              </w:rPr>
              <w:t>项目，不设核心产品。</w:t>
            </w:r>
          </w:p>
          <w:p w14:paraId="1BAB4DA6">
            <w:pPr>
              <w:keepNext w:val="0"/>
              <w:keepLines w:val="0"/>
              <w:pageBreakBefore w:val="0"/>
              <w:widowControl/>
              <w:shd w:val="clear" w:color="auto" w:fill="FFFFFF"/>
              <w:kinsoku/>
              <w:wordWrap/>
              <w:overflowPunct/>
              <w:topLinePunct w:val="0"/>
              <w:autoSpaceDE/>
              <w:autoSpaceDN/>
              <w:bidi w:val="0"/>
              <w:adjustRightInd/>
              <w:snapToGrid/>
              <w:spacing w:line="348" w:lineRule="auto"/>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现场踏勘：</w:t>
            </w:r>
            <w:r>
              <w:rPr>
                <w:rFonts w:hint="eastAsia" w:ascii="宋体" w:hAnsi="宋体" w:eastAsia="宋体" w:cs="宋体"/>
                <w:color w:val="000000"/>
                <w:sz w:val="21"/>
                <w:szCs w:val="21"/>
                <w:lang w:val="en-US" w:eastAsia="zh-CN"/>
              </w:rPr>
              <w:t>本项目不组织现场踏勘，</w:t>
            </w:r>
            <w:r>
              <w:rPr>
                <w:rFonts w:hint="eastAsia" w:ascii="宋体" w:hAnsi="宋体" w:eastAsia="宋体" w:cs="宋体"/>
                <w:color w:val="000000"/>
                <w:sz w:val="21"/>
                <w:szCs w:val="21"/>
              </w:rPr>
              <w:t>各</w:t>
            </w:r>
            <w:r>
              <w:rPr>
                <w:rFonts w:hint="eastAsia" w:ascii="宋体" w:hAnsi="宋体" w:eastAsia="宋体" w:cs="宋体"/>
                <w:color w:val="000000"/>
                <w:sz w:val="21"/>
                <w:szCs w:val="21"/>
                <w:lang w:val="en-US" w:eastAsia="zh-CN"/>
              </w:rPr>
              <w:t>供应商</w:t>
            </w:r>
            <w:r>
              <w:rPr>
                <w:rFonts w:hint="eastAsia" w:ascii="宋体" w:hAnsi="宋体" w:eastAsia="宋体" w:cs="宋体"/>
                <w:color w:val="000000"/>
                <w:sz w:val="21"/>
                <w:szCs w:val="21"/>
              </w:rPr>
              <w:t>可根据自身需要前往项目实施地点进行现场踏勘，</w:t>
            </w:r>
            <w:r>
              <w:rPr>
                <w:rFonts w:hint="eastAsia" w:ascii="宋体" w:hAnsi="宋体" w:eastAsia="宋体" w:cs="宋体"/>
                <w:color w:val="000000"/>
                <w:sz w:val="21"/>
                <w:szCs w:val="21"/>
                <w:highlight w:val="none"/>
              </w:rPr>
              <w:t>否则由于对现场情况不了解或了解不透彻导致响应失误的后果由供应商自行承担</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rPr>
              <w:t>相关费用由各</w:t>
            </w:r>
            <w:r>
              <w:rPr>
                <w:rFonts w:hint="eastAsia" w:ascii="宋体" w:hAnsi="宋体" w:eastAsia="宋体" w:cs="宋体"/>
                <w:color w:val="000000"/>
                <w:sz w:val="21"/>
                <w:szCs w:val="21"/>
                <w:lang w:val="en-US" w:eastAsia="zh-CN"/>
              </w:rPr>
              <w:t>供应商</w:t>
            </w:r>
            <w:r>
              <w:rPr>
                <w:rFonts w:hint="eastAsia" w:ascii="宋体" w:hAnsi="宋体" w:eastAsia="宋体" w:cs="宋体"/>
                <w:color w:val="000000"/>
                <w:sz w:val="21"/>
                <w:szCs w:val="21"/>
              </w:rPr>
              <w:t>自行负责。</w:t>
            </w:r>
          </w:p>
          <w:p w14:paraId="426B5D0D">
            <w:pPr>
              <w:keepNext w:val="0"/>
              <w:keepLines w:val="0"/>
              <w:pageBreakBefore w:val="0"/>
              <w:widowControl/>
              <w:shd w:val="clear" w:color="auto" w:fill="FFFFFF"/>
              <w:kinsoku/>
              <w:wordWrap/>
              <w:overflowPunct/>
              <w:topLinePunct w:val="0"/>
              <w:autoSpaceDE/>
              <w:autoSpaceDN/>
              <w:bidi w:val="0"/>
              <w:adjustRightInd/>
              <w:snapToGrid/>
              <w:spacing w:line="348" w:lineRule="auto"/>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二、其他要求（如有，请提供）</w:t>
            </w:r>
          </w:p>
          <w:p w14:paraId="2AA4C35C">
            <w:pPr>
              <w:keepNext w:val="0"/>
              <w:keepLines w:val="0"/>
              <w:pageBreakBefore w:val="0"/>
              <w:widowControl/>
              <w:shd w:val="clear" w:color="auto" w:fill="FFFFFF"/>
              <w:kinsoku/>
              <w:wordWrap/>
              <w:overflowPunct/>
              <w:topLinePunct w:val="0"/>
              <w:autoSpaceDE/>
              <w:autoSpaceDN/>
              <w:bidi w:val="0"/>
              <w:adjustRightInd/>
              <w:snapToGrid/>
              <w:spacing w:line="348" w:lineRule="auto"/>
              <w:jc w:val="left"/>
              <w:textAlignment w:val="auto"/>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lang w:val="en-US" w:eastAsia="zh-CN"/>
              </w:rPr>
              <w:t>1.</w:t>
            </w:r>
            <w:r>
              <w:rPr>
                <w:rFonts w:hint="eastAsia" w:ascii="宋体" w:hAnsi="宋体" w:eastAsia="宋体" w:cs="宋体"/>
                <w:b w:val="0"/>
                <w:bCs w:val="0"/>
                <w:color w:val="000000"/>
                <w:sz w:val="21"/>
                <w:szCs w:val="21"/>
                <w:highlight w:val="none"/>
              </w:rPr>
              <w:t>与本</w:t>
            </w:r>
            <w:r>
              <w:rPr>
                <w:rFonts w:hint="eastAsia" w:ascii="宋体" w:hAnsi="宋体" w:eastAsia="宋体" w:cs="宋体"/>
                <w:b w:val="0"/>
                <w:bCs w:val="0"/>
                <w:color w:val="000000"/>
                <w:sz w:val="21"/>
                <w:szCs w:val="21"/>
                <w:highlight w:val="none"/>
                <w:lang w:val="en-US" w:eastAsia="zh-CN"/>
              </w:rPr>
              <w:t>项目</w:t>
            </w:r>
            <w:r>
              <w:rPr>
                <w:rFonts w:hint="eastAsia" w:ascii="宋体" w:hAnsi="宋体" w:eastAsia="宋体" w:cs="宋体"/>
                <w:b w:val="0"/>
                <w:bCs w:val="0"/>
                <w:color w:val="000000"/>
                <w:sz w:val="21"/>
                <w:szCs w:val="21"/>
                <w:highlight w:val="none"/>
              </w:rPr>
              <w:t>的图纸、</w:t>
            </w:r>
            <w:r>
              <w:rPr>
                <w:rFonts w:hint="eastAsia" w:ascii="宋体" w:hAnsi="宋体" w:eastAsia="宋体" w:cs="宋体"/>
                <w:b w:val="0"/>
                <w:bCs w:val="0"/>
                <w:color w:val="000000"/>
                <w:sz w:val="21"/>
                <w:szCs w:val="21"/>
                <w:highlight w:val="none"/>
                <w:lang w:val="en-US" w:eastAsia="zh-CN"/>
              </w:rPr>
              <w:t>招标控制价</w:t>
            </w:r>
            <w:r>
              <w:rPr>
                <w:rFonts w:hint="eastAsia" w:ascii="宋体" w:hAnsi="宋体" w:eastAsia="宋体" w:cs="宋体"/>
                <w:b w:val="0"/>
                <w:bCs w:val="0"/>
                <w:color w:val="000000"/>
                <w:sz w:val="21"/>
                <w:szCs w:val="21"/>
                <w:highlight w:val="none"/>
              </w:rPr>
              <w:t>及其获取方式</w:t>
            </w:r>
          </w:p>
          <w:p w14:paraId="0A11313E">
            <w:pPr>
              <w:keepNext w:val="0"/>
              <w:keepLines w:val="0"/>
              <w:pageBreakBefore w:val="0"/>
              <w:widowControl/>
              <w:shd w:val="clear" w:color="auto" w:fill="FFFFFF"/>
              <w:kinsoku/>
              <w:wordWrap/>
              <w:overflowPunct/>
              <w:topLinePunct w:val="0"/>
              <w:autoSpaceDE/>
              <w:autoSpaceDN/>
              <w:bidi w:val="0"/>
              <w:adjustRightInd/>
              <w:snapToGrid/>
              <w:spacing w:line="348" w:lineRule="auto"/>
              <w:jc w:val="left"/>
              <w:textAlignment w:val="auto"/>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资料名称：</w:t>
            </w:r>
            <w:r>
              <w:rPr>
                <w:rFonts w:hint="eastAsia" w:ascii="宋体" w:hAnsi="宋体" w:eastAsia="宋体" w:cs="宋体"/>
                <w:b w:val="0"/>
                <w:bCs w:val="0"/>
                <w:color w:val="000000"/>
                <w:sz w:val="21"/>
                <w:szCs w:val="21"/>
                <w:highlight w:val="none"/>
                <w:lang w:val="en-US" w:eastAsia="zh-CN"/>
              </w:rPr>
              <w:t>1</w:t>
            </w:r>
            <w:r>
              <w:rPr>
                <w:rFonts w:hint="eastAsia" w:ascii="宋体" w:hAnsi="宋体" w:eastAsia="宋体" w:cs="宋体"/>
                <w:b w:val="0"/>
                <w:bCs w:val="0"/>
                <w:color w:val="000000"/>
                <w:sz w:val="21"/>
                <w:szCs w:val="21"/>
                <w:highlight w:val="none"/>
              </w:rPr>
              <w:t>、招标控制价；</w:t>
            </w:r>
            <w:r>
              <w:rPr>
                <w:rFonts w:hint="eastAsia" w:ascii="宋体" w:hAnsi="宋体" w:eastAsia="宋体" w:cs="宋体"/>
                <w:b w:val="0"/>
                <w:bCs w:val="0"/>
                <w:color w:val="000000"/>
                <w:sz w:val="21"/>
                <w:szCs w:val="21"/>
                <w:highlight w:val="none"/>
                <w:lang w:val="en-US" w:eastAsia="zh-CN"/>
              </w:rPr>
              <w:t>2</w:t>
            </w:r>
            <w:r>
              <w:rPr>
                <w:rFonts w:hint="eastAsia" w:ascii="宋体" w:hAnsi="宋体" w:eastAsia="宋体" w:cs="宋体"/>
                <w:b w:val="0"/>
                <w:bCs w:val="0"/>
                <w:color w:val="000000"/>
                <w:sz w:val="21"/>
                <w:szCs w:val="21"/>
                <w:highlight w:val="none"/>
              </w:rPr>
              <w:t>、图纸。</w:t>
            </w:r>
          </w:p>
          <w:p w14:paraId="3DDD42CF">
            <w:pPr>
              <w:keepNext w:val="0"/>
              <w:keepLines w:val="0"/>
              <w:pageBreakBefore w:val="0"/>
              <w:widowControl/>
              <w:shd w:val="clear" w:color="auto" w:fill="FFFFFF"/>
              <w:kinsoku/>
              <w:wordWrap/>
              <w:overflowPunct/>
              <w:topLinePunct w:val="0"/>
              <w:autoSpaceDE/>
              <w:autoSpaceDN/>
              <w:bidi w:val="0"/>
              <w:adjustRightInd/>
              <w:snapToGrid/>
              <w:spacing w:line="348" w:lineRule="auto"/>
              <w:jc w:val="left"/>
              <w:textAlignment w:val="auto"/>
              <w:rPr>
                <w:rFonts w:hint="eastAsia" w:ascii="宋体" w:hAnsi="宋体" w:eastAsia="宋体" w:cs="宋体"/>
                <w:color w:val="000000"/>
                <w:sz w:val="21"/>
                <w:szCs w:val="21"/>
                <w:highlight w:val="none"/>
              </w:rPr>
            </w:pPr>
            <w:r>
              <w:rPr>
                <w:rFonts w:hint="eastAsia" w:ascii="宋体" w:hAnsi="宋体" w:eastAsia="宋体" w:cs="宋体"/>
                <w:b w:val="0"/>
                <w:bCs w:val="0"/>
                <w:color w:val="000000"/>
                <w:sz w:val="21"/>
                <w:szCs w:val="21"/>
                <w:highlight w:val="none"/>
              </w:rPr>
              <w:t>获取方式：网上下载。供应商可自行在广西政府采购云平台（https://www.gcy.zfcg.gxzf.gov.cn/）下载相关资料，方式同采购文件获取方式。</w:t>
            </w:r>
          </w:p>
        </w:tc>
      </w:tr>
    </w:tbl>
    <w:p w14:paraId="7EE8A5CC">
      <w:pPr>
        <w:keepNext w:val="0"/>
        <w:keepLines w:val="0"/>
        <w:pageBreakBefore w:val="0"/>
        <w:kinsoku/>
        <w:overflowPunct/>
        <w:topLinePunct w:val="0"/>
        <w:autoSpaceDE/>
        <w:autoSpaceDN/>
        <w:bidi w:val="0"/>
        <w:snapToGrid/>
        <w:spacing w:line="348" w:lineRule="auto"/>
        <w:ind w:firstLine="420" w:firstLineChars="200"/>
        <w:jc w:val="left"/>
        <w:rPr>
          <w:rFonts w:hint="eastAsia" w:ascii="宋体" w:hAnsi="宋体"/>
          <w:color w:val="000000"/>
          <w:highlight w:val="none"/>
        </w:rPr>
      </w:pPr>
    </w:p>
    <w:p w14:paraId="63B6B904">
      <w:pPr>
        <w:spacing w:line="420" w:lineRule="exact"/>
        <w:ind w:firstLine="420" w:firstLineChars="200"/>
        <w:jc w:val="left"/>
        <w:rPr>
          <w:rFonts w:hint="eastAsia" w:ascii="宋体" w:hAnsi="宋体"/>
          <w:color w:val="000000"/>
          <w:highlight w:val="none"/>
        </w:rPr>
      </w:pPr>
    </w:p>
    <w:p w14:paraId="6A024AF1">
      <w:pPr>
        <w:jc w:val="left"/>
        <w:rPr>
          <w:rFonts w:hint="eastAsia" w:ascii="宋体" w:hAnsi="宋体" w:cs="Arial Unicode MS"/>
          <w:color w:val="000000"/>
          <w:kern w:val="0"/>
          <w:sz w:val="32"/>
          <w:szCs w:val="32"/>
          <w:highlight w:val="none"/>
        </w:rPr>
      </w:pPr>
    </w:p>
    <w:p w14:paraId="27A25AA2">
      <w:pP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14:paraId="4EC26CC8">
      <w:pPr>
        <w:spacing w:line="428" w:lineRule="exact"/>
        <w:ind w:left="119"/>
        <w:rPr>
          <w:rFonts w:hint="eastAsia" w:ascii="宋体" w:hAnsi="宋体" w:eastAsia="宋体" w:cs="宋体"/>
          <w:color w:val="auto"/>
          <w:kern w:val="0"/>
          <w:sz w:val="32"/>
          <w:szCs w:val="32"/>
          <w:highlight w:val="none"/>
        </w:rPr>
      </w:pPr>
      <w:r>
        <w:rPr>
          <w:rFonts w:hint="eastAsia" w:ascii="宋体" w:hAnsi="宋体" w:eastAsia="宋体" w:cs="宋体"/>
          <w:color w:val="auto"/>
          <w:sz w:val="32"/>
          <w:szCs w:val="32"/>
          <w:highlight w:val="none"/>
        </w:rPr>
        <w:t>附件</w:t>
      </w:r>
      <w:r>
        <w:rPr>
          <w:rFonts w:hint="eastAsia" w:ascii="宋体" w:hAnsi="宋体" w:cs="宋体"/>
          <w:color w:val="auto"/>
          <w:sz w:val="32"/>
          <w:szCs w:val="32"/>
          <w:highlight w:val="none"/>
          <w:lang w:val="en-US" w:eastAsia="zh-CN"/>
        </w:rPr>
        <w:t>1</w:t>
      </w:r>
      <w:r>
        <w:rPr>
          <w:rFonts w:hint="eastAsia" w:ascii="宋体" w:hAnsi="宋体" w:eastAsia="宋体" w:cs="宋体"/>
          <w:color w:val="auto"/>
          <w:sz w:val="32"/>
          <w:szCs w:val="32"/>
          <w:highlight w:val="none"/>
        </w:rPr>
        <w:t>：</w:t>
      </w:r>
    </w:p>
    <w:p w14:paraId="7023E6A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cs="宋体"/>
          <w:color w:val="auto"/>
          <w:kern w:val="0"/>
          <w:sz w:val="24"/>
          <w:szCs w:val="24"/>
          <w:highlight w:val="none"/>
          <w:lang w:val="en-US" w:eastAsia="zh-CN" w:bidi="hi-IN"/>
        </w:rPr>
      </w:pPr>
      <w:bookmarkStart w:id="34" w:name="_Toc78449871"/>
      <w:bookmarkStart w:id="35" w:name="_Toc407135286"/>
      <w:r>
        <w:rPr>
          <w:rFonts w:hint="eastAsia" w:ascii="宋体" w:hAnsi="宋体" w:eastAsia="宋体" w:cs="宋体"/>
          <w:b/>
          <w:color w:val="auto"/>
          <w:kern w:val="0"/>
          <w:sz w:val="32"/>
          <w:szCs w:val="20"/>
          <w:highlight w:val="none"/>
          <w:lang w:bidi="hi-IN"/>
        </w:rPr>
        <w:t>已标价工程量清单编制说明</w:t>
      </w:r>
      <w:bookmarkEnd w:id="34"/>
      <w:bookmarkEnd w:id="35"/>
    </w:p>
    <w:p w14:paraId="7A5E1266">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kern w:val="0"/>
          <w:sz w:val="21"/>
          <w:szCs w:val="21"/>
          <w:highlight w:val="none"/>
          <w:lang w:bidi="hi-IN"/>
        </w:rPr>
      </w:pPr>
      <w:r>
        <w:rPr>
          <w:rFonts w:hint="eastAsia" w:ascii="宋体" w:hAnsi="宋体" w:eastAsia="宋体" w:cs="宋体"/>
          <w:color w:val="auto"/>
          <w:kern w:val="0"/>
          <w:sz w:val="21"/>
          <w:szCs w:val="21"/>
          <w:highlight w:val="none"/>
          <w:lang w:val="en-US" w:eastAsia="zh-CN" w:bidi="hi-IN"/>
        </w:rPr>
        <w:t>1、</w:t>
      </w:r>
      <w:r>
        <w:rPr>
          <w:rFonts w:hint="eastAsia" w:ascii="宋体" w:hAnsi="宋体" w:eastAsia="宋体" w:cs="宋体"/>
          <w:color w:val="auto"/>
          <w:kern w:val="0"/>
          <w:sz w:val="21"/>
          <w:szCs w:val="21"/>
          <w:highlight w:val="none"/>
          <w:lang w:bidi="hi-IN"/>
        </w:rPr>
        <w:t>供应商应依据</w:t>
      </w:r>
      <w:r>
        <w:rPr>
          <w:rFonts w:hint="eastAsia" w:ascii="宋体" w:hAnsi="宋体" w:eastAsia="宋体" w:cs="宋体"/>
          <w:color w:val="auto"/>
          <w:kern w:val="0"/>
          <w:sz w:val="21"/>
          <w:szCs w:val="21"/>
          <w:highlight w:val="none"/>
          <w:lang w:val="en-US" w:eastAsia="zh-CN" w:bidi="hi-IN"/>
        </w:rPr>
        <w:t>竞争性</w:t>
      </w:r>
      <w:r>
        <w:rPr>
          <w:rFonts w:hint="eastAsia" w:ascii="宋体" w:hAnsi="宋体" w:eastAsia="宋体" w:cs="宋体"/>
          <w:color w:val="auto"/>
          <w:kern w:val="0"/>
          <w:sz w:val="21"/>
          <w:szCs w:val="21"/>
          <w:highlight w:val="none"/>
          <w:lang w:eastAsia="zh-CN" w:bidi="hi-IN"/>
        </w:rPr>
        <w:t>磋商文件</w:t>
      </w:r>
      <w:r>
        <w:rPr>
          <w:rFonts w:hint="eastAsia" w:ascii="宋体" w:hAnsi="宋体" w:eastAsia="宋体" w:cs="宋体"/>
          <w:color w:val="auto"/>
          <w:kern w:val="0"/>
          <w:sz w:val="21"/>
          <w:szCs w:val="21"/>
          <w:highlight w:val="none"/>
          <w:lang w:bidi="hi-IN"/>
        </w:rPr>
        <w:t>、</w:t>
      </w:r>
      <w:r>
        <w:rPr>
          <w:rFonts w:hint="eastAsia" w:ascii="宋体" w:hAnsi="宋体" w:eastAsia="宋体" w:cs="宋体"/>
          <w:color w:val="auto"/>
          <w:kern w:val="0"/>
          <w:sz w:val="21"/>
          <w:szCs w:val="21"/>
          <w:highlight w:val="none"/>
          <w:lang w:val="en-US" w:eastAsia="zh-CN" w:bidi="hi-IN"/>
        </w:rPr>
        <w:t>招标控制价</w:t>
      </w:r>
      <w:r>
        <w:rPr>
          <w:rFonts w:hint="eastAsia" w:ascii="宋体" w:hAnsi="宋体" w:eastAsia="宋体" w:cs="宋体"/>
          <w:color w:val="auto"/>
          <w:kern w:val="0"/>
          <w:sz w:val="21"/>
          <w:szCs w:val="21"/>
          <w:highlight w:val="none"/>
          <w:lang w:bidi="hi-IN"/>
        </w:rPr>
        <w:t>以及</w:t>
      </w:r>
      <w:r>
        <w:rPr>
          <w:rFonts w:hint="eastAsia" w:ascii="宋体" w:hAnsi="宋体" w:eastAsia="宋体" w:cs="宋体"/>
          <w:color w:val="auto"/>
          <w:kern w:val="0"/>
          <w:sz w:val="21"/>
          <w:szCs w:val="21"/>
          <w:highlight w:val="none"/>
          <w:lang w:val="en-US" w:eastAsia="zh-CN" w:bidi="hi-IN"/>
        </w:rPr>
        <w:t>相关</w:t>
      </w:r>
      <w:r>
        <w:rPr>
          <w:rFonts w:hint="eastAsia" w:ascii="宋体" w:hAnsi="宋体" w:eastAsia="宋体" w:cs="宋体"/>
          <w:color w:val="auto"/>
          <w:kern w:val="0"/>
          <w:sz w:val="21"/>
          <w:szCs w:val="21"/>
          <w:highlight w:val="none"/>
          <w:lang w:bidi="hi-IN"/>
        </w:rPr>
        <w:t>《计价规范》、《计算规范》自主报价，报价不得违反计价规范强制性条文规定。供应商不得采用总价让利或以百分比让利等形式进行报价，任何优惠（或降价、让利）均应反映在相应清单项目的综合单价中。同时，不得出现任意一项单价重大让利，不得以自有机械闲置、自有材料等不计成本为由低于工程成本报价。</w:t>
      </w:r>
    </w:p>
    <w:p w14:paraId="308BC6DF">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kern w:val="0"/>
          <w:sz w:val="21"/>
          <w:szCs w:val="21"/>
          <w:highlight w:val="none"/>
          <w:lang w:bidi="hi-IN"/>
        </w:rPr>
      </w:pPr>
      <w:r>
        <w:rPr>
          <w:rFonts w:hint="eastAsia" w:ascii="宋体" w:hAnsi="宋体" w:eastAsia="宋体" w:cs="宋体"/>
          <w:color w:val="auto"/>
          <w:kern w:val="0"/>
          <w:sz w:val="21"/>
          <w:szCs w:val="21"/>
          <w:highlight w:val="none"/>
          <w:lang w:val="en-US" w:eastAsia="zh-CN" w:bidi="hi-IN"/>
        </w:rPr>
        <w:t>2、</w:t>
      </w:r>
      <w:r>
        <w:rPr>
          <w:rFonts w:hint="eastAsia" w:ascii="宋体" w:hAnsi="宋体" w:eastAsia="宋体" w:cs="宋体"/>
          <w:color w:val="auto"/>
          <w:kern w:val="0"/>
          <w:sz w:val="21"/>
          <w:szCs w:val="21"/>
          <w:highlight w:val="none"/>
          <w:lang w:bidi="hi-IN"/>
        </w:rPr>
        <w:t>供应商应按</w:t>
      </w:r>
      <w:r>
        <w:rPr>
          <w:rFonts w:hint="eastAsia" w:ascii="宋体" w:hAnsi="宋体" w:eastAsia="宋体" w:cs="宋体"/>
          <w:color w:val="auto"/>
          <w:kern w:val="0"/>
          <w:sz w:val="21"/>
          <w:szCs w:val="21"/>
          <w:highlight w:val="none"/>
          <w:lang w:val="en-US" w:eastAsia="zh-CN" w:bidi="hi-IN"/>
        </w:rPr>
        <w:t>招标控制价所列内容</w:t>
      </w:r>
      <w:r>
        <w:rPr>
          <w:rFonts w:hint="eastAsia" w:ascii="宋体" w:hAnsi="宋体" w:eastAsia="宋体" w:cs="宋体"/>
          <w:color w:val="auto"/>
          <w:kern w:val="0"/>
          <w:sz w:val="21"/>
          <w:szCs w:val="21"/>
          <w:highlight w:val="none"/>
          <w:lang w:bidi="hi-IN"/>
        </w:rPr>
        <w:t>填报价格。项目编码、</w:t>
      </w:r>
      <w:r>
        <w:rPr>
          <w:rFonts w:hint="default" w:ascii="宋体" w:hAnsi="宋体" w:eastAsia="宋体" w:cs="宋体"/>
          <w:color w:val="auto"/>
          <w:kern w:val="0"/>
          <w:sz w:val="21"/>
          <w:szCs w:val="21"/>
          <w:highlight w:val="none"/>
          <w:lang w:val="en-US" w:bidi="hi-IN"/>
        </w:rPr>
        <w:t>项目</w:t>
      </w:r>
      <w:r>
        <w:rPr>
          <w:rFonts w:hint="eastAsia" w:ascii="宋体" w:hAnsi="宋体" w:eastAsia="宋体" w:cs="宋体"/>
          <w:color w:val="auto"/>
          <w:kern w:val="0"/>
          <w:sz w:val="21"/>
          <w:szCs w:val="21"/>
          <w:highlight w:val="none"/>
          <w:lang w:bidi="hi-IN"/>
        </w:rPr>
        <w:t>名称、项目特征、计量单位、工程量必须与</w:t>
      </w:r>
      <w:r>
        <w:rPr>
          <w:rFonts w:hint="eastAsia" w:ascii="宋体" w:hAnsi="宋体" w:eastAsia="宋体" w:cs="宋体"/>
          <w:color w:val="auto"/>
          <w:kern w:val="0"/>
          <w:sz w:val="21"/>
          <w:szCs w:val="21"/>
          <w:highlight w:val="none"/>
          <w:lang w:val="en-US" w:eastAsia="zh-CN" w:bidi="hi-IN"/>
        </w:rPr>
        <w:t>招标控制价</w:t>
      </w:r>
      <w:r>
        <w:rPr>
          <w:rFonts w:hint="eastAsia" w:ascii="宋体" w:hAnsi="宋体" w:eastAsia="宋体" w:cs="宋体"/>
          <w:color w:val="auto"/>
          <w:kern w:val="0"/>
          <w:sz w:val="21"/>
          <w:szCs w:val="21"/>
          <w:highlight w:val="none"/>
          <w:lang w:bidi="hi-IN"/>
        </w:rPr>
        <w:t>一致，供应商不得对</w:t>
      </w:r>
      <w:r>
        <w:rPr>
          <w:rFonts w:hint="eastAsia" w:ascii="宋体" w:hAnsi="宋体" w:eastAsia="宋体" w:cs="宋体"/>
          <w:color w:val="auto"/>
          <w:kern w:val="0"/>
          <w:sz w:val="21"/>
          <w:szCs w:val="21"/>
          <w:highlight w:val="none"/>
          <w:lang w:val="en-US" w:eastAsia="zh-CN" w:bidi="hi-IN"/>
        </w:rPr>
        <w:t>招标控制价所列</w:t>
      </w:r>
      <w:r>
        <w:rPr>
          <w:rFonts w:hint="eastAsia" w:ascii="宋体" w:hAnsi="宋体" w:eastAsia="宋体" w:cs="宋体"/>
          <w:color w:val="auto"/>
          <w:kern w:val="0"/>
          <w:sz w:val="21"/>
          <w:szCs w:val="21"/>
          <w:highlight w:val="none"/>
          <w:lang w:bidi="hi-IN"/>
        </w:rPr>
        <w:t>项目进行增减调整。</w:t>
      </w:r>
    </w:p>
    <w:p w14:paraId="68A3396D">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kern w:val="0"/>
          <w:sz w:val="21"/>
          <w:szCs w:val="21"/>
          <w:highlight w:val="none"/>
          <w:lang w:bidi="hi-IN"/>
        </w:rPr>
      </w:pPr>
      <w:r>
        <w:rPr>
          <w:rFonts w:hint="eastAsia" w:ascii="宋体" w:hAnsi="宋体" w:eastAsia="宋体" w:cs="宋体"/>
          <w:color w:val="auto"/>
          <w:kern w:val="0"/>
          <w:sz w:val="21"/>
          <w:szCs w:val="21"/>
          <w:highlight w:val="none"/>
          <w:lang w:val="en-US" w:eastAsia="zh-CN" w:bidi="hi-IN"/>
        </w:rPr>
        <w:t>3、</w:t>
      </w:r>
      <w:r>
        <w:rPr>
          <w:rFonts w:hint="eastAsia" w:ascii="宋体" w:hAnsi="宋体" w:eastAsia="宋体" w:cs="宋体"/>
          <w:color w:val="auto"/>
          <w:kern w:val="0"/>
          <w:sz w:val="21"/>
          <w:szCs w:val="21"/>
          <w:highlight w:val="none"/>
          <w:lang w:bidi="hi-IN"/>
        </w:rPr>
        <w:t>综合单价中应包含</w:t>
      </w:r>
      <w:r>
        <w:rPr>
          <w:rFonts w:hint="eastAsia" w:ascii="宋体" w:hAnsi="宋体" w:eastAsia="宋体" w:cs="宋体"/>
          <w:color w:val="auto"/>
          <w:kern w:val="0"/>
          <w:sz w:val="21"/>
          <w:szCs w:val="21"/>
          <w:highlight w:val="none"/>
          <w:lang w:val="en-US" w:eastAsia="zh-CN" w:bidi="hi-IN"/>
        </w:rPr>
        <w:t>竞争性</w:t>
      </w:r>
      <w:r>
        <w:rPr>
          <w:rFonts w:hint="eastAsia" w:ascii="宋体" w:hAnsi="宋体" w:eastAsia="宋体" w:cs="宋体"/>
          <w:color w:val="auto"/>
          <w:kern w:val="0"/>
          <w:sz w:val="21"/>
          <w:szCs w:val="21"/>
          <w:highlight w:val="none"/>
          <w:lang w:eastAsia="zh-CN" w:bidi="hi-IN"/>
        </w:rPr>
        <w:t>磋商文件</w:t>
      </w:r>
      <w:r>
        <w:rPr>
          <w:rFonts w:hint="eastAsia" w:ascii="宋体" w:hAnsi="宋体" w:eastAsia="宋体" w:cs="宋体"/>
          <w:color w:val="auto"/>
          <w:kern w:val="0"/>
          <w:sz w:val="21"/>
          <w:szCs w:val="21"/>
          <w:highlight w:val="none"/>
          <w:lang w:bidi="hi-IN"/>
        </w:rPr>
        <w:t>中划分的应由供应商承担的风险范围及其费用。</w:t>
      </w:r>
    </w:p>
    <w:p w14:paraId="561B21D7">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kern w:val="0"/>
          <w:sz w:val="21"/>
          <w:szCs w:val="21"/>
          <w:highlight w:val="none"/>
          <w:lang w:bidi="hi-IN"/>
        </w:rPr>
      </w:pPr>
      <w:r>
        <w:rPr>
          <w:rFonts w:hint="eastAsia" w:ascii="宋体" w:hAnsi="宋体" w:eastAsia="宋体" w:cs="宋体"/>
          <w:color w:val="auto"/>
          <w:kern w:val="0"/>
          <w:sz w:val="21"/>
          <w:szCs w:val="21"/>
          <w:highlight w:val="none"/>
          <w:lang w:val="en-US" w:eastAsia="zh-CN" w:bidi="hi-IN"/>
        </w:rPr>
        <w:t>4、</w:t>
      </w:r>
      <w:r>
        <w:rPr>
          <w:rFonts w:hint="eastAsia" w:ascii="宋体" w:hAnsi="宋体" w:eastAsia="宋体" w:cs="宋体"/>
          <w:color w:val="auto"/>
          <w:kern w:val="0"/>
          <w:sz w:val="21"/>
          <w:szCs w:val="21"/>
          <w:highlight w:val="none"/>
          <w:lang w:bidi="hi-IN"/>
        </w:rPr>
        <w:t>分部分项工程项目和单价措施项目，应根据</w:t>
      </w:r>
      <w:r>
        <w:rPr>
          <w:rFonts w:hint="eastAsia" w:ascii="宋体" w:hAnsi="宋体" w:eastAsia="宋体" w:cs="宋体"/>
          <w:color w:val="auto"/>
          <w:kern w:val="0"/>
          <w:sz w:val="21"/>
          <w:szCs w:val="21"/>
          <w:highlight w:val="none"/>
          <w:lang w:val="en-US" w:eastAsia="zh-CN" w:bidi="hi-IN"/>
        </w:rPr>
        <w:t>竞争性</w:t>
      </w:r>
      <w:r>
        <w:rPr>
          <w:rFonts w:hint="eastAsia" w:ascii="宋体" w:hAnsi="宋体" w:eastAsia="宋体" w:cs="宋体"/>
          <w:color w:val="auto"/>
          <w:kern w:val="0"/>
          <w:sz w:val="21"/>
          <w:szCs w:val="21"/>
          <w:highlight w:val="none"/>
          <w:lang w:eastAsia="zh-CN" w:bidi="hi-IN"/>
        </w:rPr>
        <w:t>磋商文件</w:t>
      </w:r>
      <w:r>
        <w:rPr>
          <w:rFonts w:hint="eastAsia" w:ascii="宋体" w:hAnsi="宋体" w:eastAsia="宋体" w:cs="宋体"/>
          <w:color w:val="auto"/>
          <w:kern w:val="0"/>
          <w:sz w:val="21"/>
          <w:szCs w:val="21"/>
          <w:highlight w:val="none"/>
          <w:lang w:bidi="hi-IN"/>
        </w:rPr>
        <w:t>和</w:t>
      </w:r>
      <w:r>
        <w:rPr>
          <w:rFonts w:hint="eastAsia" w:ascii="宋体" w:hAnsi="宋体" w:eastAsia="宋体" w:cs="宋体"/>
          <w:color w:val="auto"/>
          <w:kern w:val="0"/>
          <w:sz w:val="21"/>
          <w:szCs w:val="21"/>
          <w:highlight w:val="none"/>
          <w:lang w:val="en-US" w:eastAsia="zh-CN" w:bidi="hi-IN"/>
        </w:rPr>
        <w:t>招标控制价所列</w:t>
      </w:r>
      <w:r>
        <w:rPr>
          <w:rFonts w:hint="eastAsia" w:ascii="宋体" w:hAnsi="宋体" w:eastAsia="宋体" w:cs="宋体"/>
          <w:color w:val="auto"/>
          <w:kern w:val="0"/>
          <w:sz w:val="21"/>
          <w:szCs w:val="21"/>
          <w:highlight w:val="none"/>
          <w:lang w:bidi="hi-IN"/>
        </w:rPr>
        <w:t>项目中的特征描述确定综合单价计算。如出现</w:t>
      </w:r>
      <w:r>
        <w:rPr>
          <w:rFonts w:hint="eastAsia" w:ascii="宋体" w:hAnsi="宋体" w:eastAsia="宋体" w:cs="宋体"/>
          <w:color w:val="auto"/>
          <w:kern w:val="0"/>
          <w:sz w:val="21"/>
          <w:szCs w:val="21"/>
          <w:highlight w:val="none"/>
          <w:lang w:val="en-US" w:eastAsia="zh-CN" w:bidi="hi-IN"/>
        </w:rPr>
        <w:t>招标控制价</w:t>
      </w:r>
      <w:r>
        <w:rPr>
          <w:rFonts w:hint="eastAsia" w:ascii="宋体" w:hAnsi="宋体" w:eastAsia="宋体" w:cs="宋体"/>
          <w:color w:val="auto"/>
          <w:kern w:val="0"/>
          <w:sz w:val="21"/>
          <w:szCs w:val="21"/>
          <w:highlight w:val="none"/>
          <w:lang w:bidi="hi-IN"/>
        </w:rPr>
        <w:t>特征描述与</w:t>
      </w:r>
      <w:r>
        <w:rPr>
          <w:rFonts w:hint="eastAsia" w:ascii="宋体" w:hAnsi="宋体" w:eastAsia="宋体" w:cs="宋体"/>
          <w:color w:val="auto"/>
          <w:kern w:val="0"/>
          <w:sz w:val="21"/>
          <w:szCs w:val="21"/>
          <w:highlight w:val="none"/>
          <w:lang w:val="en-US" w:eastAsia="zh-CN" w:bidi="hi-IN"/>
        </w:rPr>
        <w:t>施工</w:t>
      </w:r>
      <w:r>
        <w:rPr>
          <w:rFonts w:hint="eastAsia" w:ascii="宋体" w:hAnsi="宋体" w:eastAsia="宋体" w:cs="宋体"/>
          <w:color w:val="auto"/>
          <w:kern w:val="0"/>
          <w:sz w:val="21"/>
          <w:szCs w:val="21"/>
          <w:highlight w:val="none"/>
          <w:lang w:bidi="hi-IN"/>
        </w:rPr>
        <w:t>图纸不符时，供应商应以</w:t>
      </w:r>
      <w:r>
        <w:rPr>
          <w:rFonts w:hint="eastAsia" w:ascii="宋体" w:hAnsi="宋体" w:eastAsia="宋体" w:cs="宋体"/>
          <w:color w:val="auto"/>
          <w:kern w:val="0"/>
          <w:sz w:val="21"/>
          <w:szCs w:val="21"/>
          <w:highlight w:val="none"/>
          <w:lang w:val="en-US" w:eastAsia="zh-CN" w:bidi="hi-IN"/>
        </w:rPr>
        <w:t>招标控制价</w:t>
      </w:r>
      <w:r>
        <w:rPr>
          <w:rFonts w:hint="eastAsia" w:ascii="宋体" w:hAnsi="宋体" w:eastAsia="宋体" w:cs="宋体"/>
          <w:color w:val="auto"/>
          <w:kern w:val="0"/>
          <w:sz w:val="21"/>
          <w:szCs w:val="21"/>
          <w:highlight w:val="none"/>
          <w:lang w:bidi="hi-IN"/>
        </w:rPr>
        <w:t>的项目特征描述为准，确定综合单价。</w:t>
      </w:r>
    </w:p>
    <w:p w14:paraId="015BB58F">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kern w:val="0"/>
          <w:sz w:val="21"/>
          <w:szCs w:val="21"/>
          <w:highlight w:val="none"/>
          <w:lang w:bidi="hi-IN"/>
        </w:rPr>
      </w:pPr>
      <w:r>
        <w:rPr>
          <w:rFonts w:hint="eastAsia" w:ascii="宋体" w:hAnsi="宋体" w:eastAsia="宋体" w:cs="宋体"/>
          <w:color w:val="auto"/>
          <w:kern w:val="0"/>
          <w:sz w:val="21"/>
          <w:szCs w:val="21"/>
          <w:highlight w:val="none"/>
          <w:lang w:val="en-US" w:eastAsia="zh-CN" w:bidi="hi-IN"/>
        </w:rPr>
        <w:t>5、</w:t>
      </w:r>
      <w:r>
        <w:rPr>
          <w:rFonts w:hint="eastAsia" w:ascii="宋体" w:hAnsi="宋体" w:eastAsia="宋体" w:cs="宋体"/>
          <w:color w:val="auto"/>
          <w:kern w:val="0"/>
          <w:sz w:val="21"/>
          <w:szCs w:val="21"/>
          <w:highlight w:val="none"/>
          <w:lang w:bidi="hi-IN"/>
        </w:rPr>
        <w:t>总价措施项目的金额应根据</w:t>
      </w:r>
      <w:r>
        <w:rPr>
          <w:rFonts w:hint="eastAsia" w:ascii="宋体" w:hAnsi="宋体" w:eastAsia="宋体" w:cs="宋体"/>
          <w:color w:val="auto"/>
          <w:kern w:val="0"/>
          <w:sz w:val="21"/>
          <w:szCs w:val="21"/>
          <w:highlight w:val="none"/>
          <w:lang w:val="en-US" w:eastAsia="zh-CN" w:bidi="hi-IN"/>
        </w:rPr>
        <w:t>竞争性</w:t>
      </w:r>
      <w:r>
        <w:rPr>
          <w:rFonts w:hint="eastAsia" w:ascii="宋体" w:hAnsi="宋体" w:eastAsia="宋体" w:cs="宋体"/>
          <w:color w:val="auto"/>
          <w:kern w:val="0"/>
          <w:sz w:val="21"/>
          <w:szCs w:val="21"/>
          <w:highlight w:val="none"/>
          <w:lang w:eastAsia="zh-CN" w:bidi="hi-IN"/>
        </w:rPr>
        <w:t>磋商文件</w:t>
      </w:r>
      <w:r>
        <w:rPr>
          <w:rFonts w:hint="eastAsia" w:ascii="宋体" w:hAnsi="宋体" w:eastAsia="宋体" w:cs="宋体"/>
          <w:color w:val="auto"/>
          <w:kern w:val="0"/>
          <w:sz w:val="21"/>
          <w:szCs w:val="21"/>
          <w:highlight w:val="none"/>
          <w:lang w:val="en-US" w:eastAsia="zh-CN" w:bidi="hi-IN"/>
        </w:rPr>
        <w:t>内容</w:t>
      </w:r>
      <w:r>
        <w:rPr>
          <w:rFonts w:hint="eastAsia" w:ascii="宋体" w:hAnsi="宋体" w:eastAsia="宋体" w:cs="宋体"/>
          <w:color w:val="auto"/>
          <w:kern w:val="0"/>
          <w:sz w:val="21"/>
          <w:szCs w:val="21"/>
          <w:highlight w:val="none"/>
          <w:lang w:bidi="hi-IN"/>
        </w:rPr>
        <w:t>及</w:t>
      </w:r>
      <w:r>
        <w:rPr>
          <w:rFonts w:hint="eastAsia" w:ascii="宋体" w:hAnsi="宋体" w:eastAsia="宋体" w:cs="宋体"/>
          <w:color w:val="auto"/>
          <w:kern w:val="0"/>
          <w:sz w:val="21"/>
          <w:szCs w:val="21"/>
          <w:highlight w:val="none"/>
          <w:lang w:val="en-US" w:eastAsia="zh-CN" w:bidi="hi-IN"/>
        </w:rPr>
        <w:t>竞标</w:t>
      </w:r>
      <w:r>
        <w:rPr>
          <w:rFonts w:hint="eastAsia" w:ascii="宋体" w:hAnsi="宋体" w:eastAsia="宋体" w:cs="宋体"/>
          <w:color w:val="auto"/>
          <w:kern w:val="0"/>
          <w:sz w:val="21"/>
          <w:szCs w:val="21"/>
          <w:highlight w:val="none"/>
          <w:lang w:bidi="hi-IN"/>
        </w:rPr>
        <w:t>时拟定的施工组织设计或施工方案，按计价规范的规定自主确定。但安全文明施工费按国家、省级或行业建设主管部门的有关规定执行，作为不竞争费用单列。</w:t>
      </w:r>
    </w:p>
    <w:p w14:paraId="0F4FEB52">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kern w:val="0"/>
          <w:sz w:val="21"/>
          <w:szCs w:val="21"/>
          <w:highlight w:val="none"/>
          <w:lang w:bidi="hi-IN"/>
        </w:rPr>
      </w:pPr>
      <w:r>
        <w:rPr>
          <w:rFonts w:hint="eastAsia" w:ascii="宋体" w:hAnsi="宋体" w:eastAsia="宋体" w:cs="宋体"/>
          <w:color w:val="auto"/>
          <w:kern w:val="0"/>
          <w:sz w:val="21"/>
          <w:szCs w:val="21"/>
          <w:highlight w:val="none"/>
          <w:lang w:val="en-US" w:eastAsia="zh-CN" w:bidi="hi-IN"/>
        </w:rPr>
        <w:t>6、</w:t>
      </w:r>
      <w:r>
        <w:rPr>
          <w:rFonts w:hint="eastAsia" w:ascii="宋体" w:hAnsi="宋体" w:eastAsia="宋体" w:cs="宋体"/>
          <w:color w:val="auto"/>
          <w:kern w:val="0"/>
          <w:sz w:val="21"/>
          <w:szCs w:val="21"/>
          <w:highlight w:val="none"/>
          <w:lang w:bidi="hi-IN"/>
        </w:rPr>
        <w:t>其他项目费应按下列规定报价：</w:t>
      </w:r>
    </w:p>
    <w:p w14:paraId="1A2EF884">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kern w:val="0"/>
          <w:sz w:val="21"/>
          <w:szCs w:val="21"/>
          <w:highlight w:val="none"/>
          <w:lang w:bidi="hi-IN"/>
        </w:rPr>
      </w:pPr>
      <w:r>
        <w:rPr>
          <w:rFonts w:hint="eastAsia" w:ascii="宋体" w:hAnsi="宋体" w:eastAsia="宋体" w:cs="宋体"/>
          <w:color w:val="auto"/>
          <w:kern w:val="0"/>
          <w:sz w:val="21"/>
          <w:szCs w:val="21"/>
          <w:highlight w:val="none"/>
          <w:lang w:bidi="hi-IN"/>
        </w:rPr>
        <w:t>（1）暂列金额</w:t>
      </w:r>
      <w:r>
        <w:rPr>
          <w:rFonts w:hint="eastAsia" w:ascii="宋体" w:hAnsi="宋体" w:eastAsia="宋体" w:cs="宋体"/>
          <w:color w:val="auto"/>
          <w:kern w:val="0"/>
          <w:sz w:val="21"/>
          <w:szCs w:val="21"/>
          <w:highlight w:val="none"/>
          <w:lang w:eastAsia="zh-CN" w:bidi="hi-IN"/>
        </w:rPr>
        <w:t>、</w:t>
      </w:r>
      <w:r>
        <w:rPr>
          <w:rFonts w:hint="eastAsia" w:ascii="宋体" w:hAnsi="宋体" w:eastAsia="宋体" w:cs="宋体"/>
          <w:color w:val="auto"/>
          <w:kern w:val="0"/>
          <w:sz w:val="21"/>
          <w:szCs w:val="21"/>
          <w:highlight w:val="none"/>
          <w:lang w:val="en-US" w:eastAsia="zh-CN" w:bidi="hi-IN"/>
        </w:rPr>
        <w:t>安全生产责任保险费</w:t>
      </w:r>
      <w:r>
        <w:rPr>
          <w:rFonts w:hint="eastAsia" w:ascii="宋体" w:hAnsi="宋体" w:eastAsia="宋体" w:cs="宋体"/>
          <w:color w:val="auto"/>
          <w:kern w:val="0"/>
          <w:sz w:val="21"/>
          <w:szCs w:val="21"/>
          <w:highlight w:val="none"/>
          <w:lang w:bidi="hi-IN"/>
        </w:rPr>
        <w:t>应按</w:t>
      </w:r>
      <w:r>
        <w:rPr>
          <w:rFonts w:hint="eastAsia" w:ascii="宋体" w:hAnsi="宋体" w:eastAsia="宋体" w:cs="宋体"/>
          <w:color w:val="auto"/>
          <w:kern w:val="0"/>
          <w:sz w:val="21"/>
          <w:szCs w:val="21"/>
          <w:highlight w:val="none"/>
          <w:lang w:val="en-US" w:eastAsia="zh-CN" w:bidi="hi-IN"/>
        </w:rPr>
        <w:t>招标控制价</w:t>
      </w:r>
      <w:r>
        <w:rPr>
          <w:rFonts w:hint="eastAsia" w:ascii="宋体" w:hAnsi="宋体" w:eastAsia="宋体" w:cs="宋体"/>
          <w:color w:val="auto"/>
          <w:kern w:val="0"/>
          <w:sz w:val="21"/>
          <w:szCs w:val="21"/>
          <w:highlight w:val="none"/>
          <w:lang w:bidi="hi-IN"/>
        </w:rPr>
        <w:t>中列出的金额填写；</w:t>
      </w:r>
    </w:p>
    <w:p w14:paraId="239067F3">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（2）材料、工程设备暂估价应按</w:t>
      </w:r>
      <w:r>
        <w:rPr>
          <w:rFonts w:hint="eastAsia" w:ascii="宋体" w:hAnsi="宋体" w:eastAsia="宋体" w:cs="宋体"/>
          <w:color w:val="auto"/>
          <w:kern w:val="0"/>
          <w:sz w:val="21"/>
          <w:szCs w:val="21"/>
          <w:highlight w:val="none"/>
          <w:lang w:val="en-US" w:eastAsia="zh-CN" w:bidi="hi-IN"/>
        </w:rPr>
        <w:t>招标控制价</w:t>
      </w:r>
      <w:r>
        <w:rPr>
          <w:rFonts w:hint="eastAsia" w:ascii="宋体" w:hAnsi="宋体" w:eastAsia="宋体" w:cs="宋体"/>
          <w:color w:val="auto"/>
          <w:sz w:val="21"/>
          <w:szCs w:val="21"/>
          <w:highlight w:val="none"/>
        </w:rPr>
        <w:t>中列出的单价计入综合单价；</w:t>
      </w:r>
    </w:p>
    <w:p w14:paraId="17781815">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kern w:val="0"/>
          <w:sz w:val="21"/>
          <w:szCs w:val="21"/>
          <w:highlight w:val="none"/>
          <w:lang w:bidi="hi-IN"/>
        </w:rPr>
      </w:pPr>
      <w:r>
        <w:rPr>
          <w:rFonts w:hint="eastAsia" w:ascii="宋体" w:hAnsi="宋体" w:eastAsia="宋体" w:cs="宋体"/>
          <w:color w:val="auto"/>
          <w:kern w:val="0"/>
          <w:sz w:val="21"/>
          <w:szCs w:val="21"/>
          <w:highlight w:val="none"/>
          <w:lang w:bidi="hi-IN"/>
        </w:rPr>
        <w:t>（3）专业工程暂估价应按</w:t>
      </w:r>
      <w:r>
        <w:rPr>
          <w:rFonts w:hint="eastAsia" w:ascii="宋体" w:hAnsi="宋体" w:eastAsia="宋体" w:cs="宋体"/>
          <w:color w:val="auto"/>
          <w:kern w:val="0"/>
          <w:sz w:val="21"/>
          <w:szCs w:val="21"/>
          <w:highlight w:val="none"/>
          <w:lang w:val="en-US" w:eastAsia="zh-CN" w:bidi="hi-IN"/>
        </w:rPr>
        <w:t>招标控   制价</w:t>
      </w:r>
      <w:r>
        <w:rPr>
          <w:rFonts w:hint="eastAsia" w:ascii="宋体" w:hAnsi="宋体" w:eastAsia="宋体" w:cs="宋体"/>
          <w:color w:val="auto"/>
          <w:kern w:val="0"/>
          <w:sz w:val="21"/>
          <w:szCs w:val="21"/>
          <w:highlight w:val="none"/>
          <w:lang w:bidi="hi-IN"/>
        </w:rPr>
        <w:t>中列出的金额填写；</w:t>
      </w:r>
    </w:p>
    <w:p w14:paraId="12C6E695">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kern w:val="0"/>
          <w:sz w:val="21"/>
          <w:szCs w:val="21"/>
          <w:highlight w:val="none"/>
          <w:lang w:bidi="hi-IN"/>
        </w:rPr>
      </w:pPr>
      <w:r>
        <w:rPr>
          <w:rFonts w:hint="eastAsia" w:ascii="宋体" w:hAnsi="宋体" w:eastAsia="宋体" w:cs="宋体"/>
          <w:color w:val="auto"/>
          <w:kern w:val="0"/>
          <w:sz w:val="21"/>
          <w:szCs w:val="21"/>
          <w:highlight w:val="none"/>
          <w:lang w:bidi="hi-IN"/>
        </w:rPr>
        <w:t>（4）计日工应按</w:t>
      </w:r>
      <w:r>
        <w:rPr>
          <w:rFonts w:hint="eastAsia" w:ascii="宋体" w:hAnsi="宋体" w:eastAsia="宋体" w:cs="宋体"/>
          <w:color w:val="auto"/>
          <w:kern w:val="0"/>
          <w:sz w:val="21"/>
          <w:szCs w:val="21"/>
          <w:highlight w:val="none"/>
          <w:lang w:val="en-US" w:eastAsia="zh-CN" w:bidi="hi-IN"/>
        </w:rPr>
        <w:t>招标控制价</w:t>
      </w:r>
      <w:r>
        <w:rPr>
          <w:rFonts w:hint="eastAsia" w:ascii="宋体" w:hAnsi="宋体" w:eastAsia="宋体" w:cs="宋体"/>
          <w:color w:val="auto"/>
          <w:kern w:val="0"/>
          <w:sz w:val="21"/>
          <w:szCs w:val="21"/>
          <w:highlight w:val="none"/>
          <w:lang w:bidi="hi-IN"/>
        </w:rPr>
        <w:t>中列出的项目和估算数量，自主确定综合单价并计算计日工总额；</w:t>
      </w:r>
    </w:p>
    <w:p w14:paraId="331009A0">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kern w:val="0"/>
          <w:sz w:val="21"/>
          <w:szCs w:val="21"/>
          <w:highlight w:val="none"/>
          <w:lang w:bidi="hi-IN"/>
        </w:rPr>
      </w:pPr>
      <w:r>
        <w:rPr>
          <w:rFonts w:hint="eastAsia" w:ascii="宋体" w:hAnsi="宋体" w:eastAsia="宋体" w:cs="宋体"/>
          <w:color w:val="auto"/>
          <w:kern w:val="0"/>
          <w:sz w:val="21"/>
          <w:szCs w:val="21"/>
          <w:highlight w:val="none"/>
          <w:lang w:bidi="hi-IN"/>
        </w:rPr>
        <w:t>（5）总承包服务费应根据</w:t>
      </w:r>
      <w:r>
        <w:rPr>
          <w:rFonts w:hint="eastAsia" w:ascii="宋体" w:hAnsi="宋体" w:eastAsia="宋体" w:cs="宋体"/>
          <w:color w:val="auto"/>
          <w:kern w:val="0"/>
          <w:sz w:val="21"/>
          <w:szCs w:val="21"/>
          <w:highlight w:val="none"/>
          <w:lang w:val="en-US" w:eastAsia="zh-CN" w:bidi="hi-IN"/>
        </w:rPr>
        <w:t>招标控制价</w:t>
      </w:r>
      <w:r>
        <w:rPr>
          <w:rFonts w:hint="eastAsia" w:ascii="宋体" w:hAnsi="宋体" w:eastAsia="宋体" w:cs="宋体"/>
          <w:color w:val="auto"/>
          <w:kern w:val="0"/>
          <w:sz w:val="21"/>
          <w:szCs w:val="21"/>
          <w:highlight w:val="none"/>
          <w:lang w:bidi="hi-IN"/>
        </w:rPr>
        <w:t>中列出的内容和供应材料、设备情况，按照</w:t>
      </w:r>
      <w:r>
        <w:rPr>
          <w:rFonts w:hint="eastAsia" w:ascii="宋体" w:hAnsi="宋体" w:eastAsia="宋体" w:cs="宋体"/>
          <w:color w:val="auto"/>
          <w:kern w:val="0"/>
          <w:sz w:val="21"/>
          <w:szCs w:val="21"/>
          <w:highlight w:val="none"/>
          <w:lang w:eastAsia="zh-CN" w:bidi="hi-IN"/>
        </w:rPr>
        <w:t>采购人</w:t>
      </w:r>
      <w:r>
        <w:rPr>
          <w:rFonts w:hint="eastAsia" w:ascii="宋体" w:hAnsi="宋体" w:eastAsia="宋体" w:cs="宋体"/>
          <w:color w:val="auto"/>
          <w:kern w:val="0"/>
          <w:sz w:val="21"/>
          <w:szCs w:val="21"/>
          <w:highlight w:val="none"/>
          <w:lang w:bidi="hi-IN"/>
        </w:rPr>
        <w:t>提出的协调、配合与服务要求和施工现场管理需要自主确定。</w:t>
      </w:r>
    </w:p>
    <w:p w14:paraId="53B259D8">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kern w:val="0"/>
          <w:sz w:val="21"/>
          <w:szCs w:val="21"/>
          <w:highlight w:val="none"/>
          <w:lang w:bidi="hi-IN"/>
        </w:rPr>
      </w:pPr>
      <w:r>
        <w:rPr>
          <w:rFonts w:hint="eastAsia" w:ascii="宋体" w:hAnsi="宋体" w:eastAsia="宋体" w:cs="宋体"/>
          <w:color w:val="auto"/>
          <w:kern w:val="0"/>
          <w:sz w:val="21"/>
          <w:szCs w:val="21"/>
          <w:highlight w:val="none"/>
          <w:lang w:val="en-US" w:eastAsia="zh-CN" w:bidi="hi-IN"/>
        </w:rPr>
        <w:t>7、</w:t>
      </w:r>
      <w:r>
        <w:rPr>
          <w:rFonts w:hint="eastAsia" w:ascii="宋体" w:hAnsi="宋体" w:eastAsia="宋体" w:cs="宋体"/>
          <w:color w:val="auto"/>
          <w:kern w:val="0"/>
          <w:sz w:val="21"/>
          <w:szCs w:val="21"/>
          <w:highlight w:val="none"/>
          <w:lang w:bidi="hi-IN"/>
        </w:rPr>
        <w:t>规费</w:t>
      </w:r>
      <w:r>
        <w:rPr>
          <w:rFonts w:hint="eastAsia" w:ascii="宋体" w:hAnsi="宋体" w:eastAsia="宋体" w:cs="宋体"/>
          <w:color w:val="auto"/>
          <w:kern w:val="0"/>
          <w:sz w:val="21"/>
          <w:szCs w:val="21"/>
          <w:highlight w:val="none"/>
          <w:lang w:eastAsia="zh-CN" w:bidi="hi-IN"/>
        </w:rPr>
        <w:t>、</w:t>
      </w:r>
      <w:r>
        <w:rPr>
          <w:rFonts w:hint="eastAsia" w:ascii="宋体" w:hAnsi="宋体" w:eastAsia="宋体" w:cs="宋体"/>
          <w:color w:val="auto"/>
          <w:kern w:val="0"/>
          <w:sz w:val="21"/>
          <w:szCs w:val="21"/>
          <w:highlight w:val="none"/>
          <w:lang w:bidi="hi-IN"/>
        </w:rPr>
        <w:t>增值税应按规定确定，作为不可竞争费用。</w:t>
      </w:r>
    </w:p>
    <w:p w14:paraId="0F52A120">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kern w:val="0"/>
          <w:sz w:val="21"/>
          <w:szCs w:val="21"/>
          <w:highlight w:val="none"/>
          <w:lang w:bidi="hi-IN"/>
        </w:rPr>
      </w:pPr>
      <w:r>
        <w:rPr>
          <w:rFonts w:hint="eastAsia" w:ascii="宋体" w:hAnsi="宋体" w:eastAsia="宋体" w:cs="宋体"/>
          <w:color w:val="auto"/>
          <w:kern w:val="0"/>
          <w:sz w:val="21"/>
          <w:szCs w:val="21"/>
          <w:highlight w:val="none"/>
          <w:lang w:val="en-US" w:eastAsia="zh-CN" w:bidi="hi-IN"/>
        </w:rPr>
        <w:t>8、招标控制价</w:t>
      </w:r>
      <w:r>
        <w:rPr>
          <w:rFonts w:hint="eastAsia" w:ascii="宋体" w:hAnsi="宋体" w:eastAsia="宋体" w:cs="宋体"/>
          <w:color w:val="auto"/>
          <w:kern w:val="0"/>
          <w:sz w:val="21"/>
          <w:szCs w:val="21"/>
          <w:highlight w:val="none"/>
          <w:lang w:bidi="hi-IN"/>
        </w:rPr>
        <w:t>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14:paraId="5FDCF10D">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kern w:val="0"/>
          <w:sz w:val="21"/>
          <w:szCs w:val="21"/>
          <w:highlight w:val="none"/>
          <w:lang w:bidi="hi-IN"/>
        </w:rPr>
      </w:pPr>
      <w:r>
        <w:rPr>
          <w:rFonts w:hint="eastAsia" w:ascii="宋体" w:hAnsi="宋体" w:eastAsia="宋体" w:cs="宋体"/>
          <w:color w:val="auto"/>
          <w:kern w:val="0"/>
          <w:sz w:val="21"/>
          <w:szCs w:val="21"/>
          <w:highlight w:val="none"/>
          <w:lang w:val="en-US" w:eastAsia="zh-CN" w:bidi="hi-IN"/>
        </w:rPr>
        <w:t>9、总报价</w:t>
      </w:r>
      <w:r>
        <w:rPr>
          <w:rFonts w:hint="eastAsia" w:ascii="宋体" w:hAnsi="宋体" w:eastAsia="宋体" w:cs="宋体"/>
          <w:color w:val="auto"/>
          <w:kern w:val="0"/>
          <w:sz w:val="21"/>
          <w:szCs w:val="21"/>
          <w:highlight w:val="none"/>
          <w:lang w:bidi="hi-IN"/>
        </w:rPr>
        <w:t>应当与分部分项工程费、措施项目费、其他项目费和规费、增值税的合计金额一致。</w:t>
      </w:r>
    </w:p>
    <w:p w14:paraId="4B161B2E">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kern w:val="0"/>
          <w:sz w:val="21"/>
          <w:szCs w:val="21"/>
          <w:highlight w:val="none"/>
          <w:lang w:bidi="hi-IN"/>
        </w:rPr>
      </w:pPr>
      <w:r>
        <w:rPr>
          <w:rFonts w:hint="eastAsia" w:ascii="宋体" w:hAnsi="宋体" w:eastAsia="宋体" w:cs="宋体"/>
          <w:color w:val="auto"/>
          <w:kern w:val="0"/>
          <w:sz w:val="21"/>
          <w:szCs w:val="21"/>
          <w:highlight w:val="none"/>
          <w:lang w:val="en-US" w:eastAsia="zh-CN" w:bidi="hi-IN"/>
        </w:rPr>
        <w:t>10、已标价工程量清单</w:t>
      </w:r>
      <w:r>
        <w:rPr>
          <w:rFonts w:hint="eastAsia" w:ascii="宋体" w:hAnsi="宋体" w:eastAsia="宋体" w:cs="宋体"/>
          <w:color w:val="auto"/>
          <w:kern w:val="0"/>
          <w:sz w:val="21"/>
          <w:szCs w:val="21"/>
          <w:highlight w:val="none"/>
          <w:lang w:bidi="hi-IN"/>
        </w:rPr>
        <w:t>表格按</w:t>
      </w:r>
      <w:r>
        <w:rPr>
          <w:rFonts w:hint="eastAsia" w:ascii="宋体" w:hAnsi="宋体" w:eastAsia="宋体" w:cs="宋体"/>
          <w:color w:val="auto"/>
          <w:kern w:val="0"/>
          <w:sz w:val="21"/>
          <w:szCs w:val="21"/>
          <w:highlight w:val="none"/>
          <w:lang w:val="en-US" w:eastAsia="zh-CN" w:bidi="hi-IN"/>
        </w:rPr>
        <w:t>招标控制价</w:t>
      </w:r>
      <w:r>
        <w:rPr>
          <w:rFonts w:hint="eastAsia" w:ascii="宋体" w:hAnsi="宋体" w:eastAsia="宋体" w:cs="宋体"/>
          <w:color w:val="auto"/>
          <w:kern w:val="0"/>
          <w:sz w:val="21"/>
          <w:szCs w:val="21"/>
          <w:highlight w:val="none"/>
          <w:lang w:bidi="hi-IN"/>
        </w:rPr>
        <w:t>表格要求填写，并应按</w:t>
      </w:r>
      <w:r>
        <w:rPr>
          <w:rFonts w:hint="eastAsia" w:ascii="宋体" w:hAnsi="宋体" w:eastAsia="宋体" w:cs="宋体"/>
          <w:color w:val="auto"/>
          <w:kern w:val="0"/>
          <w:sz w:val="21"/>
          <w:szCs w:val="21"/>
          <w:highlight w:val="none"/>
          <w:lang w:val="en-US" w:eastAsia="zh-CN" w:bidi="hi-IN"/>
        </w:rPr>
        <w:t>竞争性磋商</w:t>
      </w:r>
      <w:r>
        <w:rPr>
          <w:rFonts w:hint="eastAsia" w:ascii="宋体" w:hAnsi="宋体" w:eastAsia="宋体" w:cs="宋体"/>
          <w:color w:val="auto"/>
          <w:kern w:val="0"/>
          <w:sz w:val="21"/>
          <w:szCs w:val="21"/>
          <w:highlight w:val="none"/>
          <w:lang w:bidi="hi-IN"/>
        </w:rPr>
        <w:t>文件的要求，附上《工程量清单综合单价分析表》（表-09）。</w:t>
      </w:r>
    </w:p>
    <w:p w14:paraId="39AC5C84">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kern w:val="0"/>
          <w:sz w:val="21"/>
          <w:szCs w:val="21"/>
          <w:highlight w:val="none"/>
          <w:lang w:bidi="hi-IN"/>
        </w:rPr>
      </w:pPr>
      <w:r>
        <w:rPr>
          <w:rFonts w:hint="eastAsia" w:ascii="宋体" w:hAnsi="宋体" w:eastAsia="宋体" w:cs="宋体"/>
          <w:color w:val="auto"/>
          <w:kern w:val="0"/>
          <w:sz w:val="21"/>
          <w:szCs w:val="21"/>
          <w:highlight w:val="none"/>
          <w:lang w:val="en-US" w:eastAsia="zh-CN" w:bidi="hi-IN"/>
        </w:rPr>
        <w:t>11、</w:t>
      </w:r>
      <w:r>
        <w:rPr>
          <w:rFonts w:hint="eastAsia" w:ascii="宋体" w:hAnsi="宋体" w:eastAsia="宋体" w:cs="宋体"/>
          <w:color w:val="auto"/>
          <w:kern w:val="0"/>
          <w:sz w:val="21"/>
          <w:szCs w:val="21"/>
          <w:highlight w:val="none"/>
          <w:lang w:bidi="hi-IN"/>
        </w:rPr>
        <w:t>未尽事宜详见本工程</w:t>
      </w:r>
      <w:r>
        <w:rPr>
          <w:rFonts w:hint="eastAsia" w:ascii="宋体" w:hAnsi="宋体" w:eastAsia="宋体" w:cs="宋体"/>
          <w:color w:val="auto"/>
          <w:kern w:val="0"/>
          <w:sz w:val="21"/>
          <w:szCs w:val="21"/>
          <w:highlight w:val="none"/>
          <w:lang w:val="en-US" w:eastAsia="zh-CN" w:bidi="hi-IN"/>
        </w:rPr>
        <w:t>招标控制价</w:t>
      </w:r>
      <w:r>
        <w:rPr>
          <w:rFonts w:hint="eastAsia" w:ascii="宋体" w:hAnsi="宋体" w:eastAsia="宋体" w:cs="宋体"/>
          <w:color w:val="auto"/>
          <w:kern w:val="0"/>
          <w:sz w:val="21"/>
          <w:szCs w:val="21"/>
          <w:highlight w:val="none"/>
          <w:lang w:bidi="hi-IN"/>
        </w:rPr>
        <w:t>以及现行《计价规范》等有关规定。</w:t>
      </w:r>
    </w:p>
    <w:p w14:paraId="0BF3ACF6">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ascii="宋体" w:hAnsi="宋体" w:cs="Arial Unicode MS"/>
          <w:color w:val="000000"/>
          <w:kern w:val="0"/>
          <w:sz w:val="32"/>
          <w:szCs w:val="32"/>
          <w:highlight w:val="none"/>
        </w:rPr>
      </w:pPr>
      <w:r>
        <w:rPr>
          <w:rFonts w:hint="eastAsia" w:ascii="宋体" w:hAnsi="宋体" w:cs="Arial Unicode MS"/>
          <w:color w:val="000000"/>
          <w:kern w:val="0"/>
          <w:sz w:val="32"/>
          <w:szCs w:val="32"/>
          <w:highlight w:val="none"/>
        </w:rPr>
        <w:t>附件</w:t>
      </w:r>
      <w:r>
        <w:rPr>
          <w:rFonts w:hint="eastAsia" w:ascii="宋体" w:hAnsi="宋体" w:cs="Arial Unicode MS"/>
          <w:color w:val="000000"/>
          <w:kern w:val="0"/>
          <w:sz w:val="32"/>
          <w:szCs w:val="32"/>
          <w:highlight w:val="none"/>
          <w:lang w:val="en-US" w:eastAsia="zh-CN"/>
        </w:rPr>
        <w:t>2</w:t>
      </w:r>
      <w:r>
        <w:rPr>
          <w:rFonts w:hint="eastAsia" w:ascii="宋体" w:hAnsi="宋体" w:cs="Arial Unicode MS"/>
          <w:color w:val="000000"/>
          <w:kern w:val="0"/>
          <w:sz w:val="32"/>
          <w:szCs w:val="32"/>
          <w:highlight w:val="none"/>
        </w:rPr>
        <w:t>：</w:t>
      </w:r>
    </w:p>
    <w:p w14:paraId="66DD6437">
      <w:pPr>
        <w:spacing w:line="528" w:lineRule="exact"/>
        <w:jc w:val="center"/>
        <w:rPr>
          <w:rFonts w:ascii="宋体" w:hAnsi="宋体" w:cs="Arial Unicode MS"/>
          <w:color w:val="000000"/>
          <w:sz w:val="40"/>
          <w:szCs w:val="40"/>
          <w:highlight w:val="none"/>
        </w:rPr>
      </w:pPr>
      <w:r>
        <w:rPr>
          <w:rFonts w:hint="eastAsia" w:ascii="宋体" w:hAnsi="宋体" w:cs="Arial Unicode MS"/>
          <w:color w:val="000000"/>
          <w:sz w:val="40"/>
          <w:szCs w:val="40"/>
          <w:highlight w:val="none"/>
        </w:rPr>
        <w:t>中小微企业划型标准</w:t>
      </w:r>
    </w:p>
    <w:tbl>
      <w:tblPr>
        <w:tblStyle w:val="15"/>
        <w:tblW w:w="0" w:type="auto"/>
        <w:tblInd w:w="250" w:type="dxa"/>
        <w:tblLayout w:type="fixed"/>
        <w:tblCellMar>
          <w:top w:w="0" w:type="dxa"/>
          <w:left w:w="108" w:type="dxa"/>
          <w:bottom w:w="0" w:type="dxa"/>
          <w:right w:w="108" w:type="dxa"/>
        </w:tblCellMar>
      </w:tblPr>
      <w:tblGrid>
        <w:gridCol w:w="1985"/>
        <w:gridCol w:w="1984"/>
        <w:gridCol w:w="851"/>
        <w:gridCol w:w="1842"/>
        <w:gridCol w:w="1701"/>
        <w:gridCol w:w="1134"/>
      </w:tblGrid>
      <w:tr w14:paraId="67ED0223">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0"/>
            <w:vAlign w:val="center"/>
          </w:tcPr>
          <w:p w14:paraId="362A5815">
            <w:pPr>
              <w:widowControl/>
              <w:jc w:val="left"/>
              <w:rPr>
                <w:rFonts w:ascii="宋体" w:hAnsi="宋体" w:cs="宋体"/>
                <w:b/>
                <w:color w:val="000000"/>
                <w:kern w:val="0"/>
                <w:sz w:val="24"/>
                <w:highlight w:val="none"/>
              </w:rPr>
            </w:pPr>
            <w:r>
              <w:rPr>
                <w:rFonts w:hint="eastAsia" w:ascii="宋体" w:hAnsi="宋体" w:cs="宋体"/>
                <w:b/>
                <w:color w:val="000000"/>
                <w:kern w:val="0"/>
                <w:sz w:val="24"/>
                <w:highlight w:val="none"/>
              </w:rPr>
              <w:t>行业名称</w:t>
            </w:r>
          </w:p>
        </w:tc>
        <w:tc>
          <w:tcPr>
            <w:tcW w:w="1984" w:type="dxa"/>
            <w:tcBorders>
              <w:top w:val="single" w:color="auto" w:sz="4" w:space="0"/>
              <w:left w:val="nil"/>
              <w:bottom w:val="single" w:color="auto" w:sz="4" w:space="0"/>
              <w:right w:val="single" w:color="auto" w:sz="4" w:space="0"/>
            </w:tcBorders>
            <w:noWrap w:val="0"/>
            <w:vAlign w:val="center"/>
          </w:tcPr>
          <w:p w14:paraId="66473115">
            <w:pPr>
              <w:widowControl/>
              <w:jc w:val="left"/>
              <w:rPr>
                <w:rFonts w:ascii="宋体" w:hAnsi="宋体" w:cs="宋体"/>
                <w:b/>
                <w:color w:val="000000"/>
                <w:kern w:val="0"/>
                <w:sz w:val="24"/>
                <w:highlight w:val="none"/>
              </w:rPr>
            </w:pPr>
            <w:r>
              <w:rPr>
                <w:rFonts w:hint="eastAsia" w:ascii="宋体" w:hAnsi="宋体" w:cs="宋体"/>
                <w:b/>
                <w:color w:val="000000"/>
                <w:kern w:val="0"/>
                <w:sz w:val="24"/>
                <w:highlight w:val="none"/>
              </w:rPr>
              <w:t>指标名称</w:t>
            </w:r>
          </w:p>
        </w:tc>
        <w:tc>
          <w:tcPr>
            <w:tcW w:w="851" w:type="dxa"/>
            <w:tcBorders>
              <w:top w:val="single" w:color="auto" w:sz="4" w:space="0"/>
              <w:left w:val="nil"/>
              <w:bottom w:val="single" w:color="auto" w:sz="4" w:space="0"/>
              <w:right w:val="single" w:color="auto" w:sz="4" w:space="0"/>
            </w:tcBorders>
            <w:noWrap w:val="0"/>
            <w:vAlign w:val="center"/>
          </w:tcPr>
          <w:p w14:paraId="6467BBBF">
            <w:pPr>
              <w:widowControl/>
              <w:jc w:val="left"/>
              <w:rPr>
                <w:rFonts w:ascii="宋体" w:hAnsi="宋体" w:cs="宋体"/>
                <w:b/>
                <w:color w:val="000000"/>
                <w:kern w:val="0"/>
                <w:sz w:val="24"/>
                <w:highlight w:val="none"/>
              </w:rPr>
            </w:pPr>
            <w:r>
              <w:rPr>
                <w:rFonts w:hint="eastAsia" w:ascii="宋体" w:hAnsi="宋体" w:cs="宋体"/>
                <w:b/>
                <w:color w:val="000000"/>
                <w:kern w:val="0"/>
                <w:sz w:val="24"/>
                <w:highlight w:val="none"/>
              </w:rPr>
              <w:t>计量单位</w:t>
            </w:r>
          </w:p>
        </w:tc>
        <w:tc>
          <w:tcPr>
            <w:tcW w:w="1842" w:type="dxa"/>
            <w:tcBorders>
              <w:top w:val="single" w:color="auto" w:sz="4" w:space="0"/>
              <w:left w:val="nil"/>
              <w:bottom w:val="single" w:color="auto" w:sz="4" w:space="0"/>
              <w:right w:val="single" w:color="auto" w:sz="4" w:space="0"/>
            </w:tcBorders>
            <w:noWrap w:val="0"/>
            <w:vAlign w:val="center"/>
          </w:tcPr>
          <w:p w14:paraId="1DA0DD9C">
            <w:pPr>
              <w:widowControl/>
              <w:jc w:val="left"/>
              <w:rPr>
                <w:rFonts w:ascii="宋体" w:hAnsi="宋体" w:cs="宋体"/>
                <w:b/>
                <w:color w:val="000000"/>
                <w:kern w:val="0"/>
                <w:sz w:val="24"/>
                <w:highlight w:val="none"/>
              </w:rPr>
            </w:pPr>
            <w:r>
              <w:rPr>
                <w:rFonts w:hint="eastAsia" w:ascii="宋体" w:hAnsi="宋体" w:cs="宋体"/>
                <w:b/>
                <w:color w:val="000000"/>
                <w:kern w:val="0"/>
                <w:sz w:val="24"/>
                <w:highlight w:val="none"/>
              </w:rPr>
              <w:t>中型</w:t>
            </w:r>
          </w:p>
        </w:tc>
        <w:tc>
          <w:tcPr>
            <w:tcW w:w="1701" w:type="dxa"/>
            <w:tcBorders>
              <w:top w:val="single" w:color="auto" w:sz="4" w:space="0"/>
              <w:left w:val="nil"/>
              <w:bottom w:val="single" w:color="auto" w:sz="4" w:space="0"/>
              <w:right w:val="single" w:color="auto" w:sz="4" w:space="0"/>
            </w:tcBorders>
            <w:noWrap w:val="0"/>
            <w:vAlign w:val="center"/>
          </w:tcPr>
          <w:p w14:paraId="2395519F">
            <w:pPr>
              <w:widowControl/>
              <w:jc w:val="left"/>
              <w:rPr>
                <w:rFonts w:ascii="宋体" w:hAnsi="宋体" w:cs="宋体"/>
                <w:b/>
                <w:color w:val="000000"/>
                <w:kern w:val="0"/>
                <w:sz w:val="24"/>
                <w:highlight w:val="none"/>
              </w:rPr>
            </w:pPr>
            <w:r>
              <w:rPr>
                <w:rFonts w:hint="eastAsia" w:ascii="宋体" w:hAnsi="宋体" w:cs="宋体"/>
                <w:b/>
                <w:color w:val="000000"/>
                <w:kern w:val="0"/>
                <w:sz w:val="24"/>
                <w:highlight w:val="none"/>
              </w:rPr>
              <w:t>小型</w:t>
            </w:r>
          </w:p>
        </w:tc>
        <w:tc>
          <w:tcPr>
            <w:tcW w:w="1134" w:type="dxa"/>
            <w:tcBorders>
              <w:top w:val="single" w:color="auto" w:sz="4" w:space="0"/>
              <w:left w:val="nil"/>
              <w:bottom w:val="single" w:color="auto" w:sz="4" w:space="0"/>
              <w:right w:val="single" w:color="auto" w:sz="4" w:space="0"/>
            </w:tcBorders>
            <w:noWrap w:val="0"/>
            <w:vAlign w:val="center"/>
          </w:tcPr>
          <w:p w14:paraId="3E70B3DA">
            <w:pPr>
              <w:widowControl/>
              <w:jc w:val="left"/>
              <w:rPr>
                <w:rFonts w:ascii="宋体" w:hAnsi="宋体" w:cs="宋体"/>
                <w:b/>
                <w:color w:val="000000"/>
                <w:kern w:val="0"/>
                <w:sz w:val="24"/>
                <w:highlight w:val="none"/>
              </w:rPr>
            </w:pPr>
            <w:r>
              <w:rPr>
                <w:rFonts w:hint="eastAsia" w:ascii="宋体" w:hAnsi="宋体" w:cs="宋体"/>
                <w:b/>
                <w:color w:val="000000"/>
                <w:kern w:val="0"/>
                <w:sz w:val="24"/>
                <w:highlight w:val="none"/>
              </w:rPr>
              <w:t>微型</w:t>
            </w:r>
          </w:p>
        </w:tc>
      </w:tr>
      <w:tr w14:paraId="465AAC9D">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14:paraId="0B4B7FE5">
            <w:pPr>
              <w:widowControl/>
              <w:jc w:val="center"/>
              <w:rPr>
                <w:rFonts w:ascii="宋体" w:hAnsi="宋体" w:cs="宋体"/>
                <w:b/>
                <w:bCs/>
                <w:color w:val="000000"/>
                <w:kern w:val="0"/>
                <w:sz w:val="18"/>
                <w:szCs w:val="18"/>
                <w:highlight w:val="none"/>
              </w:rPr>
            </w:pPr>
            <w:r>
              <w:rPr>
                <w:rFonts w:hint="eastAsia" w:ascii="宋体" w:hAnsi="宋体" w:cs="宋体"/>
                <w:b/>
                <w:bCs/>
                <w:color w:val="000000"/>
                <w:kern w:val="0"/>
                <w:sz w:val="18"/>
                <w:szCs w:val="18"/>
                <w:highlight w:val="none"/>
              </w:rPr>
              <w:t>农、林、牧、渔</w:t>
            </w:r>
          </w:p>
        </w:tc>
        <w:tc>
          <w:tcPr>
            <w:tcW w:w="1984" w:type="dxa"/>
            <w:tcBorders>
              <w:top w:val="nil"/>
              <w:left w:val="nil"/>
              <w:bottom w:val="single" w:color="auto" w:sz="4" w:space="0"/>
              <w:right w:val="single" w:color="auto" w:sz="4" w:space="0"/>
            </w:tcBorders>
            <w:noWrap w:val="0"/>
            <w:vAlign w:val="center"/>
          </w:tcPr>
          <w:p w14:paraId="3658B709">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778A72B6">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1531F577">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500≤Y＜20000</w:t>
            </w:r>
          </w:p>
        </w:tc>
        <w:tc>
          <w:tcPr>
            <w:tcW w:w="1701" w:type="dxa"/>
            <w:tcBorders>
              <w:top w:val="nil"/>
              <w:left w:val="nil"/>
              <w:bottom w:val="single" w:color="auto" w:sz="4" w:space="0"/>
              <w:right w:val="single" w:color="auto" w:sz="4" w:space="0"/>
            </w:tcBorders>
            <w:noWrap w:val="0"/>
            <w:vAlign w:val="center"/>
          </w:tcPr>
          <w:p w14:paraId="21D75D7C">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50≤Y＜500</w:t>
            </w:r>
          </w:p>
        </w:tc>
        <w:tc>
          <w:tcPr>
            <w:tcW w:w="1134" w:type="dxa"/>
            <w:tcBorders>
              <w:top w:val="nil"/>
              <w:left w:val="nil"/>
              <w:bottom w:val="single" w:color="auto" w:sz="4" w:space="0"/>
              <w:right w:val="single" w:color="auto" w:sz="4" w:space="0"/>
            </w:tcBorders>
            <w:noWrap w:val="0"/>
            <w:vAlign w:val="center"/>
          </w:tcPr>
          <w:p w14:paraId="11BB9E01">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Y＜50</w:t>
            </w:r>
          </w:p>
        </w:tc>
      </w:tr>
      <w:tr w14:paraId="343F8BEE">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4BE26259">
            <w:pPr>
              <w:widowControl/>
              <w:jc w:val="center"/>
              <w:rPr>
                <w:rFonts w:ascii="宋体" w:hAnsi="宋体" w:cs="宋体"/>
                <w:b/>
                <w:bCs/>
                <w:color w:val="000000"/>
                <w:kern w:val="0"/>
                <w:sz w:val="18"/>
                <w:szCs w:val="18"/>
                <w:highlight w:val="none"/>
              </w:rPr>
            </w:pPr>
            <w:r>
              <w:rPr>
                <w:rFonts w:hint="eastAsia" w:ascii="宋体" w:hAnsi="宋体" w:cs="宋体"/>
                <w:b/>
                <w:bCs/>
                <w:color w:val="000000"/>
                <w:kern w:val="0"/>
                <w:sz w:val="18"/>
                <w:szCs w:val="18"/>
                <w:highlight w:val="none"/>
              </w:rPr>
              <w:t>工业</w:t>
            </w:r>
          </w:p>
        </w:tc>
        <w:tc>
          <w:tcPr>
            <w:tcW w:w="1984" w:type="dxa"/>
            <w:tcBorders>
              <w:top w:val="nil"/>
              <w:left w:val="nil"/>
              <w:bottom w:val="single" w:color="auto" w:sz="4" w:space="0"/>
              <w:right w:val="single" w:color="auto" w:sz="4" w:space="0"/>
            </w:tcBorders>
            <w:noWrap w:val="0"/>
            <w:vAlign w:val="center"/>
          </w:tcPr>
          <w:p w14:paraId="73E2D80C">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71C21A87">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706AB12D">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300≤X＜1000</w:t>
            </w:r>
          </w:p>
        </w:tc>
        <w:tc>
          <w:tcPr>
            <w:tcW w:w="1701" w:type="dxa"/>
            <w:tcBorders>
              <w:top w:val="nil"/>
              <w:left w:val="nil"/>
              <w:bottom w:val="single" w:color="auto" w:sz="4" w:space="0"/>
              <w:right w:val="single" w:color="auto" w:sz="4" w:space="0"/>
            </w:tcBorders>
            <w:noWrap w:val="0"/>
            <w:vAlign w:val="center"/>
          </w:tcPr>
          <w:p w14:paraId="54A82DD4">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01897488">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X＜20</w:t>
            </w:r>
          </w:p>
        </w:tc>
      </w:tr>
      <w:tr w14:paraId="4669BF0B">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9205A28">
            <w:pPr>
              <w:widowControl/>
              <w:jc w:val="left"/>
              <w:rPr>
                <w:rFonts w:ascii="宋体" w:hAnsi="宋体" w:cs="宋体"/>
                <w:b/>
                <w:bCs/>
                <w:color w:val="000000"/>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4BF083E3">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3968D8C7">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6223B249">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2000≤Y＜40000</w:t>
            </w:r>
          </w:p>
        </w:tc>
        <w:tc>
          <w:tcPr>
            <w:tcW w:w="1701" w:type="dxa"/>
            <w:tcBorders>
              <w:top w:val="nil"/>
              <w:left w:val="nil"/>
              <w:bottom w:val="single" w:color="auto" w:sz="4" w:space="0"/>
              <w:right w:val="single" w:color="auto" w:sz="4" w:space="0"/>
            </w:tcBorders>
            <w:noWrap w:val="0"/>
            <w:vAlign w:val="center"/>
          </w:tcPr>
          <w:p w14:paraId="27131985">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300≤Y＜2000</w:t>
            </w:r>
          </w:p>
        </w:tc>
        <w:tc>
          <w:tcPr>
            <w:tcW w:w="1134" w:type="dxa"/>
            <w:tcBorders>
              <w:top w:val="nil"/>
              <w:left w:val="nil"/>
              <w:bottom w:val="single" w:color="auto" w:sz="4" w:space="0"/>
              <w:right w:val="single" w:color="auto" w:sz="4" w:space="0"/>
            </w:tcBorders>
            <w:noWrap w:val="0"/>
            <w:vAlign w:val="center"/>
          </w:tcPr>
          <w:p w14:paraId="0D52E08A">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Y＜300</w:t>
            </w:r>
          </w:p>
        </w:tc>
      </w:tr>
      <w:tr w14:paraId="263AABB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2EABA499">
            <w:pPr>
              <w:widowControl/>
              <w:jc w:val="center"/>
              <w:rPr>
                <w:rFonts w:ascii="宋体" w:hAnsi="宋体" w:cs="宋体"/>
                <w:b/>
                <w:bCs/>
                <w:color w:val="000000"/>
                <w:kern w:val="0"/>
                <w:sz w:val="18"/>
                <w:szCs w:val="18"/>
                <w:highlight w:val="none"/>
              </w:rPr>
            </w:pPr>
            <w:r>
              <w:rPr>
                <w:rFonts w:hint="eastAsia" w:ascii="宋体" w:hAnsi="宋体" w:cs="宋体"/>
                <w:b/>
                <w:bCs/>
                <w:color w:val="000000"/>
                <w:kern w:val="0"/>
                <w:sz w:val="18"/>
                <w:szCs w:val="18"/>
                <w:highlight w:val="none"/>
              </w:rPr>
              <w:t>建筑业</w:t>
            </w:r>
          </w:p>
        </w:tc>
        <w:tc>
          <w:tcPr>
            <w:tcW w:w="1984" w:type="dxa"/>
            <w:tcBorders>
              <w:top w:val="nil"/>
              <w:left w:val="nil"/>
              <w:bottom w:val="single" w:color="auto" w:sz="4" w:space="0"/>
              <w:right w:val="single" w:color="auto" w:sz="4" w:space="0"/>
            </w:tcBorders>
            <w:noWrap w:val="0"/>
            <w:vAlign w:val="center"/>
          </w:tcPr>
          <w:p w14:paraId="37907146">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6A75D00E">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5E2FF385">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6000≤Y＜80000</w:t>
            </w:r>
          </w:p>
        </w:tc>
        <w:tc>
          <w:tcPr>
            <w:tcW w:w="1701" w:type="dxa"/>
            <w:tcBorders>
              <w:top w:val="nil"/>
              <w:left w:val="nil"/>
              <w:bottom w:val="single" w:color="auto" w:sz="4" w:space="0"/>
              <w:right w:val="single" w:color="auto" w:sz="4" w:space="0"/>
            </w:tcBorders>
            <w:noWrap w:val="0"/>
            <w:vAlign w:val="center"/>
          </w:tcPr>
          <w:p w14:paraId="7CE0FF8A">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300≤Y＜6000</w:t>
            </w:r>
          </w:p>
        </w:tc>
        <w:tc>
          <w:tcPr>
            <w:tcW w:w="1134" w:type="dxa"/>
            <w:tcBorders>
              <w:top w:val="nil"/>
              <w:left w:val="nil"/>
              <w:bottom w:val="single" w:color="auto" w:sz="4" w:space="0"/>
              <w:right w:val="single" w:color="auto" w:sz="4" w:space="0"/>
            </w:tcBorders>
            <w:noWrap w:val="0"/>
            <w:vAlign w:val="center"/>
          </w:tcPr>
          <w:p w14:paraId="063F32FC">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Y＜300</w:t>
            </w:r>
          </w:p>
        </w:tc>
      </w:tr>
      <w:tr w14:paraId="110960F0">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D1EA5A5">
            <w:pPr>
              <w:widowControl/>
              <w:jc w:val="left"/>
              <w:rPr>
                <w:rFonts w:ascii="宋体" w:hAnsi="宋体" w:cs="宋体"/>
                <w:b/>
                <w:bCs/>
                <w:color w:val="000000"/>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6F65574E">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1248F1F3">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2D67AEB9">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5000≤Z＜80000</w:t>
            </w:r>
          </w:p>
        </w:tc>
        <w:tc>
          <w:tcPr>
            <w:tcW w:w="1701" w:type="dxa"/>
            <w:tcBorders>
              <w:top w:val="nil"/>
              <w:left w:val="nil"/>
              <w:bottom w:val="single" w:color="auto" w:sz="4" w:space="0"/>
              <w:right w:val="single" w:color="auto" w:sz="4" w:space="0"/>
            </w:tcBorders>
            <w:noWrap w:val="0"/>
            <w:vAlign w:val="center"/>
          </w:tcPr>
          <w:p w14:paraId="5D8A7FF0">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300≤Z＜5000</w:t>
            </w:r>
          </w:p>
        </w:tc>
        <w:tc>
          <w:tcPr>
            <w:tcW w:w="1134" w:type="dxa"/>
            <w:tcBorders>
              <w:top w:val="nil"/>
              <w:left w:val="nil"/>
              <w:bottom w:val="single" w:color="auto" w:sz="4" w:space="0"/>
              <w:right w:val="single" w:color="auto" w:sz="4" w:space="0"/>
            </w:tcBorders>
            <w:noWrap w:val="0"/>
            <w:vAlign w:val="center"/>
          </w:tcPr>
          <w:p w14:paraId="63F5A820">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Z＜300</w:t>
            </w:r>
          </w:p>
        </w:tc>
      </w:tr>
      <w:tr w14:paraId="652571E3">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73E0BEC2">
            <w:pPr>
              <w:widowControl/>
              <w:jc w:val="center"/>
              <w:rPr>
                <w:rFonts w:ascii="宋体" w:hAnsi="宋体" w:cs="宋体"/>
                <w:b/>
                <w:bCs/>
                <w:color w:val="000000"/>
                <w:kern w:val="0"/>
                <w:sz w:val="18"/>
                <w:szCs w:val="18"/>
                <w:highlight w:val="none"/>
              </w:rPr>
            </w:pPr>
            <w:r>
              <w:rPr>
                <w:rFonts w:hint="eastAsia" w:ascii="宋体" w:hAnsi="宋体" w:cs="宋体"/>
                <w:b/>
                <w:bCs/>
                <w:color w:val="000000"/>
                <w:kern w:val="0"/>
                <w:sz w:val="18"/>
                <w:szCs w:val="18"/>
                <w:highlight w:val="none"/>
              </w:rPr>
              <w:t>批发业</w:t>
            </w:r>
          </w:p>
        </w:tc>
        <w:tc>
          <w:tcPr>
            <w:tcW w:w="1984" w:type="dxa"/>
            <w:tcBorders>
              <w:top w:val="nil"/>
              <w:left w:val="nil"/>
              <w:bottom w:val="single" w:color="auto" w:sz="4" w:space="0"/>
              <w:right w:val="single" w:color="auto" w:sz="4" w:space="0"/>
            </w:tcBorders>
            <w:noWrap w:val="0"/>
            <w:vAlign w:val="center"/>
          </w:tcPr>
          <w:p w14:paraId="1B20B0EC">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01777B0A">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54FD5AA3">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20≤X＜200</w:t>
            </w:r>
          </w:p>
        </w:tc>
        <w:tc>
          <w:tcPr>
            <w:tcW w:w="1701" w:type="dxa"/>
            <w:tcBorders>
              <w:top w:val="nil"/>
              <w:left w:val="nil"/>
              <w:bottom w:val="single" w:color="auto" w:sz="4" w:space="0"/>
              <w:right w:val="single" w:color="auto" w:sz="4" w:space="0"/>
            </w:tcBorders>
            <w:noWrap w:val="0"/>
            <w:vAlign w:val="center"/>
          </w:tcPr>
          <w:p w14:paraId="42DAF681">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5≤X＜20</w:t>
            </w:r>
          </w:p>
        </w:tc>
        <w:tc>
          <w:tcPr>
            <w:tcW w:w="1134" w:type="dxa"/>
            <w:tcBorders>
              <w:top w:val="nil"/>
              <w:left w:val="nil"/>
              <w:bottom w:val="single" w:color="auto" w:sz="4" w:space="0"/>
              <w:right w:val="single" w:color="auto" w:sz="4" w:space="0"/>
            </w:tcBorders>
            <w:noWrap w:val="0"/>
            <w:vAlign w:val="center"/>
          </w:tcPr>
          <w:p w14:paraId="5594D8FA">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X＜5</w:t>
            </w:r>
          </w:p>
        </w:tc>
      </w:tr>
      <w:tr w14:paraId="7FE6605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A5565BB">
            <w:pPr>
              <w:widowControl/>
              <w:jc w:val="left"/>
              <w:rPr>
                <w:rFonts w:ascii="宋体" w:hAnsi="宋体" w:cs="宋体"/>
                <w:b/>
                <w:bCs/>
                <w:color w:val="000000"/>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1C4ECB5F">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67930FE3">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2CEB073D">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5000≤Y＜40000</w:t>
            </w:r>
          </w:p>
        </w:tc>
        <w:tc>
          <w:tcPr>
            <w:tcW w:w="1701" w:type="dxa"/>
            <w:tcBorders>
              <w:top w:val="nil"/>
              <w:left w:val="nil"/>
              <w:bottom w:val="single" w:color="auto" w:sz="4" w:space="0"/>
              <w:right w:val="single" w:color="auto" w:sz="4" w:space="0"/>
            </w:tcBorders>
            <w:noWrap w:val="0"/>
            <w:vAlign w:val="center"/>
          </w:tcPr>
          <w:p w14:paraId="4DDA798C">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1000≤Y＜5000</w:t>
            </w:r>
          </w:p>
        </w:tc>
        <w:tc>
          <w:tcPr>
            <w:tcW w:w="1134" w:type="dxa"/>
            <w:tcBorders>
              <w:top w:val="nil"/>
              <w:left w:val="nil"/>
              <w:bottom w:val="single" w:color="auto" w:sz="4" w:space="0"/>
              <w:right w:val="single" w:color="auto" w:sz="4" w:space="0"/>
            </w:tcBorders>
            <w:noWrap w:val="0"/>
            <w:vAlign w:val="center"/>
          </w:tcPr>
          <w:p w14:paraId="099FCC45">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Y＜1000</w:t>
            </w:r>
          </w:p>
        </w:tc>
      </w:tr>
      <w:tr w14:paraId="149A98F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24E566B">
            <w:pPr>
              <w:widowControl/>
              <w:jc w:val="center"/>
              <w:rPr>
                <w:rFonts w:ascii="宋体" w:hAnsi="宋体" w:cs="宋体"/>
                <w:b/>
                <w:bCs/>
                <w:color w:val="000000"/>
                <w:kern w:val="0"/>
                <w:sz w:val="18"/>
                <w:szCs w:val="18"/>
                <w:highlight w:val="none"/>
              </w:rPr>
            </w:pPr>
            <w:r>
              <w:rPr>
                <w:rFonts w:hint="eastAsia" w:ascii="宋体" w:hAnsi="宋体" w:cs="宋体"/>
                <w:b/>
                <w:bCs/>
                <w:color w:val="000000"/>
                <w:kern w:val="0"/>
                <w:sz w:val="18"/>
                <w:szCs w:val="18"/>
                <w:highlight w:val="none"/>
              </w:rPr>
              <w:t>零售业</w:t>
            </w:r>
          </w:p>
        </w:tc>
        <w:tc>
          <w:tcPr>
            <w:tcW w:w="1984" w:type="dxa"/>
            <w:tcBorders>
              <w:top w:val="nil"/>
              <w:left w:val="nil"/>
              <w:bottom w:val="single" w:color="auto" w:sz="4" w:space="0"/>
              <w:right w:val="single" w:color="auto" w:sz="4" w:space="0"/>
            </w:tcBorders>
            <w:noWrap w:val="0"/>
            <w:vAlign w:val="center"/>
          </w:tcPr>
          <w:p w14:paraId="2787F3E8">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35A0F52F">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6FB9DF83">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50≤X＜300</w:t>
            </w:r>
          </w:p>
        </w:tc>
        <w:tc>
          <w:tcPr>
            <w:tcW w:w="1701" w:type="dxa"/>
            <w:tcBorders>
              <w:top w:val="nil"/>
              <w:left w:val="nil"/>
              <w:bottom w:val="single" w:color="auto" w:sz="4" w:space="0"/>
              <w:right w:val="single" w:color="auto" w:sz="4" w:space="0"/>
            </w:tcBorders>
            <w:noWrap w:val="0"/>
            <w:vAlign w:val="center"/>
          </w:tcPr>
          <w:p w14:paraId="2BA22041">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10≤X＜50</w:t>
            </w:r>
          </w:p>
        </w:tc>
        <w:tc>
          <w:tcPr>
            <w:tcW w:w="1134" w:type="dxa"/>
            <w:tcBorders>
              <w:top w:val="nil"/>
              <w:left w:val="nil"/>
              <w:bottom w:val="single" w:color="auto" w:sz="4" w:space="0"/>
              <w:right w:val="single" w:color="auto" w:sz="4" w:space="0"/>
            </w:tcBorders>
            <w:noWrap w:val="0"/>
            <w:vAlign w:val="center"/>
          </w:tcPr>
          <w:p w14:paraId="57370409">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X＜10</w:t>
            </w:r>
          </w:p>
        </w:tc>
      </w:tr>
      <w:tr w14:paraId="00FFCD80">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1DA82DA">
            <w:pPr>
              <w:widowControl/>
              <w:jc w:val="left"/>
              <w:rPr>
                <w:rFonts w:ascii="宋体" w:hAnsi="宋体" w:cs="宋体"/>
                <w:b/>
                <w:bCs/>
                <w:color w:val="000000"/>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7F5ED6D7">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6D5CAAA1">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57DB41EE">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500≤Y＜20000</w:t>
            </w:r>
          </w:p>
        </w:tc>
        <w:tc>
          <w:tcPr>
            <w:tcW w:w="1701" w:type="dxa"/>
            <w:tcBorders>
              <w:top w:val="nil"/>
              <w:left w:val="nil"/>
              <w:bottom w:val="single" w:color="auto" w:sz="4" w:space="0"/>
              <w:right w:val="single" w:color="auto" w:sz="4" w:space="0"/>
            </w:tcBorders>
            <w:noWrap w:val="0"/>
            <w:vAlign w:val="center"/>
          </w:tcPr>
          <w:p w14:paraId="3CA3D8C3">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100≤Y＜500</w:t>
            </w:r>
          </w:p>
        </w:tc>
        <w:tc>
          <w:tcPr>
            <w:tcW w:w="1134" w:type="dxa"/>
            <w:tcBorders>
              <w:top w:val="nil"/>
              <w:left w:val="nil"/>
              <w:bottom w:val="single" w:color="auto" w:sz="4" w:space="0"/>
              <w:right w:val="single" w:color="auto" w:sz="4" w:space="0"/>
            </w:tcBorders>
            <w:noWrap w:val="0"/>
            <w:vAlign w:val="center"/>
          </w:tcPr>
          <w:p w14:paraId="625D5CF0">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Y＜100</w:t>
            </w:r>
          </w:p>
        </w:tc>
      </w:tr>
      <w:tr w14:paraId="3D27623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74B1E047">
            <w:pPr>
              <w:widowControl/>
              <w:jc w:val="center"/>
              <w:rPr>
                <w:rFonts w:ascii="宋体" w:hAnsi="宋体" w:cs="宋体"/>
                <w:b/>
                <w:bCs/>
                <w:color w:val="000000"/>
                <w:kern w:val="0"/>
                <w:sz w:val="18"/>
                <w:szCs w:val="18"/>
                <w:highlight w:val="none"/>
              </w:rPr>
            </w:pPr>
            <w:r>
              <w:rPr>
                <w:rFonts w:hint="eastAsia" w:ascii="宋体" w:hAnsi="宋体" w:cs="宋体"/>
                <w:b/>
                <w:bCs/>
                <w:color w:val="000000"/>
                <w:kern w:val="0"/>
                <w:sz w:val="18"/>
                <w:szCs w:val="18"/>
                <w:highlight w:val="none"/>
              </w:rPr>
              <w:t>交通运输业</w:t>
            </w:r>
          </w:p>
        </w:tc>
        <w:tc>
          <w:tcPr>
            <w:tcW w:w="1984" w:type="dxa"/>
            <w:tcBorders>
              <w:top w:val="nil"/>
              <w:left w:val="nil"/>
              <w:bottom w:val="single" w:color="auto" w:sz="4" w:space="0"/>
              <w:right w:val="single" w:color="auto" w:sz="4" w:space="0"/>
            </w:tcBorders>
            <w:noWrap w:val="0"/>
            <w:vAlign w:val="center"/>
          </w:tcPr>
          <w:p w14:paraId="29E99E25">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08396A1B">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78113846">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300≤X＜1000</w:t>
            </w:r>
          </w:p>
        </w:tc>
        <w:tc>
          <w:tcPr>
            <w:tcW w:w="1701" w:type="dxa"/>
            <w:tcBorders>
              <w:top w:val="nil"/>
              <w:left w:val="nil"/>
              <w:bottom w:val="single" w:color="auto" w:sz="4" w:space="0"/>
              <w:right w:val="single" w:color="auto" w:sz="4" w:space="0"/>
            </w:tcBorders>
            <w:noWrap w:val="0"/>
            <w:vAlign w:val="center"/>
          </w:tcPr>
          <w:p w14:paraId="133139D2">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7ABC441A">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X＜20</w:t>
            </w:r>
          </w:p>
        </w:tc>
      </w:tr>
      <w:tr w14:paraId="255CABA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FF715E1">
            <w:pPr>
              <w:widowControl/>
              <w:jc w:val="left"/>
              <w:rPr>
                <w:rFonts w:ascii="宋体" w:hAnsi="宋体" w:cs="宋体"/>
                <w:b/>
                <w:bCs/>
                <w:color w:val="000000"/>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7BF6263E">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191EF75A">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7E28CDA1">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3000≤Y＜30000</w:t>
            </w:r>
          </w:p>
        </w:tc>
        <w:tc>
          <w:tcPr>
            <w:tcW w:w="1701" w:type="dxa"/>
            <w:tcBorders>
              <w:top w:val="nil"/>
              <w:left w:val="nil"/>
              <w:bottom w:val="single" w:color="auto" w:sz="4" w:space="0"/>
              <w:right w:val="single" w:color="auto" w:sz="4" w:space="0"/>
            </w:tcBorders>
            <w:noWrap w:val="0"/>
            <w:vAlign w:val="center"/>
          </w:tcPr>
          <w:p w14:paraId="17E7771D">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200≤Y＜3000</w:t>
            </w:r>
          </w:p>
        </w:tc>
        <w:tc>
          <w:tcPr>
            <w:tcW w:w="1134" w:type="dxa"/>
            <w:tcBorders>
              <w:top w:val="nil"/>
              <w:left w:val="nil"/>
              <w:bottom w:val="single" w:color="auto" w:sz="4" w:space="0"/>
              <w:right w:val="single" w:color="auto" w:sz="4" w:space="0"/>
            </w:tcBorders>
            <w:noWrap w:val="0"/>
            <w:vAlign w:val="center"/>
          </w:tcPr>
          <w:p w14:paraId="7BFEE289">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Y＜200</w:t>
            </w:r>
          </w:p>
        </w:tc>
      </w:tr>
      <w:tr w14:paraId="6CE2298F">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0CE54075">
            <w:pPr>
              <w:widowControl/>
              <w:jc w:val="center"/>
              <w:rPr>
                <w:rFonts w:ascii="宋体" w:hAnsi="宋体" w:cs="宋体"/>
                <w:b/>
                <w:bCs/>
                <w:color w:val="000000"/>
                <w:kern w:val="0"/>
                <w:sz w:val="18"/>
                <w:szCs w:val="18"/>
                <w:highlight w:val="none"/>
              </w:rPr>
            </w:pPr>
            <w:r>
              <w:rPr>
                <w:rFonts w:hint="eastAsia" w:ascii="宋体" w:hAnsi="宋体" w:cs="宋体"/>
                <w:b/>
                <w:bCs/>
                <w:color w:val="000000"/>
                <w:kern w:val="0"/>
                <w:sz w:val="18"/>
                <w:szCs w:val="18"/>
                <w:highlight w:val="none"/>
              </w:rPr>
              <w:t>仓储业</w:t>
            </w:r>
          </w:p>
        </w:tc>
        <w:tc>
          <w:tcPr>
            <w:tcW w:w="1984" w:type="dxa"/>
            <w:tcBorders>
              <w:top w:val="nil"/>
              <w:left w:val="nil"/>
              <w:bottom w:val="single" w:color="auto" w:sz="4" w:space="0"/>
              <w:right w:val="single" w:color="auto" w:sz="4" w:space="0"/>
            </w:tcBorders>
            <w:noWrap w:val="0"/>
            <w:vAlign w:val="center"/>
          </w:tcPr>
          <w:p w14:paraId="26677D50">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4BB1481F">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77E95174">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100≤X＜200</w:t>
            </w:r>
          </w:p>
        </w:tc>
        <w:tc>
          <w:tcPr>
            <w:tcW w:w="1701" w:type="dxa"/>
            <w:tcBorders>
              <w:top w:val="nil"/>
              <w:left w:val="nil"/>
              <w:bottom w:val="single" w:color="auto" w:sz="4" w:space="0"/>
              <w:right w:val="single" w:color="auto" w:sz="4" w:space="0"/>
            </w:tcBorders>
            <w:noWrap w:val="0"/>
            <w:vAlign w:val="center"/>
          </w:tcPr>
          <w:p w14:paraId="75EC129F">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20≤X＜100</w:t>
            </w:r>
          </w:p>
        </w:tc>
        <w:tc>
          <w:tcPr>
            <w:tcW w:w="1134" w:type="dxa"/>
            <w:tcBorders>
              <w:top w:val="nil"/>
              <w:left w:val="nil"/>
              <w:bottom w:val="single" w:color="auto" w:sz="4" w:space="0"/>
              <w:right w:val="single" w:color="auto" w:sz="4" w:space="0"/>
            </w:tcBorders>
            <w:noWrap w:val="0"/>
            <w:vAlign w:val="center"/>
          </w:tcPr>
          <w:p w14:paraId="181893A5">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X＜20</w:t>
            </w:r>
          </w:p>
        </w:tc>
      </w:tr>
      <w:tr w14:paraId="341AC6A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3254D61">
            <w:pPr>
              <w:widowControl/>
              <w:jc w:val="left"/>
              <w:rPr>
                <w:rFonts w:ascii="宋体" w:hAnsi="宋体" w:cs="宋体"/>
                <w:b/>
                <w:bCs/>
                <w:color w:val="000000"/>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1BEF7736">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0612E11B">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026AD6E5">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1000≤Y＜30000</w:t>
            </w:r>
          </w:p>
        </w:tc>
        <w:tc>
          <w:tcPr>
            <w:tcW w:w="1701" w:type="dxa"/>
            <w:tcBorders>
              <w:top w:val="nil"/>
              <w:left w:val="nil"/>
              <w:bottom w:val="single" w:color="auto" w:sz="4" w:space="0"/>
              <w:right w:val="single" w:color="auto" w:sz="4" w:space="0"/>
            </w:tcBorders>
            <w:noWrap w:val="0"/>
            <w:vAlign w:val="center"/>
          </w:tcPr>
          <w:p w14:paraId="26132080">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100≤Y＜1000</w:t>
            </w:r>
          </w:p>
        </w:tc>
        <w:tc>
          <w:tcPr>
            <w:tcW w:w="1134" w:type="dxa"/>
            <w:tcBorders>
              <w:top w:val="nil"/>
              <w:left w:val="nil"/>
              <w:bottom w:val="single" w:color="auto" w:sz="4" w:space="0"/>
              <w:right w:val="single" w:color="auto" w:sz="4" w:space="0"/>
            </w:tcBorders>
            <w:noWrap w:val="0"/>
            <w:vAlign w:val="center"/>
          </w:tcPr>
          <w:p w14:paraId="516EC899">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Y＜100</w:t>
            </w:r>
          </w:p>
        </w:tc>
      </w:tr>
      <w:tr w14:paraId="50442585">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07495683">
            <w:pPr>
              <w:widowControl/>
              <w:jc w:val="center"/>
              <w:rPr>
                <w:rFonts w:ascii="宋体" w:hAnsi="宋体" w:cs="宋体"/>
                <w:b/>
                <w:bCs/>
                <w:color w:val="000000"/>
                <w:kern w:val="0"/>
                <w:sz w:val="18"/>
                <w:szCs w:val="18"/>
                <w:highlight w:val="none"/>
              </w:rPr>
            </w:pPr>
            <w:r>
              <w:rPr>
                <w:rFonts w:hint="eastAsia" w:ascii="宋体" w:hAnsi="宋体" w:cs="宋体"/>
                <w:b/>
                <w:bCs/>
                <w:color w:val="000000"/>
                <w:kern w:val="0"/>
                <w:sz w:val="18"/>
                <w:szCs w:val="18"/>
                <w:highlight w:val="none"/>
              </w:rPr>
              <w:t>邮政业</w:t>
            </w:r>
          </w:p>
        </w:tc>
        <w:tc>
          <w:tcPr>
            <w:tcW w:w="1984" w:type="dxa"/>
            <w:tcBorders>
              <w:top w:val="nil"/>
              <w:left w:val="nil"/>
              <w:bottom w:val="single" w:color="auto" w:sz="4" w:space="0"/>
              <w:right w:val="single" w:color="auto" w:sz="4" w:space="0"/>
            </w:tcBorders>
            <w:noWrap w:val="0"/>
            <w:vAlign w:val="center"/>
          </w:tcPr>
          <w:p w14:paraId="10154458">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3883EBD8">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18668489">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300≤X＜1000</w:t>
            </w:r>
          </w:p>
        </w:tc>
        <w:tc>
          <w:tcPr>
            <w:tcW w:w="1701" w:type="dxa"/>
            <w:tcBorders>
              <w:top w:val="nil"/>
              <w:left w:val="nil"/>
              <w:bottom w:val="single" w:color="auto" w:sz="4" w:space="0"/>
              <w:right w:val="single" w:color="auto" w:sz="4" w:space="0"/>
            </w:tcBorders>
            <w:noWrap w:val="0"/>
            <w:vAlign w:val="center"/>
          </w:tcPr>
          <w:p w14:paraId="3E8F4E43">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39E3D712">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X＜20</w:t>
            </w:r>
          </w:p>
        </w:tc>
      </w:tr>
      <w:tr w14:paraId="4BE2DC0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1C6FB2D">
            <w:pPr>
              <w:widowControl/>
              <w:jc w:val="left"/>
              <w:rPr>
                <w:rFonts w:ascii="宋体" w:hAnsi="宋体" w:cs="宋体"/>
                <w:b/>
                <w:bCs/>
                <w:color w:val="000000"/>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6362924E">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08FF6FF4">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3CB4329E">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2000≤Y＜30000</w:t>
            </w:r>
          </w:p>
        </w:tc>
        <w:tc>
          <w:tcPr>
            <w:tcW w:w="1701" w:type="dxa"/>
            <w:tcBorders>
              <w:top w:val="nil"/>
              <w:left w:val="nil"/>
              <w:bottom w:val="single" w:color="auto" w:sz="4" w:space="0"/>
              <w:right w:val="single" w:color="auto" w:sz="4" w:space="0"/>
            </w:tcBorders>
            <w:noWrap w:val="0"/>
            <w:vAlign w:val="center"/>
          </w:tcPr>
          <w:p w14:paraId="26DEF6E3">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693245CD">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Y＜100</w:t>
            </w:r>
          </w:p>
        </w:tc>
      </w:tr>
      <w:tr w14:paraId="4D2779F1">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4964C10">
            <w:pPr>
              <w:widowControl/>
              <w:jc w:val="center"/>
              <w:rPr>
                <w:rFonts w:ascii="宋体" w:hAnsi="宋体" w:cs="宋体"/>
                <w:b/>
                <w:bCs/>
                <w:color w:val="000000"/>
                <w:kern w:val="0"/>
                <w:sz w:val="18"/>
                <w:szCs w:val="18"/>
                <w:highlight w:val="none"/>
              </w:rPr>
            </w:pPr>
            <w:r>
              <w:rPr>
                <w:rFonts w:hint="eastAsia" w:ascii="宋体" w:hAnsi="宋体" w:cs="宋体"/>
                <w:b/>
                <w:bCs/>
                <w:color w:val="000000"/>
                <w:kern w:val="0"/>
                <w:sz w:val="18"/>
                <w:szCs w:val="18"/>
                <w:highlight w:val="none"/>
              </w:rPr>
              <w:t>住宿业</w:t>
            </w:r>
          </w:p>
        </w:tc>
        <w:tc>
          <w:tcPr>
            <w:tcW w:w="1984" w:type="dxa"/>
            <w:tcBorders>
              <w:top w:val="nil"/>
              <w:left w:val="nil"/>
              <w:bottom w:val="single" w:color="auto" w:sz="4" w:space="0"/>
              <w:right w:val="single" w:color="auto" w:sz="4" w:space="0"/>
            </w:tcBorders>
            <w:noWrap w:val="0"/>
            <w:vAlign w:val="center"/>
          </w:tcPr>
          <w:p w14:paraId="4C7E0A60">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0AE47432">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21C3195D">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100≤X＜300</w:t>
            </w:r>
          </w:p>
        </w:tc>
        <w:tc>
          <w:tcPr>
            <w:tcW w:w="1701" w:type="dxa"/>
            <w:tcBorders>
              <w:top w:val="nil"/>
              <w:left w:val="nil"/>
              <w:bottom w:val="single" w:color="auto" w:sz="4" w:space="0"/>
              <w:right w:val="single" w:color="auto" w:sz="4" w:space="0"/>
            </w:tcBorders>
            <w:noWrap w:val="0"/>
            <w:vAlign w:val="center"/>
          </w:tcPr>
          <w:p w14:paraId="49A617A0">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4071A6DC">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X＜10</w:t>
            </w:r>
          </w:p>
        </w:tc>
      </w:tr>
      <w:tr w14:paraId="173C0E2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71E0689C">
            <w:pPr>
              <w:widowControl/>
              <w:jc w:val="left"/>
              <w:rPr>
                <w:rFonts w:ascii="宋体" w:hAnsi="宋体" w:cs="宋体"/>
                <w:b/>
                <w:bCs/>
                <w:color w:val="000000"/>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6D45F2AD">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5549B362">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6D316CD3">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2000≤Y＜10000</w:t>
            </w:r>
          </w:p>
        </w:tc>
        <w:tc>
          <w:tcPr>
            <w:tcW w:w="1701" w:type="dxa"/>
            <w:tcBorders>
              <w:top w:val="nil"/>
              <w:left w:val="nil"/>
              <w:bottom w:val="single" w:color="auto" w:sz="4" w:space="0"/>
              <w:right w:val="single" w:color="auto" w:sz="4" w:space="0"/>
            </w:tcBorders>
            <w:noWrap w:val="0"/>
            <w:vAlign w:val="center"/>
          </w:tcPr>
          <w:p w14:paraId="53E26F70">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16E70B63">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Y＜100</w:t>
            </w:r>
          </w:p>
        </w:tc>
      </w:tr>
      <w:tr w14:paraId="2F82B9C1">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0681650C">
            <w:pPr>
              <w:widowControl/>
              <w:jc w:val="center"/>
              <w:rPr>
                <w:rFonts w:ascii="宋体" w:hAnsi="宋体" w:cs="宋体"/>
                <w:b/>
                <w:bCs/>
                <w:color w:val="000000"/>
                <w:kern w:val="0"/>
                <w:sz w:val="18"/>
                <w:szCs w:val="18"/>
                <w:highlight w:val="none"/>
              </w:rPr>
            </w:pPr>
            <w:r>
              <w:rPr>
                <w:rFonts w:hint="eastAsia" w:ascii="宋体" w:hAnsi="宋体" w:cs="宋体"/>
                <w:b/>
                <w:bCs/>
                <w:color w:val="000000"/>
                <w:kern w:val="0"/>
                <w:sz w:val="18"/>
                <w:szCs w:val="18"/>
                <w:highlight w:val="none"/>
              </w:rPr>
              <w:t>餐饮业</w:t>
            </w:r>
          </w:p>
        </w:tc>
        <w:tc>
          <w:tcPr>
            <w:tcW w:w="1984" w:type="dxa"/>
            <w:tcBorders>
              <w:top w:val="nil"/>
              <w:left w:val="nil"/>
              <w:bottom w:val="single" w:color="auto" w:sz="4" w:space="0"/>
              <w:right w:val="single" w:color="auto" w:sz="4" w:space="0"/>
            </w:tcBorders>
            <w:noWrap w:val="0"/>
            <w:vAlign w:val="center"/>
          </w:tcPr>
          <w:p w14:paraId="6BD5CE99">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207FA2C3">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5D676A04">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100≤X＜300</w:t>
            </w:r>
          </w:p>
        </w:tc>
        <w:tc>
          <w:tcPr>
            <w:tcW w:w="1701" w:type="dxa"/>
            <w:tcBorders>
              <w:top w:val="nil"/>
              <w:left w:val="nil"/>
              <w:bottom w:val="single" w:color="auto" w:sz="4" w:space="0"/>
              <w:right w:val="single" w:color="auto" w:sz="4" w:space="0"/>
            </w:tcBorders>
            <w:noWrap w:val="0"/>
            <w:vAlign w:val="center"/>
          </w:tcPr>
          <w:p w14:paraId="69A128A4">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37249424">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X＜10</w:t>
            </w:r>
          </w:p>
        </w:tc>
      </w:tr>
      <w:tr w14:paraId="28C5090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98E0DD6">
            <w:pPr>
              <w:widowControl/>
              <w:jc w:val="left"/>
              <w:rPr>
                <w:rFonts w:ascii="宋体" w:hAnsi="宋体" w:cs="宋体"/>
                <w:b/>
                <w:bCs/>
                <w:color w:val="000000"/>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39E213EB">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7DDBE797">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3752C16D">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2000≤Y＜10000</w:t>
            </w:r>
          </w:p>
        </w:tc>
        <w:tc>
          <w:tcPr>
            <w:tcW w:w="1701" w:type="dxa"/>
            <w:tcBorders>
              <w:top w:val="nil"/>
              <w:left w:val="nil"/>
              <w:bottom w:val="single" w:color="auto" w:sz="4" w:space="0"/>
              <w:right w:val="single" w:color="auto" w:sz="4" w:space="0"/>
            </w:tcBorders>
            <w:noWrap w:val="0"/>
            <w:vAlign w:val="center"/>
          </w:tcPr>
          <w:p w14:paraId="2B8D97D3">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47520A70">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Y＜100</w:t>
            </w:r>
          </w:p>
        </w:tc>
      </w:tr>
      <w:tr w14:paraId="52C23115">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77654CF0">
            <w:pPr>
              <w:widowControl/>
              <w:jc w:val="center"/>
              <w:rPr>
                <w:rFonts w:ascii="宋体" w:hAnsi="宋体" w:cs="宋体"/>
                <w:b/>
                <w:bCs/>
                <w:color w:val="000000"/>
                <w:kern w:val="0"/>
                <w:sz w:val="18"/>
                <w:szCs w:val="18"/>
                <w:highlight w:val="none"/>
              </w:rPr>
            </w:pPr>
            <w:r>
              <w:rPr>
                <w:rFonts w:hint="eastAsia" w:ascii="宋体" w:hAnsi="宋体" w:cs="宋体"/>
                <w:b/>
                <w:bCs/>
                <w:color w:val="000000"/>
                <w:kern w:val="0"/>
                <w:sz w:val="18"/>
                <w:szCs w:val="18"/>
                <w:highlight w:val="none"/>
              </w:rPr>
              <w:t>信息传输业</w:t>
            </w:r>
          </w:p>
        </w:tc>
        <w:tc>
          <w:tcPr>
            <w:tcW w:w="1984" w:type="dxa"/>
            <w:tcBorders>
              <w:top w:val="nil"/>
              <w:left w:val="nil"/>
              <w:bottom w:val="single" w:color="auto" w:sz="4" w:space="0"/>
              <w:right w:val="single" w:color="auto" w:sz="4" w:space="0"/>
            </w:tcBorders>
            <w:noWrap w:val="0"/>
            <w:vAlign w:val="center"/>
          </w:tcPr>
          <w:p w14:paraId="00DABED6">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5FD0180F">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3A558A89">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100≤X＜2000</w:t>
            </w:r>
          </w:p>
        </w:tc>
        <w:tc>
          <w:tcPr>
            <w:tcW w:w="1701" w:type="dxa"/>
            <w:tcBorders>
              <w:top w:val="nil"/>
              <w:left w:val="nil"/>
              <w:bottom w:val="single" w:color="auto" w:sz="4" w:space="0"/>
              <w:right w:val="single" w:color="auto" w:sz="4" w:space="0"/>
            </w:tcBorders>
            <w:noWrap w:val="0"/>
            <w:vAlign w:val="center"/>
          </w:tcPr>
          <w:p w14:paraId="3DCE4656">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13CDC69F">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X＜10</w:t>
            </w:r>
          </w:p>
        </w:tc>
      </w:tr>
      <w:tr w14:paraId="3E39FCF0">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7B34C76">
            <w:pPr>
              <w:widowControl/>
              <w:jc w:val="left"/>
              <w:rPr>
                <w:rFonts w:ascii="宋体" w:hAnsi="宋体" w:cs="宋体"/>
                <w:b/>
                <w:bCs/>
                <w:color w:val="000000"/>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6F67A6BF">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4F62D160">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74BABC58">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1000≤Y＜100000</w:t>
            </w:r>
          </w:p>
        </w:tc>
        <w:tc>
          <w:tcPr>
            <w:tcW w:w="1701" w:type="dxa"/>
            <w:tcBorders>
              <w:top w:val="nil"/>
              <w:left w:val="nil"/>
              <w:bottom w:val="single" w:color="auto" w:sz="4" w:space="0"/>
              <w:right w:val="single" w:color="auto" w:sz="4" w:space="0"/>
            </w:tcBorders>
            <w:noWrap w:val="0"/>
            <w:vAlign w:val="center"/>
          </w:tcPr>
          <w:p w14:paraId="441CC385">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100≤Y＜1000</w:t>
            </w:r>
          </w:p>
        </w:tc>
        <w:tc>
          <w:tcPr>
            <w:tcW w:w="1134" w:type="dxa"/>
            <w:tcBorders>
              <w:top w:val="nil"/>
              <w:left w:val="nil"/>
              <w:bottom w:val="single" w:color="auto" w:sz="4" w:space="0"/>
              <w:right w:val="single" w:color="auto" w:sz="4" w:space="0"/>
            </w:tcBorders>
            <w:noWrap w:val="0"/>
            <w:vAlign w:val="center"/>
          </w:tcPr>
          <w:p w14:paraId="616C3D80">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Y＜100</w:t>
            </w:r>
          </w:p>
        </w:tc>
      </w:tr>
      <w:tr w14:paraId="13A57F17">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C14000C">
            <w:pPr>
              <w:widowControl/>
              <w:jc w:val="center"/>
              <w:rPr>
                <w:rFonts w:ascii="宋体" w:hAnsi="宋体" w:cs="宋体"/>
                <w:b/>
                <w:bCs/>
                <w:color w:val="000000"/>
                <w:kern w:val="0"/>
                <w:sz w:val="18"/>
                <w:szCs w:val="18"/>
                <w:highlight w:val="none"/>
              </w:rPr>
            </w:pPr>
            <w:r>
              <w:rPr>
                <w:rFonts w:hint="eastAsia" w:ascii="宋体" w:hAnsi="宋体" w:cs="宋体"/>
                <w:b/>
                <w:bCs/>
                <w:color w:val="000000"/>
                <w:kern w:val="0"/>
                <w:sz w:val="18"/>
                <w:szCs w:val="18"/>
                <w:highlight w:val="none"/>
              </w:rPr>
              <w:t>软件和信息技术服务业</w:t>
            </w:r>
          </w:p>
        </w:tc>
        <w:tc>
          <w:tcPr>
            <w:tcW w:w="1984" w:type="dxa"/>
            <w:tcBorders>
              <w:top w:val="nil"/>
              <w:left w:val="nil"/>
              <w:bottom w:val="single" w:color="auto" w:sz="4" w:space="0"/>
              <w:right w:val="single" w:color="auto" w:sz="4" w:space="0"/>
            </w:tcBorders>
            <w:noWrap w:val="0"/>
            <w:vAlign w:val="center"/>
          </w:tcPr>
          <w:p w14:paraId="3E863638">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6317F4BF">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2B6B9F3F">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100≤X＜300</w:t>
            </w:r>
          </w:p>
        </w:tc>
        <w:tc>
          <w:tcPr>
            <w:tcW w:w="1701" w:type="dxa"/>
            <w:tcBorders>
              <w:top w:val="nil"/>
              <w:left w:val="nil"/>
              <w:bottom w:val="single" w:color="auto" w:sz="4" w:space="0"/>
              <w:right w:val="single" w:color="auto" w:sz="4" w:space="0"/>
            </w:tcBorders>
            <w:noWrap w:val="0"/>
            <w:vAlign w:val="center"/>
          </w:tcPr>
          <w:p w14:paraId="703E36CB">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75FA41B3">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X＜10</w:t>
            </w:r>
          </w:p>
        </w:tc>
      </w:tr>
      <w:tr w14:paraId="328F530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5495ED0">
            <w:pPr>
              <w:widowControl/>
              <w:jc w:val="left"/>
              <w:rPr>
                <w:rFonts w:ascii="宋体" w:hAnsi="宋体" w:cs="宋体"/>
                <w:b/>
                <w:bCs/>
                <w:color w:val="000000"/>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53786734">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430E8059">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2C764B19">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1000≤Y＜10000</w:t>
            </w:r>
          </w:p>
        </w:tc>
        <w:tc>
          <w:tcPr>
            <w:tcW w:w="1701" w:type="dxa"/>
            <w:tcBorders>
              <w:top w:val="nil"/>
              <w:left w:val="nil"/>
              <w:bottom w:val="single" w:color="auto" w:sz="4" w:space="0"/>
              <w:right w:val="single" w:color="auto" w:sz="4" w:space="0"/>
            </w:tcBorders>
            <w:noWrap w:val="0"/>
            <w:vAlign w:val="center"/>
          </w:tcPr>
          <w:p w14:paraId="310344FB">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50≤Y＜1000</w:t>
            </w:r>
          </w:p>
        </w:tc>
        <w:tc>
          <w:tcPr>
            <w:tcW w:w="1134" w:type="dxa"/>
            <w:tcBorders>
              <w:top w:val="nil"/>
              <w:left w:val="nil"/>
              <w:bottom w:val="single" w:color="auto" w:sz="4" w:space="0"/>
              <w:right w:val="single" w:color="auto" w:sz="4" w:space="0"/>
            </w:tcBorders>
            <w:noWrap w:val="0"/>
            <w:vAlign w:val="center"/>
          </w:tcPr>
          <w:p w14:paraId="41E80173">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Y＜50</w:t>
            </w:r>
          </w:p>
        </w:tc>
      </w:tr>
      <w:tr w14:paraId="11DFBCF5">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0522779">
            <w:pPr>
              <w:widowControl/>
              <w:jc w:val="center"/>
              <w:rPr>
                <w:rFonts w:ascii="宋体" w:hAnsi="宋体" w:cs="宋体"/>
                <w:b/>
                <w:bCs/>
                <w:color w:val="000000"/>
                <w:kern w:val="0"/>
                <w:sz w:val="18"/>
                <w:szCs w:val="18"/>
                <w:highlight w:val="none"/>
              </w:rPr>
            </w:pPr>
            <w:r>
              <w:rPr>
                <w:rFonts w:hint="eastAsia" w:ascii="宋体" w:hAnsi="宋体" w:cs="宋体"/>
                <w:b/>
                <w:bCs/>
                <w:color w:val="000000"/>
                <w:kern w:val="0"/>
                <w:sz w:val="18"/>
                <w:szCs w:val="18"/>
                <w:highlight w:val="none"/>
              </w:rPr>
              <w:t>房地产开发经营</w:t>
            </w:r>
          </w:p>
        </w:tc>
        <w:tc>
          <w:tcPr>
            <w:tcW w:w="1984" w:type="dxa"/>
            <w:tcBorders>
              <w:top w:val="nil"/>
              <w:left w:val="nil"/>
              <w:bottom w:val="single" w:color="auto" w:sz="4" w:space="0"/>
              <w:right w:val="single" w:color="auto" w:sz="4" w:space="0"/>
            </w:tcBorders>
            <w:noWrap w:val="0"/>
            <w:vAlign w:val="center"/>
          </w:tcPr>
          <w:p w14:paraId="5F3E0189">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2DAC0CFB">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7BBFF76D">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1000≤Y＜200000</w:t>
            </w:r>
          </w:p>
        </w:tc>
        <w:tc>
          <w:tcPr>
            <w:tcW w:w="1701" w:type="dxa"/>
            <w:tcBorders>
              <w:top w:val="nil"/>
              <w:left w:val="nil"/>
              <w:bottom w:val="single" w:color="auto" w:sz="4" w:space="0"/>
              <w:right w:val="single" w:color="auto" w:sz="4" w:space="0"/>
            </w:tcBorders>
            <w:noWrap w:val="0"/>
            <w:vAlign w:val="center"/>
          </w:tcPr>
          <w:p w14:paraId="64C05705">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100≤X＜1000</w:t>
            </w:r>
          </w:p>
        </w:tc>
        <w:tc>
          <w:tcPr>
            <w:tcW w:w="1134" w:type="dxa"/>
            <w:tcBorders>
              <w:top w:val="nil"/>
              <w:left w:val="nil"/>
              <w:bottom w:val="single" w:color="auto" w:sz="4" w:space="0"/>
              <w:right w:val="single" w:color="auto" w:sz="4" w:space="0"/>
            </w:tcBorders>
            <w:noWrap w:val="0"/>
            <w:vAlign w:val="center"/>
          </w:tcPr>
          <w:p w14:paraId="4CC889E2">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X＜100</w:t>
            </w:r>
          </w:p>
        </w:tc>
      </w:tr>
      <w:tr w14:paraId="730A291C">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D3B3084">
            <w:pPr>
              <w:widowControl/>
              <w:jc w:val="left"/>
              <w:rPr>
                <w:rFonts w:ascii="宋体" w:hAnsi="宋体" w:cs="宋体"/>
                <w:b/>
                <w:bCs/>
                <w:color w:val="000000"/>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1393D916">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1B6BDA95">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49370DA8">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5000≤Z＜10000</w:t>
            </w:r>
          </w:p>
        </w:tc>
        <w:tc>
          <w:tcPr>
            <w:tcW w:w="1701" w:type="dxa"/>
            <w:tcBorders>
              <w:top w:val="nil"/>
              <w:left w:val="nil"/>
              <w:bottom w:val="single" w:color="auto" w:sz="4" w:space="0"/>
              <w:right w:val="single" w:color="auto" w:sz="4" w:space="0"/>
            </w:tcBorders>
            <w:noWrap w:val="0"/>
            <w:vAlign w:val="center"/>
          </w:tcPr>
          <w:p w14:paraId="60C7A138">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2000≤Y＜5000</w:t>
            </w:r>
          </w:p>
        </w:tc>
        <w:tc>
          <w:tcPr>
            <w:tcW w:w="1134" w:type="dxa"/>
            <w:tcBorders>
              <w:top w:val="nil"/>
              <w:left w:val="nil"/>
              <w:bottom w:val="single" w:color="auto" w:sz="4" w:space="0"/>
              <w:right w:val="single" w:color="auto" w:sz="4" w:space="0"/>
            </w:tcBorders>
            <w:noWrap w:val="0"/>
            <w:vAlign w:val="center"/>
          </w:tcPr>
          <w:p w14:paraId="41660846">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Y＜2000</w:t>
            </w:r>
          </w:p>
        </w:tc>
      </w:tr>
      <w:tr w14:paraId="208227D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43B167D">
            <w:pPr>
              <w:widowControl/>
              <w:jc w:val="center"/>
              <w:rPr>
                <w:rFonts w:ascii="宋体" w:hAnsi="宋体" w:cs="宋体"/>
                <w:b/>
                <w:bCs/>
                <w:color w:val="000000"/>
                <w:kern w:val="0"/>
                <w:sz w:val="18"/>
                <w:szCs w:val="18"/>
                <w:highlight w:val="none"/>
              </w:rPr>
            </w:pPr>
            <w:r>
              <w:rPr>
                <w:rFonts w:hint="eastAsia" w:ascii="宋体" w:hAnsi="宋体" w:cs="宋体"/>
                <w:b/>
                <w:bCs/>
                <w:color w:val="000000"/>
                <w:kern w:val="0"/>
                <w:sz w:val="18"/>
                <w:szCs w:val="18"/>
                <w:highlight w:val="none"/>
              </w:rPr>
              <w:t>物业管理</w:t>
            </w:r>
          </w:p>
        </w:tc>
        <w:tc>
          <w:tcPr>
            <w:tcW w:w="1984" w:type="dxa"/>
            <w:tcBorders>
              <w:top w:val="nil"/>
              <w:left w:val="nil"/>
              <w:bottom w:val="single" w:color="auto" w:sz="4" w:space="0"/>
              <w:right w:val="single" w:color="auto" w:sz="4" w:space="0"/>
            </w:tcBorders>
            <w:noWrap w:val="0"/>
            <w:vAlign w:val="center"/>
          </w:tcPr>
          <w:p w14:paraId="1945FEB3">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6A071031">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577448EE">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300≤X＜1000</w:t>
            </w:r>
          </w:p>
        </w:tc>
        <w:tc>
          <w:tcPr>
            <w:tcW w:w="1701" w:type="dxa"/>
            <w:tcBorders>
              <w:top w:val="nil"/>
              <w:left w:val="nil"/>
              <w:bottom w:val="single" w:color="auto" w:sz="4" w:space="0"/>
              <w:right w:val="single" w:color="auto" w:sz="4" w:space="0"/>
            </w:tcBorders>
            <w:noWrap w:val="0"/>
            <w:vAlign w:val="center"/>
          </w:tcPr>
          <w:p w14:paraId="48A33A25">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100≤X＜300</w:t>
            </w:r>
          </w:p>
        </w:tc>
        <w:tc>
          <w:tcPr>
            <w:tcW w:w="1134" w:type="dxa"/>
            <w:tcBorders>
              <w:top w:val="nil"/>
              <w:left w:val="nil"/>
              <w:bottom w:val="single" w:color="auto" w:sz="4" w:space="0"/>
              <w:right w:val="single" w:color="auto" w:sz="4" w:space="0"/>
            </w:tcBorders>
            <w:noWrap w:val="0"/>
            <w:vAlign w:val="center"/>
          </w:tcPr>
          <w:p w14:paraId="3EC58965">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X＜100</w:t>
            </w:r>
          </w:p>
        </w:tc>
      </w:tr>
      <w:tr w14:paraId="3867CF1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C85E1AB">
            <w:pPr>
              <w:widowControl/>
              <w:jc w:val="left"/>
              <w:rPr>
                <w:rFonts w:ascii="宋体" w:hAnsi="宋体" w:cs="宋体"/>
                <w:b/>
                <w:bCs/>
                <w:color w:val="000000"/>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540713FF">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3186A3E4">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4C508D2D">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1000≤Y＜5000</w:t>
            </w:r>
          </w:p>
        </w:tc>
        <w:tc>
          <w:tcPr>
            <w:tcW w:w="1701" w:type="dxa"/>
            <w:tcBorders>
              <w:top w:val="nil"/>
              <w:left w:val="nil"/>
              <w:bottom w:val="single" w:color="auto" w:sz="4" w:space="0"/>
              <w:right w:val="single" w:color="auto" w:sz="4" w:space="0"/>
            </w:tcBorders>
            <w:noWrap w:val="0"/>
            <w:vAlign w:val="center"/>
          </w:tcPr>
          <w:p w14:paraId="14C50717">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500≤Y＜1000</w:t>
            </w:r>
          </w:p>
        </w:tc>
        <w:tc>
          <w:tcPr>
            <w:tcW w:w="1134" w:type="dxa"/>
            <w:tcBorders>
              <w:top w:val="nil"/>
              <w:left w:val="nil"/>
              <w:bottom w:val="single" w:color="auto" w:sz="4" w:space="0"/>
              <w:right w:val="single" w:color="auto" w:sz="4" w:space="0"/>
            </w:tcBorders>
            <w:noWrap w:val="0"/>
            <w:vAlign w:val="center"/>
          </w:tcPr>
          <w:p w14:paraId="3BF7F4A0">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Y＜500</w:t>
            </w:r>
          </w:p>
        </w:tc>
      </w:tr>
      <w:tr w14:paraId="2D240857">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4E82AC0">
            <w:pPr>
              <w:widowControl/>
              <w:jc w:val="center"/>
              <w:rPr>
                <w:rFonts w:ascii="宋体" w:hAnsi="宋体" w:cs="宋体"/>
                <w:b/>
                <w:bCs/>
                <w:color w:val="000000"/>
                <w:kern w:val="0"/>
                <w:sz w:val="18"/>
                <w:szCs w:val="18"/>
                <w:highlight w:val="none"/>
              </w:rPr>
            </w:pPr>
            <w:r>
              <w:rPr>
                <w:rFonts w:hint="eastAsia" w:ascii="宋体" w:hAnsi="宋体" w:cs="宋体"/>
                <w:b/>
                <w:bCs/>
                <w:color w:val="000000"/>
                <w:kern w:val="0"/>
                <w:sz w:val="18"/>
                <w:szCs w:val="18"/>
                <w:highlight w:val="none"/>
              </w:rPr>
              <w:t>租赁和商务服务业</w:t>
            </w:r>
          </w:p>
        </w:tc>
        <w:tc>
          <w:tcPr>
            <w:tcW w:w="1984" w:type="dxa"/>
            <w:tcBorders>
              <w:top w:val="nil"/>
              <w:left w:val="nil"/>
              <w:bottom w:val="single" w:color="auto" w:sz="4" w:space="0"/>
              <w:right w:val="single" w:color="auto" w:sz="4" w:space="0"/>
            </w:tcBorders>
            <w:noWrap w:val="0"/>
            <w:vAlign w:val="center"/>
          </w:tcPr>
          <w:p w14:paraId="63675BAF">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6FEEC59F">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788AC66D">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100≤X＜300</w:t>
            </w:r>
          </w:p>
        </w:tc>
        <w:tc>
          <w:tcPr>
            <w:tcW w:w="1701" w:type="dxa"/>
            <w:tcBorders>
              <w:top w:val="nil"/>
              <w:left w:val="nil"/>
              <w:bottom w:val="single" w:color="auto" w:sz="4" w:space="0"/>
              <w:right w:val="single" w:color="auto" w:sz="4" w:space="0"/>
            </w:tcBorders>
            <w:noWrap w:val="0"/>
            <w:vAlign w:val="center"/>
          </w:tcPr>
          <w:p w14:paraId="3C715084">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777EC919">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X＜10</w:t>
            </w:r>
          </w:p>
        </w:tc>
      </w:tr>
      <w:tr w14:paraId="1795ECD0">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7044EBC2">
            <w:pPr>
              <w:widowControl/>
              <w:jc w:val="left"/>
              <w:rPr>
                <w:rFonts w:ascii="宋体" w:hAnsi="宋体" w:cs="宋体"/>
                <w:b/>
                <w:bCs/>
                <w:color w:val="000000"/>
                <w:kern w:val="0"/>
                <w:sz w:val="18"/>
                <w:szCs w:val="18"/>
                <w:highlight w:val="none"/>
              </w:rPr>
            </w:pPr>
          </w:p>
        </w:tc>
        <w:tc>
          <w:tcPr>
            <w:tcW w:w="1984" w:type="dxa"/>
            <w:tcBorders>
              <w:top w:val="nil"/>
              <w:left w:val="nil"/>
              <w:bottom w:val="single" w:color="auto" w:sz="4" w:space="0"/>
              <w:right w:val="single" w:color="auto" w:sz="4" w:space="0"/>
            </w:tcBorders>
            <w:noWrap w:val="0"/>
            <w:vAlign w:val="center"/>
          </w:tcPr>
          <w:p w14:paraId="7349105C">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7A822BA3">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万元</w:t>
            </w:r>
          </w:p>
        </w:tc>
        <w:tc>
          <w:tcPr>
            <w:tcW w:w="1842" w:type="dxa"/>
            <w:tcBorders>
              <w:top w:val="nil"/>
              <w:left w:val="nil"/>
              <w:bottom w:val="single" w:color="auto" w:sz="4" w:space="0"/>
              <w:right w:val="single" w:color="auto" w:sz="4" w:space="0"/>
            </w:tcBorders>
            <w:noWrap w:val="0"/>
            <w:vAlign w:val="center"/>
          </w:tcPr>
          <w:p w14:paraId="56683A57">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8000≤Z＜120000</w:t>
            </w:r>
          </w:p>
        </w:tc>
        <w:tc>
          <w:tcPr>
            <w:tcW w:w="1701" w:type="dxa"/>
            <w:tcBorders>
              <w:top w:val="nil"/>
              <w:left w:val="nil"/>
              <w:bottom w:val="single" w:color="auto" w:sz="4" w:space="0"/>
              <w:right w:val="single" w:color="auto" w:sz="4" w:space="0"/>
            </w:tcBorders>
            <w:noWrap w:val="0"/>
            <w:vAlign w:val="center"/>
          </w:tcPr>
          <w:p w14:paraId="23269E04">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100≤Z＜8000</w:t>
            </w:r>
          </w:p>
        </w:tc>
        <w:tc>
          <w:tcPr>
            <w:tcW w:w="1134" w:type="dxa"/>
            <w:tcBorders>
              <w:top w:val="nil"/>
              <w:left w:val="nil"/>
              <w:bottom w:val="single" w:color="auto" w:sz="4" w:space="0"/>
              <w:right w:val="single" w:color="auto" w:sz="4" w:space="0"/>
            </w:tcBorders>
            <w:noWrap w:val="0"/>
            <w:vAlign w:val="center"/>
          </w:tcPr>
          <w:p w14:paraId="6F3936FB">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Y＜100</w:t>
            </w:r>
          </w:p>
        </w:tc>
      </w:tr>
      <w:tr w14:paraId="43C3A56E">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14:paraId="758324E0">
            <w:pPr>
              <w:widowControl/>
              <w:jc w:val="center"/>
              <w:rPr>
                <w:rFonts w:ascii="宋体" w:hAnsi="宋体" w:cs="宋体"/>
                <w:b/>
                <w:bCs/>
                <w:color w:val="000000"/>
                <w:kern w:val="0"/>
                <w:sz w:val="18"/>
                <w:szCs w:val="18"/>
                <w:highlight w:val="none"/>
              </w:rPr>
            </w:pPr>
            <w:r>
              <w:rPr>
                <w:rFonts w:hint="eastAsia" w:ascii="宋体" w:hAnsi="宋体" w:cs="宋体"/>
                <w:b/>
                <w:bCs/>
                <w:color w:val="000000"/>
                <w:kern w:val="0"/>
                <w:sz w:val="18"/>
                <w:szCs w:val="18"/>
                <w:highlight w:val="none"/>
              </w:rPr>
              <w:t>其他未列明行业</w:t>
            </w:r>
          </w:p>
        </w:tc>
        <w:tc>
          <w:tcPr>
            <w:tcW w:w="1984" w:type="dxa"/>
            <w:tcBorders>
              <w:top w:val="nil"/>
              <w:left w:val="nil"/>
              <w:bottom w:val="single" w:color="auto" w:sz="4" w:space="0"/>
              <w:right w:val="single" w:color="auto" w:sz="4" w:space="0"/>
            </w:tcBorders>
            <w:noWrap w:val="0"/>
            <w:vAlign w:val="center"/>
          </w:tcPr>
          <w:p w14:paraId="3949DF95">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26AD74D8">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人</w:t>
            </w:r>
          </w:p>
        </w:tc>
        <w:tc>
          <w:tcPr>
            <w:tcW w:w="1842" w:type="dxa"/>
            <w:tcBorders>
              <w:top w:val="nil"/>
              <w:left w:val="nil"/>
              <w:bottom w:val="single" w:color="auto" w:sz="4" w:space="0"/>
              <w:right w:val="single" w:color="auto" w:sz="4" w:space="0"/>
            </w:tcBorders>
            <w:noWrap w:val="0"/>
            <w:vAlign w:val="center"/>
          </w:tcPr>
          <w:p w14:paraId="7B3730C3">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100≤X＜300</w:t>
            </w:r>
          </w:p>
        </w:tc>
        <w:tc>
          <w:tcPr>
            <w:tcW w:w="1701" w:type="dxa"/>
            <w:tcBorders>
              <w:top w:val="nil"/>
              <w:left w:val="nil"/>
              <w:bottom w:val="single" w:color="auto" w:sz="4" w:space="0"/>
              <w:right w:val="single" w:color="auto" w:sz="4" w:space="0"/>
            </w:tcBorders>
            <w:noWrap w:val="0"/>
            <w:vAlign w:val="center"/>
          </w:tcPr>
          <w:p w14:paraId="516C4BA7">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3FC728E1">
            <w:pPr>
              <w:widowControl/>
              <w:jc w:val="left"/>
              <w:rPr>
                <w:rFonts w:ascii="宋体" w:hAnsi="宋体" w:cs="宋体"/>
                <w:color w:val="000000"/>
                <w:kern w:val="0"/>
                <w:sz w:val="18"/>
                <w:szCs w:val="18"/>
                <w:highlight w:val="none"/>
              </w:rPr>
            </w:pPr>
            <w:r>
              <w:rPr>
                <w:rFonts w:hint="eastAsia" w:ascii="宋体" w:hAnsi="宋体" w:cs="宋体"/>
                <w:color w:val="000000"/>
                <w:kern w:val="0"/>
                <w:sz w:val="18"/>
                <w:szCs w:val="18"/>
                <w:highlight w:val="none"/>
              </w:rPr>
              <w:t>X＜10</w:t>
            </w:r>
          </w:p>
        </w:tc>
      </w:tr>
    </w:tbl>
    <w:p w14:paraId="1FA9AEB6">
      <w:pPr>
        <w:spacing w:line="560" w:lineRule="exact"/>
        <w:ind w:firstLine="525" w:firstLineChars="250"/>
        <w:rPr>
          <w:rFonts w:ascii="宋体" w:hAnsi="宋体"/>
          <w:color w:val="000000"/>
          <w:szCs w:val="21"/>
          <w:highlight w:val="none"/>
        </w:rPr>
      </w:pPr>
      <w:r>
        <w:rPr>
          <w:rFonts w:hint="eastAsia" w:ascii="宋体" w:hAnsi="宋体"/>
          <w:color w:val="000000"/>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44600447">
      <w:pPr>
        <w:jc w:val="center"/>
        <w:outlineLvl w:val="0"/>
        <w:rPr>
          <w:rFonts w:ascii="宋体" w:hAnsi="宋体"/>
          <w:color w:val="000000"/>
          <w:kern w:val="0"/>
          <w:sz w:val="20"/>
          <w:szCs w:val="21"/>
          <w:highlight w:val="none"/>
        </w:rPr>
        <w:sectPr>
          <w:footerReference r:id="rId8" w:type="default"/>
          <w:pgSz w:w="11906" w:h="16838"/>
          <w:pgMar w:top="1440" w:right="1080" w:bottom="1440" w:left="1080" w:header="720" w:footer="720" w:gutter="0"/>
          <w:pgNumType w:fmt="decimal" w:start="1"/>
          <w:cols w:space="720" w:num="1"/>
          <w:rtlGutter w:val="0"/>
          <w:docGrid w:type="lines" w:linePitch="331" w:charSpace="0"/>
        </w:sectPr>
      </w:pPr>
    </w:p>
    <w:p w14:paraId="7D28DDBB">
      <w:pPr>
        <w:keepNext/>
        <w:keepLines/>
        <w:numPr>
          <w:ilvl w:val="0"/>
          <w:numId w:val="2"/>
        </w:numPr>
        <w:spacing w:before="340" w:after="330" w:line="240" w:lineRule="auto"/>
        <w:jc w:val="center"/>
        <w:outlineLvl w:val="0"/>
        <w:rPr>
          <w:rFonts w:hint="eastAsia" w:ascii="宋体" w:hAnsi="宋体"/>
          <w:b/>
          <w:color w:val="000000"/>
          <w:kern w:val="44"/>
          <w:sz w:val="44"/>
          <w:szCs w:val="44"/>
          <w:highlight w:val="none"/>
        </w:rPr>
      </w:pPr>
      <w:bookmarkStart w:id="36" w:name="_Toc9100"/>
      <w:r>
        <w:rPr>
          <w:rFonts w:hint="eastAsia" w:ascii="宋体" w:hAnsi="宋体"/>
          <w:b/>
          <w:color w:val="000000"/>
          <w:kern w:val="44"/>
          <w:sz w:val="44"/>
          <w:szCs w:val="44"/>
          <w:highlight w:val="none"/>
        </w:rPr>
        <w:t>供应商须知</w:t>
      </w:r>
      <w:bookmarkEnd w:id="36"/>
    </w:p>
    <w:p w14:paraId="1168A6D3">
      <w:pPr>
        <w:keepNext/>
        <w:keepLines/>
        <w:spacing w:before="260" w:after="260" w:line="240" w:lineRule="auto"/>
        <w:jc w:val="center"/>
        <w:outlineLvl w:val="1"/>
        <w:rPr>
          <w:rFonts w:ascii="宋体" w:hAnsi="宋体"/>
          <w:bCs/>
          <w:color w:val="000000"/>
          <w:sz w:val="32"/>
          <w:szCs w:val="32"/>
          <w:highlight w:val="none"/>
        </w:rPr>
      </w:pPr>
      <w:bookmarkStart w:id="37" w:name="_Toc16798"/>
      <w:r>
        <w:rPr>
          <w:rFonts w:hint="eastAsia" w:ascii="宋体" w:hAnsi="宋体"/>
          <w:bCs/>
          <w:color w:val="000000"/>
          <w:sz w:val="32"/>
          <w:szCs w:val="32"/>
          <w:highlight w:val="none"/>
        </w:rPr>
        <w:t>第一节 供应商须知前附表</w:t>
      </w:r>
      <w:bookmarkEnd w:id="37"/>
    </w:p>
    <w:tbl>
      <w:tblPr>
        <w:tblStyle w:val="15"/>
        <w:tblW w:w="95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6"/>
        <w:gridCol w:w="1794"/>
        <w:gridCol w:w="6895"/>
      </w:tblGrid>
      <w:tr w14:paraId="30FBB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trPr>
        <w:tc>
          <w:tcPr>
            <w:tcW w:w="886" w:type="dxa"/>
            <w:noWrap w:val="0"/>
            <w:vAlign w:val="top"/>
          </w:tcPr>
          <w:p w14:paraId="7E9E824F">
            <w:pPr>
              <w:keepNext w:val="0"/>
              <w:keepLines w:val="0"/>
              <w:pageBreakBefore w:val="0"/>
              <w:widowControl w:val="0"/>
              <w:kinsoku/>
              <w:wordWrap/>
              <w:overflowPunct/>
              <w:topLinePunct w:val="0"/>
              <w:bidi w:val="0"/>
              <w:spacing w:line="440" w:lineRule="exact"/>
              <w:jc w:val="center"/>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条款号</w:t>
            </w:r>
          </w:p>
        </w:tc>
        <w:tc>
          <w:tcPr>
            <w:tcW w:w="1794" w:type="dxa"/>
            <w:noWrap w:val="0"/>
            <w:vAlign w:val="center"/>
          </w:tcPr>
          <w:p w14:paraId="2C6CC5B9">
            <w:pPr>
              <w:keepNext w:val="0"/>
              <w:keepLines w:val="0"/>
              <w:pageBreakBefore w:val="0"/>
              <w:widowControl w:val="0"/>
              <w:kinsoku/>
              <w:wordWrap/>
              <w:overflowPunct/>
              <w:topLinePunct w:val="0"/>
              <w:bidi w:val="0"/>
              <w:spacing w:line="440" w:lineRule="exact"/>
              <w:jc w:val="center"/>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条款内容</w:t>
            </w:r>
          </w:p>
        </w:tc>
        <w:tc>
          <w:tcPr>
            <w:tcW w:w="6895" w:type="dxa"/>
            <w:noWrap w:val="0"/>
            <w:vAlign w:val="top"/>
          </w:tcPr>
          <w:p w14:paraId="04AE3CBE">
            <w:pPr>
              <w:keepNext w:val="0"/>
              <w:keepLines w:val="0"/>
              <w:pageBreakBefore w:val="0"/>
              <w:widowControl w:val="0"/>
              <w:kinsoku/>
              <w:wordWrap/>
              <w:overflowPunct/>
              <w:topLinePunct w:val="0"/>
              <w:bidi w:val="0"/>
              <w:spacing w:line="440" w:lineRule="exact"/>
              <w:jc w:val="center"/>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具体要求</w:t>
            </w:r>
          </w:p>
        </w:tc>
      </w:tr>
      <w:tr w14:paraId="7AFC8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6" w:type="dxa"/>
            <w:noWrap w:val="0"/>
            <w:vAlign w:val="center"/>
          </w:tcPr>
          <w:p w14:paraId="20D0B4FC">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3.1</w:t>
            </w:r>
          </w:p>
        </w:tc>
        <w:tc>
          <w:tcPr>
            <w:tcW w:w="1794" w:type="dxa"/>
            <w:noWrap w:val="0"/>
            <w:vAlign w:val="center"/>
          </w:tcPr>
          <w:p w14:paraId="54D08088">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供应商资格条件</w:t>
            </w:r>
          </w:p>
        </w:tc>
        <w:tc>
          <w:tcPr>
            <w:tcW w:w="6895" w:type="dxa"/>
            <w:noWrap w:val="0"/>
            <w:vAlign w:val="center"/>
          </w:tcPr>
          <w:p w14:paraId="74F60CFC">
            <w:pPr>
              <w:keepNext w:val="0"/>
              <w:keepLines w:val="0"/>
              <w:pageBreakBefore w:val="0"/>
              <w:widowControl w:val="0"/>
              <w:kinsoku/>
              <w:wordWrap/>
              <w:overflowPunct/>
              <w:topLinePunct w:val="0"/>
              <w:bidi w:val="0"/>
              <w:spacing w:line="440" w:lineRule="exact"/>
              <w:jc w:val="both"/>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供应商资格条件要求详见公告。</w:t>
            </w:r>
          </w:p>
        </w:tc>
      </w:tr>
      <w:tr w14:paraId="607FB0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6" w:type="dxa"/>
            <w:noWrap w:val="0"/>
            <w:vAlign w:val="center"/>
          </w:tcPr>
          <w:p w14:paraId="1CD6255E">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5.1</w:t>
            </w:r>
          </w:p>
        </w:tc>
        <w:tc>
          <w:tcPr>
            <w:tcW w:w="1794" w:type="dxa"/>
            <w:noWrap w:val="0"/>
            <w:vAlign w:val="center"/>
          </w:tcPr>
          <w:p w14:paraId="606D6FDC">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是否接受联合体竞标</w:t>
            </w:r>
          </w:p>
        </w:tc>
        <w:tc>
          <w:tcPr>
            <w:tcW w:w="6895" w:type="dxa"/>
            <w:noWrap w:val="0"/>
            <w:vAlign w:val="center"/>
          </w:tcPr>
          <w:p w14:paraId="042E188D">
            <w:pPr>
              <w:keepNext w:val="0"/>
              <w:keepLines w:val="0"/>
              <w:pageBreakBefore w:val="0"/>
              <w:widowControl w:val="0"/>
              <w:kinsoku/>
              <w:wordWrap/>
              <w:overflowPunct/>
              <w:topLinePunct w:val="0"/>
              <w:bidi w:val="0"/>
              <w:spacing w:line="440" w:lineRule="exact"/>
              <w:jc w:val="both"/>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不接受</w:t>
            </w:r>
          </w:p>
        </w:tc>
      </w:tr>
      <w:tr w14:paraId="30BA6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6" w:type="dxa"/>
            <w:noWrap w:val="0"/>
            <w:vAlign w:val="center"/>
          </w:tcPr>
          <w:p w14:paraId="43B16E82">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5.2</w:t>
            </w:r>
          </w:p>
        </w:tc>
        <w:tc>
          <w:tcPr>
            <w:tcW w:w="1794" w:type="dxa"/>
            <w:noWrap w:val="0"/>
            <w:vAlign w:val="center"/>
          </w:tcPr>
          <w:p w14:paraId="040BB35A">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联合体竞标要求</w:t>
            </w:r>
          </w:p>
        </w:tc>
        <w:tc>
          <w:tcPr>
            <w:tcW w:w="6895" w:type="dxa"/>
            <w:noWrap w:val="0"/>
            <w:vAlign w:val="center"/>
          </w:tcPr>
          <w:p w14:paraId="10EE08CF">
            <w:pPr>
              <w:keepNext w:val="0"/>
              <w:keepLines w:val="0"/>
              <w:pageBreakBefore w:val="0"/>
              <w:widowControl w:val="0"/>
              <w:kinsoku/>
              <w:wordWrap/>
              <w:overflowPunct/>
              <w:topLinePunct w:val="0"/>
              <w:bidi w:val="0"/>
              <w:spacing w:line="440" w:lineRule="exact"/>
              <w:jc w:val="both"/>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无</w:t>
            </w:r>
          </w:p>
        </w:tc>
      </w:tr>
      <w:tr w14:paraId="7F843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6" w:type="dxa"/>
            <w:noWrap w:val="0"/>
            <w:vAlign w:val="center"/>
          </w:tcPr>
          <w:p w14:paraId="34FC6488">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6.1</w:t>
            </w:r>
          </w:p>
        </w:tc>
        <w:tc>
          <w:tcPr>
            <w:tcW w:w="1794" w:type="dxa"/>
            <w:noWrap w:val="0"/>
            <w:vAlign w:val="center"/>
          </w:tcPr>
          <w:p w14:paraId="59C98C42">
            <w:pPr>
              <w:keepNext w:val="0"/>
              <w:keepLines w:val="0"/>
              <w:pageBreakBefore w:val="0"/>
              <w:widowControl w:val="0"/>
              <w:kinsoku/>
              <w:wordWrap/>
              <w:overflowPunct/>
              <w:topLinePunct w:val="0"/>
              <w:bidi w:val="0"/>
              <w:spacing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是否允许分包</w:t>
            </w:r>
          </w:p>
        </w:tc>
        <w:tc>
          <w:tcPr>
            <w:tcW w:w="6895" w:type="dxa"/>
            <w:noWrap w:val="0"/>
            <w:vAlign w:val="center"/>
          </w:tcPr>
          <w:p w14:paraId="658E53F3">
            <w:pPr>
              <w:keepNext w:val="0"/>
              <w:keepLines w:val="0"/>
              <w:pageBreakBefore w:val="0"/>
              <w:widowControl w:val="0"/>
              <w:kinsoku/>
              <w:wordWrap/>
              <w:overflowPunct/>
              <w:topLinePunct w:val="0"/>
              <w:bidi w:val="0"/>
              <w:spacing w:line="360" w:lineRule="auto"/>
              <w:jc w:val="both"/>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不允许分包</w:t>
            </w:r>
          </w:p>
          <w:p w14:paraId="7E23B52A">
            <w:pPr>
              <w:keepNext w:val="0"/>
              <w:keepLines w:val="0"/>
              <w:pageBreakBefore w:val="0"/>
              <w:widowControl w:val="0"/>
              <w:kinsoku/>
              <w:wordWrap/>
              <w:overflowPunct/>
              <w:topLinePunct w:val="0"/>
              <w:bidi w:val="0"/>
              <w:spacing w:line="360" w:lineRule="auto"/>
              <w:jc w:val="both"/>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□允许分包</w:t>
            </w:r>
          </w:p>
          <w:p w14:paraId="7B6631B3">
            <w:pPr>
              <w:keepNext w:val="0"/>
              <w:keepLines w:val="0"/>
              <w:pageBreakBefore w:val="0"/>
              <w:widowControl w:val="0"/>
              <w:kinsoku/>
              <w:wordWrap/>
              <w:overflowPunct/>
              <w:topLinePunct w:val="0"/>
              <w:bidi w:val="0"/>
              <w:spacing w:line="360" w:lineRule="auto"/>
              <w:jc w:val="both"/>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分包内容：</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w:t>
            </w:r>
            <w:r>
              <w:rPr>
                <w:rFonts w:hint="eastAsia" w:ascii="宋体" w:hAnsi="宋体" w:eastAsia="宋体" w:cs="宋体"/>
                <w:color w:val="000000"/>
                <w:sz w:val="21"/>
                <w:szCs w:val="21"/>
                <w:highlight w:val="none"/>
                <w:u w:val="single"/>
              </w:rPr>
              <w:t xml:space="preserve">          。</w:t>
            </w:r>
          </w:p>
          <w:p w14:paraId="5F1224AE">
            <w:pPr>
              <w:keepNext w:val="0"/>
              <w:keepLines w:val="0"/>
              <w:pageBreakBefore w:val="0"/>
              <w:widowControl w:val="0"/>
              <w:kinsoku/>
              <w:wordWrap/>
              <w:overflowPunct/>
              <w:topLinePunct w:val="0"/>
              <w:bidi w:val="0"/>
              <w:spacing w:line="360" w:lineRule="auto"/>
              <w:jc w:val="both"/>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分包金额或者比例：</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w:t>
            </w:r>
            <w:r>
              <w:rPr>
                <w:rFonts w:hint="eastAsia" w:ascii="宋体" w:hAnsi="宋体" w:eastAsia="宋体" w:cs="宋体"/>
                <w:color w:val="000000"/>
                <w:sz w:val="21"/>
                <w:szCs w:val="21"/>
                <w:highlight w:val="none"/>
                <w:u w:val="single"/>
              </w:rPr>
              <w:t xml:space="preserve">          。</w:t>
            </w:r>
          </w:p>
        </w:tc>
      </w:tr>
      <w:tr w14:paraId="7A9D2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886" w:type="dxa"/>
            <w:noWrap w:val="0"/>
            <w:vAlign w:val="center"/>
          </w:tcPr>
          <w:p w14:paraId="14F08B03">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12.1.1</w:t>
            </w:r>
          </w:p>
        </w:tc>
        <w:tc>
          <w:tcPr>
            <w:tcW w:w="1794" w:type="dxa"/>
            <w:noWrap w:val="0"/>
            <w:vAlign w:val="center"/>
          </w:tcPr>
          <w:p w14:paraId="1C118A7A">
            <w:pPr>
              <w:keepNext w:val="0"/>
              <w:keepLines w:val="0"/>
              <w:pageBreakBefore w:val="0"/>
              <w:widowControl w:val="0"/>
              <w:kinsoku/>
              <w:wordWrap/>
              <w:overflowPunct/>
              <w:topLinePunct w:val="0"/>
              <w:bidi w:val="0"/>
              <w:snapToGrid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b/>
                <w:color w:val="000000"/>
                <w:sz w:val="21"/>
                <w:szCs w:val="21"/>
                <w:highlight w:val="none"/>
              </w:rPr>
              <w:t>资格证明文件组成</w:t>
            </w:r>
          </w:p>
        </w:tc>
        <w:tc>
          <w:tcPr>
            <w:tcW w:w="6895" w:type="dxa"/>
            <w:noWrap w:val="0"/>
            <w:vAlign w:val="center"/>
          </w:tcPr>
          <w:p w14:paraId="38D8310E">
            <w:pPr>
              <w:pStyle w:val="6"/>
              <w:pageBreakBefore w:val="0"/>
              <w:kinsoku/>
              <w:overflowPunct/>
              <w:topLinePunct w:val="0"/>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1.供应商为法人或者其他组织的提供其营业执照等证明文件（如营业执照或者事业单位法人证书或者执业许可证等）；（</w:t>
            </w:r>
            <w:r>
              <w:rPr>
                <w:rFonts w:hint="eastAsia" w:ascii="宋体" w:hAnsi="宋体" w:eastAsia="宋体" w:cs="宋体"/>
                <w:b/>
                <w:color w:val="auto"/>
                <w:sz w:val="21"/>
                <w:szCs w:val="21"/>
                <w:highlight w:val="none"/>
              </w:rPr>
              <w:t>必须提供，否则响应文件按无效响应处理</w:t>
            </w:r>
            <w:r>
              <w:rPr>
                <w:rFonts w:hint="eastAsia" w:ascii="宋体" w:hAnsi="宋体" w:eastAsia="宋体" w:cs="宋体"/>
                <w:color w:val="auto"/>
                <w:sz w:val="21"/>
                <w:szCs w:val="21"/>
                <w:highlight w:val="none"/>
              </w:rPr>
              <w:t>）</w:t>
            </w:r>
          </w:p>
          <w:p w14:paraId="151E577B">
            <w:pPr>
              <w:pStyle w:val="6"/>
              <w:pageBreakBefore w:val="0"/>
              <w:kinsoku/>
              <w:overflowPunct/>
              <w:topLinePunct w:val="0"/>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防城港</w:t>
            </w:r>
            <w:r>
              <w:rPr>
                <w:rFonts w:hint="eastAsia" w:ascii="宋体" w:hAnsi="宋体" w:eastAsia="宋体" w:cs="宋体"/>
                <w:color w:val="auto"/>
                <w:sz w:val="21"/>
                <w:szCs w:val="21"/>
                <w:highlight w:val="none"/>
              </w:rPr>
              <w:t>市政府采购供应商信用承诺函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必须提供，否则响应文件按无效响应处理</w:t>
            </w:r>
            <w:r>
              <w:rPr>
                <w:rFonts w:hint="eastAsia" w:ascii="宋体" w:hAnsi="宋体" w:eastAsia="宋体" w:cs="宋体"/>
                <w:color w:val="auto"/>
                <w:sz w:val="21"/>
                <w:szCs w:val="21"/>
                <w:highlight w:val="none"/>
              </w:rPr>
              <w:t>）</w:t>
            </w:r>
          </w:p>
          <w:p w14:paraId="7F92AB82">
            <w:pPr>
              <w:pStyle w:val="6"/>
              <w:pageBreakBefore w:val="0"/>
              <w:kinsoku/>
              <w:overflowPunct/>
              <w:topLinePunct w:val="0"/>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供应商直</w:t>
            </w:r>
            <w:r>
              <w:rPr>
                <w:rFonts w:hint="eastAsia" w:ascii="宋体" w:hAnsi="宋体" w:eastAsia="宋体" w:cs="宋体"/>
                <w:color w:val="000000"/>
                <w:sz w:val="21"/>
                <w:szCs w:val="21"/>
                <w:highlight w:val="none"/>
              </w:rPr>
              <w:t>接控股、管理关系信息表；</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必须提供，否则响应文件按无效响应处理</w:t>
            </w:r>
            <w:r>
              <w:rPr>
                <w:rFonts w:hint="eastAsia" w:ascii="宋体" w:hAnsi="宋体" w:eastAsia="宋体" w:cs="宋体"/>
                <w:color w:val="auto"/>
                <w:sz w:val="21"/>
                <w:szCs w:val="21"/>
                <w:highlight w:val="none"/>
              </w:rPr>
              <w:t>）</w:t>
            </w:r>
          </w:p>
          <w:p w14:paraId="51779837">
            <w:pPr>
              <w:pStyle w:val="6"/>
              <w:pageBreakBefore w:val="0"/>
              <w:kinsoku/>
              <w:overflowPunct/>
              <w:topLinePunct w:val="0"/>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资格</w:t>
            </w:r>
            <w:r>
              <w:rPr>
                <w:rFonts w:hint="eastAsia" w:ascii="宋体" w:hAnsi="宋体" w:eastAsia="宋体" w:cs="宋体"/>
                <w:color w:val="000000"/>
                <w:sz w:val="21"/>
                <w:szCs w:val="21"/>
                <w:highlight w:val="none"/>
              </w:rPr>
              <w:t>声明</w:t>
            </w:r>
            <w:r>
              <w:rPr>
                <w:rFonts w:hint="eastAsia" w:ascii="宋体" w:hAnsi="宋体" w:eastAsia="宋体" w:cs="宋体"/>
                <w:color w:val="000000"/>
                <w:sz w:val="21"/>
                <w:szCs w:val="21"/>
                <w:highlight w:val="none"/>
                <w:lang w:val="en-US" w:eastAsia="zh-CN"/>
              </w:rPr>
              <w:t>函</w:t>
            </w:r>
            <w:r>
              <w:rPr>
                <w:rFonts w:hint="eastAsia" w:ascii="宋体" w:hAnsi="宋体" w:eastAsia="宋体" w:cs="宋体"/>
                <w:color w:val="000000"/>
                <w:sz w:val="21"/>
                <w:szCs w:val="21"/>
                <w:highlight w:val="none"/>
              </w:rPr>
              <w:t>；</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必须提供，否则响应文件按无效响应处理</w:t>
            </w:r>
            <w:r>
              <w:rPr>
                <w:rFonts w:hint="eastAsia" w:ascii="宋体" w:hAnsi="宋体" w:eastAsia="宋体" w:cs="宋体"/>
                <w:color w:val="auto"/>
                <w:sz w:val="21"/>
                <w:szCs w:val="21"/>
                <w:highlight w:val="none"/>
              </w:rPr>
              <w:t>）</w:t>
            </w:r>
          </w:p>
          <w:p w14:paraId="0F104635">
            <w:pPr>
              <w:pStyle w:val="6"/>
              <w:pageBreakBefore w:val="0"/>
              <w:kinsoku/>
              <w:overflowPunct/>
              <w:topLinePunct w:val="0"/>
              <w:bidi w:val="0"/>
              <w:spacing w:line="360" w:lineRule="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须</w:t>
            </w:r>
            <w:r>
              <w:rPr>
                <w:rFonts w:hint="eastAsia" w:ascii="宋体" w:hAnsi="宋体" w:eastAsia="宋体" w:cs="宋体"/>
                <w:color w:val="auto"/>
                <w:sz w:val="21"/>
                <w:szCs w:val="21"/>
                <w:highlight w:val="none"/>
              </w:rPr>
              <w:t>具备</w:t>
            </w:r>
            <w:r>
              <w:rPr>
                <w:rFonts w:hint="eastAsia" w:ascii="宋体" w:hAnsi="宋体" w:eastAsia="宋体" w:cs="宋体"/>
                <w:color w:val="auto"/>
                <w:sz w:val="21"/>
                <w:szCs w:val="21"/>
                <w:highlight w:val="none"/>
                <w:lang w:val="en-US" w:eastAsia="zh-CN"/>
              </w:rPr>
              <w:t>有效的</w:t>
            </w:r>
            <w:r>
              <w:rPr>
                <w:rFonts w:hint="eastAsia" w:ascii="宋体" w:hAnsi="宋体" w:cs="宋体"/>
                <w:color w:val="auto"/>
                <w:sz w:val="21"/>
                <w:szCs w:val="21"/>
                <w:highlight w:val="none"/>
                <w:lang w:val="en-US" w:eastAsia="zh-CN"/>
              </w:rPr>
              <w:t>市政公用</w:t>
            </w:r>
            <w:r>
              <w:rPr>
                <w:rFonts w:hint="eastAsia" w:ascii="宋体" w:hAnsi="宋体" w:eastAsia="宋体" w:cs="宋体"/>
                <w:color w:val="auto"/>
                <w:sz w:val="21"/>
                <w:szCs w:val="21"/>
                <w:highlight w:val="none"/>
              </w:rPr>
              <w:t>工程施工总承包</w:t>
            </w:r>
            <w:r>
              <w:rPr>
                <w:rFonts w:hint="eastAsia" w:ascii="宋体" w:hAnsi="宋体" w:eastAsia="宋体" w:cs="宋体"/>
                <w:color w:val="auto"/>
                <w:sz w:val="21"/>
                <w:szCs w:val="21"/>
                <w:highlight w:val="none"/>
                <w:lang w:eastAsia="zh-CN"/>
              </w:rPr>
              <w:t>三级以上（含三级）</w:t>
            </w:r>
            <w:r>
              <w:rPr>
                <w:rFonts w:hint="eastAsia" w:ascii="宋体" w:hAnsi="宋体" w:eastAsia="宋体" w:cs="宋体"/>
                <w:color w:val="auto"/>
                <w:sz w:val="21"/>
                <w:szCs w:val="21"/>
                <w:highlight w:val="none"/>
              </w:rPr>
              <w:t>资质且具有有效的安全生产许可证。（</w:t>
            </w:r>
            <w:r>
              <w:rPr>
                <w:rFonts w:hint="eastAsia" w:ascii="宋体" w:hAnsi="宋体" w:eastAsia="宋体" w:cs="宋体"/>
                <w:b/>
                <w:color w:val="auto"/>
                <w:sz w:val="21"/>
                <w:szCs w:val="21"/>
                <w:highlight w:val="none"/>
              </w:rPr>
              <w:t>必须提供，否则响应文件按无效响应处理</w:t>
            </w:r>
            <w:r>
              <w:rPr>
                <w:rFonts w:hint="eastAsia" w:ascii="宋体" w:hAnsi="宋体" w:eastAsia="宋体" w:cs="宋体"/>
                <w:color w:val="auto"/>
                <w:sz w:val="21"/>
                <w:szCs w:val="21"/>
                <w:highlight w:val="none"/>
              </w:rPr>
              <w:t>）</w:t>
            </w:r>
          </w:p>
          <w:p w14:paraId="3C9E4716">
            <w:pPr>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供应商拟派</w:t>
            </w:r>
            <w:r>
              <w:rPr>
                <w:rFonts w:hint="eastAsia" w:ascii="宋体" w:hAnsi="宋体" w:eastAsia="宋体" w:cs="宋体"/>
                <w:color w:val="auto"/>
                <w:sz w:val="21"/>
                <w:szCs w:val="21"/>
                <w:highlight w:val="none"/>
              </w:rPr>
              <w:t>项目经理须具备</w:t>
            </w:r>
            <w:r>
              <w:rPr>
                <w:rFonts w:hint="eastAsia" w:ascii="宋体" w:hAnsi="宋体" w:eastAsia="宋体" w:cs="宋体"/>
                <w:color w:val="auto"/>
                <w:sz w:val="21"/>
                <w:szCs w:val="21"/>
                <w:highlight w:val="none"/>
                <w:lang w:val="en-US" w:eastAsia="zh-CN"/>
              </w:rPr>
              <w:t>市政公用</w:t>
            </w:r>
            <w:r>
              <w:rPr>
                <w:rFonts w:hint="eastAsia" w:ascii="宋体" w:hAnsi="宋体" w:eastAsia="宋体" w:cs="宋体"/>
                <w:color w:val="auto"/>
                <w:sz w:val="21"/>
                <w:szCs w:val="21"/>
                <w:highlight w:val="none"/>
              </w:rPr>
              <w:t>工程专业</w:t>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级以上（含</w:t>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级）</w:t>
            </w:r>
            <w:r>
              <w:rPr>
                <w:rFonts w:hint="eastAsia" w:ascii="宋体" w:hAnsi="宋体" w:eastAsia="宋体" w:cs="宋体"/>
                <w:color w:val="auto"/>
                <w:sz w:val="21"/>
                <w:szCs w:val="21"/>
                <w:highlight w:val="none"/>
                <w:lang w:eastAsia="zh-CN"/>
              </w:rPr>
              <w:t>注册</w:t>
            </w:r>
            <w:r>
              <w:rPr>
                <w:rFonts w:hint="eastAsia" w:ascii="宋体" w:hAnsi="宋体" w:eastAsia="宋体" w:cs="宋体"/>
                <w:color w:val="auto"/>
                <w:sz w:val="21"/>
                <w:szCs w:val="21"/>
                <w:highlight w:val="none"/>
              </w:rPr>
              <w:t>建造师执业资格，</w:t>
            </w:r>
            <w:r>
              <w:rPr>
                <w:rFonts w:hint="eastAsia" w:ascii="宋体" w:hAnsi="宋体" w:eastAsia="宋体" w:cs="宋体"/>
                <w:color w:val="auto"/>
                <w:sz w:val="21"/>
                <w:szCs w:val="21"/>
                <w:highlight w:val="none"/>
                <w:lang w:val="en-US" w:eastAsia="zh-CN"/>
              </w:rPr>
              <w:t>同时</w:t>
            </w:r>
            <w:r>
              <w:rPr>
                <w:rFonts w:hint="eastAsia" w:ascii="宋体" w:hAnsi="宋体" w:eastAsia="宋体" w:cs="宋体"/>
                <w:color w:val="auto"/>
                <w:sz w:val="21"/>
                <w:szCs w:val="21"/>
                <w:highlight w:val="none"/>
              </w:rPr>
              <w:t>具备有效的安全生产考核合格证书（B类）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必须提供，否则响应文件按无效响应处理</w:t>
            </w:r>
            <w:r>
              <w:rPr>
                <w:rFonts w:hint="eastAsia" w:ascii="宋体" w:hAnsi="宋体" w:eastAsia="宋体" w:cs="宋体"/>
                <w:color w:val="auto"/>
                <w:sz w:val="21"/>
                <w:szCs w:val="21"/>
                <w:highlight w:val="none"/>
              </w:rPr>
              <w:t>）</w:t>
            </w:r>
          </w:p>
          <w:p w14:paraId="56D493C5">
            <w:pPr>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拟投入的项目经理承诺函【不存在如下情形：在建、已中标未开工或已列为其他项目中标候选人第一名的建造师作为项目经理（符合《广西壮族自治区建筑市场诚信卡管理暂行办法》第十六条第一款及桂建管﹝2016﹞70号、桂建管〔2019〕26号和桂建管〔2020〕11号文除外）】。</w:t>
            </w:r>
            <w:r>
              <w:rPr>
                <w:rFonts w:hint="eastAsia" w:ascii="宋体" w:hAnsi="宋体" w:eastAsia="宋体" w:cs="宋体"/>
                <w:b/>
                <w:bCs/>
                <w:color w:val="auto"/>
                <w:sz w:val="21"/>
                <w:szCs w:val="21"/>
                <w:highlight w:val="none"/>
                <w:lang w:val="en-US" w:eastAsia="zh-CN"/>
              </w:rPr>
              <w:t>（格式自拟，必须提供，否则按无效响应处理）</w:t>
            </w:r>
          </w:p>
          <w:p w14:paraId="74A3906B">
            <w:pPr>
              <w:pStyle w:val="6"/>
              <w:pageBreakBefore w:val="0"/>
              <w:kinsoku/>
              <w:overflowPunct/>
              <w:topLinePunct w:val="0"/>
              <w:bidi w:val="0"/>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.中小</w:t>
            </w:r>
            <w:r>
              <w:rPr>
                <w:rFonts w:hint="eastAsia" w:ascii="宋体" w:hAnsi="宋体" w:eastAsia="宋体" w:cs="宋体"/>
                <w:color w:val="auto"/>
                <w:sz w:val="21"/>
                <w:szCs w:val="21"/>
                <w:highlight w:val="none"/>
              </w:rPr>
              <w:t>企业声明函或残疾人福利性单位声明函</w:t>
            </w:r>
            <w:r>
              <w:rPr>
                <w:rFonts w:hint="eastAsia" w:ascii="宋体" w:hAnsi="宋体" w:eastAsia="宋体" w:cs="宋体"/>
                <w:color w:val="auto"/>
                <w:sz w:val="21"/>
                <w:szCs w:val="21"/>
                <w:highlight w:val="none"/>
                <w:lang w:val="en-US" w:eastAsia="zh-CN"/>
              </w:rPr>
              <w:t>或</w:t>
            </w:r>
            <w:r>
              <w:rPr>
                <w:rFonts w:hint="eastAsia" w:ascii="宋体" w:hAnsi="宋体" w:eastAsia="宋体" w:cs="宋体"/>
                <w:color w:val="auto"/>
                <w:sz w:val="21"/>
                <w:szCs w:val="21"/>
                <w:highlight w:val="none"/>
              </w:rPr>
              <w:t>由省级或以上监狱管理局、戒毒管理局（含新疆生产建设兵团）出具的属于监狱企业的证明文件复印件，供应商应符合以上其中一项，并根据情况提供材料。（</w:t>
            </w:r>
            <w:r>
              <w:rPr>
                <w:rFonts w:hint="eastAsia" w:ascii="宋体" w:hAnsi="宋体" w:eastAsia="宋体" w:cs="宋体"/>
                <w:b/>
                <w:color w:val="auto"/>
                <w:sz w:val="21"/>
                <w:szCs w:val="21"/>
                <w:highlight w:val="none"/>
              </w:rPr>
              <w:t>必须提供，否则响应文件按无效响应处理</w:t>
            </w:r>
            <w:r>
              <w:rPr>
                <w:rFonts w:hint="eastAsia" w:ascii="宋体" w:hAnsi="宋体" w:eastAsia="宋体" w:cs="宋体"/>
                <w:color w:val="auto"/>
                <w:sz w:val="21"/>
                <w:szCs w:val="21"/>
                <w:highlight w:val="none"/>
              </w:rPr>
              <w:t>）</w:t>
            </w:r>
          </w:p>
          <w:p w14:paraId="72848D5A">
            <w:pPr>
              <w:pStyle w:val="6"/>
              <w:pageBreakBefore w:val="0"/>
              <w:kinsoku/>
              <w:overflowPunct/>
              <w:topLinePunct w:val="0"/>
              <w:bidi w:val="0"/>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除磋商文件规定必须提供以外，供应商认为需要提供的其他证明材料。（如有请提供）</w:t>
            </w:r>
          </w:p>
          <w:p w14:paraId="44FCFFE8">
            <w:pPr>
              <w:keepNext w:val="0"/>
              <w:keepLines w:val="0"/>
              <w:pageBreakBefore w:val="0"/>
              <w:widowControl w:val="0"/>
              <w:kinsoku/>
              <w:wordWrap/>
              <w:overflowPunct/>
              <w:topLinePunct w:val="0"/>
              <w:autoSpaceDE/>
              <w:autoSpaceDN/>
              <w:bidi w:val="0"/>
              <w:adjustRightInd/>
              <w:snapToGrid w:val="0"/>
              <w:spacing w:line="440" w:lineRule="exact"/>
              <w:jc w:val="both"/>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注：以上标明“必须提供”的材料属于复印件</w:t>
            </w:r>
            <w:r>
              <w:rPr>
                <w:rFonts w:hint="eastAsia" w:ascii="宋体" w:hAnsi="宋体" w:eastAsia="宋体" w:cs="宋体"/>
                <w:b/>
                <w:color w:val="000000"/>
                <w:sz w:val="21"/>
                <w:szCs w:val="21"/>
                <w:highlight w:val="none"/>
                <w:lang w:val="en-US" w:eastAsia="zh-CN"/>
              </w:rPr>
              <w:t>或</w:t>
            </w:r>
            <w:r>
              <w:rPr>
                <w:rFonts w:hint="eastAsia" w:ascii="宋体" w:hAnsi="宋体" w:eastAsia="宋体" w:cs="宋体"/>
                <w:b/>
                <w:color w:val="000000"/>
                <w:sz w:val="21"/>
                <w:szCs w:val="21"/>
                <w:highlight w:val="none"/>
              </w:rPr>
              <w:t>扫描件的，必须加盖供应商电子公章，否则响应文件按无效响应处理。</w:t>
            </w:r>
          </w:p>
        </w:tc>
      </w:tr>
      <w:tr w14:paraId="2CF83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57" w:hRule="atLeast"/>
        </w:trPr>
        <w:tc>
          <w:tcPr>
            <w:tcW w:w="886" w:type="dxa"/>
            <w:vMerge w:val="restart"/>
            <w:noWrap w:val="0"/>
            <w:vAlign w:val="center"/>
          </w:tcPr>
          <w:p w14:paraId="79990174">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12.1.2</w:t>
            </w:r>
          </w:p>
        </w:tc>
        <w:tc>
          <w:tcPr>
            <w:tcW w:w="1794" w:type="dxa"/>
            <w:noWrap w:val="0"/>
            <w:vAlign w:val="center"/>
          </w:tcPr>
          <w:p w14:paraId="32F7415C">
            <w:pPr>
              <w:keepNext w:val="0"/>
              <w:keepLines w:val="0"/>
              <w:pageBreakBefore w:val="0"/>
              <w:widowControl w:val="0"/>
              <w:kinsoku/>
              <w:wordWrap/>
              <w:overflowPunct/>
              <w:topLinePunct w:val="0"/>
              <w:bidi w:val="0"/>
              <w:spacing w:line="440" w:lineRule="exact"/>
              <w:jc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商务文件组成</w:t>
            </w:r>
          </w:p>
        </w:tc>
        <w:tc>
          <w:tcPr>
            <w:tcW w:w="6895" w:type="dxa"/>
            <w:noWrap w:val="0"/>
            <w:vAlign w:val="center"/>
          </w:tcPr>
          <w:p w14:paraId="58799CD6">
            <w:pPr>
              <w:keepNext w:val="0"/>
              <w:keepLines w:val="0"/>
              <w:pageBreakBefore w:val="0"/>
              <w:widowControl/>
              <w:suppressLineNumbers w:val="0"/>
              <w:kinsoku/>
              <w:wordWrap/>
              <w:overflowPunct/>
              <w:topLinePunct w:val="0"/>
              <w:bidi w:val="0"/>
              <w:adjustRightInd/>
              <w:snapToGrid/>
              <w:spacing w:line="360" w:lineRule="auto"/>
              <w:jc w:val="both"/>
              <w:rPr>
                <w:sz w:val="21"/>
                <w:szCs w:val="21"/>
              </w:rPr>
            </w:pPr>
            <w:r>
              <w:rPr>
                <w:rFonts w:hint="eastAsia" w:ascii="宋体" w:hAnsi="宋体" w:eastAsia="宋体" w:cs="宋体"/>
                <w:color w:val="000000"/>
                <w:kern w:val="0"/>
                <w:sz w:val="21"/>
                <w:szCs w:val="21"/>
                <w:lang w:val="en-US" w:eastAsia="zh-CN" w:bidi="ar"/>
              </w:rPr>
              <w:t>1.无串通竞标行为的承诺函；（</w:t>
            </w:r>
            <w:r>
              <w:rPr>
                <w:rFonts w:hint="eastAsia" w:ascii="宋体" w:hAnsi="宋体" w:eastAsia="宋体" w:cs="宋体"/>
                <w:b/>
                <w:bCs/>
                <w:color w:val="000000"/>
                <w:kern w:val="0"/>
                <w:sz w:val="21"/>
                <w:szCs w:val="21"/>
                <w:lang w:val="en-US" w:eastAsia="zh-CN" w:bidi="ar"/>
              </w:rPr>
              <w:t>必须提供，否则响应文件按无效响应处理</w:t>
            </w:r>
            <w:r>
              <w:rPr>
                <w:rFonts w:hint="eastAsia" w:ascii="宋体" w:hAnsi="宋体" w:eastAsia="宋体" w:cs="宋体"/>
                <w:color w:val="000000"/>
                <w:kern w:val="0"/>
                <w:sz w:val="21"/>
                <w:szCs w:val="21"/>
                <w:lang w:val="en-US" w:eastAsia="zh-CN" w:bidi="ar"/>
              </w:rPr>
              <w:t xml:space="preserve">） </w:t>
            </w:r>
          </w:p>
          <w:p w14:paraId="0083EA98">
            <w:pPr>
              <w:keepNext w:val="0"/>
              <w:keepLines w:val="0"/>
              <w:pageBreakBefore w:val="0"/>
              <w:widowControl/>
              <w:suppressLineNumbers w:val="0"/>
              <w:kinsoku/>
              <w:wordWrap/>
              <w:overflowPunct/>
              <w:topLinePunct w:val="0"/>
              <w:bidi w:val="0"/>
              <w:adjustRightInd/>
              <w:snapToGrid/>
              <w:spacing w:line="360" w:lineRule="auto"/>
              <w:jc w:val="both"/>
              <w:rPr>
                <w:sz w:val="21"/>
                <w:szCs w:val="21"/>
              </w:rPr>
            </w:pPr>
            <w:r>
              <w:rPr>
                <w:rFonts w:hint="eastAsia" w:ascii="宋体" w:hAnsi="宋体" w:eastAsia="宋体" w:cs="宋体"/>
                <w:color w:val="000000"/>
                <w:kern w:val="0"/>
                <w:sz w:val="21"/>
                <w:szCs w:val="21"/>
                <w:lang w:val="en-US" w:eastAsia="zh-CN" w:bidi="ar"/>
              </w:rPr>
              <w:t>2.法定代表人身份证明书及法定代表人有效身份证正反面复印件；（</w:t>
            </w:r>
            <w:r>
              <w:rPr>
                <w:rFonts w:hint="eastAsia" w:ascii="宋体" w:hAnsi="宋体" w:eastAsia="宋体" w:cs="宋体"/>
                <w:b/>
                <w:bCs/>
                <w:color w:val="000000"/>
                <w:kern w:val="0"/>
                <w:sz w:val="21"/>
                <w:szCs w:val="21"/>
                <w:lang w:val="en-US" w:eastAsia="zh-CN" w:bidi="ar"/>
              </w:rPr>
              <w:t xml:space="preserve">除 </w:t>
            </w:r>
          </w:p>
          <w:p w14:paraId="49639923">
            <w:pPr>
              <w:keepNext w:val="0"/>
              <w:keepLines w:val="0"/>
              <w:pageBreakBefore w:val="0"/>
              <w:widowControl/>
              <w:suppressLineNumbers w:val="0"/>
              <w:kinsoku/>
              <w:wordWrap/>
              <w:overflowPunct/>
              <w:topLinePunct w:val="0"/>
              <w:bidi w:val="0"/>
              <w:adjustRightInd/>
              <w:snapToGrid/>
              <w:spacing w:line="360" w:lineRule="auto"/>
              <w:jc w:val="both"/>
              <w:rPr>
                <w:sz w:val="21"/>
                <w:szCs w:val="21"/>
              </w:rPr>
            </w:pPr>
            <w:r>
              <w:rPr>
                <w:rFonts w:hint="eastAsia" w:ascii="宋体" w:hAnsi="宋体" w:eastAsia="宋体" w:cs="宋体"/>
                <w:b/>
                <w:bCs/>
                <w:color w:val="000000"/>
                <w:kern w:val="0"/>
                <w:sz w:val="21"/>
                <w:szCs w:val="21"/>
                <w:lang w:val="en-US" w:eastAsia="zh-CN" w:bidi="ar"/>
              </w:rPr>
              <w:t>自然人竞标外必须提供，否则响应文件按无效响应处理</w:t>
            </w:r>
            <w:r>
              <w:rPr>
                <w:rFonts w:hint="eastAsia" w:ascii="宋体" w:hAnsi="宋体" w:eastAsia="宋体" w:cs="宋体"/>
                <w:color w:val="000000"/>
                <w:kern w:val="0"/>
                <w:sz w:val="21"/>
                <w:szCs w:val="21"/>
                <w:lang w:val="en-US" w:eastAsia="zh-CN" w:bidi="ar"/>
              </w:rPr>
              <w:t xml:space="preserve">） </w:t>
            </w:r>
          </w:p>
          <w:p w14:paraId="094681C7">
            <w:pPr>
              <w:keepNext w:val="0"/>
              <w:keepLines w:val="0"/>
              <w:pageBreakBefore w:val="0"/>
              <w:widowControl/>
              <w:suppressLineNumbers w:val="0"/>
              <w:kinsoku/>
              <w:wordWrap/>
              <w:overflowPunct/>
              <w:topLinePunct w:val="0"/>
              <w:bidi w:val="0"/>
              <w:adjustRightInd/>
              <w:snapToGrid/>
              <w:spacing w:line="360" w:lineRule="auto"/>
              <w:jc w:val="both"/>
              <w:rPr>
                <w:sz w:val="21"/>
                <w:szCs w:val="21"/>
              </w:rPr>
            </w:pPr>
            <w:r>
              <w:rPr>
                <w:rFonts w:hint="eastAsia" w:ascii="宋体" w:hAnsi="宋体" w:eastAsia="宋体" w:cs="宋体"/>
                <w:color w:val="000000"/>
                <w:kern w:val="0"/>
                <w:sz w:val="21"/>
                <w:szCs w:val="21"/>
                <w:lang w:val="en-US" w:eastAsia="zh-CN" w:bidi="ar"/>
              </w:rPr>
              <w:t>3.法定代表人授权委托书及委托代理人有效身份证正反面复印件；（</w:t>
            </w:r>
            <w:r>
              <w:rPr>
                <w:rFonts w:hint="eastAsia" w:ascii="宋体" w:hAnsi="宋体" w:eastAsia="宋体" w:cs="宋体"/>
                <w:b/>
                <w:bCs/>
                <w:color w:val="000000"/>
                <w:kern w:val="0"/>
                <w:sz w:val="21"/>
                <w:szCs w:val="21"/>
                <w:lang w:val="en-US" w:eastAsia="zh-CN" w:bidi="ar"/>
              </w:rPr>
              <w:t xml:space="preserve">委 </w:t>
            </w:r>
          </w:p>
          <w:p w14:paraId="65248F95">
            <w:pPr>
              <w:keepNext w:val="0"/>
              <w:keepLines w:val="0"/>
              <w:pageBreakBefore w:val="0"/>
              <w:widowControl/>
              <w:suppressLineNumbers w:val="0"/>
              <w:kinsoku/>
              <w:wordWrap/>
              <w:overflowPunct/>
              <w:topLinePunct w:val="0"/>
              <w:bidi w:val="0"/>
              <w:adjustRightInd/>
              <w:snapToGrid/>
              <w:spacing w:line="360" w:lineRule="auto"/>
              <w:jc w:val="both"/>
              <w:rPr>
                <w:sz w:val="21"/>
                <w:szCs w:val="21"/>
              </w:rPr>
            </w:pPr>
            <w:r>
              <w:rPr>
                <w:rFonts w:hint="eastAsia" w:ascii="宋体" w:hAnsi="宋体" w:eastAsia="宋体" w:cs="宋体"/>
                <w:b/>
                <w:bCs/>
                <w:color w:val="000000"/>
                <w:kern w:val="0"/>
                <w:sz w:val="21"/>
                <w:szCs w:val="21"/>
                <w:lang w:val="en-US" w:eastAsia="zh-CN" w:bidi="ar"/>
              </w:rPr>
              <w:t>托时必须提供，否则响应文件按无效响应处理</w:t>
            </w:r>
            <w:r>
              <w:rPr>
                <w:rFonts w:hint="eastAsia" w:ascii="宋体" w:hAnsi="宋体" w:eastAsia="宋体" w:cs="宋体"/>
                <w:color w:val="000000"/>
                <w:kern w:val="0"/>
                <w:sz w:val="21"/>
                <w:szCs w:val="21"/>
                <w:lang w:val="en-US" w:eastAsia="zh-CN" w:bidi="ar"/>
              </w:rPr>
              <w:t xml:space="preserve">） </w:t>
            </w:r>
          </w:p>
          <w:p w14:paraId="0DC060E5">
            <w:pPr>
              <w:keepNext w:val="0"/>
              <w:keepLines w:val="0"/>
              <w:pageBreakBefore w:val="0"/>
              <w:widowControl/>
              <w:suppressLineNumbers w:val="0"/>
              <w:kinsoku/>
              <w:wordWrap/>
              <w:overflowPunct/>
              <w:topLinePunct w:val="0"/>
              <w:bidi w:val="0"/>
              <w:adjustRightInd/>
              <w:snapToGrid/>
              <w:spacing w:line="360" w:lineRule="auto"/>
              <w:jc w:val="both"/>
              <w:rPr>
                <w:sz w:val="21"/>
                <w:szCs w:val="21"/>
              </w:rPr>
            </w:pPr>
            <w:r>
              <w:rPr>
                <w:rFonts w:hint="eastAsia" w:ascii="宋体" w:hAnsi="宋体" w:eastAsia="宋体" w:cs="宋体"/>
                <w:color w:val="000000"/>
                <w:kern w:val="0"/>
                <w:sz w:val="21"/>
                <w:szCs w:val="21"/>
                <w:lang w:val="en-US" w:eastAsia="zh-CN" w:bidi="ar"/>
              </w:rPr>
              <w:t>4.商务条款偏离表；（</w:t>
            </w:r>
            <w:r>
              <w:rPr>
                <w:rFonts w:hint="eastAsia" w:ascii="宋体" w:hAnsi="宋体" w:eastAsia="宋体" w:cs="宋体"/>
                <w:b/>
                <w:bCs/>
                <w:color w:val="000000"/>
                <w:kern w:val="0"/>
                <w:sz w:val="21"/>
                <w:szCs w:val="21"/>
                <w:lang w:val="en-US" w:eastAsia="zh-CN" w:bidi="ar"/>
              </w:rPr>
              <w:t>必须提供，否则响应文件按无效响应处理</w:t>
            </w:r>
            <w:r>
              <w:rPr>
                <w:rFonts w:hint="eastAsia" w:ascii="宋体" w:hAnsi="宋体" w:eastAsia="宋体" w:cs="宋体"/>
                <w:color w:val="000000"/>
                <w:kern w:val="0"/>
                <w:sz w:val="21"/>
                <w:szCs w:val="21"/>
                <w:lang w:val="en-US" w:eastAsia="zh-CN" w:bidi="ar"/>
              </w:rPr>
              <w:t xml:space="preserve">） </w:t>
            </w:r>
          </w:p>
          <w:p w14:paraId="5BC1390E">
            <w:pPr>
              <w:keepNext w:val="0"/>
              <w:keepLines w:val="0"/>
              <w:pageBreakBefore w:val="0"/>
              <w:widowControl/>
              <w:suppressLineNumbers w:val="0"/>
              <w:kinsoku/>
              <w:wordWrap/>
              <w:overflowPunct/>
              <w:topLinePunct w:val="0"/>
              <w:bidi w:val="0"/>
              <w:adjustRightInd/>
              <w:snapToGrid/>
              <w:spacing w:line="360" w:lineRule="auto"/>
              <w:jc w:val="both"/>
              <w:rPr>
                <w:sz w:val="21"/>
                <w:szCs w:val="21"/>
              </w:rPr>
            </w:pPr>
            <w:r>
              <w:rPr>
                <w:rFonts w:hint="eastAsia" w:ascii="宋体" w:hAnsi="宋体" w:eastAsia="宋体" w:cs="宋体"/>
                <w:color w:val="000000"/>
                <w:kern w:val="0"/>
                <w:sz w:val="21"/>
                <w:szCs w:val="21"/>
                <w:lang w:val="en-US" w:eastAsia="zh-CN" w:bidi="ar"/>
              </w:rPr>
              <w:t>5.供应商基本情况表；</w:t>
            </w:r>
            <w:r>
              <w:rPr>
                <w:rFonts w:hint="eastAsia" w:ascii="宋体" w:hAnsi="宋体" w:eastAsia="宋体" w:cs="宋体"/>
                <w:b/>
                <w:bCs/>
                <w:color w:val="000000"/>
                <w:kern w:val="0"/>
                <w:sz w:val="21"/>
                <w:szCs w:val="21"/>
                <w:lang w:val="en-US" w:eastAsia="zh-CN" w:bidi="ar"/>
              </w:rPr>
              <w:t xml:space="preserve">（必须提供，否则响应文件按无效响应处理） </w:t>
            </w:r>
          </w:p>
          <w:p w14:paraId="474C6388">
            <w:pPr>
              <w:keepNext w:val="0"/>
              <w:keepLines w:val="0"/>
              <w:pageBreakBefore w:val="0"/>
              <w:widowControl/>
              <w:suppressLineNumbers w:val="0"/>
              <w:kinsoku/>
              <w:wordWrap/>
              <w:overflowPunct/>
              <w:topLinePunct w:val="0"/>
              <w:bidi w:val="0"/>
              <w:adjustRightInd/>
              <w:snapToGrid/>
              <w:spacing w:line="360" w:lineRule="auto"/>
              <w:jc w:val="both"/>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6.供应商近三年内（指响应文件提交截止日期前三年内）承接或已完成的类似项目情况表；（如有请提供）；</w:t>
            </w:r>
            <w:r>
              <w:rPr>
                <w:rFonts w:hint="eastAsia" w:ascii="宋体" w:hAnsi="宋体" w:eastAsia="宋体" w:cs="宋体"/>
                <w:b/>
                <w:bCs/>
                <w:color w:val="000000"/>
                <w:kern w:val="0"/>
                <w:sz w:val="21"/>
                <w:szCs w:val="21"/>
                <w:lang w:val="en-US" w:eastAsia="zh-CN" w:bidi="ar"/>
              </w:rPr>
              <w:t xml:space="preserve">（如有，请提供） </w:t>
            </w:r>
          </w:p>
          <w:p w14:paraId="04C427B0">
            <w:pPr>
              <w:keepNext w:val="0"/>
              <w:keepLines w:val="0"/>
              <w:pageBreakBefore w:val="0"/>
              <w:widowControl/>
              <w:suppressLineNumbers w:val="0"/>
              <w:kinsoku/>
              <w:wordWrap/>
              <w:overflowPunct/>
              <w:topLinePunct w:val="0"/>
              <w:bidi w:val="0"/>
              <w:adjustRightInd/>
              <w:snapToGrid/>
              <w:spacing w:line="360" w:lineRule="auto"/>
              <w:jc w:val="both"/>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7.供应商认为需要提供的其他有关资料。</w:t>
            </w:r>
          </w:p>
          <w:p w14:paraId="1C42F215">
            <w:pPr>
              <w:keepNext w:val="0"/>
              <w:keepLines w:val="0"/>
              <w:pageBreakBefore w:val="0"/>
              <w:widowControl w:val="0"/>
              <w:kinsoku/>
              <w:wordWrap/>
              <w:overflowPunct/>
              <w:topLinePunct w:val="0"/>
              <w:bidi w:val="0"/>
              <w:snapToGrid w:val="0"/>
              <w:spacing w:line="360" w:lineRule="auto"/>
              <w:jc w:val="left"/>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 xml:space="preserve">注： </w:t>
            </w:r>
          </w:p>
          <w:p w14:paraId="74AE5921">
            <w:pPr>
              <w:keepNext w:val="0"/>
              <w:keepLines w:val="0"/>
              <w:pageBreakBefore w:val="0"/>
              <w:widowControl w:val="0"/>
              <w:kinsoku/>
              <w:wordWrap/>
              <w:overflowPunct/>
              <w:topLinePunct w:val="0"/>
              <w:bidi w:val="0"/>
              <w:snapToGrid w:val="0"/>
              <w:spacing w:line="360" w:lineRule="auto"/>
              <w:ind w:firstLine="413" w:firstLineChars="196"/>
              <w:jc w:val="left"/>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1.法定代表人授权委托书必须由法定代表人及委托代理人签字，并加盖供应商</w:t>
            </w:r>
            <w:r>
              <w:rPr>
                <w:rFonts w:hint="eastAsia" w:ascii="宋体" w:hAnsi="宋体" w:eastAsia="宋体" w:cs="宋体"/>
                <w:b/>
                <w:color w:val="000000"/>
                <w:sz w:val="21"/>
                <w:szCs w:val="21"/>
                <w:highlight w:val="none"/>
                <w:lang w:val="en-US" w:eastAsia="zh-CN"/>
              </w:rPr>
              <w:t>电子</w:t>
            </w:r>
            <w:r>
              <w:rPr>
                <w:rFonts w:hint="eastAsia" w:ascii="宋体" w:hAnsi="宋体" w:eastAsia="宋体" w:cs="宋体"/>
                <w:b/>
                <w:color w:val="000000"/>
                <w:sz w:val="21"/>
                <w:szCs w:val="21"/>
                <w:highlight w:val="none"/>
              </w:rPr>
              <w:t>公章，否则响应文件按无效响应处理。</w:t>
            </w:r>
          </w:p>
          <w:p w14:paraId="3BD37105">
            <w:pPr>
              <w:keepNext w:val="0"/>
              <w:keepLines w:val="0"/>
              <w:pageBreakBefore w:val="0"/>
              <w:widowControl w:val="0"/>
              <w:kinsoku/>
              <w:wordWrap/>
              <w:overflowPunct/>
              <w:topLinePunct w:val="0"/>
              <w:bidi w:val="0"/>
              <w:spacing w:line="360" w:lineRule="auto"/>
              <w:ind w:firstLine="413" w:firstLineChars="196"/>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2.以上标明“必须提供”的材料属于复印件</w:t>
            </w:r>
            <w:r>
              <w:rPr>
                <w:rFonts w:hint="eastAsia" w:ascii="宋体" w:hAnsi="宋体" w:eastAsia="宋体" w:cs="宋体"/>
                <w:b/>
                <w:color w:val="000000"/>
                <w:sz w:val="21"/>
                <w:szCs w:val="21"/>
                <w:highlight w:val="none"/>
                <w:lang w:val="en-US" w:eastAsia="zh-CN"/>
              </w:rPr>
              <w:t>或</w:t>
            </w:r>
            <w:r>
              <w:rPr>
                <w:rFonts w:hint="eastAsia" w:ascii="宋体" w:hAnsi="宋体" w:eastAsia="宋体" w:cs="宋体"/>
                <w:b/>
                <w:color w:val="000000"/>
                <w:sz w:val="21"/>
                <w:szCs w:val="21"/>
                <w:highlight w:val="none"/>
              </w:rPr>
              <w:t>扫描件的，必须加盖供应商电子公章，否则响应文件按无效响应处理。</w:t>
            </w:r>
          </w:p>
        </w:tc>
      </w:tr>
      <w:tr w14:paraId="5D251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6" w:hRule="atLeast"/>
        </w:trPr>
        <w:tc>
          <w:tcPr>
            <w:tcW w:w="886" w:type="dxa"/>
            <w:vMerge w:val="continue"/>
            <w:noWrap w:val="0"/>
            <w:vAlign w:val="center"/>
          </w:tcPr>
          <w:p w14:paraId="3A784268">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p>
        </w:tc>
        <w:tc>
          <w:tcPr>
            <w:tcW w:w="1794" w:type="dxa"/>
            <w:noWrap w:val="0"/>
            <w:vAlign w:val="center"/>
          </w:tcPr>
          <w:p w14:paraId="2B8CF77C">
            <w:pPr>
              <w:keepNext w:val="0"/>
              <w:keepLines w:val="0"/>
              <w:pageBreakBefore w:val="0"/>
              <w:widowControl w:val="0"/>
              <w:kinsoku/>
              <w:wordWrap/>
              <w:overflowPunct/>
              <w:topLinePunct w:val="0"/>
              <w:bidi w:val="0"/>
              <w:spacing w:line="440" w:lineRule="exact"/>
              <w:jc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技术文件组成</w:t>
            </w:r>
          </w:p>
        </w:tc>
        <w:tc>
          <w:tcPr>
            <w:tcW w:w="6895" w:type="dxa"/>
            <w:noWrap w:val="0"/>
            <w:vAlign w:val="center"/>
          </w:tcPr>
          <w:p w14:paraId="102B86B2">
            <w:pPr>
              <w:keepNext w:val="0"/>
              <w:keepLines w:val="0"/>
              <w:pageBreakBefore w:val="0"/>
              <w:widowControl/>
              <w:suppressLineNumbers w:val="0"/>
              <w:kinsoku/>
              <w:wordWrap/>
              <w:overflowPunct/>
              <w:topLinePunct w:val="0"/>
              <w:bidi w:val="0"/>
              <w:adjustRightInd/>
              <w:snapToGrid/>
              <w:spacing w:line="360" w:lineRule="auto"/>
              <w:jc w:val="both"/>
              <w:rPr>
                <w:sz w:val="21"/>
                <w:szCs w:val="21"/>
              </w:rPr>
            </w:pPr>
            <w:r>
              <w:rPr>
                <w:rFonts w:hint="eastAsia" w:ascii="宋体" w:hAnsi="宋体" w:eastAsia="宋体" w:cs="宋体"/>
                <w:color w:val="000000"/>
                <w:sz w:val="21"/>
                <w:szCs w:val="21"/>
                <w:highlight w:val="none"/>
              </w:rPr>
              <w:t>1</w:t>
            </w:r>
            <w:r>
              <w:rPr>
                <w:rFonts w:hint="eastAsia" w:ascii="宋体" w:hAnsi="宋体" w:cs="宋体"/>
                <w:color w:val="000000"/>
                <w:sz w:val="21"/>
                <w:szCs w:val="21"/>
                <w:highlight w:val="none"/>
                <w:lang w:val="en-US" w:eastAsia="zh-CN"/>
              </w:rPr>
              <w:t>.</w:t>
            </w:r>
            <w:r>
              <w:rPr>
                <w:rFonts w:hint="eastAsia" w:ascii="宋体" w:hAnsi="宋体" w:eastAsia="宋体" w:cs="宋体"/>
                <w:color w:val="000000"/>
                <w:kern w:val="0"/>
                <w:sz w:val="21"/>
                <w:szCs w:val="21"/>
                <w:lang w:val="en-US" w:eastAsia="zh-CN" w:bidi="ar"/>
              </w:rPr>
              <w:t>技术需求偏离表；</w:t>
            </w:r>
            <w:r>
              <w:rPr>
                <w:rFonts w:hint="eastAsia" w:ascii="宋体" w:hAnsi="宋体" w:eastAsia="宋体" w:cs="宋体"/>
                <w:b/>
                <w:bCs/>
                <w:color w:val="000000"/>
                <w:kern w:val="0"/>
                <w:sz w:val="21"/>
                <w:szCs w:val="21"/>
                <w:lang w:val="en-US" w:eastAsia="zh-CN" w:bidi="ar"/>
              </w:rPr>
              <w:t xml:space="preserve">（必须提供，否则响应文件按无效响应处理） </w:t>
            </w:r>
          </w:p>
          <w:p w14:paraId="6FD2086C">
            <w:pPr>
              <w:keepNext w:val="0"/>
              <w:keepLines w:val="0"/>
              <w:pageBreakBefore w:val="0"/>
              <w:widowControl/>
              <w:suppressLineNumbers w:val="0"/>
              <w:kinsoku/>
              <w:wordWrap/>
              <w:overflowPunct/>
              <w:topLinePunct w:val="0"/>
              <w:bidi w:val="0"/>
              <w:adjustRightInd/>
              <w:snapToGrid/>
              <w:spacing w:line="360" w:lineRule="auto"/>
              <w:jc w:val="both"/>
              <w:rPr>
                <w:sz w:val="21"/>
                <w:szCs w:val="21"/>
              </w:rPr>
            </w:pPr>
            <w:r>
              <w:rPr>
                <w:rFonts w:hint="eastAsia" w:ascii="宋体" w:hAnsi="宋体" w:eastAsia="宋体" w:cs="宋体"/>
                <w:color w:val="000000"/>
                <w:kern w:val="0"/>
                <w:sz w:val="21"/>
                <w:szCs w:val="21"/>
                <w:lang w:val="en-US" w:eastAsia="zh-CN" w:bidi="ar"/>
              </w:rPr>
              <w:t>2.施工组织设计；</w:t>
            </w:r>
            <w:r>
              <w:rPr>
                <w:rFonts w:hint="eastAsia" w:ascii="宋体" w:hAnsi="宋体" w:eastAsia="宋体" w:cs="宋体"/>
                <w:b/>
                <w:bCs/>
                <w:color w:val="000000"/>
                <w:kern w:val="0"/>
                <w:sz w:val="21"/>
                <w:szCs w:val="21"/>
                <w:lang w:val="en-US" w:eastAsia="zh-CN" w:bidi="ar"/>
              </w:rPr>
              <w:t xml:space="preserve">（必须提供，否则响应文件按无效响应处理） </w:t>
            </w:r>
          </w:p>
          <w:p w14:paraId="3338CBC8">
            <w:pPr>
              <w:keepNext w:val="0"/>
              <w:keepLines w:val="0"/>
              <w:pageBreakBefore w:val="0"/>
              <w:widowControl/>
              <w:suppressLineNumbers w:val="0"/>
              <w:kinsoku/>
              <w:wordWrap/>
              <w:overflowPunct/>
              <w:topLinePunct w:val="0"/>
              <w:bidi w:val="0"/>
              <w:adjustRightInd/>
              <w:snapToGrid/>
              <w:spacing w:line="360" w:lineRule="auto"/>
              <w:jc w:val="both"/>
              <w:rPr>
                <w:sz w:val="21"/>
                <w:szCs w:val="21"/>
              </w:rPr>
            </w:pPr>
            <w:r>
              <w:rPr>
                <w:rFonts w:hint="eastAsia" w:ascii="宋体" w:hAnsi="宋体" w:eastAsia="宋体" w:cs="宋体"/>
                <w:color w:val="000000"/>
                <w:kern w:val="0"/>
                <w:sz w:val="21"/>
                <w:szCs w:val="21"/>
                <w:lang w:val="en-US" w:eastAsia="zh-CN" w:bidi="ar"/>
              </w:rPr>
              <w:t>3.项目管理机构；</w:t>
            </w:r>
            <w:r>
              <w:rPr>
                <w:rFonts w:hint="eastAsia" w:ascii="宋体" w:hAnsi="宋体" w:eastAsia="宋体" w:cs="宋体"/>
                <w:b/>
                <w:bCs/>
                <w:color w:val="000000"/>
                <w:kern w:val="0"/>
                <w:sz w:val="21"/>
                <w:szCs w:val="21"/>
                <w:lang w:val="en-US" w:eastAsia="zh-CN" w:bidi="ar"/>
              </w:rPr>
              <w:t xml:space="preserve">（包括以下材料均按要求必须提供，否则响应文件按无效响应处理） </w:t>
            </w:r>
          </w:p>
          <w:p w14:paraId="60389028">
            <w:pPr>
              <w:keepNext w:val="0"/>
              <w:keepLines w:val="0"/>
              <w:pageBreakBefore w:val="0"/>
              <w:widowControl/>
              <w:suppressLineNumbers w:val="0"/>
              <w:kinsoku/>
              <w:wordWrap/>
              <w:overflowPunct/>
              <w:topLinePunct w:val="0"/>
              <w:bidi w:val="0"/>
              <w:adjustRightInd/>
              <w:snapToGrid/>
              <w:spacing w:line="360" w:lineRule="auto"/>
              <w:jc w:val="both"/>
              <w:rPr>
                <w:sz w:val="21"/>
                <w:szCs w:val="21"/>
              </w:rPr>
            </w:pPr>
            <w:r>
              <w:rPr>
                <w:rFonts w:hint="eastAsia" w:ascii="宋体" w:hAnsi="宋体" w:eastAsia="宋体" w:cs="宋体"/>
                <w:color w:val="000000"/>
                <w:kern w:val="0"/>
                <w:sz w:val="21"/>
                <w:szCs w:val="21"/>
                <w:lang w:val="en-US" w:eastAsia="zh-CN" w:bidi="ar"/>
              </w:rPr>
              <w:t xml:space="preserve">3.1 项目经理简历表；（按资格要求提供有效的证书复印件） </w:t>
            </w:r>
          </w:p>
          <w:p w14:paraId="3556C75A">
            <w:pPr>
              <w:keepNext w:val="0"/>
              <w:keepLines w:val="0"/>
              <w:pageBreakBefore w:val="0"/>
              <w:widowControl/>
              <w:suppressLineNumbers w:val="0"/>
              <w:kinsoku/>
              <w:wordWrap/>
              <w:overflowPunct/>
              <w:topLinePunct w:val="0"/>
              <w:bidi w:val="0"/>
              <w:adjustRightInd/>
              <w:snapToGrid/>
              <w:spacing w:line="360" w:lineRule="auto"/>
              <w:jc w:val="both"/>
              <w:rPr>
                <w:sz w:val="21"/>
                <w:szCs w:val="21"/>
              </w:rPr>
            </w:pPr>
            <w:r>
              <w:rPr>
                <w:rFonts w:hint="eastAsia" w:ascii="宋体" w:hAnsi="宋体" w:eastAsia="宋体" w:cs="宋体"/>
                <w:color w:val="000000"/>
                <w:kern w:val="0"/>
                <w:sz w:val="21"/>
                <w:szCs w:val="21"/>
                <w:lang w:val="en-US" w:eastAsia="zh-CN" w:bidi="ar"/>
              </w:rPr>
              <w:t xml:space="preserve">3.2 项目技术负责人简历表；（附中级及以上技术职称证书复印件） </w:t>
            </w:r>
          </w:p>
          <w:p w14:paraId="0CF41448">
            <w:pPr>
              <w:keepNext w:val="0"/>
              <w:keepLines w:val="0"/>
              <w:pageBreakBefore w:val="0"/>
              <w:widowControl/>
              <w:suppressLineNumbers w:val="0"/>
              <w:kinsoku/>
              <w:wordWrap/>
              <w:overflowPunct/>
              <w:topLinePunct w:val="0"/>
              <w:bidi w:val="0"/>
              <w:adjustRightInd/>
              <w:snapToGrid/>
              <w:spacing w:line="360" w:lineRule="auto"/>
              <w:jc w:val="both"/>
              <w:rPr>
                <w:sz w:val="21"/>
                <w:szCs w:val="21"/>
              </w:rPr>
            </w:pPr>
            <w:r>
              <w:rPr>
                <w:rFonts w:hint="eastAsia" w:ascii="宋体" w:hAnsi="宋体" w:eastAsia="宋体" w:cs="宋体"/>
                <w:color w:val="000000"/>
                <w:kern w:val="0"/>
                <w:sz w:val="21"/>
                <w:szCs w:val="21"/>
                <w:lang w:val="en-US" w:eastAsia="zh-CN" w:bidi="ar"/>
              </w:rPr>
              <w:t xml:space="preserve">3.3 项目管理机构配备情况表；[附安全员（具备有效专职安全生产管 </w:t>
            </w:r>
          </w:p>
          <w:p w14:paraId="6B161495">
            <w:pPr>
              <w:keepNext w:val="0"/>
              <w:keepLines w:val="0"/>
              <w:pageBreakBefore w:val="0"/>
              <w:widowControl/>
              <w:suppressLineNumbers w:val="0"/>
              <w:kinsoku/>
              <w:wordWrap/>
              <w:overflowPunct/>
              <w:topLinePunct w:val="0"/>
              <w:bidi w:val="0"/>
              <w:adjustRightInd/>
              <w:snapToGrid/>
              <w:spacing w:line="360" w:lineRule="auto"/>
              <w:jc w:val="both"/>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理人员安全生产考核合格 C 类证书）、施工员、质量员、材料员应具有相应施工现场专业人员职业培训合格证书，且拟投入的项目管理人员符合国家及广西壮族自治区的规定]。 </w:t>
            </w:r>
          </w:p>
          <w:p w14:paraId="21D16068">
            <w:pPr>
              <w:keepNext w:val="0"/>
              <w:keepLines w:val="0"/>
              <w:pageBreakBefore w:val="0"/>
              <w:widowControl/>
              <w:suppressLineNumbers w:val="0"/>
              <w:kinsoku/>
              <w:wordWrap/>
              <w:overflowPunct/>
              <w:topLinePunct w:val="0"/>
              <w:bidi w:val="0"/>
              <w:adjustRightInd/>
              <w:snapToGrid/>
              <w:spacing w:line="360" w:lineRule="auto"/>
              <w:jc w:val="both"/>
              <w:rPr>
                <w:rFonts w:hint="eastAsia" w:ascii="宋体" w:hAnsi="宋体" w:eastAsia="宋体" w:cs="宋体"/>
                <w:b/>
                <w:bCs/>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4.建设工程项目管理承诺书（格式后附）</w:t>
            </w:r>
            <w:r>
              <w:rPr>
                <w:rFonts w:hint="eastAsia" w:ascii="宋体" w:hAnsi="宋体" w:eastAsia="宋体" w:cs="宋体"/>
                <w:b/>
                <w:bCs/>
                <w:color w:val="000000"/>
                <w:kern w:val="0"/>
                <w:sz w:val="21"/>
                <w:szCs w:val="21"/>
                <w:lang w:val="en-US" w:eastAsia="zh-CN" w:bidi="ar"/>
              </w:rPr>
              <w:t xml:space="preserve">（必须提供，否则响应文件 </w:t>
            </w:r>
          </w:p>
          <w:p w14:paraId="51010D34">
            <w:pPr>
              <w:keepNext w:val="0"/>
              <w:keepLines w:val="0"/>
              <w:pageBreakBefore w:val="0"/>
              <w:widowControl/>
              <w:suppressLineNumbers w:val="0"/>
              <w:kinsoku/>
              <w:wordWrap/>
              <w:overflowPunct/>
              <w:topLinePunct w:val="0"/>
              <w:bidi w:val="0"/>
              <w:adjustRightInd/>
              <w:snapToGrid/>
              <w:spacing w:line="360" w:lineRule="auto"/>
              <w:jc w:val="both"/>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按无效响应处理）</w:t>
            </w:r>
          </w:p>
          <w:p w14:paraId="258EAEC3">
            <w:pPr>
              <w:keepNext w:val="0"/>
              <w:keepLines w:val="0"/>
              <w:pageBreakBefore w:val="0"/>
              <w:widowControl/>
              <w:suppressLineNumbers w:val="0"/>
              <w:kinsoku/>
              <w:wordWrap/>
              <w:overflowPunct/>
              <w:topLinePunct w:val="0"/>
              <w:bidi w:val="0"/>
              <w:adjustRightInd/>
              <w:snapToGrid/>
              <w:spacing w:line="360" w:lineRule="auto"/>
              <w:jc w:val="both"/>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5.供应商认为需要提供的其他有关资料。</w:t>
            </w:r>
          </w:p>
          <w:p w14:paraId="2AA7A921">
            <w:pPr>
              <w:keepNext w:val="0"/>
              <w:keepLines w:val="0"/>
              <w:pageBreakBefore w:val="0"/>
              <w:widowControl w:val="0"/>
              <w:kinsoku/>
              <w:wordWrap/>
              <w:overflowPunct/>
              <w:topLinePunct w:val="0"/>
              <w:bidi w:val="0"/>
              <w:spacing w:line="440" w:lineRule="exact"/>
              <w:rPr>
                <w:rFonts w:hint="eastAsia" w:ascii="宋体" w:hAnsi="宋体" w:eastAsia="宋体" w:cs="宋体"/>
                <w:color w:val="000000"/>
                <w:sz w:val="21"/>
                <w:szCs w:val="21"/>
                <w:highlight w:val="none"/>
              </w:rPr>
            </w:pPr>
            <w:r>
              <w:rPr>
                <w:rFonts w:hint="eastAsia" w:ascii="宋体" w:hAnsi="宋体" w:eastAsia="宋体" w:cs="宋体"/>
                <w:b/>
                <w:color w:val="000000"/>
                <w:sz w:val="21"/>
                <w:szCs w:val="21"/>
                <w:highlight w:val="none"/>
              </w:rPr>
              <w:t>注：以上标明“必须提供”的材料属于复印件</w:t>
            </w:r>
            <w:r>
              <w:rPr>
                <w:rFonts w:hint="eastAsia" w:ascii="宋体" w:hAnsi="宋体" w:eastAsia="宋体" w:cs="宋体"/>
                <w:b/>
                <w:color w:val="000000"/>
                <w:sz w:val="21"/>
                <w:szCs w:val="21"/>
                <w:highlight w:val="none"/>
                <w:lang w:val="en-US" w:eastAsia="zh-CN"/>
              </w:rPr>
              <w:t>或</w:t>
            </w:r>
            <w:r>
              <w:rPr>
                <w:rFonts w:hint="eastAsia" w:ascii="宋体" w:hAnsi="宋体" w:eastAsia="宋体" w:cs="宋体"/>
                <w:b/>
                <w:color w:val="000000"/>
                <w:sz w:val="21"/>
                <w:szCs w:val="21"/>
                <w:highlight w:val="none"/>
              </w:rPr>
              <w:t>扫描件的，必须加盖供应商电子公章，否则响应文件按无效响应处理。</w:t>
            </w:r>
          </w:p>
        </w:tc>
      </w:tr>
      <w:tr w14:paraId="50FB6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0" w:hRule="atLeast"/>
        </w:trPr>
        <w:tc>
          <w:tcPr>
            <w:tcW w:w="886" w:type="dxa"/>
            <w:noWrap w:val="0"/>
            <w:vAlign w:val="center"/>
          </w:tcPr>
          <w:p w14:paraId="7D7B3011">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rPr>
              <w:t>12.1.</w:t>
            </w:r>
            <w:r>
              <w:rPr>
                <w:rFonts w:hint="eastAsia" w:ascii="宋体" w:hAnsi="宋体" w:eastAsia="宋体" w:cs="宋体"/>
                <w:color w:val="000000"/>
                <w:sz w:val="21"/>
                <w:szCs w:val="21"/>
                <w:highlight w:val="none"/>
                <w:lang w:val="en-US" w:eastAsia="zh-CN"/>
              </w:rPr>
              <w:t>3</w:t>
            </w:r>
          </w:p>
        </w:tc>
        <w:tc>
          <w:tcPr>
            <w:tcW w:w="1794" w:type="dxa"/>
            <w:noWrap w:val="0"/>
            <w:vAlign w:val="center"/>
          </w:tcPr>
          <w:p w14:paraId="532F222B">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rPr>
              <w:t>报价文件组成</w:t>
            </w:r>
          </w:p>
        </w:tc>
        <w:tc>
          <w:tcPr>
            <w:tcW w:w="6895" w:type="dxa"/>
            <w:noWrap w:val="0"/>
            <w:vAlign w:val="center"/>
          </w:tcPr>
          <w:p w14:paraId="2FF9DDFC">
            <w:pPr>
              <w:keepNext w:val="0"/>
              <w:keepLines w:val="0"/>
              <w:pageBreakBefore w:val="0"/>
              <w:widowControl w:val="0"/>
              <w:kinsoku/>
              <w:wordWrap/>
              <w:overflowPunct/>
              <w:topLinePunct w:val="0"/>
              <w:bidi w:val="0"/>
              <w:spacing w:line="440" w:lineRule="exact"/>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rPr>
              <w:t>1</w:t>
            </w:r>
            <w:r>
              <w:rPr>
                <w:rFonts w:hint="eastAsia" w:ascii="宋体" w:hAnsi="宋体" w:cs="宋体"/>
                <w:color w:val="000000"/>
                <w:sz w:val="21"/>
                <w:szCs w:val="21"/>
                <w:highlight w:val="none"/>
                <w:lang w:val="en-US" w:eastAsia="zh-CN"/>
              </w:rPr>
              <w:t>.</w:t>
            </w:r>
            <w:r>
              <w:rPr>
                <w:rFonts w:hint="eastAsia" w:ascii="宋体" w:hAnsi="宋体" w:eastAsia="宋体" w:cs="宋体"/>
                <w:color w:val="000000"/>
                <w:sz w:val="21"/>
                <w:szCs w:val="21"/>
                <w:highlight w:val="none"/>
              </w:rPr>
              <w:t>响应函；</w:t>
            </w:r>
            <w:r>
              <w:rPr>
                <w:rFonts w:hint="eastAsia" w:ascii="宋体" w:hAnsi="宋体" w:eastAsia="宋体" w:cs="宋体"/>
                <w:b/>
                <w:bCs/>
                <w:color w:val="000000"/>
                <w:sz w:val="21"/>
                <w:szCs w:val="21"/>
                <w:highlight w:val="none"/>
                <w:lang w:val="en-US" w:eastAsia="zh-CN"/>
              </w:rPr>
              <w:t>（必须提供，否则响应文件按无效响应处理）</w:t>
            </w:r>
          </w:p>
          <w:p w14:paraId="054951C2">
            <w:pPr>
              <w:keepNext w:val="0"/>
              <w:keepLines w:val="0"/>
              <w:pageBreakBefore w:val="0"/>
              <w:widowControl w:val="0"/>
              <w:kinsoku/>
              <w:wordWrap/>
              <w:overflowPunct/>
              <w:topLinePunct w:val="0"/>
              <w:bidi w:val="0"/>
              <w:spacing w:line="440" w:lineRule="exact"/>
              <w:rPr>
                <w:rFonts w:hint="eastAsia" w:ascii="宋体" w:hAnsi="宋体" w:eastAsia="宋体" w:cs="宋体"/>
                <w:b/>
                <w:bCs/>
                <w:color w:val="000000"/>
                <w:sz w:val="21"/>
                <w:szCs w:val="21"/>
                <w:highlight w:val="none"/>
                <w:lang w:val="en-US" w:eastAsia="zh-CN"/>
              </w:rPr>
            </w:pPr>
            <w:r>
              <w:rPr>
                <w:rFonts w:hint="eastAsia" w:ascii="宋体" w:hAnsi="宋体" w:cs="宋体"/>
                <w:color w:val="000000"/>
                <w:sz w:val="21"/>
                <w:szCs w:val="21"/>
                <w:highlight w:val="none"/>
                <w:lang w:val="en-US" w:eastAsia="zh-CN"/>
              </w:rPr>
              <w:t>2.</w:t>
            </w:r>
            <w:r>
              <w:rPr>
                <w:rFonts w:hint="eastAsia" w:ascii="宋体" w:hAnsi="宋体" w:eastAsia="宋体" w:cs="宋体"/>
                <w:color w:val="000000"/>
                <w:sz w:val="21"/>
                <w:szCs w:val="21"/>
                <w:highlight w:val="none"/>
              </w:rPr>
              <w:t>响应报价表；</w:t>
            </w:r>
            <w:r>
              <w:rPr>
                <w:rFonts w:hint="eastAsia" w:ascii="宋体" w:hAnsi="宋体" w:eastAsia="宋体" w:cs="宋体"/>
                <w:b/>
                <w:bCs/>
                <w:color w:val="000000"/>
                <w:sz w:val="21"/>
                <w:szCs w:val="21"/>
                <w:highlight w:val="none"/>
                <w:lang w:val="en-US" w:eastAsia="zh-CN"/>
              </w:rPr>
              <w:t>（必须提供，否则响应文件按无效响应处理）</w:t>
            </w:r>
          </w:p>
          <w:p w14:paraId="3F3C575C">
            <w:pPr>
              <w:keepNext w:val="0"/>
              <w:keepLines w:val="0"/>
              <w:pageBreakBefore w:val="0"/>
              <w:widowControl w:val="0"/>
              <w:kinsoku/>
              <w:wordWrap/>
              <w:overflowPunct/>
              <w:topLinePunct w:val="0"/>
              <w:bidi w:val="0"/>
              <w:spacing w:line="440" w:lineRule="exact"/>
              <w:rPr>
                <w:rFonts w:hint="eastAsia" w:ascii="宋体" w:hAnsi="宋体" w:eastAsia="宋体" w:cs="宋体"/>
                <w:b/>
                <w:bCs/>
                <w:color w:val="000000"/>
                <w:sz w:val="21"/>
                <w:szCs w:val="21"/>
                <w:highlight w:val="none"/>
                <w:lang w:val="en-US" w:eastAsia="zh-CN"/>
              </w:rPr>
            </w:pPr>
            <w:r>
              <w:rPr>
                <w:rFonts w:hint="eastAsia" w:ascii="宋体" w:hAnsi="宋体" w:cs="宋体"/>
                <w:b w:val="0"/>
                <w:bCs w:val="0"/>
                <w:color w:val="000000"/>
                <w:sz w:val="21"/>
                <w:szCs w:val="21"/>
                <w:highlight w:val="none"/>
                <w:lang w:val="en-US" w:eastAsia="zh-CN"/>
              </w:rPr>
              <w:t>3.</w:t>
            </w:r>
            <w:r>
              <w:rPr>
                <w:rFonts w:hint="eastAsia" w:ascii="宋体" w:hAnsi="宋体" w:eastAsia="宋体" w:cs="宋体"/>
                <w:b w:val="0"/>
                <w:bCs w:val="0"/>
                <w:color w:val="000000"/>
                <w:sz w:val="21"/>
                <w:szCs w:val="21"/>
                <w:highlight w:val="none"/>
                <w:lang w:val="en-US" w:eastAsia="zh-CN"/>
              </w:rPr>
              <w:t>建筑材料和设备节能环保要求承诺书。</w:t>
            </w:r>
            <w:r>
              <w:rPr>
                <w:rFonts w:hint="eastAsia" w:ascii="宋体" w:hAnsi="宋体" w:eastAsia="宋体" w:cs="宋体"/>
                <w:b/>
                <w:bCs/>
                <w:color w:val="000000"/>
                <w:sz w:val="21"/>
                <w:szCs w:val="21"/>
                <w:highlight w:val="none"/>
                <w:lang w:val="en-US" w:eastAsia="zh-CN"/>
              </w:rPr>
              <w:t>（必须提供，否则响应文件按无效响应处理）</w:t>
            </w:r>
          </w:p>
          <w:p w14:paraId="118DEC01">
            <w:pPr>
              <w:keepNext w:val="0"/>
              <w:keepLines w:val="0"/>
              <w:pageBreakBefore w:val="0"/>
              <w:widowControl w:val="0"/>
              <w:kinsoku/>
              <w:wordWrap/>
              <w:overflowPunct/>
              <w:topLinePunct w:val="0"/>
              <w:bidi w:val="0"/>
              <w:spacing w:line="440" w:lineRule="exact"/>
              <w:rPr>
                <w:rFonts w:hint="eastAsia" w:ascii="宋体" w:hAnsi="宋体" w:eastAsia="宋体" w:cs="宋体"/>
                <w:b/>
                <w:bCs/>
                <w:color w:val="000000"/>
                <w:sz w:val="21"/>
                <w:szCs w:val="21"/>
                <w:highlight w:val="none"/>
                <w:lang w:val="en-US" w:eastAsia="zh-CN"/>
              </w:rPr>
            </w:pPr>
            <w:r>
              <w:rPr>
                <w:rFonts w:hint="eastAsia" w:ascii="宋体" w:hAnsi="宋体" w:cs="宋体"/>
                <w:b w:val="0"/>
                <w:bCs w:val="0"/>
                <w:color w:val="000000"/>
                <w:sz w:val="21"/>
                <w:szCs w:val="21"/>
                <w:highlight w:val="none"/>
                <w:lang w:val="en-US" w:eastAsia="zh-CN"/>
              </w:rPr>
              <w:t>4.</w:t>
            </w:r>
            <w:r>
              <w:rPr>
                <w:rFonts w:hint="eastAsia" w:ascii="宋体" w:hAnsi="宋体" w:eastAsia="宋体" w:cs="宋体"/>
                <w:b w:val="0"/>
                <w:bCs w:val="0"/>
                <w:color w:val="000000"/>
                <w:sz w:val="21"/>
                <w:szCs w:val="21"/>
                <w:highlight w:val="none"/>
                <w:lang w:val="en-US" w:eastAsia="zh-CN"/>
              </w:rPr>
              <w:t>建筑材料和设备绿色建材、绿色建筑要求承诺书。</w:t>
            </w:r>
            <w:r>
              <w:rPr>
                <w:rFonts w:hint="eastAsia" w:ascii="宋体" w:hAnsi="宋体" w:eastAsia="宋体" w:cs="宋体"/>
                <w:b/>
                <w:bCs/>
                <w:color w:val="000000"/>
                <w:sz w:val="21"/>
                <w:szCs w:val="21"/>
                <w:highlight w:val="none"/>
                <w:lang w:val="en-US" w:eastAsia="zh-CN"/>
              </w:rPr>
              <w:t>（必须提供，否则响应文件按无效响应处理）</w:t>
            </w:r>
          </w:p>
          <w:p w14:paraId="0D180FEA">
            <w:pPr>
              <w:keepNext w:val="0"/>
              <w:keepLines w:val="0"/>
              <w:pageBreakBefore w:val="0"/>
              <w:widowControl w:val="0"/>
              <w:kinsoku/>
              <w:wordWrap/>
              <w:overflowPunct/>
              <w:topLinePunct w:val="0"/>
              <w:bidi w:val="0"/>
              <w:spacing w:line="440" w:lineRule="exact"/>
              <w:rPr>
                <w:rFonts w:hint="eastAsia" w:ascii="宋体" w:hAnsi="宋体" w:eastAsia="宋体" w:cs="宋体"/>
                <w:b/>
                <w:bCs/>
                <w:color w:val="000000"/>
                <w:sz w:val="21"/>
                <w:szCs w:val="21"/>
                <w:highlight w:val="none"/>
              </w:rPr>
            </w:pPr>
            <w:r>
              <w:rPr>
                <w:rFonts w:hint="eastAsia" w:ascii="宋体" w:hAnsi="宋体" w:cs="宋体"/>
                <w:color w:val="000000"/>
                <w:sz w:val="21"/>
                <w:szCs w:val="21"/>
                <w:highlight w:val="none"/>
                <w:lang w:val="en-US" w:eastAsia="zh-CN"/>
              </w:rPr>
              <w:t>5</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已标价工程量清单有关资料</w:t>
            </w:r>
            <w:r>
              <w:rPr>
                <w:rFonts w:hint="eastAsia" w:ascii="宋体" w:hAnsi="宋体" w:eastAsia="宋体" w:cs="宋体"/>
                <w:color w:val="000000"/>
                <w:sz w:val="21"/>
                <w:szCs w:val="21"/>
                <w:highlight w:val="none"/>
                <w:lang w:eastAsia="zh-CN"/>
              </w:rPr>
              <w:t>。</w:t>
            </w:r>
            <w:r>
              <w:rPr>
                <w:rFonts w:hint="eastAsia" w:ascii="宋体" w:hAnsi="宋体" w:eastAsia="宋体" w:cs="宋体"/>
                <w:b/>
                <w:bCs/>
                <w:color w:val="000000"/>
                <w:sz w:val="21"/>
                <w:szCs w:val="21"/>
                <w:highlight w:val="none"/>
              </w:rPr>
              <w:t>（必须提供，否则响应文件按无效响应处理）</w:t>
            </w:r>
          </w:p>
          <w:p w14:paraId="68962455">
            <w:pPr>
              <w:keepNext w:val="0"/>
              <w:keepLines w:val="0"/>
              <w:pageBreakBefore w:val="0"/>
              <w:widowControl w:val="0"/>
              <w:kinsoku/>
              <w:wordWrap/>
              <w:overflowPunct/>
              <w:topLinePunct w:val="0"/>
              <w:bidi w:val="0"/>
              <w:spacing w:line="440" w:lineRule="exact"/>
              <w:rPr>
                <w:rFonts w:hint="eastAsia" w:ascii="宋体" w:hAnsi="宋体" w:eastAsia="宋体" w:cs="宋体"/>
                <w:b/>
                <w:bCs/>
                <w:color w:val="000000"/>
                <w:sz w:val="21"/>
                <w:szCs w:val="21"/>
                <w:highlight w:val="none"/>
              </w:rPr>
            </w:pPr>
            <w:r>
              <w:rPr>
                <w:rFonts w:hint="eastAsia" w:ascii="宋体" w:hAnsi="宋体" w:eastAsia="宋体" w:cs="宋体"/>
                <w:b/>
                <w:bCs/>
                <w:color w:val="auto"/>
                <w:kern w:val="2"/>
                <w:sz w:val="21"/>
                <w:szCs w:val="21"/>
                <w:highlight w:val="none"/>
                <w:lang w:val="zh-CN" w:eastAsia="zh-CN" w:bidi="ar-SA"/>
              </w:rPr>
              <w:t>注：</w:t>
            </w:r>
            <w:r>
              <w:rPr>
                <w:rFonts w:hint="eastAsia" w:ascii="宋体" w:hAnsi="宋体" w:eastAsia="宋体" w:cs="宋体"/>
                <w:b/>
                <w:bCs/>
                <w:color w:val="auto"/>
                <w:kern w:val="2"/>
                <w:sz w:val="21"/>
                <w:szCs w:val="21"/>
                <w:highlight w:val="none"/>
                <w:lang w:val="en-US" w:eastAsia="zh-CN" w:bidi="ar-SA"/>
              </w:rPr>
              <w:t>供应商的报价文件应上传磋商总价封面的原件扫描件。磋商总价封面，必须经供应商加盖公章，并由法定代表人（或其授权人）签字（或盖章），同时由造价编制人员签字并加盖执业章。</w:t>
            </w:r>
          </w:p>
        </w:tc>
      </w:tr>
      <w:tr w14:paraId="78549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28" w:hRule="atLeast"/>
        </w:trPr>
        <w:tc>
          <w:tcPr>
            <w:tcW w:w="886" w:type="dxa"/>
            <w:noWrap w:val="0"/>
            <w:vAlign w:val="center"/>
          </w:tcPr>
          <w:p w14:paraId="2DB33071">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12.2</w:t>
            </w:r>
          </w:p>
        </w:tc>
        <w:tc>
          <w:tcPr>
            <w:tcW w:w="1794" w:type="dxa"/>
            <w:noWrap w:val="0"/>
            <w:vAlign w:val="center"/>
          </w:tcPr>
          <w:p w14:paraId="58072F4B">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响应文件电子版要求</w:t>
            </w:r>
          </w:p>
        </w:tc>
        <w:tc>
          <w:tcPr>
            <w:tcW w:w="6895" w:type="dxa"/>
            <w:noWrap w:val="0"/>
            <w:vAlign w:val="center"/>
          </w:tcPr>
          <w:p w14:paraId="4AA14493">
            <w:pPr>
              <w:keepNext w:val="0"/>
              <w:keepLines w:val="0"/>
              <w:pageBreakBefore w:val="0"/>
              <w:widowControl w:val="0"/>
              <w:kinsoku/>
              <w:wordWrap/>
              <w:overflowPunct/>
              <w:topLinePunct w:val="0"/>
              <w:bidi w:val="0"/>
              <w:snapToGrid w:val="0"/>
              <w:spacing w:line="440" w:lineRule="exact"/>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1.响应文件电子版要求：按照本采购文件“第五章 响应文件格式”编写（第五章未附格式的，由供应商自行拟定），不可涂改并在规定加盖公章处加盖电子公章，</w:t>
            </w:r>
            <w:r>
              <w:rPr>
                <w:rFonts w:hint="eastAsia" w:ascii="宋体" w:hAnsi="宋体" w:eastAsia="宋体" w:cs="宋体"/>
                <w:b/>
                <w:color w:val="000000"/>
                <w:sz w:val="21"/>
                <w:szCs w:val="21"/>
                <w:highlight w:val="none"/>
              </w:rPr>
              <w:t>否则响应文件按无效响应处理</w:t>
            </w:r>
            <w:r>
              <w:rPr>
                <w:rFonts w:hint="eastAsia" w:ascii="宋体" w:hAnsi="宋体" w:eastAsia="宋体" w:cs="宋体"/>
                <w:color w:val="000000"/>
                <w:sz w:val="21"/>
                <w:szCs w:val="21"/>
                <w:highlight w:val="none"/>
              </w:rPr>
              <w:t>。</w:t>
            </w:r>
          </w:p>
          <w:p w14:paraId="7E66A77C">
            <w:pPr>
              <w:keepNext w:val="0"/>
              <w:keepLines w:val="0"/>
              <w:pageBreakBefore w:val="0"/>
              <w:widowControl w:val="0"/>
              <w:kinsoku/>
              <w:wordWrap/>
              <w:overflowPunct/>
              <w:topLinePunct w:val="0"/>
              <w:bidi w:val="0"/>
              <w:snapToGrid w:val="0"/>
              <w:spacing w:line="440" w:lineRule="exact"/>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2.响应文件通过有效CA加密后在“</w:t>
            </w:r>
            <w:r>
              <w:rPr>
                <w:rFonts w:hint="eastAsia" w:ascii="宋体" w:hAnsi="宋体" w:eastAsia="宋体" w:cs="宋体"/>
                <w:color w:val="000000"/>
                <w:sz w:val="21"/>
                <w:szCs w:val="21"/>
                <w:highlight w:val="none"/>
                <w:lang w:val="en-US" w:eastAsia="zh-CN"/>
              </w:rPr>
              <w:t>广西政府采购云平台</w:t>
            </w:r>
            <w:r>
              <w:rPr>
                <w:rFonts w:hint="eastAsia" w:ascii="宋体" w:hAnsi="宋体" w:eastAsia="宋体" w:cs="宋体"/>
                <w:color w:val="000000"/>
                <w:sz w:val="21"/>
                <w:szCs w:val="21"/>
                <w:highlight w:val="none"/>
              </w:rPr>
              <w:t>”投送。</w:t>
            </w:r>
          </w:p>
        </w:tc>
      </w:tr>
      <w:tr w14:paraId="650D5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9" w:hRule="atLeast"/>
        </w:trPr>
        <w:tc>
          <w:tcPr>
            <w:tcW w:w="886" w:type="dxa"/>
            <w:noWrap w:val="0"/>
            <w:vAlign w:val="center"/>
          </w:tcPr>
          <w:p w14:paraId="184983EF">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15.2</w:t>
            </w:r>
          </w:p>
        </w:tc>
        <w:tc>
          <w:tcPr>
            <w:tcW w:w="1794" w:type="dxa"/>
            <w:noWrap w:val="0"/>
            <w:vAlign w:val="center"/>
          </w:tcPr>
          <w:p w14:paraId="2E0B548E">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响应报价要求</w:t>
            </w:r>
          </w:p>
        </w:tc>
        <w:tc>
          <w:tcPr>
            <w:tcW w:w="6895" w:type="dxa"/>
            <w:noWrap w:val="0"/>
            <w:vAlign w:val="center"/>
          </w:tcPr>
          <w:p w14:paraId="02079BC3">
            <w:pPr>
              <w:pStyle w:val="20"/>
              <w:keepNext w:val="0"/>
              <w:keepLines w:val="0"/>
              <w:pageBreakBefore w:val="0"/>
              <w:widowControl w:val="0"/>
              <w:kinsoku/>
              <w:wordWrap/>
              <w:overflowPunct/>
              <w:topLinePunct w:val="0"/>
              <w:bidi w:val="0"/>
              <w:spacing w:line="440" w:lineRule="exact"/>
              <w:rPr>
                <w:rFonts w:hint="eastAsia" w:ascii="宋体" w:hAnsi="宋体" w:eastAsia="宋体" w:cs="宋体"/>
                <w:b w:val="0"/>
                <w:bCs/>
                <w:color w:val="000000"/>
                <w:kern w:val="2"/>
                <w:sz w:val="21"/>
                <w:szCs w:val="21"/>
                <w:highlight w:val="none"/>
                <w:lang w:val="en-US" w:eastAsia="zh-CN"/>
              </w:rPr>
            </w:pPr>
            <w:r>
              <w:rPr>
                <w:rFonts w:hint="eastAsia" w:ascii="宋体" w:hAnsi="宋体" w:eastAsia="宋体" w:cs="宋体"/>
                <w:b w:val="0"/>
                <w:bCs/>
                <w:color w:val="000000"/>
                <w:kern w:val="2"/>
                <w:sz w:val="21"/>
                <w:szCs w:val="21"/>
                <w:highlight w:val="none"/>
                <w:lang w:val="en-US" w:eastAsia="zh-CN"/>
              </w:rPr>
              <w:t>1</w:t>
            </w:r>
            <w:r>
              <w:rPr>
                <w:rFonts w:hint="eastAsia" w:ascii="宋体" w:hAnsi="宋体" w:cs="宋体"/>
                <w:b w:val="0"/>
                <w:bCs/>
                <w:color w:val="000000"/>
                <w:kern w:val="2"/>
                <w:sz w:val="21"/>
                <w:szCs w:val="21"/>
                <w:highlight w:val="none"/>
                <w:lang w:val="en-US" w:eastAsia="zh-CN"/>
              </w:rPr>
              <w:t>.</w:t>
            </w:r>
            <w:r>
              <w:rPr>
                <w:rFonts w:hint="eastAsia" w:ascii="宋体" w:hAnsi="宋体" w:eastAsia="宋体" w:cs="宋体"/>
                <w:b w:val="0"/>
                <w:bCs/>
                <w:color w:val="000000"/>
                <w:kern w:val="2"/>
                <w:sz w:val="21"/>
                <w:szCs w:val="21"/>
                <w:highlight w:val="none"/>
                <w:lang w:val="en-US" w:eastAsia="zh-CN"/>
              </w:rPr>
              <w:t>本项目采用工程量清单报价方式。</w:t>
            </w:r>
          </w:p>
          <w:p w14:paraId="12DB8CD4">
            <w:pPr>
              <w:pStyle w:val="20"/>
              <w:keepNext w:val="0"/>
              <w:keepLines w:val="0"/>
              <w:pageBreakBefore w:val="0"/>
              <w:widowControl w:val="0"/>
              <w:kinsoku/>
              <w:wordWrap/>
              <w:overflowPunct/>
              <w:topLinePunct w:val="0"/>
              <w:bidi w:val="0"/>
              <w:spacing w:line="440" w:lineRule="exact"/>
              <w:rPr>
                <w:rFonts w:hint="eastAsia" w:ascii="宋体" w:hAnsi="宋体" w:eastAsia="宋体" w:cs="宋体"/>
                <w:b w:val="0"/>
                <w:bCs/>
                <w:color w:val="000000"/>
                <w:kern w:val="2"/>
                <w:sz w:val="21"/>
                <w:szCs w:val="21"/>
                <w:highlight w:val="none"/>
                <w:lang w:val="en-US" w:eastAsia="zh-CN"/>
              </w:rPr>
            </w:pPr>
            <w:r>
              <w:rPr>
                <w:rFonts w:hint="eastAsia" w:ascii="宋体" w:hAnsi="宋体" w:eastAsia="宋体" w:cs="宋体"/>
                <w:b w:val="0"/>
                <w:bCs/>
                <w:color w:val="000000"/>
                <w:kern w:val="2"/>
                <w:sz w:val="21"/>
                <w:szCs w:val="21"/>
                <w:highlight w:val="none"/>
                <w:lang w:val="en-US" w:eastAsia="zh-CN"/>
              </w:rPr>
              <w:t>2</w:t>
            </w:r>
            <w:r>
              <w:rPr>
                <w:rFonts w:hint="eastAsia" w:ascii="宋体" w:hAnsi="宋体" w:cs="宋体"/>
                <w:b w:val="0"/>
                <w:bCs/>
                <w:color w:val="000000"/>
                <w:kern w:val="2"/>
                <w:sz w:val="21"/>
                <w:szCs w:val="21"/>
                <w:highlight w:val="none"/>
                <w:lang w:val="en-US" w:eastAsia="zh-CN"/>
              </w:rPr>
              <w:t>.</w:t>
            </w:r>
            <w:r>
              <w:rPr>
                <w:rFonts w:hint="eastAsia" w:ascii="宋体" w:hAnsi="宋体" w:eastAsia="宋体" w:cs="宋体"/>
                <w:b w:val="0"/>
                <w:bCs/>
                <w:color w:val="000000"/>
                <w:kern w:val="2"/>
                <w:sz w:val="21"/>
                <w:szCs w:val="21"/>
                <w:highlight w:val="none"/>
                <w:lang w:val="en-US" w:eastAsia="zh-CN"/>
              </w:rPr>
              <w:t>报价说明：</w:t>
            </w:r>
          </w:p>
          <w:p w14:paraId="195203B6">
            <w:pPr>
              <w:pStyle w:val="20"/>
              <w:keepNext w:val="0"/>
              <w:keepLines w:val="0"/>
              <w:pageBreakBefore w:val="0"/>
              <w:widowControl w:val="0"/>
              <w:kinsoku/>
              <w:wordWrap/>
              <w:overflowPunct/>
              <w:topLinePunct w:val="0"/>
              <w:bidi w:val="0"/>
              <w:spacing w:line="440" w:lineRule="exact"/>
              <w:rPr>
                <w:rFonts w:hint="eastAsia" w:ascii="宋体" w:hAnsi="宋体" w:eastAsia="宋体" w:cs="宋体"/>
                <w:b w:val="0"/>
                <w:bCs/>
                <w:color w:val="000000"/>
                <w:kern w:val="2"/>
                <w:sz w:val="21"/>
                <w:szCs w:val="21"/>
                <w:highlight w:val="none"/>
                <w:lang w:val="en-US" w:eastAsia="zh-CN"/>
              </w:rPr>
            </w:pPr>
            <w:r>
              <w:rPr>
                <w:rFonts w:hint="eastAsia" w:ascii="宋体" w:hAnsi="宋体" w:eastAsia="宋体" w:cs="宋体"/>
                <w:b w:val="0"/>
                <w:bCs/>
                <w:color w:val="000000"/>
                <w:kern w:val="2"/>
                <w:sz w:val="21"/>
                <w:szCs w:val="21"/>
                <w:highlight w:val="none"/>
                <w:lang w:val="en-US" w:eastAsia="zh-CN"/>
              </w:rPr>
              <w:t>（1）工程量清单应与磋商须知、合同条件、合同协议条款、技术规范一起使用。</w:t>
            </w:r>
          </w:p>
          <w:p w14:paraId="0E2007B4">
            <w:pPr>
              <w:pStyle w:val="20"/>
              <w:keepNext w:val="0"/>
              <w:keepLines w:val="0"/>
              <w:pageBreakBefore w:val="0"/>
              <w:widowControl w:val="0"/>
              <w:kinsoku/>
              <w:wordWrap/>
              <w:overflowPunct/>
              <w:topLinePunct w:val="0"/>
              <w:bidi w:val="0"/>
              <w:spacing w:line="440" w:lineRule="exact"/>
              <w:rPr>
                <w:rFonts w:hint="eastAsia" w:ascii="宋体" w:hAnsi="宋体" w:eastAsia="宋体" w:cs="宋体"/>
                <w:b w:val="0"/>
                <w:bCs/>
                <w:color w:val="000000"/>
                <w:kern w:val="2"/>
                <w:sz w:val="21"/>
                <w:szCs w:val="21"/>
                <w:highlight w:val="none"/>
                <w:lang w:val="en-US" w:eastAsia="zh-CN"/>
              </w:rPr>
            </w:pPr>
            <w:r>
              <w:rPr>
                <w:rFonts w:hint="eastAsia" w:ascii="宋体" w:hAnsi="宋体" w:eastAsia="宋体" w:cs="宋体"/>
                <w:b w:val="0"/>
                <w:bCs/>
                <w:color w:val="000000"/>
                <w:kern w:val="2"/>
                <w:sz w:val="21"/>
                <w:szCs w:val="21"/>
                <w:highlight w:val="none"/>
                <w:lang w:val="en-US" w:eastAsia="zh-CN"/>
              </w:rPr>
              <w:t>（2）工程量清单所列的工程量作为磋商报价的共同基础。成交供应商必须完成图纸规定的工程量，付款时以设计图纸规定的工程量和因设计变更引起增减的并经审定的工程量为依据。</w:t>
            </w:r>
          </w:p>
          <w:p w14:paraId="4181ED00">
            <w:pPr>
              <w:pStyle w:val="20"/>
              <w:keepNext w:val="0"/>
              <w:keepLines w:val="0"/>
              <w:pageBreakBefore w:val="0"/>
              <w:widowControl w:val="0"/>
              <w:kinsoku/>
              <w:wordWrap/>
              <w:overflowPunct/>
              <w:topLinePunct w:val="0"/>
              <w:bidi w:val="0"/>
              <w:spacing w:line="440" w:lineRule="exact"/>
              <w:rPr>
                <w:rFonts w:hint="eastAsia" w:ascii="宋体" w:hAnsi="宋体" w:eastAsia="宋体" w:cs="宋体"/>
                <w:b w:val="0"/>
                <w:bCs/>
                <w:color w:val="000000"/>
                <w:kern w:val="2"/>
                <w:sz w:val="21"/>
                <w:szCs w:val="21"/>
                <w:highlight w:val="none"/>
                <w:lang w:val="en-US" w:eastAsia="zh-CN"/>
              </w:rPr>
            </w:pPr>
            <w:r>
              <w:rPr>
                <w:rFonts w:hint="eastAsia" w:ascii="宋体" w:hAnsi="宋体" w:eastAsia="宋体" w:cs="宋体"/>
                <w:b w:val="0"/>
                <w:bCs/>
                <w:color w:val="000000"/>
                <w:kern w:val="2"/>
                <w:sz w:val="21"/>
                <w:szCs w:val="21"/>
                <w:highlight w:val="none"/>
                <w:lang w:val="en-US" w:eastAsia="zh-CN"/>
              </w:rPr>
              <w:t>（3）工程量清单所填入的综合单价和合价，应包括施工设备、劳务管理、维护、保险、利润、运输、税金、工艺损耗、政策性文件规定以及合同所包含的所有风险、责任等应用费用，不因市场价格因素等情况而变动。</w:t>
            </w:r>
          </w:p>
          <w:p w14:paraId="07A58007">
            <w:pPr>
              <w:pStyle w:val="20"/>
              <w:keepNext w:val="0"/>
              <w:keepLines w:val="0"/>
              <w:pageBreakBefore w:val="0"/>
              <w:widowControl w:val="0"/>
              <w:kinsoku/>
              <w:wordWrap/>
              <w:overflowPunct/>
              <w:topLinePunct w:val="0"/>
              <w:bidi w:val="0"/>
              <w:spacing w:line="440" w:lineRule="exact"/>
              <w:rPr>
                <w:rFonts w:hint="eastAsia" w:ascii="宋体" w:hAnsi="宋体" w:eastAsia="宋体" w:cs="宋体"/>
                <w:b w:val="0"/>
                <w:bCs/>
                <w:color w:val="000000"/>
                <w:kern w:val="2"/>
                <w:sz w:val="21"/>
                <w:szCs w:val="21"/>
                <w:highlight w:val="none"/>
                <w:lang w:val="en-US" w:eastAsia="zh-CN"/>
              </w:rPr>
            </w:pPr>
            <w:r>
              <w:rPr>
                <w:rFonts w:hint="eastAsia" w:ascii="宋体" w:hAnsi="宋体" w:eastAsia="宋体" w:cs="宋体"/>
                <w:b w:val="0"/>
                <w:bCs/>
                <w:color w:val="000000"/>
                <w:kern w:val="2"/>
                <w:sz w:val="21"/>
                <w:szCs w:val="21"/>
                <w:highlight w:val="none"/>
                <w:lang w:val="en-US" w:eastAsia="zh-CN"/>
              </w:rPr>
              <w:t>（4）工程量清单中的每一单项均应做出综合单价分析，并填写综合单价和合价，对没有填写综合单价或合价的项目的费用，应视为已包括在工程量清单的其他综合单价或合价之中。</w:t>
            </w:r>
          </w:p>
          <w:p w14:paraId="38322C69">
            <w:pPr>
              <w:pStyle w:val="20"/>
              <w:keepNext w:val="0"/>
              <w:keepLines w:val="0"/>
              <w:pageBreakBefore w:val="0"/>
              <w:widowControl w:val="0"/>
              <w:kinsoku/>
              <w:wordWrap/>
              <w:overflowPunct/>
              <w:topLinePunct w:val="0"/>
              <w:bidi w:val="0"/>
              <w:spacing w:line="440" w:lineRule="exact"/>
              <w:rPr>
                <w:rFonts w:hint="eastAsia" w:ascii="宋体" w:hAnsi="宋体" w:eastAsia="宋体" w:cs="宋体"/>
                <w:b w:val="0"/>
                <w:bCs/>
                <w:color w:val="000000"/>
                <w:kern w:val="2"/>
                <w:sz w:val="21"/>
                <w:szCs w:val="21"/>
                <w:highlight w:val="none"/>
                <w:lang w:val="en-US" w:eastAsia="zh-CN"/>
              </w:rPr>
            </w:pPr>
            <w:r>
              <w:rPr>
                <w:rFonts w:hint="eastAsia" w:ascii="宋体" w:hAnsi="宋体" w:eastAsia="宋体" w:cs="宋体"/>
                <w:b w:val="0"/>
                <w:bCs/>
                <w:color w:val="000000"/>
                <w:kern w:val="2"/>
                <w:sz w:val="21"/>
                <w:szCs w:val="21"/>
                <w:highlight w:val="none"/>
                <w:lang w:val="en-US" w:eastAsia="zh-CN"/>
              </w:rPr>
              <w:t>（5）工程量清单不再重复或概括工程及材料的一般说明，在编制和填写工程量清单的每一项的综合单价和合价时应参考竞标须知和合同文件的有关条款。</w:t>
            </w:r>
          </w:p>
          <w:p w14:paraId="640BE624">
            <w:pPr>
              <w:pStyle w:val="20"/>
              <w:keepNext w:val="0"/>
              <w:keepLines w:val="0"/>
              <w:pageBreakBefore w:val="0"/>
              <w:widowControl w:val="0"/>
              <w:kinsoku/>
              <w:wordWrap/>
              <w:overflowPunct/>
              <w:topLinePunct w:val="0"/>
              <w:bidi w:val="0"/>
              <w:spacing w:line="440" w:lineRule="exact"/>
              <w:rPr>
                <w:rFonts w:hint="eastAsia" w:ascii="宋体" w:hAnsi="宋体" w:eastAsia="宋体" w:cs="宋体"/>
                <w:b w:val="0"/>
                <w:bCs/>
                <w:color w:val="000000"/>
                <w:kern w:val="2"/>
                <w:sz w:val="21"/>
                <w:szCs w:val="21"/>
                <w:highlight w:val="none"/>
                <w:lang w:val="en-US" w:eastAsia="zh-CN"/>
              </w:rPr>
            </w:pPr>
            <w:r>
              <w:rPr>
                <w:rFonts w:hint="eastAsia" w:ascii="宋体" w:hAnsi="宋体" w:eastAsia="宋体" w:cs="宋体"/>
                <w:b w:val="0"/>
                <w:bCs/>
                <w:color w:val="000000"/>
                <w:kern w:val="2"/>
                <w:sz w:val="21"/>
                <w:szCs w:val="21"/>
                <w:highlight w:val="none"/>
                <w:lang w:val="en-US" w:eastAsia="zh-CN"/>
              </w:rPr>
              <w:t>（6）所有报价均以人民币表示。</w:t>
            </w:r>
          </w:p>
          <w:p w14:paraId="08AC49EE">
            <w:pPr>
              <w:pStyle w:val="20"/>
              <w:keepNext w:val="0"/>
              <w:keepLines w:val="0"/>
              <w:pageBreakBefore w:val="0"/>
              <w:widowControl w:val="0"/>
              <w:kinsoku/>
              <w:wordWrap/>
              <w:overflowPunct/>
              <w:topLinePunct w:val="0"/>
              <w:bidi w:val="0"/>
              <w:spacing w:line="440" w:lineRule="exact"/>
              <w:rPr>
                <w:rFonts w:hint="eastAsia" w:ascii="宋体" w:hAnsi="宋体" w:eastAsia="宋体" w:cs="宋体"/>
                <w:b w:val="0"/>
                <w:bCs/>
                <w:color w:val="000000"/>
                <w:kern w:val="2"/>
                <w:sz w:val="21"/>
                <w:szCs w:val="21"/>
                <w:highlight w:val="none"/>
                <w:lang w:val="en-US" w:eastAsia="zh-CN"/>
              </w:rPr>
            </w:pPr>
            <w:r>
              <w:rPr>
                <w:rFonts w:hint="eastAsia" w:ascii="宋体" w:hAnsi="宋体" w:eastAsia="宋体" w:cs="宋体"/>
                <w:b w:val="0"/>
                <w:bCs/>
                <w:color w:val="000000"/>
                <w:kern w:val="2"/>
                <w:sz w:val="21"/>
                <w:szCs w:val="21"/>
                <w:highlight w:val="none"/>
                <w:lang w:val="en-US" w:eastAsia="zh-CN"/>
              </w:rPr>
              <w:t>（7）工程量清单中的各分项工程的综合单价为本工程包干单价，不管供应商今后施工方案如何，均按包干单价执行。</w:t>
            </w:r>
          </w:p>
          <w:p w14:paraId="04CC16FA">
            <w:pPr>
              <w:pStyle w:val="20"/>
              <w:keepNext w:val="0"/>
              <w:keepLines w:val="0"/>
              <w:pageBreakBefore w:val="0"/>
              <w:widowControl w:val="0"/>
              <w:kinsoku/>
              <w:wordWrap/>
              <w:overflowPunct/>
              <w:topLinePunct w:val="0"/>
              <w:bidi w:val="0"/>
              <w:spacing w:line="440" w:lineRule="exact"/>
              <w:rPr>
                <w:rFonts w:hint="eastAsia" w:ascii="宋体" w:hAnsi="宋体" w:eastAsia="宋体" w:cs="宋体"/>
                <w:b w:val="0"/>
                <w:bCs/>
                <w:color w:val="000000"/>
                <w:kern w:val="2"/>
                <w:sz w:val="21"/>
                <w:szCs w:val="21"/>
                <w:highlight w:val="none"/>
                <w:lang w:val="en-US" w:eastAsia="zh-CN"/>
              </w:rPr>
            </w:pPr>
            <w:r>
              <w:rPr>
                <w:rFonts w:hint="eastAsia" w:ascii="宋体" w:hAnsi="宋体" w:eastAsia="宋体" w:cs="宋体"/>
                <w:b w:val="0"/>
                <w:bCs/>
                <w:color w:val="000000"/>
                <w:kern w:val="2"/>
                <w:sz w:val="21"/>
                <w:szCs w:val="21"/>
                <w:highlight w:val="none"/>
                <w:lang w:val="en-US" w:eastAsia="zh-CN"/>
              </w:rPr>
              <w:t>（8）本工程采用一般计税法。</w:t>
            </w:r>
          </w:p>
          <w:p w14:paraId="7291FC91">
            <w:pPr>
              <w:pStyle w:val="20"/>
              <w:keepNext w:val="0"/>
              <w:keepLines w:val="0"/>
              <w:pageBreakBefore w:val="0"/>
              <w:widowControl w:val="0"/>
              <w:kinsoku/>
              <w:wordWrap/>
              <w:overflowPunct/>
              <w:topLinePunct w:val="0"/>
              <w:bidi w:val="0"/>
              <w:spacing w:line="440" w:lineRule="exact"/>
              <w:rPr>
                <w:rFonts w:hint="eastAsia" w:ascii="宋体" w:hAnsi="宋体" w:eastAsia="宋体" w:cs="宋体"/>
                <w:color w:val="000000"/>
                <w:sz w:val="21"/>
                <w:szCs w:val="21"/>
                <w:highlight w:val="none"/>
              </w:rPr>
            </w:pPr>
            <w:r>
              <w:rPr>
                <w:rFonts w:hint="eastAsia" w:ascii="宋体" w:hAnsi="宋体" w:cs="宋体"/>
                <w:b/>
                <w:bCs w:val="0"/>
                <w:color w:val="000000"/>
                <w:kern w:val="2"/>
                <w:sz w:val="21"/>
                <w:szCs w:val="21"/>
                <w:highlight w:val="none"/>
                <w:lang w:val="en-US" w:eastAsia="zh-CN"/>
              </w:rPr>
              <w:t>注：</w:t>
            </w:r>
            <w:r>
              <w:rPr>
                <w:rFonts w:hint="eastAsia" w:ascii="宋体" w:hAnsi="宋体" w:eastAsia="宋体" w:cs="宋体"/>
                <w:b/>
                <w:bCs w:val="0"/>
                <w:color w:val="000000"/>
                <w:kern w:val="2"/>
                <w:sz w:val="21"/>
                <w:szCs w:val="21"/>
                <w:highlight w:val="none"/>
              </w:rPr>
              <w:t>最终报价时，供应商的最终报价如有变动</w:t>
            </w:r>
            <w:r>
              <w:rPr>
                <w:rFonts w:hint="eastAsia" w:ascii="宋体" w:hAnsi="宋体" w:eastAsia="宋体" w:cs="宋体"/>
                <w:b/>
                <w:bCs w:val="0"/>
                <w:color w:val="000000"/>
                <w:kern w:val="2"/>
                <w:sz w:val="21"/>
                <w:szCs w:val="21"/>
                <w:highlight w:val="none"/>
                <w:lang w:eastAsia="zh-CN"/>
              </w:rPr>
              <w:t>（</w:t>
            </w:r>
            <w:r>
              <w:rPr>
                <w:rFonts w:hint="eastAsia" w:ascii="宋体" w:hAnsi="宋体" w:eastAsia="宋体" w:cs="宋体"/>
                <w:b/>
                <w:bCs w:val="0"/>
                <w:color w:val="000000"/>
                <w:kern w:val="2"/>
                <w:sz w:val="21"/>
                <w:szCs w:val="21"/>
                <w:highlight w:val="none"/>
                <w:lang w:val="en-US" w:eastAsia="zh-CN"/>
              </w:rPr>
              <w:t>最终报价</w:t>
            </w:r>
            <w:r>
              <w:rPr>
                <w:rFonts w:hint="eastAsia" w:ascii="宋体" w:hAnsi="宋体" w:eastAsia="宋体" w:cs="宋体"/>
                <w:b/>
                <w:bCs w:val="0"/>
                <w:color w:val="000000"/>
                <w:kern w:val="2"/>
                <w:sz w:val="21"/>
                <w:szCs w:val="21"/>
                <w:highlight w:val="none"/>
              </w:rPr>
              <w:t>与首次报价相比有调整</w:t>
            </w:r>
            <w:r>
              <w:rPr>
                <w:rFonts w:hint="eastAsia" w:ascii="宋体" w:hAnsi="宋体" w:eastAsia="宋体" w:cs="宋体"/>
                <w:b/>
                <w:bCs w:val="0"/>
                <w:color w:val="000000"/>
                <w:kern w:val="2"/>
                <w:sz w:val="21"/>
                <w:szCs w:val="21"/>
                <w:highlight w:val="none"/>
                <w:lang w:eastAsia="zh-CN"/>
              </w:rPr>
              <w:t>）</w:t>
            </w:r>
            <w:r>
              <w:rPr>
                <w:rFonts w:hint="eastAsia" w:ascii="宋体" w:hAnsi="宋体" w:eastAsia="宋体" w:cs="宋体"/>
                <w:b/>
                <w:bCs w:val="0"/>
                <w:color w:val="000000"/>
                <w:kern w:val="2"/>
                <w:sz w:val="21"/>
                <w:szCs w:val="21"/>
                <w:highlight w:val="none"/>
              </w:rPr>
              <w:t>，则必须以完整的工程量清单报价表的格式（按</w:t>
            </w:r>
            <w:r>
              <w:rPr>
                <w:rFonts w:hint="eastAsia" w:ascii="宋体" w:hAnsi="宋体" w:eastAsia="宋体" w:cs="宋体"/>
                <w:b/>
                <w:bCs w:val="0"/>
                <w:color w:val="000000"/>
                <w:kern w:val="2"/>
                <w:sz w:val="21"/>
                <w:szCs w:val="21"/>
                <w:highlight w:val="none"/>
                <w:lang w:val="en-US" w:eastAsia="zh-CN"/>
              </w:rPr>
              <w:t>竞争性</w:t>
            </w:r>
            <w:r>
              <w:rPr>
                <w:rFonts w:hint="eastAsia" w:ascii="宋体" w:hAnsi="宋体" w:eastAsia="宋体" w:cs="宋体"/>
                <w:b/>
                <w:bCs w:val="0"/>
                <w:color w:val="000000"/>
                <w:kern w:val="2"/>
                <w:sz w:val="21"/>
                <w:szCs w:val="21"/>
                <w:highlight w:val="none"/>
              </w:rPr>
              <w:t>磋商文件中的相关规定签字盖章）编制提交</w:t>
            </w:r>
            <w:r>
              <w:rPr>
                <w:rFonts w:hint="eastAsia" w:ascii="宋体" w:hAnsi="宋体" w:eastAsia="宋体" w:cs="宋体"/>
                <w:b/>
                <w:bCs w:val="0"/>
                <w:color w:val="000000"/>
                <w:kern w:val="2"/>
                <w:sz w:val="21"/>
                <w:szCs w:val="21"/>
                <w:highlight w:val="none"/>
                <w:lang w:val="en-US" w:eastAsia="zh-CN"/>
              </w:rPr>
              <w:t>上传（</w:t>
            </w:r>
            <w:r>
              <w:rPr>
                <w:rFonts w:hint="eastAsia" w:ascii="宋体" w:hAnsi="宋体" w:eastAsia="宋体" w:cs="宋体"/>
                <w:b/>
                <w:bCs w:val="0"/>
                <w:color w:val="000000"/>
                <w:kern w:val="2"/>
                <w:sz w:val="21"/>
                <w:szCs w:val="21"/>
                <w:highlight w:val="none"/>
              </w:rPr>
              <w:t>已标价工程量清单合计金额须与相对应的竞标总报价金额保持一致</w:t>
            </w:r>
            <w:r>
              <w:rPr>
                <w:rFonts w:hint="eastAsia" w:ascii="宋体" w:hAnsi="宋体" w:eastAsia="宋体" w:cs="宋体"/>
                <w:b/>
                <w:bCs w:val="0"/>
                <w:color w:val="000000"/>
                <w:kern w:val="2"/>
                <w:sz w:val="21"/>
                <w:szCs w:val="21"/>
                <w:highlight w:val="none"/>
                <w:lang w:val="en-US" w:eastAsia="zh-CN"/>
              </w:rPr>
              <w:t>）</w:t>
            </w:r>
            <w:r>
              <w:rPr>
                <w:rFonts w:hint="eastAsia" w:ascii="宋体" w:hAnsi="宋体" w:eastAsia="宋体" w:cs="宋体"/>
                <w:b/>
                <w:bCs w:val="0"/>
                <w:color w:val="000000"/>
                <w:kern w:val="2"/>
                <w:sz w:val="21"/>
                <w:szCs w:val="21"/>
                <w:highlight w:val="none"/>
              </w:rPr>
              <w:t>，供应商须提前准备好调整后的已标价工程量清单</w:t>
            </w:r>
            <w:r>
              <w:rPr>
                <w:rFonts w:hint="eastAsia" w:ascii="宋体" w:hAnsi="宋体" w:eastAsia="宋体" w:cs="宋体"/>
                <w:b/>
                <w:bCs w:val="0"/>
                <w:color w:val="000000"/>
                <w:kern w:val="2"/>
                <w:sz w:val="21"/>
                <w:szCs w:val="21"/>
                <w:highlight w:val="none"/>
                <w:lang w:eastAsia="zh-CN"/>
              </w:rPr>
              <w:t>，</w:t>
            </w:r>
            <w:r>
              <w:rPr>
                <w:rFonts w:hint="eastAsia" w:ascii="宋体" w:hAnsi="宋体" w:eastAsia="宋体" w:cs="宋体"/>
                <w:b/>
                <w:bCs w:val="0"/>
                <w:color w:val="000000"/>
                <w:kern w:val="2"/>
                <w:sz w:val="21"/>
                <w:szCs w:val="21"/>
                <w:highlight w:val="none"/>
              </w:rPr>
              <w:t>并按时递交最终报价文件，否则按竞标无效处理。</w:t>
            </w:r>
          </w:p>
        </w:tc>
      </w:tr>
      <w:tr w14:paraId="23648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6" w:type="dxa"/>
            <w:noWrap w:val="0"/>
            <w:vAlign w:val="center"/>
          </w:tcPr>
          <w:p w14:paraId="31E18141">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16.2</w:t>
            </w:r>
          </w:p>
        </w:tc>
        <w:tc>
          <w:tcPr>
            <w:tcW w:w="1794" w:type="dxa"/>
            <w:noWrap w:val="0"/>
            <w:vAlign w:val="center"/>
          </w:tcPr>
          <w:p w14:paraId="41AC4DFC">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竞标有效期</w:t>
            </w:r>
          </w:p>
        </w:tc>
        <w:tc>
          <w:tcPr>
            <w:tcW w:w="6895" w:type="dxa"/>
            <w:noWrap w:val="0"/>
            <w:vAlign w:val="center"/>
          </w:tcPr>
          <w:p w14:paraId="4D45CCBF">
            <w:pPr>
              <w:keepNext w:val="0"/>
              <w:keepLines w:val="0"/>
              <w:pageBreakBefore w:val="0"/>
              <w:widowControl w:val="0"/>
              <w:tabs>
                <w:tab w:val="left" w:pos="720"/>
                <w:tab w:val="left" w:pos="840"/>
              </w:tabs>
              <w:kinsoku/>
              <w:wordWrap/>
              <w:overflowPunct/>
              <w:topLinePunct w:val="0"/>
              <w:bidi w:val="0"/>
              <w:snapToGrid w:val="0"/>
              <w:spacing w:line="440" w:lineRule="exact"/>
              <w:ind w:left="283" w:hanging="283" w:hangingChars="135"/>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自首次响应文件提交截止之日起</w:t>
            </w:r>
            <w:r>
              <w:rPr>
                <w:rFonts w:hint="eastAsia" w:ascii="宋体" w:hAnsi="宋体" w:cs="宋体"/>
                <w:color w:val="000000"/>
                <w:sz w:val="21"/>
                <w:szCs w:val="21"/>
                <w:highlight w:val="none"/>
                <w:u w:val="single"/>
                <w:lang w:val="en-US" w:eastAsia="zh-CN"/>
              </w:rPr>
              <w:t>9</w:t>
            </w:r>
            <w:r>
              <w:rPr>
                <w:rFonts w:hint="eastAsia" w:ascii="宋体" w:hAnsi="宋体" w:eastAsia="宋体" w:cs="宋体"/>
                <w:color w:val="000000"/>
                <w:sz w:val="21"/>
                <w:szCs w:val="21"/>
                <w:highlight w:val="none"/>
                <w:u w:val="single"/>
              </w:rPr>
              <w:t>0</w:t>
            </w:r>
            <w:r>
              <w:rPr>
                <w:rFonts w:hint="eastAsia" w:ascii="宋体" w:hAnsi="宋体" w:eastAsia="宋体" w:cs="宋体"/>
                <w:color w:val="000000"/>
                <w:sz w:val="21"/>
                <w:szCs w:val="21"/>
                <w:highlight w:val="none"/>
              </w:rPr>
              <w:t>日。</w:t>
            </w:r>
          </w:p>
        </w:tc>
      </w:tr>
      <w:tr w14:paraId="52FE8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6" w:type="dxa"/>
            <w:noWrap w:val="0"/>
            <w:vAlign w:val="center"/>
          </w:tcPr>
          <w:p w14:paraId="2DB3905D">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17.1</w:t>
            </w:r>
          </w:p>
        </w:tc>
        <w:tc>
          <w:tcPr>
            <w:tcW w:w="1794" w:type="dxa"/>
            <w:noWrap w:val="0"/>
            <w:vAlign w:val="center"/>
          </w:tcPr>
          <w:p w14:paraId="358978AD">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磋商保证金</w:t>
            </w:r>
          </w:p>
        </w:tc>
        <w:tc>
          <w:tcPr>
            <w:tcW w:w="6895" w:type="dxa"/>
            <w:noWrap w:val="0"/>
            <w:vAlign w:val="center"/>
          </w:tcPr>
          <w:p w14:paraId="1B07B01E">
            <w:pPr>
              <w:keepNext w:val="0"/>
              <w:keepLines w:val="0"/>
              <w:pageBreakBefore w:val="0"/>
              <w:widowControl w:val="0"/>
              <w:kinsoku/>
              <w:wordWrap/>
              <w:overflowPunct/>
              <w:topLinePunct w:val="0"/>
              <w:autoSpaceDE w:val="0"/>
              <w:autoSpaceDN w:val="0"/>
              <w:bidi w:val="0"/>
              <w:snapToGrid w:val="0"/>
              <w:spacing w:line="440" w:lineRule="exact"/>
              <w:textAlignment w:val="bottom"/>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本项目不收取磋商保证金。</w:t>
            </w:r>
          </w:p>
        </w:tc>
      </w:tr>
      <w:tr w14:paraId="45B22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trPr>
        <w:tc>
          <w:tcPr>
            <w:tcW w:w="886" w:type="dxa"/>
            <w:vMerge w:val="restart"/>
            <w:noWrap w:val="0"/>
            <w:vAlign w:val="center"/>
          </w:tcPr>
          <w:p w14:paraId="43B4402B">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20.1</w:t>
            </w:r>
          </w:p>
        </w:tc>
        <w:tc>
          <w:tcPr>
            <w:tcW w:w="1794" w:type="dxa"/>
            <w:noWrap w:val="0"/>
            <w:vAlign w:val="center"/>
          </w:tcPr>
          <w:p w14:paraId="3AA6107C">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响应文件提交截止时间</w:t>
            </w:r>
          </w:p>
        </w:tc>
        <w:tc>
          <w:tcPr>
            <w:tcW w:w="6895" w:type="dxa"/>
            <w:noWrap w:val="0"/>
            <w:vAlign w:val="center"/>
          </w:tcPr>
          <w:p w14:paraId="26189ECC">
            <w:pPr>
              <w:keepNext w:val="0"/>
              <w:keepLines w:val="0"/>
              <w:pageBreakBefore w:val="0"/>
              <w:widowControl w:val="0"/>
              <w:kinsoku/>
              <w:wordWrap/>
              <w:overflowPunct/>
              <w:topLinePunct w:val="0"/>
              <w:bidi w:val="0"/>
              <w:snapToGrid w:val="0"/>
              <w:spacing w:line="440" w:lineRule="exact"/>
              <w:jc w:val="left"/>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详见竞争性磋商公告。</w:t>
            </w:r>
          </w:p>
        </w:tc>
      </w:tr>
      <w:tr w14:paraId="5C0BD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886" w:type="dxa"/>
            <w:vMerge w:val="continue"/>
            <w:noWrap w:val="0"/>
            <w:vAlign w:val="center"/>
          </w:tcPr>
          <w:p w14:paraId="6447D578">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p>
        </w:tc>
        <w:tc>
          <w:tcPr>
            <w:tcW w:w="1794" w:type="dxa"/>
            <w:noWrap w:val="0"/>
            <w:vAlign w:val="center"/>
          </w:tcPr>
          <w:p w14:paraId="18EB7605">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响应文件提交地点</w:t>
            </w:r>
          </w:p>
        </w:tc>
        <w:tc>
          <w:tcPr>
            <w:tcW w:w="6895" w:type="dxa"/>
            <w:noWrap w:val="0"/>
            <w:vAlign w:val="center"/>
          </w:tcPr>
          <w:p w14:paraId="64480605">
            <w:pPr>
              <w:keepNext w:val="0"/>
              <w:keepLines w:val="0"/>
              <w:pageBreakBefore w:val="0"/>
              <w:widowControl w:val="0"/>
              <w:kinsoku/>
              <w:wordWrap/>
              <w:overflowPunct/>
              <w:topLinePunct w:val="0"/>
              <w:bidi w:val="0"/>
              <w:snapToGrid w:val="0"/>
              <w:spacing w:line="440" w:lineRule="exact"/>
              <w:jc w:val="left"/>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详见竞争性磋商公告。</w:t>
            </w:r>
          </w:p>
        </w:tc>
      </w:tr>
      <w:tr w14:paraId="267B9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886" w:type="dxa"/>
            <w:noWrap w:val="0"/>
            <w:vAlign w:val="center"/>
          </w:tcPr>
          <w:p w14:paraId="146E7AAD">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20.6</w:t>
            </w:r>
          </w:p>
        </w:tc>
        <w:tc>
          <w:tcPr>
            <w:tcW w:w="1794" w:type="dxa"/>
            <w:noWrap w:val="0"/>
            <w:vAlign w:val="center"/>
          </w:tcPr>
          <w:p w14:paraId="3260F423">
            <w:pPr>
              <w:keepNext w:val="0"/>
              <w:keepLines w:val="0"/>
              <w:pageBreakBefore w:val="0"/>
              <w:widowControl w:val="0"/>
              <w:kinsoku/>
              <w:wordWrap/>
              <w:overflowPunct/>
              <w:topLinePunct w:val="0"/>
              <w:bidi w:val="0"/>
              <w:spacing w:line="440" w:lineRule="exact"/>
              <w:jc w:val="center"/>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备份响应文件</w:t>
            </w:r>
          </w:p>
        </w:tc>
        <w:tc>
          <w:tcPr>
            <w:tcW w:w="6895" w:type="dxa"/>
            <w:noWrap w:val="0"/>
            <w:vAlign w:val="center"/>
          </w:tcPr>
          <w:p w14:paraId="06FE4BA1">
            <w:pPr>
              <w:keepNext w:val="0"/>
              <w:keepLines w:val="0"/>
              <w:pageBreakBefore w:val="0"/>
              <w:widowControl w:val="0"/>
              <w:kinsoku/>
              <w:wordWrap/>
              <w:overflowPunct/>
              <w:topLinePunct w:val="0"/>
              <w:bidi w:val="0"/>
              <w:snapToGrid w:val="0"/>
              <w:spacing w:line="440" w:lineRule="exact"/>
              <w:jc w:val="left"/>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本项目不接受备份响应文件。</w:t>
            </w:r>
          </w:p>
        </w:tc>
      </w:tr>
      <w:tr w14:paraId="7629D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7" w:hRule="atLeast"/>
        </w:trPr>
        <w:tc>
          <w:tcPr>
            <w:tcW w:w="886" w:type="dxa"/>
            <w:noWrap w:val="0"/>
            <w:vAlign w:val="center"/>
          </w:tcPr>
          <w:p w14:paraId="25BC0090">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w:t>
            </w:r>
          </w:p>
        </w:tc>
        <w:tc>
          <w:tcPr>
            <w:tcW w:w="1794" w:type="dxa"/>
            <w:noWrap w:val="0"/>
            <w:vAlign w:val="center"/>
          </w:tcPr>
          <w:p w14:paraId="1667446B">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none"/>
              </w:rPr>
              <w:t>响应文件的补充、修改与撤回</w:t>
            </w:r>
          </w:p>
        </w:tc>
        <w:tc>
          <w:tcPr>
            <w:tcW w:w="6895" w:type="dxa"/>
            <w:noWrap w:val="0"/>
            <w:vAlign w:val="center"/>
          </w:tcPr>
          <w:p w14:paraId="3349030C">
            <w:pPr>
              <w:keepNext w:val="0"/>
              <w:keepLines w:val="0"/>
              <w:pageBreakBefore w:val="0"/>
              <w:widowControl w:val="0"/>
              <w:kinsoku/>
              <w:wordWrap/>
              <w:overflowPunct/>
              <w:topLinePunct w:val="0"/>
              <w:bidi w:val="0"/>
              <w:spacing w:line="440" w:lineRule="exact"/>
              <w:rPr>
                <w:rFonts w:hint="eastAsia" w:ascii="宋体" w:hAnsi="宋体" w:eastAsia="宋体" w:cs="宋体"/>
                <w:color w:val="000000"/>
                <w:sz w:val="21"/>
                <w:szCs w:val="21"/>
                <w:highlight w:val="yellow"/>
              </w:rPr>
            </w:pPr>
            <w:r>
              <w:rPr>
                <w:rFonts w:hint="eastAsia" w:ascii="宋体" w:hAnsi="宋体" w:eastAsia="宋体" w:cs="宋体"/>
                <w:color w:val="000000"/>
                <w:szCs w:val="21"/>
                <w:highlight w:val="none"/>
              </w:rPr>
              <w:t>供应商应当在响应文件提交截止时间前完成电子</w:t>
            </w:r>
            <w:r>
              <w:rPr>
                <w:rFonts w:hint="eastAsia" w:ascii="宋体" w:hAnsi="宋体" w:eastAsia="宋体" w:cs="宋体"/>
                <w:color w:val="000000"/>
                <w:szCs w:val="21"/>
                <w:highlight w:val="none"/>
                <w:lang w:eastAsia="zh-CN"/>
              </w:rPr>
              <w:t>响应</w:t>
            </w:r>
            <w:r>
              <w:rPr>
                <w:rFonts w:hint="eastAsia" w:ascii="宋体" w:hAnsi="宋体" w:eastAsia="宋体" w:cs="宋体"/>
                <w:color w:val="000000"/>
                <w:szCs w:val="21"/>
                <w:highlight w:val="none"/>
              </w:rPr>
              <w:t>文件的</w:t>
            </w:r>
            <w:r>
              <w:rPr>
                <w:rFonts w:hint="eastAsia" w:ascii="宋体" w:hAnsi="宋体" w:eastAsia="宋体" w:cs="宋体"/>
                <w:color w:val="000000"/>
                <w:szCs w:val="21"/>
                <w:highlight w:val="none"/>
                <w:lang w:eastAsia="zh-CN"/>
              </w:rPr>
              <w:t>提交（</w:t>
            </w:r>
            <w:r>
              <w:rPr>
                <w:rFonts w:hint="eastAsia" w:ascii="宋体" w:hAnsi="宋体" w:eastAsia="宋体" w:cs="宋体"/>
                <w:color w:val="000000"/>
                <w:szCs w:val="21"/>
                <w:highlight w:val="none"/>
              </w:rPr>
              <w:t>上传</w:t>
            </w:r>
            <w:r>
              <w:rPr>
                <w:rFonts w:hint="eastAsia" w:ascii="宋体" w:hAnsi="宋体" w:eastAsia="宋体" w:cs="宋体"/>
                <w:color w:val="000000"/>
                <w:szCs w:val="21"/>
                <w:highlight w:val="none"/>
                <w:lang w:eastAsia="zh-CN"/>
              </w:rPr>
              <w:t>）</w:t>
            </w:r>
            <w:r>
              <w:rPr>
                <w:rFonts w:hint="eastAsia" w:ascii="宋体" w:hAnsi="宋体" w:eastAsia="宋体" w:cs="宋体"/>
                <w:color w:val="000000"/>
                <w:szCs w:val="21"/>
                <w:highlight w:val="none"/>
              </w:rPr>
              <w:t>，响应文件提交截止时间前可以补充、修改或者撤回</w:t>
            </w:r>
            <w:r>
              <w:rPr>
                <w:rFonts w:hint="eastAsia" w:ascii="宋体" w:hAnsi="宋体" w:eastAsia="宋体" w:cs="宋体"/>
                <w:color w:val="000000"/>
                <w:szCs w:val="21"/>
                <w:highlight w:val="none"/>
                <w:lang w:eastAsia="zh-CN"/>
              </w:rPr>
              <w:t>响应</w:t>
            </w:r>
            <w:r>
              <w:rPr>
                <w:rFonts w:hint="eastAsia" w:ascii="宋体" w:hAnsi="宋体" w:eastAsia="宋体" w:cs="宋体"/>
                <w:color w:val="000000"/>
                <w:szCs w:val="21"/>
                <w:highlight w:val="none"/>
              </w:rPr>
              <w:t>文件。补充或者修改</w:t>
            </w:r>
            <w:r>
              <w:rPr>
                <w:rFonts w:hint="eastAsia" w:ascii="宋体" w:hAnsi="宋体" w:eastAsia="宋体" w:cs="宋体"/>
                <w:color w:val="000000"/>
                <w:szCs w:val="21"/>
                <w:highlight w:val="none"/>
                <w:lang w:eastAsia="zh-CN"/>
              </w:rPr>
              <w:t>响应</w:t>
            </w:r>
            <w:r>
              <w:rPr>
                <w:rFonts w:hint="eastAsia" w:ascii="宋体" w:hAnsi="宋体" w:eastAsia="宋体" w:cs="宋体"/>
                <w:color w:val="000000"/>
                <w:szCs w:val="21"/>
                <w:highlight w:val="none"/>
              </w:rPr>
              <w:t>文件的，应当先行撤回原</w:t>
            </w:r>
            <w:r>
              <w:rPr>
                <w:rFonts w:hint="eastAsia" w:ascii="宋体" w:hAnsi="宋体" w:eastAsia="宋体" w:cs="宋体"/>
                <w:color w:val="000000"/>
                <w:szCs w:val="21"/>
                <w:highlight w:val="none"/>
                <w:lang w:eastAsia="zh-CN"/>
              </w:rPr>
              <w:t>响应</w:t>
            </w:r>
            <w:r>
              <w:rPr>
                <w:rFonts w:hint="eastAsia" w:ascii="宋体" w:hAnsi="宋体" w:eastAsia="宋体" w:cs="宋体"/>
                <w:color w:val="000000"/>
                <w:szCs w:val="21"/>
                <w:highlight w:val="none"/>
              </w:rPr>
              <w:t>文件，补充、修改后重新</w:t>
            </w:r>
            <w:r>
              <w:rPr>
                <w:rFonts w:hint="eastAsia" w:ascii="宋体" w:hAnsi="宋体" w:eastAsia="宋体" w:cs="宋体"/>
                <w:color w:val="000000"/>
                <w:szCs w:val="21"/>
                <w:highlight w:val="none"/>
                <w:lang w:eastAsia="zh-CN"/>
              </w:rPr>
              <w:t>提交（</w:t>
            </w:r>
            <w:r>
              <w:rPr>
                <w:rFonts w:hint="eastAsia" w:ascii="宋体" w:hAnsi="宋体" w:eastAsia="宋体" w:cs="宋体"/>
                <w:color w:val="000000"/>
                <w:szCs w:val="21"/>
                <w:highlight w:val="none"/>
              </w:rPr>
              <w:t>上传</w:t>
            </w:r>
            <w:r>
              <w:rPr>
                <w:rFonts w:hint="eastAsia" w:ascii="宋体" w:hAnsi="宋体" w:eastAsia="宋体" w:cs="宋体"/>
                <w:color w:val="000000"/>
                <w:szCs w:val="21"/>
                <w:highlight w:val="none"/>
                <w:lang w:eastAsia="zh-CN"/>
              </w:rPr>
              <w:t>）</w:t>
            </w:r>
            <w:r>
              <w:rPr>
                <w:rFonts w:hint="eastAsia" w:ascii="宋体" w:hAnsi="宋体" w:eastAsia="宋体" w:cs="宋体"/>
                <w:color w:val="000000"/>
                <w:szCs w:val="21"/>
                <w:highlight w:val="none"/>
              </w:rPr>
              <w:t>。响应文件提交截止时间前未完成</w:t>
            </w:r>
            <w:r>
              <w:rPr>
                <w:rFonts w:hint="eastAsia" w:ascii="宋体" w:hAnsi="宋体" w:eastAsia="宋体" w:cs="宋体"/>
                <w:color w:val="000000"/>
                <w:szCs w:val="21"/>
                <w:highlight w:val="none"/>
                <w:lang w:eastAsia="zh-CN"/>
              </w:rPr>
              <w:t>提交（</w:t>
            </w:r>
            <w:r>
              <w:rPr>
                <w:rFonts w:hint="eastAsia" w:ascii="宋体" w:hAnsi="宋体" w:eastAsia="宋体" w:cs="宋体"/>
                <w:color w:val="000000"/>
                <w:szCs w:val="21"/>
                <w:highlight w:val="none"/>
              </w:rPr>
              <w:t>上传</w:t>
            </w:r>
            <w:r>
              <w:rPr>
                <w:rFonts w:hint="eastAsia" w:ascii="宋体" w:hAnsi="宋体" w:eastAsia="宋体" w:cs="宋体"/>
                <w:color w:val="000000"/>
                <w:szCs w:val="21"/>
                <w:highlight w:val="none"/>
                <w:lang w:eastAsia="zh-CN"/>
              </w:rPr>
              <w:t>）</w:t>
            </w:r>
            <w:r>
              <w:rPr>
                <w:rFonts w:hint="eastAsia" w:ascii="宋体" w:hAnsi="宋体" w:eastAsia="宋体" w:cs="宋体"/>
                <w:color w:val="000000"/>
                <w:szCs w:val="21"/>
                <w:highlight w:val="none"/>
              </w:rPr>
              <w:t>的，视为撤回</w:t>
            </w:r>
            <w:r>
              <w:rPr>
                <w:rFonts w:hint="eastAsia" w:ascii="宋体" w:hAnsi="宋体" w:eastAsia="宋体" w:cs="宋体"/>
                <w:color w:val="000000"/>
                <w:szCs w:val="21"/>
                <w:highlight w:val="none"/>
                <w:lang w:eastAsia="zh-CN"/>
              </w:rPr>
              <w:t>响应</w:t>
            </w:r>
            <w:r>
              <w:rPr>
                <w:rFonts w:hint="eastAsia" w:ascii="宋体" w:hAnsi="宋体" w:eastAsia="宋体" w:cs="宋体"/>
                <w:color w:val="000000"/>
                <w:szCs w:val="21"/>
                <w:highlight w:val="none"/>
              </w:rPr>
              <w:t>文件。响应文件提交截止时间以后</w:t>
            </w:r>
            <w:r>
              <w:rPr>
                <w:rFonts w:hint="eastAsia" w:ascii="宋体" w:hAnsi="宋体" w:eastAsia="宋体" w:cs="宋体"/>
                <w:color w:val="000000"/>
                <w:szCs w:val="21"/>
                <w:highlight w:val="none"/>
                <w:lang w:eastAsia="zh-CN"/>
              </w:rPr>
              <w:t>提交（</w:t>
            </w:r>
            <w:r>
              <w:rPr>
                <w:rFonts w:hint="eastAsia" w:ascii="宋体" w:hAnsi="宋体" w:eastAsia="宋体" w:cs="宋体"/>
                <w:color w:val="000000"/>
                <w:szCs w:val="21"/>
                <w:highlight w:val="none"/>
              </w:rPr>
              <w:t>上传</w:t>
            </w:r>
            <w:r>
              <w:rPr>
                <w:rFonts w:hint="eastAsia" w:ascii="宋体" w:hAnsi="宋体" w:eastAsia="宋体" w:cs="宋体"/>
                <w:color w:val="000000"/>
                <w:szCs w:val="21"/>
                <w:highlight w:val="none"/>
                <w:lang w:eastAsia="zh-CN"/>
              </w:rPr>
              <w:t>）</w:t>
            </w:r>
            <w:r>
              <w:rPr>
                <w:rFonts w:hint="eastAsia" w:ascii="宋体" w:hAnsi="宋体" w:eastAsia="宋体" w:cs="宋体"/>
                <w:color w:val="000000"/>
                <w:szCs w:val="21"/>
                <w:highlight w:val="none"/>
              </w:rPr>
              <w:t>的</w:t>
            </w:r>
            <w:r>
              <w:rPr>
                <w:rFonts w:hint="eastAsia" w:ascii="宋体" w:hAnsi="宋体" w:eastAsia="宋体" w:cs="宋体"/>
                <w:color w:val="000000"/>
                <w:szCs w:val="21"/>
                <w:highlight w:val="none"/>
                <w:lang w:eastAsia="zh-CN"/>
              </w:rPr>
              <w:t>响应</w:t>
            </w:r>
            <w:r>
              <w:rPr>
                <w:rFonts w:hint="eastAsia" w:ascii="宋体" w:hAnsi="宋体" w:eastAsia="宋体" w:cs="宋体"/>
                <w:color w:val="000000"/>
                <w:szCs w:val="21"/>
                <w:highlight w:val="none"/>
              </w:rPr>
              <w:t>文件</w:t>
            </w:r>
            <w:r>
              <w:rPr>
                <w:rFonts w:hint="eastAsia" w:ascii="宋体" w:hAnsi="宋体" w:eastAsia="宋体" w:cs="宋体"/>
                <w:color w:val="000000"/>
                <w:szCs w:val="21"/>
                <w:highlight w:val="none"/>
                <w:lang w:val="en-US" w:eastAsia="zh-CN"/>
              </w:rPr>
              <w:t>广西政府采购</w:t>
            </w:r>
            <w:r>
              <w:rPr>
                <w:rFonts w:hint="eastAsia" w:ascii="宋体" w:hAnsi="宋体" w:eastAsia="宋体" w:cs="宋体"/>
                <w:color w:val="000000"/>
                <w:szCs w:val="21"/>
                <w:highlight w:val="none"/>
              </w:rPr>
              <w:t>云平台将予以拒收。</w:t>
            </w:r>
          </w:p>
        </w:tc>
      </w:tr>
      <w:tr w14:paraId="2D266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0" w:hRule="atLeast"/>
        </w:trPr>
        <w:tc>
          <w:tcPr>
            <w:tcW w:w="886" w:type="dxa"/>
            <w:noWrap w:val="0"/>
            <w:vAlign w:val="center"/>
          </w:tcPr>
          <w:p w14:paraId="52FC64BA">
            <w:pPr>
              <w:keepNext w:val="0"/>
              <w:keepLines w:val="0"/>
              <w:pageBreakBefore w:val="0"/>
              <w:widowControl w:val="0"/>
              <w:kinsoku/>
              <w:wordWrap/>
              <w:overflowPunct/>
              <w:topLinePunct w:val="0"/>
              <w:bidi w:val="0"/>
              <w:spacing w:line="440" w:lineRule="exact"/>
              <w:jc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22</w:t>
            </w:r>
          </w:p>
        </w:tc>
        <w:tc>
          <w:tcPr>
            <w:tcW w:w="1794" w:type="dxa"/>
            <w:noWrap w:val="0"/>
            <w:vAlign w:val="center"/>
          </w:tcPr>
          <w:p w14:paraId="2B5A35D3">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none"/>
              </w:rPr>
              <w:t>首次响应文件的退回</w:t>
            </w:r>
          </w:p>
        </w:tc>
        <w:tc>
          <w:tcPr>
            <w:tcW w:w="6895" w:type="dxa"/>
            <w:noWrap w:val="0"/>
            <w:vAlign w:val="center"/>
          </w:tcPr>
          <w:p w14:paraId="5ED7A51E">
            <w:pPr>
              <w:keepNext w:val="0"/>
              <w:keepLines w:val="0"/>
              <w:pageBreakBefore w:val="0"/>
              <w:widowControl w:val="0"/>
              <w:kinsoku/>
              <w:wordWrap/>
              <w:overflowPunct/>
              <w:topLinePunct w:val="0"/>
              <w:bidi w:val="0"/>
              <w:spacing w:line="440" w:lineRule="exact"/>
              <w:rPr>
                <w:rFonts w:hint="eastAsia" w:ascii="宋体" w:hAnsi="宋体" w:eastAsia="宋体" w:cs="宋体"/>
                <w:color w:val="000000"/>
                <w:sz w:val="21"/>
                <w:szCs w:val="21"/>
                <w:highlight w:val="yellow"/>
              </w:rPr>
            </w:pPr>
            <w:r>
              <w:rPr>
                <w:rFonts w:hint="eastAsia" w:ascii="宋体" w:hAnsi="宋体" w:cs="宋体"/>
                <w:color w:val="000000"/>
                <w:szCs w:val="21"/>
                <w:highlight w:val="none"/>
              </w:rPr>
              <w:t>在首次响应文件提交截止时间止提交响应文件的供应商不足3家时电子响应文件由代理机构在</w:t>
            </w:r>
            <w:r>
              <w:rPr>
                <w:rFonts w:hint="eastAsia" w:ascii="宋体" w:hAnsi="宋体" w:eastAsia="宋体" w:cs="宋体"/>
                <w:color w:val="000000"/>
                <w:szCs w:val="21"/>
                <w:highlight w:val="none"/>
                <w:lang w:val="en-US" w:eastAsia="zh-CN"/>
              </w:rPr>
              <w:t>广西政府采购</w:t>
            </w:r>
            <w:r>
              <w:rPr>
                <w:rFonts w:hint="eastAsia" w:ascii="宋体" w:hAnsi="宋体" w:eastAsia="宋体" w:cs="宋体"/>
                <w:color w:val="000000"/>
                <w:szCs w:val="21"/>
                <w:highlight w:val="none"/>
              </w:rPr>
              <w:t>云平台</w:t>
            </w:r>
            <w:r>
              <w:rPr>
                <w:rFonts w:hint="eastAsia" w:ascii="宋体" w:hAnsi="宋体" w:cs="宋体"/>
                <w:color w:val="000000"/>
                <w:szCs w:val="21"/>
                <w:highlight w:val="none"/>
              </w:rPr>
              <w:t>操作退回，除此之外采购人和采购代理机构对已提交的电子响应文件概不退回。</w:t>
            </w:r>
          </w:p>
        </w:tc>
      </w:tr>
      <w:tr w14:paraId="4421F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9" w:hRule="atLeast"/>
        </w:trPr>
        <w:tc>
          <w:tcPr>
            <w:tcW w:w="886" w:type="dxa"/>
            <w:vMerge w:val="restart"/>
            <w:noWrap w:val="0"/>
            <w:vAlign w:val="center"/>
          </w:tcPr>
          <w:p w14:paraId="6995AAB3">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26.2</w:t>
            </w:r>
          </w:p>
        </w:tc>
        <w:tc>
          <w:tcPr>
            <w:tcW w:w="1794" w:type="dxa"/>
            <w:noWrap w:val="0"/>
            <w:vAlign w:val="center"/>
          </w:tcPr>
          <w:p w14:paraId="1709792E">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负偏离要求</w:t>
            </w:r>
          </w:p>
        </w:tc>
        <w:tc>
          <w:tcPr>
            <w:tcW w:w="6895" w:type="dxa"/>
            <w:noWrap w:val="0"/>
            <w:vAlign w:val="center"/>
          </w:tcPr>
          <w:p w14:paraId="084490B3">
            <w:pPr>
              <w:keepNext w:val="0"/>
              <w:keepLines w:val="0"/>
              <w:pageBreakBefore w:val="0"/>
              <w:widowControl w:val="0"/>
              <w:kinsoku/>
              <w:wordWrap/>
              <w:overflowPunct/>
              <w:topLinePunct w:val="0"/>
              <w:bidi w:val="0"/>
              <w:snapToGrid w:val="0"/>
              <w:spacing w:line="440" w:lineRule="exac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商务条款评审中允许负偏离的条款数为</w:t>
            </w:r>
            <w:r>
              <w:rPr>
                <w:rFonts w:hint="eastAsia" w:ascii="宋体" w:hAnsi="宋体" w:eastAsia="宋体" w:cs="宋体"/>
                <w:color w:val="000000"/>
                <w:sz w:val="21"/>
                <w:szCs w:val="21"/>
                <w:highlight w:val="none"/>
                <w:u w:val="single"/>
              </w:rPr>
              <w:t xml:space="preserve"> 0 </w:t>
            </w:r>
            <w:r>
              <w:rPr>
                <w:rFonts w:hint="eastAsia" w:ascii="宋体" w:hAnsi="宋体" w:eastAsia="宋体" w:cs="宋体"/>
                <w:color w:val="000000"/>
                <w:sz w:val="21"/>
                <w:szCs w:val="21"/>
                <w:highlight w:val="none"/>
              </w:rPr>
              <w:t>项。</w:t>
            </w:r>
          </w:p>
          <w:p w14:paraId="656577FA">
            <w:pPr>
              <w:keepNext w:val="0"/>
              <w:keepLines w:val="0"/>
              <w:pageBreakBefore w:val="0"/>
              <w:widowControl w:val="0"/>
              <w:kinsoku/>
              <w:wordWrap/>
              <w:overflowPunct/>
              <w:topLinePunct w:val="0"/>
              <w:bidi w:val="0"/>
              <w:snapToGrid w:val="0"/>
              <w:spacing w:line="440" w:lineRule="exac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采购需求评审中允许负偏离的条款数为</w:t>
            </w:r>
            <w:r>
              <w:rPr>
                <w:rFonts w:hint="eastAsia" w:ascii="宋体" w:hAnsi="宋体" w:eastAsia="宋体" w:cs="宋体"/>
                <w:color w:val="000000"/>
                <w:sz w:val="21"/>
                <w:szCs w:val="21"/>
                <w:highlight w:val="none"/>
                <w:u w:val="single"/>
              </w:rPr>
              <w:t xml:space="preserve"> 0 </w:t>
            </w:r>
            <w:r>
              <w:rPr>
                <w:rFonts w:hint="eastAsia" w:ascii="宋体" w:hAnsi="宋体" w:eastAsia="宋体" w:cs="宋体"/>
                <w:color w:val="000000"/>
                <w:sz w:val="21"/>
                <w:szCs w:val="21"/>
                <w:highlight w:val="none"/>
              </w:rPr>
              <w:t>项。</w:t>
            </w:r>
          </w:p>
        </w:tc>
      </w:tr>
      <w:tr w14:paraId="67479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03" w:hRule="atLeast"/>
        </w:trPr>
        <w:tc>
          <w:tcPr>
            <w:tcW w:w="886" w:type="dxa"/>
            <w:vMerge w:val="continue"/>
            <w:noWrap w:val="0"/>
            <w:vAlign w:val="center"/>
          </w:tcPr>
          <w:p w14:paraId="7EE44B4E">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p>
        </w:tc>
        <w:tc>
          <w:tcPr>
            <w:tcW w:w="1794" w:type="dxa"/>
            <w:noWrap w:val="0"/>
            <w:vAlign w:val="center"/>
          </w:tcPr>
          <w:p w14:paraId="6221021C">
            <w:pPr>
              <w:keepNext w:val="0"/>
              <w:keepLines w:val="0"/>
              <w:pageBreakBefore w:val="0"/>
              <w:widowControl w:val="0"/>
              <w:kinsoku/>
              <w:wordWrap/>
              <w:overflowPunct/>
              <w:topLinePunct w:val="0"/>
              <w:bidi w:val="0"/>
              <w:snapToGrid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磋商的顺序</w:t>
            </w:r>
          </w:p>
        </w:tc>
        <w:tc>
          <w:tcPr>
            <w:tcW w:w="6895" w:type="dxa"/>
            <w:noWrap w:val="0"/>
            <w:vAlign w:val="center"/>
          </w:tcPr>
          <w:p w14:paraId="613AA1A3">
            <w:pPr>
              <w:keepNext w:val="0"/>
              <w:keepLines w:val="0"/>
              <w:pageBreakBefore w:val="0"/>
              <w:widowControl w:val="0"/>
              <w:kinsoku/>
              <w:wordWrap/>
              <w:overflowPunct/>
              <w:topLinePunct w:val="0"/>
              <w:bidi w:val="0"/>
              <w:spacing w:line="440" w:lineRule="exact"/>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按照提交首次响应文件的顺序，通知磋商时，若某供应商不在通知现场时，该供应商排序到最后磋商，按照签到的顺序由其下一位供应商先参与磋商。</w:t>
            </w:r>
          </w:p>
          <w:p w14:paraId="60DB2459">
            <w:pPr>
              <w:keepNext w:val="0"/>
              <w:keepLines w:val="0"/>
              <w:pageBreakBefore w:val="0"/>
              <w:widowControl w:val="0"/>
              <w:kinsoku/>
              <w:wordWrap/>
              <w:overflowPunct/>
              <w:topLinePunct w:val="0"/>
              <w:bidi w:val="0"/>
              <w:snapToGrid w:val="0"/>
              <w:spacing w:line="440" w:lineRule="exact"/>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随机排序。</w:t>
            </w:r>
          </w:p>
        </w:tc>
      </w:tr>
      <w:tr w14:paraId="62C47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6" w:type="dxa"/>
            <w:noWrap w:val="0"/>
            <w:vAlign w:val="center"/>
          </w:tcPr>
          <w:p w14:paraId="757F6F4D">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28</w:t>
            </w:r>
          </w:p>
        </w:tc>
        <w:tc>
          <w:tcPr>
            <w:tcW w:w="1794" w:type="dxa"/>
            <w:noWrap w:val="0"/>
            <w:vAlign w:val="center"/>
          </w:tcPr>
          <w:p w14:paraId="3AB878AD">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履约保证金</w:t>
            </w:r>
          </w:p>
        </w:tc>
        <w:tc>
          <w:tcPr>
            <w:tcW w:w="6895" w:type="dxa"/>
            <w:noWrap w:val="0"/>
            <w:vAlign w:val="center"/>
          </w:tcPr>
          <w:p w14:paraId="0C0E5B55">
            <w:pPr>
              <w:keepNext w:val="0"/>
              <w:keepLines w:val="0"/>
              <w:pageBreakBefore w:val="0"/>
              <w:widowControl w:val="0"/>
              <w:kinsoku/>
              <w:wordWrap/>
              <w:overflowPunct/>
              <w:topLinePunct w:val="0"/>
              <w:bidi w:val="0"/>
              <w:snapToGrid w:val="0"/>
              <w:spacing w:line="440" w:lineRule="exact"/>
              <w:rPr>
                <w:rFonts w:hint="eastAsia" w:ascii="宋体" w:hAnsi="宋体" w:eastAsia="宋体" w:cs="宋体"/>
                <w:color w:val="000000"/>
                <w:sz w:val="21"/>
                <w:szCs w:val="21"/>
                <w:highlight w:val="none"/>
                <w:lang w:eastAsia="zh-CN"/>
              </w:rPr>
            </w:pPr>
            <w:r>
              <w:rPr>
                <w:rFonts w:hint="eastAsia" w:ascii="宋体" w:hAnsi="宋体" w:eastAsia="宋体" w:cs="宋体"/>
                <w:color w:val="000000"/>
                <w:szCs w:val="21"/>
                <w:highlight w:val="none"/>
              </w:rPr>
              <w:t>本项目不收取履约保证金</w:t>
            </w:r>
            <w:r>
              <w:rPr>
                <w:rFonts w:hint="eastAsia" w:ascii="宋体" w:hAnsi="宋体" w:eastAsia="宋体" w:cs="宋体"/>
                <w:color w:val="000000"/>
                <w:szCs w:val="21"/>
                <w:highlight w:val="none"/>
                <w:lang w:eastAsia="zh-CN"/>
              </w:rPr>
              <w:t>。</w:t>
            </w:r>
            <w:r>
              <w:rPr>
                <w:rFonts w:hint="eastAsia" w:ascii="宋体" w:hAnsi="宋体" w:eastAsia="宋体" w:cs="宋体"/>
                <w:color w:val="000000"/>
                <w:szCs w:val="21"/>
                <w:highlight w:val="none"/>
              </w:rPr>
              <w:t xml:space="preserve"> </w:t>
            </w:r>
          </w:p>
        </w:tc>
      </w:tr>
      <w:tr w14:paraId="07A0B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6" w:type="dxa"/>
            <w:noWrap w:val="0"/>
            <w:vAlign w:val="center"/>
          </w:tcPr>
          <w:p w14:paraId="6BF7048C">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29.5</w:t>
            </w:r>
          </w:p>
        </w:tc>
        <w:tc>
          <w:tcPr>
            <w:tcW w:w="1794" w:type="dxa"/>
            <w:noWrap w:val="0"/>
            <w:vAlign w:val="center"/>
          </w:tcPr>
          <w:p w14:paraId="685E2159">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签订合同携带的材料</w:t>
            </w:r>
          </w:p>
        </w:tc>
        <w:tc>
          <w:tcPr>
            <w:tcW w:w="6895" w:type="dxa"/>
            <w:noWrap w:val="0"/>
            <w:vAlign w:val="center"/>
          </w:tcPr>
          <w:p w14:paraId="1ED71A00">
            <w:pPr>
              <w:keepNext w:val="0"/>
              <w:keepLines w:val="0"/>
              <w:pageBreakBefore w:val="0"/>
              <w:widowControl w:val="0"/>
              <w:kinsoku/>
              <w:wordWrap/>
              <w:overflowPunct/>
              <w:topLinePunct w:val="0"/>
              <w:bidi w:val="0"/>
              <w:snapToGrid w:val="0"/>
              <w:spacing w:line="440" w:lineRule="exac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使用的有效CA证书加盖单位电子公章</w:t>
            </w:r>
            <w:r>
              <w:rPr>
                <w:rFonts w:hint="eastAsia" w:ascii="宋体" w:hAnsi="宋体" w:eastAsia="宋体" w:cs="宋体"/>
                <w:color w:val="000000"/>
                <w:sz w:val="21"/>
                <w:szCs w:val="21"/>
                <w:highlight w:val="none"/>
                <w:lang w:eastAsia="zh-CN"/>
              </w:rPr>
              <w:t>。</w:t>
            </w:r>
          </w:p>
        </w:tc>
      </w:tr>
      <w:tr w14:paraId="1AEBE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6" w:type="dxa"/>
            <w:vMerge w:val="restart"/>
            <w:noWrap w:val="0"/>
            <w:vAlign w:val="center"/>
          </w:tcPr>
          <w:p w14:paraId="6FDD90FB">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31.2</w:t>
            </w:r>
          </w:p>
        </w:tc>
        <w:tc>
          <w:tcPr>
            <w:tcW w:w="1794" w:type="dxa"/>
            <w:noWrap w:val="0"/>
            <w:vAlign w:val="center"/>
          </w:tcPr>
          <w:p w14:paraId="2B8070F4">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接收质疑函方式</w:t>
            </w:r>
          </w:p>
        </w:tc>
        <w:tc>
          <w:tcPr>
            <w:tcW w:w="6895" w:type="dxa"/>
            <w:noWrap w:val="0"/>
            <w:vAlign w:val="center"/>
          </w:tcPr>
          <w:p w14:paraId="24E613B1">
            <w:pPr>
              <w:keepNext w:val="0"/>
              <w:keepLines w:val="0"/>
              <w:pageBreakBefore w:val="0"/>
              <w:widowControl w:val="0"/>
              <w:kinsoku/>
              <w:wordWrap/>
              <w:overflowPunct/>
              <w:topLinePunct w:val="0"/>
              <w:bidi w:val="0"/>
              <w:snapToGrid w:val="0"/>
              <w:spacing w:line="440" w:lineRule="exac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以书面形式</w:t>
            </w:r>
          </w:p>
        </w:tc>
      </w:tr>
      <w:tr w14:paraId="6D498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8" w:hRule="atLeast"/>
        </w:trPr>
        <w:tc>
          <w:tcPr>
            <w:tcW w:w="886" w:type="dxa"/>
            <w:vMerge w:val="continue"/>
            <w:noWrap w:val="0"/>
            <w:vAlign w:val="center"/>
          </w:tcPr>
          <w:p w14:paraId="06745C4C">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p>
        </w:tc>
        <w:tc>
          <w:tcPr>
            <w:tcW w:w="1794" w:type="dxa"/>
            <w:noWrap w:val="0"/>
            <w:vAlign w:val="center"/>
          </w:tcPr>
          <w:p w14:paraId="5318FDAF">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质疑联系部门及联系方式</w:t>
            </w:r>
          </w:p>
        </w:tc>
        <w:tc>
          <w:tcPr>
            <w:tcW w:w="6895" w:type="dxa"/>
            <w:noWrap w:val="0"/>
            <w:vAlign w:val="center"/>
          </w:tcPr>
          <w:p w14:paraId="228C4109">
            <w:pPr>
              <w:keepNext w:val="0"/>
              <w:keepLines w:val="0"/>
              <w:pageBreakBefore w:val="0"/>
              <w:widowControl w:val="0"/>
              <w:kinsoku/>
              <w:wordWrap/>
              <w:overflowPunct/>
              <w:topLinePunct w:val="0"/>
              <w:bidi w:val="0"/>
              <w:snapToGrid w:val="0"/>
              <w:spacing w:line="440" w:lineRule="exact"/>
              <w:rPr>
                <w:rFonts w:hint="eastAsia" w:ascii="宋体" w:hAnsi="宋体" w:eastAsia="宋体" w:cs="宋体"/>
                <w:color w:val="000000"/>
                <w:sz w:val="21"/>
                <w:szCs w:val="21"/>
                <w:highlight w:val="none"/>
                <w:u w:val="none"/>
              </w:rPr>
            </w:pPr>
            <w:r>
              <w:rPr>
                <w:rFonts w:hint="eastAsia" w:ascii="宋体" w:hAnsi="宋体" w:eastAsia="宋体" w:cs="宋体"/>
                <w:color w:val="000000"/>
                <w:sz w:val="21"/>
                <w:szCs w:val="21"/>
                <w:highlight w:val="none"/>
                <w:u w:val="none"/>
              </w:rPr>
              <w:t>（1）</w:t>
            </w:r>
            <w:r>
              <w:rPr>
                <w:rFonts w:hint="eastAsia" w:ascii="宋体" w:hAnsi="宋体" w:eastAsia="宋体" w:cs="宋体"/>
                <w:color w:val="000000"/>
                <w:sz w:val="21"/>
                <w:szCs w:val="21"/>
                <w:highlight w:val="none"/>
                <w:u w:val="none"/>
                <w:lang w:eastAsia="zh-CN"/>
              </w:rPr>
              <w:t>广西政投项目咨询有限公司</w:t>
            </w:r>
            <w:r>
              <w:rPr>
                <w:rFonts w:hint="eastAsia" w:ascii="宋体" w:hAnsi="宋体" w:eastAsia="宋体" w:cs="宋体"/>
                <w:color w:val="000000"/>
                <w:sz w:val="21"/>
                <w:szCs w:val="21"/>
                <w:highlight w:val="none"/>
                <w:u w:val="none"/>
              </w:rPr>
              <w:t>；</w:t>
            </w:r>
          </w:p>
          <w:p w14:paraId="2809FE94">
            <w:pPr>
              <w:keepNext w:val="0"/>
              <w:keepLines w:val="0"/>
              <w:pageBreakBefore w:val="0"/>
              <w:widowControl w:val="0"/>
              <w:kinsoku/>
              <w:wordWrap/>
              <w:overflowPunct/>
              <w:topLinePunct w:val="0"/>
              <w:bidi w:val="0"/>
              <w:snapToGrid w:val="0"/>
              <w:spacing w:line="440" w:lineRule="exact"/>
              <w:rPr>
                <w:rFonts w:hint="eastAsia" w:ascii="宋体" w:hAnsi="宋体" w:eastAsia="宋体" w:cs="宋体"/>
                <w:color w:val="000000"/>
                <w:sz w:val="21"/>
                <w:szCs w:val="21"/>
                <w:highlight w:val="none"/>
                <w:u w:val="none"/>
                <w:lang w:val="en-US" w:eastAsia="zh-CN"/>
              </w:rPr>
            </w:pPr>
            <w:r>
              <w:rPr>
                <w:rFonts w:hint="eastAsia" w:ascii="宋体" w:hAnsi="宋体" w:eastAsia="宋体" w:cs="宋体"/>
                <w:color w:val="000000"/>
                <w:sz w:val="21"/>
                <w:szCs w:val="21"/>
                <w:highlight w:val="none"/>
                <w:u w:val="none"/>
              </w:rPr>
              <w:t>联系电话：</w:t>
            </w:r>
            <w:r>
              <w:rPr>
                <w:rFonts w:hint="eastAsia" w:ascii="宋体" w:hAnsi="宋体" w:eastAsia="宋体" w:cs="宋体"/>
                <w:color w:val="000000"/>
                <w:sz w:val="21"/>
                <w:szCs w:val="21"/>
                <w:highlight w:val="none"/>
                <w:u w:val="none"/>
                <w:lang w:val="en-US" w:eastAsia="zh-CN"/>
              </w:rPr>
              <w:t>0771-5891216</w:t>
            </w:r>
          </w:p>
          <w:p w14:paraId="2280D380">
            <w:pPr>
              <w:keepNext w:val="0"/>
              <w:keepLines w:val="0"/>
              <w:pageBreakBefore w:val="0"/>
              <w:widowControl w:val="0"/>
              <w:kinsoku/>
              <w:wordWrap/>
              <w:overflowPunct/>
              <w:topLinePunct w:val="0"/>
              <w:bidi w:val="0"/>
              <w:snapToGrid w:val="0"/>
              <w:spacing w:line="440" w:lineRule="exact"/>
              <w:rPr>
                <w:rFonts w:hint="eastAsia" w:ascii="宋体" w:hAnsi="宋体" w:eastAsia="宋体" w:cs="宋体"/>
                <w:color w:val="000000"/>
                <w:sz w:val="21"/>
                <w:szCs w:val="21"/>
                <w:highlight w:val="none"/>
                <w:u w:val="none"/>
                <w:lang w:val="en-US" w:eastAsia="zh-CN"/>
              </w:rPr>
            </w:pPr>
            <w:r>
              <w:rPr>
                <w:rFonts w:hint="eastAsia" w:ascii="宋体" w:hAnsi="宋体" w:eastAsia="宋体" w:cs="宋体"/>
                <w:color w:val="000000"/>
                <w:sz w:val="21"/>
                <w:szCs w:val="21"/>
                <w:highlight w:val="none"/>
                <w:u w:val="none"/>
              </w:rPr>
              <w:t>通讯地址：</w:t>
            </w:r>
            <w:r>
              <w:rPr>
                <w:rFonts w:hint="eastAsia" w:ascii="宋体" w:hAnsi="宋体" w:eastAsia="宋体" w:cs="宋体"/>
                <w:color w:val="000000"/>
                <w:sz w:val="21"/>
                <w:szCs w:val="21"/>
                <w:highlight w:val="none"/>
                <w:u w:val="none"/>
                <w:lang w:val="en-US" w:eastAsia="zh-CN"/>
              </w:rPr>
              <w:t>中国（广西）自由贸易试验区南宁片区凯旋路16号广西裕达集团南宁五象总部基地广东大厦二十六层2602、2603、2605号房</w:t>
            </w:r>
          </w:p>
          <w:p w14:paraId="353CD56A">
            <w:pPr>
              <w:keepNext w:val="0"/>
              <w:keepLines w:val="0"/>
              <w:pageBreakBefore w:val="0"/>
              <w:widowControl w:val="0"/>
              <w:kinsoku/>
              <w:wordWrap/>
              <w:overflowPunct/>
              <w:topLinePunct w:val="0"/>
              <w:bidi w:val="0"/>
              <w:snapToGrid w:val="0"/>
              <w:spacing w:line="440" w:lineRule="exac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（2）</w:t>
            </w:r>
            <w:r>
              <w:rPr>
                <w:rFonts w:hint="eastAsia" w:ascii="宋体" w:hAnsi="宋体" w:eastAsia="宋体" w:cs="宋体"/>
                <w:color w:val="000000"/>
                <w:sz w:val="21"/>
                <w:szCs w:val="21"/>
                <w:highlight w:val="none"/>
                <w:lang w:val="en-US" w:eastAsia="zh-CN"/>
              </w:rPr>
              <w:t>防城港市防城区发展和改革局</w:t>
            </w:r>
            <w:r>
              <w:rPr>
                <w:rFonts w:hint="eastAsia" w:ascii="宋体" w:hAnsi="宋体" w:eastAsia="宋体" w:cs="宋体"/>
                <w:color w:val="000000"/>
                <w:sz w:val="21"/>
                <w:szCs w:val="21"/>
                <w:highlight w:val="none"/>
                <w:lang w:eastAsia="zh-CN"/>
              </w:rPr>
              <w:t>；</w:t>
            </w:r>
          </w:p>
          <w:p w14:paraId="639D0F9E">
            <w:pPr>
              <w:keepNext w:val="0"/>
              <w:keepLines w:val="0"/>
              <w:pageBreakBefore w:val="0"/>
              <w:widowControl w:val="0"/>
              <w:kinsoku/>
              <w:wordWrap/>
              <w:overflowPunct/>
              <w:topLinePunct w:val="0"/>
              <w:bidi w:val="0"/>
              <w:snapToGrid w:val="0"/>
              <w:spacing w:line="440" w:lineRule="exac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联系电话：0770-2035236</w:t>
            </w:r>
          </w:p>
          <w:p w14:paraId="5897ED0C">
            <w:pPr>
              <w:keepNext w:val="0"/>
              <w:keepLines w:val="0"/>
              <w:pageBreakBefore w:val="0"/>
              <w:widowControl w:val="0"/>
              <w:kinsoku/>
              <w:wordWrap/>
              <w:overflowPunct/>
              <w:topLinePunct w:val="0"/>
              <w:bidi w:val="0"/>
              <w:snapToGrid w:val="0"/>
              <w:spacing w:line="440" w:lineRule="exac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通讯地址：防城港市防城区防北路112号</w:t>
            </w:r>
          </w:p>
        </w:tc>
      </w:tr>
      <w:tr w14:paraId="457C0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6" w:type="dxa"/>
            <w:vMerge w:val="continue"/>
            <w:noWrap w:val="0"/>
            <w:vAlign w:val="center"/>
          </w:tcPr>
          <w:p w14:paraId="76BDBB3C">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p>
        </w:tc>
        <w:tc>
          <w:tcPr>
            <w:tcW w:w="1794" w:type="dxa"/>
            <w:noWrap w:val="0"/>
            <w:vAlign w:val="center"/>
          </w:tcPr>
          <w:p w14:paraId="176E1D03">
            <w:pPr>
              <w:keepNext w:val="0"/>
              <w:keepLines w:val="0"/>
              <w:pageBreakBefore w:val="0"/>
              <w:widowControl w:val="0"/>
              <w:kinsoku/>
              <w:wordWrap/>
              <w:overflowPunct/>
              <w:topLinePunct w:val="0"/>
              <w:autoSpaceDE/>
              <w:autoSpaceDN/>
              <w:bidi w:val="0"/>
              <w:adjustRightInd/>
              <w:spacing w:line="312"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现场提交质疑办理业务时间</w:t>
            </w:r>
          </w:p>
        </w:tc>
        <w:tc>
          <w:tcPr>
            <w:tcW w:w="6895" w:type="dxa"/>
            <w:noWrap w:val="0"/>
            <w:vAlign w:val="center"/>
          </w:tcPr>
          <w:p w14:paraId="60733C45">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质疑期内每个工作日</w:t>
            </w:r>
            <w:r>
              <w:rPr>
                <w:rFonts w:hint="eastAsia" w:ascii="宋体" w:hAnsi="宋体" w:eastAsia="宋体" w:cs="宋体"/>
                <w:color w:val="000000"/>
                <w:sz w:val="21"/>
                <w:szCs w:val="21"/>
                <w:highlight w:val="none"/>
                <w:u w:val="single"/>
              </w:rPr>
              <w:t>8</w:t>
            </w:r>
            <w:r>
              <w:rPr>
                <w:rFonts w:hint="eastAsia" w:ascii="宋体" w:hAnsi="宋体" w:eastAsia="宋体" w:cs="宋体"/>
                <w:color w:val="000000"/>
                <w:sz w:val="21"/>
                <w:szCs w:val="21"/>
                <w:highlight w:val="none"/>
              </w:rPr>
              <w:t>时</w:t>
            </w:r>
            <w:r>
              <w:rPr>
                <w:rFonts w:hint="eastAsia" w:ascii="宋体" w:hAnsi="宋体" w:eastAsia="宋体" w:cs="宋体"/>
                <w:color w:val="000000"/>
                <w:sz w:val="21"/>
                <w:szCs w:val="21"/>
                <w:highlight w:val="none"/>
                <w:u w:val="single"/>
              </w:rPr>
              <w:t>00</w:t>
            </w:r>
            <w:r>
              <w:rPr>
                <w:rFonts w:hint="eastAsia" w:ascii="宋体" w:hAnsi="宋体" w:eastAsia="宋体" w:cs="宋体"/>
                <w:color w:val="000000"/>
                <w:sz w:val="21"/>
                <w:szCs w:val="21"/>
                <w:highlight w:val="none"/>
              </w:rPr>
              <w:t>分到</w:t>
            </w:r>
            <w:r>
              <w:rPr>
                <w:rFonts w:hint="eastAsia" w:ascii="宋体" w:hAnsi="宋体" w:eastAsia="宋体" w:cs="宋体"/>
                <w:color w:val="000000"/>
                <w:sz w:val="21"/>
                <w:szCs w:val="21"/>
                <w:highlight w:val="none"/>
                <w:u w:val="single"/>
              </w:rPr>
              <w:t>12</w:t>
            </w:r>
            <w:r>
              <w:rPr>
                <w:rFonts w:hint="eastAsia" w:ascii="宋体" w:hAnsi="宋体" w:eastAsia="宋体" w:cs="宋体"/>
                <w:color w:val="000000"/>
                <w:sz w:val="21"/>
                <w:szCs w:val="21"/>
                <w:highlight w:val="none"/>
              </w:rPr>
              <w:t>时</w:t>
            </w:r>
            <w:r>
              <w:rPr>
                <w:rFonts w:hint="eastAsia" w:ascii="宋体" w:hAnsi="宋体" w:eastAsia="宋体" w:cs="宋体"/>
                <w:color w:val="000000"/>
                <w:sz w:val="21"/>
                <w:szCs w:val="21"/>
                <w:highlight w:val="none"/>
                <w:u w:val="single"/>
              </w:rPr>
              <w:t>00</w:t>
            </w:r>
            <w:r>
              <w:rPr>
                <w:rFonts w:hint="eastAsia" w:ascii="宋体" w:hAnsi="宋体" w:eastAsia="宋体" w:cs="宋体"/>
                <w:color w:val="000000"/>
                <w:sz w:val="21"/>
                <w:szCs w:val="21"/>
                <w:highlight w:val="none"/>
              </w:rPr>
              <w:t>分，</w:t>
            </w:r>
            <w:r>
              <w:rPr>
                <w:rFonts w:hint="eastAsia" w:ascii="宋体" w:hAnsi="宋体" w:eastAsia="宋体" w:cs="宋体"/>
                <w:color w:val="000000"/>
                <w:sz w:val="21"/>
                <w:szCs w:val="21"/>
                <w:highlight w:val="none"/>
                <w:u w:val="single"/>
              </w:rPr>
              <w:t>15</w:t>
            </w:r>
            <w:r>
              <w:rPr>
                <w:rFonts w:hint="eastAsia" w:ascii="宋体" w:hAnsi="宋体" w:eastAsia="宋体" w:cs="宋体"/>
                <w:color w:val="000000"/>
                <w:sz w:val="21"/>
                <w:szCs w:val="21"/>
                <w:highlight w:val="none"/>
              </w:rPr>
              <w:t>时</w:t>
            </w:r>
            <w:r>
              <w:rPr>
                <w:rFonts w:hint="eastAsia" w:ascii="宋体" w:hAnsi="宋体" w:eastAsia="宋体" w:cs="宋体"/>
                <w:color w:val="000000"/>
                <w:sz w:val="21"/>
                <w:szCs w:val="21"/>
                <w:highlight w:val="none"/>
                <w:u w:val="single"/>
              </w:rPr>
              <w:t>00</w:t>
            </w:r>
            <w:r>
              <w:rPr>
                <w:rFonts w:hint="eastAsia" w:ascii="宋体" w:hAnsi="宋体" w:eastAsia="宋体" w:cs="宋体"/>
                <w:color w:val="000000"/>
                <w:sz w:val="21"/>
                <w:szCs w:val="21"/>
                <w:highlight w:val="none"/>
              </w:rPr>
              <w:t>分到</w:t>
            </w:r>
            <w:r>
              <w:rPr>
                <w:rFonts w:hint="eastAsia" w:ascii="宋体" w:hAnsi="宋体" w:eastAsia="宋体" w:cs="宋体"/>
                <w:color w:val="000000"/>
                <w:sz w:val="21"/>
                <w:szCs w:val="21"/>
                <w:highlight w:val="none"/>
                <w:u w:val="single"/>
              </w:rPr>
              <w:t>18</w:t>
            </w:r>
            <w:r>
              <w:rPr>
                <w:rFonts w:hint="eastAsia" w:ascii="宋体" w:hAnsi="宋体" w:eastAsia="宋体" w:cs="宋体"/>
                <w:color w:val="000000"/>
                <w:sz w:val="21"/>
                <w:szCs w:val="21"/>
                <w:highlight w:val="none"/>
              </w:rPr>
              <w:t>时</w:t>
            </w:r>
            <w:r>
              <w:rPr>
                <w:rFonts w:hint="eastAsia" w:ascii="宋体" w:hAnsi="宋体" w:eastAsia="宋体" w:cs="宋体"/>
                <w:color w:val="000000"/>
                <w:sz w:val="21"/>
                <w:szCs w:val="21"/>
                <w:highlight w:val="none"/>
                <w:u w:val="single"/>
              </w:rPr>
              <w:t>00</w:t>
            </w:r>
            <w:r>
              <w:rPr>
                <w:rFonts w:hint="eastAsia" w:ascii="宋体" w:hAnsi="宋体" w:eastAsia="宋体" w:cs="宋体"/>
                <w:color w:val="000000"/>
                <w:sz w:val="21"/>
                <w:szCs w:val="21"/>
                <w:highlight w:val="none"/>
              </w:rPr>
              <w:t>分</w:t>
            </w:r>
          </w:p>
        </w:tc>
      </w:tr>
      <w:tr w14:paraId="313DB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0" w:hRule="atLeast"/>
        </w:trPr>
        <w:tc>
          <w:tcPr>
            <w:tcW w:w="886" w:type="dxa"/>
            <w:noWrap w:val="0"/>
            <w:vAlign w:val="center"/>
          </w:tcPr>
          <w:p w14:paraId="22D700AC">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31.6</w:t>
            </w:r>
          </w:p>
        </w:tc>
        <w:tc>
          <w:tcPr>
            <w:tcW w:w="1794" w:type="dxa"/>
            <w:noWrap w:val="0"/>
            <w:vAlign w:val="center"/>
          </w:tcPr>
          <w:p w14:paraId="07123F61">
            <w:pPr>
              <w:keepNext w:val="0"/>
              <w:keepLines w:val="0"/>
              <w:pageBreakBefore w:val="0"/>
              <w:widowControl w:val="0"/>
              <w:kinsoku/>
              <w:wordWrap/>
              <w:overflowPunct/>
              <w:topLinePunct w:val="0"/>
              <w:autoSpaceDE/>
              <w:autoSpaceDN/>
              <w:bidi w:val="0"/>
              <w:adjustRightInd/>
              <w:spacing w:line="312"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受理投诉方式</w:t>
            </w:r>
          </w:p>
        </w:tc>
        <w:tc>
          <w:tcPr>
            <w:tcW w:w="6895" w:type="dxa"/>
            <w:noWrap w:val="0"/>
            <w:vAlign w:val="center"/>
          </w:tcPr>
          <w:p w14:paraId="703C9B61">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1.受理方式：纸质方式受理，投诉书正、副本（经过质疑的事项才可投诉）。</w:t>
            </w:r>
          </w:p>
          <w:p w14:paraId="1596E86B">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2.邮寄地址：</w:t>
            </w:r>
          </w:p>
          <w:p w14:paraId="3A9FD77E">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名称：</w:t>
            </w:r>
            <w:r>
              <w:rPr>
                <w:rFonts w:hint="eastAsia" w:ascii="宋体" w:hAnsi="宋体" w:eastAsia="宋体" w:cs="宋体"/>
                <w:color w:val="000000"/>
                <w:sz w:val="21"/>
                <w:szCs w:val="21"/>
                <w:highlight w:val="none"/>
                <w:lang w:eastAsia="zh-CN"/>
              </w:rPr>
              <w:t>防城港市防城区政府采购中心</w:t>
            </w:r>
          </w:p>
          <w:p w14:paraId="411FEE3E">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rPr>
              <w:t>地址：</w:t>
            </w:r>
            <w:r>
              <w:rPr>
                <w:rFonts w:hint="eastAsia" w:ascii="宋体" w:hAnsi="宋体"/>
                <w:color w:val="auto"/>
                <w:szCs w:val="21"/>
              </w:rPr>
              <w:t>防城港市防城区大坡路5号</w:t>
            </w:r>
          </w:p>
          <w:p w14:paraId="599959AA">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sz w:val="21"/>
                <w:szCs w:val="21"/>
                <w:highlight w:val="none"/>
              </w:rPr>
              <w:t>联系电话：</w:t>
            </w:r>
            <w:r>
              <w:rPr>
                <w:rFonts w:hint="eastAsia" w:ascii="宋体" w:hAnsi="宋体" w:eastAsia="宋体" w:cs="Times New Roman"/>
                <w:color w:val="auto"/>
                <w:szCs w:val="21"/>
                <w:lang w:eastAsia="zh-CN"/>
              </w:rPr>
              <w:t>0770-2213681</w:t>
            </w:r>
          </w:p>
        </w:tc>
      </w:tr>
      <w:tr w14:paraId="76676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6" w:type="dxa"/>
            <w:noWrap w:val="0"/>
            <w:vAlign w:val="center"/>
          </w:tcPr>
          <w:p w14:paraId="36D7EA50">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33</w:t>
            </w:r>
          </w:p>
        </w:tc>
        <w:tc>
          <w:tcPr>
            <w:tcW w:w="1794" w:type="dxa"/>
            <w:noWrap w:val="0"/>
            <w:vAlign w:val="center"/>
          </w:tcPr>
          <w:p w14:paraId="49ECDC6F">
            <w:pPr>
              <w:keepNext w:val="0"/>
              <w:keepLines w:val="0"/>
              <w:pageBreakBefore w:val="0"/>
              <w:widowControl w:val="0"/>
              <w:kinsoku/>
              <w:wordWrap/>
              <w:overflowPunct/>
              <w:topLinePunct w:val="0"/>
              <w:autoSpaceDE/>
              <w:autoSpaceDN/>
              <w:bidi w:val="0"/>
              <w:adjustRightInd/>
              <w:spacing w:line="312" w:lineRule="auto"/>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采购代理费</w:t>
            </w:r>
          </w:p>
        </w:tc>
        <w:tc>
          <w:tcPr>
            <w:tcW w:w="6895" w:type="dxa"/>
            <w:noWrap w:val="0"/>
            <w:vAlign w:val="center"/>
          </w:tcPr>
          <w:p w14:paraId="1DC18D2C">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 是否收取采购代理费：</w:t>
            </w:r>
          </w:p>
          <w:p w14:paraId="7175B09C">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eastAsia="zh-CN"/>
              </w:rPr>
              <w:t>☑</w:t>
            </w:r>
            <w:r>
              <w:rPr>
                <w:rFonts w:hint="eastAsia" w:ascii="宋体" w:hAnsi="宋体" w:eastAsia="宋体" w:cs="宋体"/>
                <w:color w:val="000000"/>
                <w:kern w:val="0"/>
                <w:sz w:val="21"/>
                <w:szCs w:val="21"/>
                <w:highlight w:val="none"/>
              </w:rPr>
              <w:t>是    □ 否</w:t>
            </w:r>
          </w:p>
          <w:p w14:paraId="28D194E2">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2.采购代理费支付方式：</w:t>
            </w:r>
          </w:p>
          <w:p w14:paraId="23162B56">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eastAsia="zh-CN"/>
              </w:rPr>
              <w:t>☑</w:t>
            </w:r>
            <w:r>
              <w:rPr>
                <w:rFonts w:hint="eastAsia" w:ascii="宋体" w:hAnsi="宋体" w:eastAsia="宋体" w:cs="宋体"/>
                <w:color w:val="000000"/>
                <w:kern w:val="0"/>
                <w:sz w:val="21"/>
                <w:szCs w:val="21"/>
                <w:highlight w:val="none"/>
              </w:rPr>
              <w:t>本项目代理服务费由</w:t>
            </w:r>
            <w:r>
              <w:rPr>
                <w:rFonts w:hint="eastAsia" w:ascii="宋体" w:hAnsi="宋体" w:eastAsia="宋体" w:cs="宋体"/>
                <w:color w:val="000000"/>
                <w:kern w:val="0"/>
                <w:sz w:val="21"/>
                <w:szCs w:val="21"/>
                <w:highlight w:val="none"/>
                <w:u w:val="single"/>
              </w:rPr>
              <w:t>成交供应商</w:t>
            </w:r>
            <w:r>
              <w:rPr>
                <w:rFonts w:hint="eastAsia" w:ascii="宋体" w:hAnsi="宋体" w:eastAsia="宋体" w:cs="宋体"/>
                <w:color w:val="000000"/>
                <w:kern w:val="0"/>
                <w:sz w:val="21"/>
                <w:szCs w:val="21"/>
                <w:highlight w:val="none"/>
              </w:rPr>
              <w:t>领取成交通知书前，一次性向采购代理机构支付。</w:t>
            </w:r>
          </w:p>
          <w:p w14:paraId="7DD87A8F">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□采购人支付。</w:t>
            </w:r>
          </w:p>
          <w:p w14:paraId="2624A815">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3.采购代理费收取标准：</w:t>
            </w:r>
          </w:p>
          <w:p w14:paraId="420B550D">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宋体" w:hAnsi="宋体" w:eastAsia="宋体" w:cs="宋体"/>
                <w:color w:val="000000"/>
                <w:spacing w:val="0"/>
                <w:kern w:val="0"/>
                <w:sz w:val="21"/>
                <w:szCs w:val="21"/>
                <w:highlight w:val="none"/>
              </w:rPr>
            </w:pPr>
            <w:r>
              <w:rPr>
                <w:rFonts w:hint="eastAsia" w:ascii="宋体" w:hAnsi="宋体" w:eastAsia="宋体" w:cs="宋体"/>
                <w:color w:val="000000"/>
                <w:spacing w:val="0"/>
                <w:kern w:val="0"/>
                <w:sz w:val="21"/>
                <w:szCs w:val="21"/>
                <w:highlight w:val="none"/>
              </w:rPr>
              <w:t>参照原国家发展计划委员会《招标代理服务费管理暂行办法》 (计价格[2002]1980号)规定收费标准</w:t>
            </w:r>
            <w:r>
              <w:rPr>
                <w:rFonts w:hint="eastAsia" w:ascii="宋体" w:hAnsi="宋体" w:eastAsia="宋体" w:cs="宋体"/>
                <w:color w:val="000000"/>
                <w:spacing w:val="0"/>
                <w:kern w:val="0"/>
                <w:sz w:val="21"/>
                <w:szCs w:val="21"/>
                <w:highlight w:val="none"/>
                <w:lang w:eastAsia="zh-CN"/>
              </w:rPr>
              <w:t>（</w:t>
            </w:r>
            <w:r>
              <w:rPr>
                <w:rFonts w:hint="eastAsia" w:ascii="宋体" w:hAnsi="宋体" w:eastAsia="宋体" w:cs="宋体"/>
                <w:color w:val="000000"/>
                <w:spacing w:val="0"/>
                <w:kern w:val="0"/>
                <w:sz w:val="21"/>
                <w:szCs w:val="21"/>
                <w:highlight w:val="none"/>
                <w:lang w:val="en-US" w:eastAsia="zh-CN"/>
              </w:rPr>
              <w:t>工程</w:t>
            </w:r>
            <w:r>
              <w:rPr>
                <w:rFonts w:hint="eastAsia" w:ascii="宋体" w:hAnsi="宋体" w:cs="宋体"/>
                <w:color w:val="000000"/>
                <w:spacing w:val="0"/>
                <w:kern w:val="0"/>
                <w:sz w:val="21"/>
                <w:szCs w:val="21"/>
                <w:highlight w:val="none"/>
                <w:lang w:val="en-US" w:eastAsia="zh-CN"/>
              </w:rPr>
              <w:t>招标</w:t>
            </w:r>
            <w:r>
              <w:rPr>
                <w:rFonts w:hint="eastAsia" w:ascii="宋体" w:hAnsi="宋体" w:eastAsia="宋体" w:cs="宋体"/>
                <w:color w:val="000000"/>
                <w:spacing w:val="0"/>
                <w:kern w:val="0"/>
                <w:sz w:val="21"/>
                <w:szCs w:val="21"/>
                <w:highlight w:val="none"/>
                <w:lang w:eastAsia="zh-CN"/>
              </w:rPr>
              <w:t>）</w:t>
            </w:r>
            <w:r>
              <w:rPr>
                <w:rFonts w:hint="eastAsia" w:ascii="宋体" w:hAnsi="宋体" w:eastAsia="宋体" w:cs="宋体"/>
                <w:color w:val="000000"/>
                <w:spacing w:val="0"/>
                <w:kern w:val="0"/>
                <w:sz w:val="21"/>
                <w:szCs w:val="21"/>
                <w:highlight w:val="none"/>
              </w:rPr>
              <w:t>收取。</w:t>
            </w:r>
          </w:p>
          <w:p w14:paraId="3CAB3938">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4.采购代理费收取银行账户</w:t>
            </w:r>
          </w:p>
          <w:p w14:paraId="70FAD0BF">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rPr>
              <w:t>账户名称：</w:t>
            </w:r>
            <w:r>
              <w:rPr>
                <w:rFonts w:hint="eastAsia" w:ascii="宋体" w:hAnsi="宋体" w:eastAsia="宋体" w:cs="宋体"/>
                <w:color w:val="000000"/>
                <w:kern w:val="0"/>
                <w:sz w:val="21"/>
                <w:szCs w:val="21"/>
                <w:highlight w:val="none"/>
                <w:lang w:eastAsia="zh-CN"/>
              </w:rPr>
              <w:t>广西政投项目咨询有限公司</w:t>
            </w:r>
          </w:p>
          <w:p w14:paraId="18101C10">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开户银行：</w:t>
            </w:r>
            <w:r>
              <w:rPr>
                <w:rFonts w:hint="eastAsia" w:ascii="宋体" w:hAnsi="宋体" w:eastAsia="宋体" w:cs="宋体"/>
                <w:color w:val="000000"/>
                <w:kern w:val="0"/>
                <w:sz w:val="21"/>
                <w:szCs w:val="21"/>
                <w:highlight w:val="none"/>
                <w:lang w:val="en-US" w:eastAsia="zh-CN"/>
              </w:rPr>
              <w:t>中国工商银行股份有限公司南宁市民族支行</w:t>
            </w:r>
            <w:r>
              <w:rPr>
                <w:rFonts w:hint="eastAsia" w:ascii="宋体" w:hAnsi="宋体" w:eastAsia="宋体" w:cs="宋体"/>
                <w:color w:val="000000"/>
                <w:kern w:val="0"/>
                <w:sz w:val="21"/>
                <w:szCs w:val="21"/>
                <w:highlight w:val="none"/>
              </w:rPr>
              <w:t xml:space="preserve">      </w:t>
            </w:r>
          </w:p>
          <w:p w14:paraId="23F4A1A7">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银行账号：</w:t>
            </w:r>
            <w:r>
              <w:rPr>
                <w:rFonts w:hint="eastAsia" w:ascii="宋体" w:hAnsi="宋体" w:eastAsia="宋体" w:cs="宋体"/>
                <w:color w:val="000000"/>
                <w:kern w:val="0"/>
                <w:sz w:val="21"/>
                <w:szCs w:val="21"/>
                <w:highlight w:val="none"/>
                <w:lang w:val="en-US" w:eastAsia="zh-CN"/>
              </w:rPr>
              <w:t>2102109009300404148</w:t>
            </w:r>
          </w:p>
        </w:tc>
      </w:tr>
      <w:tr w14:paraId="4CD8D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6" w:type="dxa"/>
            <w:noWrap w:val="0"/>
            <w:vAlign w:val="center"/>
          </w:tcPr>
          <w:p w14:paraId="5FDD482D">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34.1</w:t>
            </w:r>
          </w:p>
        </w:tc>
        <w:tc>
          <w:tcPr>
            <w:tcW w:w="1794" w:type="dxa"/>
            <w:noWrap w:val="0"/>
            <w:vAlign w:val="center"/>
          </w:tcPr>
          <w:p w14:paraId="5518916B">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解释</w:t>
            </w:r>
          </w:p>
        </w:tc>
        <w:tc>
          <w:tcPr>
            <w:tcW w:w="6895" w:type="dxa"/>
            <w:noWrap w:val="0"/>
            <w:vAlign w:val="center"/>
          </w:tcPr>
          <w:p w14:paraId="30633A37">
            <w:pPr>
              <w:keepNext w:val="0"/>
              <w:keepLines w:val="0"/>
              <w:pageBreakBefore w:val="0"/>
              <w:widowControl w:val="0"/>
              <w:kinsoku/>
              <w:wordWrap/>
              <w:overflowPunct/>
              <w:topLinePunct w:val="0"/>
              <w:bidi w:val="0"/>
              <w:snapToGrid w:val="0"/>
              <w:spacing w:line="440" w:lineRule="exact"/>
              <w:rPr>
                <w:rFonts w:hint="eastAsia" w:ascii="宋体" w:hAnsi="宋体" w:eastAsia="宋体" w:cs="宋体"/>
                <w:b/>
                <w:color w:val="000000"/>
                <w:kern w:val="0"/>
                <w:sz w:val="21"/>
                <w:szCs w:val="21"/>
                <w:highlight w:val="none"/>
              </w:rPr>
            </w:pPr>
            <w:r>
              <w:rPr>
                <w:rFonts w:hint="eastAsia" w:ascii="宋体" w:hAnsi="宋体" w:eastAsia="宋体" w:cs="宋体"/>
                <w:b/>
                <w:color w:val="000000"/>
                <w:kern w:val="0"/>
                <w:sz w:val="21"/>
                <w:szCs w:val="21"/>
                <w:highlight w:val="none"/>
              </w:rPr>
              <w:t>解释权：</w:t>
            </w:r>
            <w:r>
              <w:rPr>
                <w:rFonts w:hint="eastAsia" w:ascii="宋体" w:hAnsi="宋体" w:eastAsia="宋体" w:cs="宋体"/>
                <w:color w:val="000000"/>
                <w:kern w:val="0"/>
                <w:sz w:val="21"/>
                <w:szCs w:val="21"/>
                <w:highlight w:val="none"/>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ascii="宋体" w:hAnsi="宋体" w:eastAsia="宋体" w:cs="宋体"/>
                <w:b/>
                <w:color w:val="000000"/>
                <w:kern w:val="0"/>
                <w:sz w:val="21"/>
                <w:szCs w:val="21"/>
                <w:highlight w:val="none"/>
              </w:rPr>
              <w:t>由采购人或者采购代理机构负责解释。</w:t>
            </w:r>
          </w:p>
          <w:p w14:paraId="45E6F849">
            <w:pPr>
              <w:keepNext w:val="0"/>
              <w:keepLines w:val="0"/>
              <w:pageBreakBefore w:val="0"/>
              <w:widowControl w:val="0"/>
              <w:kinsoku/>
              <w:wordWrap/>
              <w:overflowPunct/>
              <w:topLinePunct w:val="0"/>
              <w:bidi w:val="0"/>
              <w:snapToGrid w:val="0"/>
              <w:spacing w:line="440" w:lineRule="exact"/>
              <w:rPr>
                <w:rFonts w:hint="eastAsia" w:ascii="宋体" w:hAnsi="宋体" w:eastAsia="宋体" w:cs="宋体"/>
                <w:color w:val="000000"/>
                <w:sz w:val="21"/>
                <w:szCs w:val="21"/>
                <w:highlight w:val="none"/>
              </w:rPr>
            </w:pPr>
            <w:r>
              <w:rPr>
                <w:rFonts w:hint="eastAsia" w:ascii="宋体" w:hAnsi="宋体" w:eastAsia="宋体" w:cs="宋体"/>
                <w:b/>
                <w:color w:val="000000"/>
                <w:kern w:val="0"/>
                <w:sz w:val="21"/>
                <w:szCs w:val="21"/>
                <w:highlight w:val="none"/>
              </w:rPr>
              <w:t>法律责任：</w:t>
            </w:r>
            <w:r>
              <w:rPr>
                <w:rFonts w:hint="eastAsia" w:ascii="宋体" w:hAnsi="宋体" w:eastAsia="宋体" w:cs="宋体"/>
                <w:color w:val="000000"/>
                <w:kern w:val="0"/>
                <w:sz w:val="21"/>
                <w:szCs w:val="21"/>
                <w:highlight w:val="none"/>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tc>
      </w:tr>
      <w:tr w14:paraId="2815D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6" w:type="dxa"/>
            <w:noWrap w:val="0"/>
            <w:vAlign w:val="center"/>
          </w:tcPr>
          <w:p w14:paraId="368B935D">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34.2</w:t>
            </w:r>
          </w:p>
        </w:tc>
        <w:tc>
          <w:tcPr>
            <w:tcW w:w="1794" w:type="dxa"/>
            <w:noWrap w:val="0"/>
            <w:vAlign w:val="center"/>
          </w:tcPr>
          <w:p w14:paraId="01DBBB46">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其他</w:t>
            </w:r>
          </w:p>
        </w:tc>
        <w:tc>
          <w:tcPr>
            <w:tcW w:w="6895" w:type="dxa"/>
            <w:noWrap w:val="0"/>
            <w:vAlign w:val="center"/>
          </w:tcPr>
          <w:p w14:paraId="540455AD">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2915C527">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93E2513">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3.本磋商文件中描述供应商的“签字”是指供应商的法定代表人或者委托代理人亲自在文件规定签署处亲笔写上个人的名字的行为，私章、签字章、印鉴、影印等其他形式均不能代替亲笔签字。</w:t>
            </w:r>
          </w:p>
          <w:p w14:paraId="1F3E8483">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4.自然人竞标的，磋商文件规定盖公章处由自然人摁手指指印。</w:t>
            </w:r>
          </w:p>
          <w:p w14:paraId="2F7839F8">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5.本磋商文件所称的“以上”“以下”“以内”“届满”，包括本数；所称的“不满”“超过”“以外”，不包括本数。</w:t>
            </w:r>
          </w:p>
        </w:tc>
      </w:tr>
      <w:tr w14:paraId="1F082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86" w:type="dxa"/>
            <w:noWrap w:val="0"/>
            <w:vAlign w:val="center"/>
          </w:tcPr>
          <w:p w14:paraId="5A355442">
            <w:pPr>
              <w:keepNext w:val="0"/>
              <w:keepLines w:val="0"/>
              <w:pageBreakBefore w:val="0"/>
              <w:widowControl w:val="0"/>
              <w:kinsoku/>
              <w:wordWrap/>
              <w:overflowPunct/>
              <w:topLinePunct w:val="0"/>
              <w:bidi w:val="0"/>
              <w:spacing w:line="440" w:lineRule="exact"/>
              <w:jc w:val="center"/>
              <w:rPr>
                <w:rFonts w:hint="eastAsia" w:ascii="宋体" w:hAnsi="宋体" w:eastAsia="宋体" w:cs="宋体"/>
                <w:color w:val="000000"/>
                <w:sz w:val="21"/>
                <w:szCs w:val="21"/>
                <w:highlight w:val="none"/>
              </w:rPr>
            </w:pPr>
          </w:p>
        </w:tc>
        <w:tc>
          <w:tcPr>
            <w:tcW w:w="1794" w:type="dxa"/>
            <w:shd w:val="clear" w:color="auto" w:fill="auto"/>
            <w:noWrap w:val="0"/>
            <w:vAlign w:val="center"/>
          </w:tcPr>
          <w:p w14:paraId="7D30D1CB">
            <w:pPr>
              <w:pageBreakBefore w:val="0"/>
              <w:kinsoku/>
              <w:wordWrap/>
              <w:overflowPunct/>
              <w:topLinePunct w:val="0"/>
              <w:bidi w:val="0"/>
              <w:adjustRightInd/>
              <w:snapToGrid/>
              <w:spacing w:line="360" w:lineRule="auto"/>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sz w:val="21"/>
                <w:szCs w:val="21"/>
                <w:highlight w:val="none"/>
                <w:lang w:val="en-US" w:eastAsia="zh-CN"/>
              </w:rPr>
              <w:t>关于响应文件的其他要求</w:t>
            </w:r>
          </w:p>
        </w:tc>
        <w:tc>
          <w:tcPr>
            <w:tcW w:w="6895" w:type="dxa"/>
            <w:shd w:val="clear" w:color="auto" w:fill="auto"/>
            <w:noWrap w:val="0"/>
            <w:vAlign w:val="center"/>
          </w:tcPr>
          <w:p w14:paraId="6DA24CA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color w:val="auto"/>
                <w:sz w:val="21"/>
                <w:szCs w:val="21"/>
                <w:highlight w:val="none"/>
                <w:u w:val="none"/>
              </w:rPr>
            </w:pPr>
            <w:r>
              <w:rPr>
                <w:rFonts w:hint="eastAsia" w:ascii="宋体" w:hAnsi="宋体" w:eastAsia="宋体" w:cs="宋体"/>
                <w:b/>
                <w:color w:val="auto"/>
                <w:sz w:val="21"/>
                <w:szCs w:val="21"/>
                <w:highlight w:val="none"/>
                <w:u w:val="none"/>
              </w:rPr>
              <w:t>纸质</w:t>
            </w:r>
            <w:r>
              <w:rPr>
                <w:rFonts w:hint="eastAsia" w:ascii="宋体" w:hAnsi="宋体" w:eastAsia="宋体" w:cs="宋体"/>
                <w:b/>
                <w:color w:val="auto"/>
                <w:sz w:val="21"/>
                <w:szCs w:val="21"/>
                <w:highlight w:val="none"/>
                <w:u w:val="none"/>
                <w:lang w:val="en-US" w:eastAsia="zh-CN"/>
              </w:rPr>
              <w:t>响应</w:t>
            </w:r>
            <w:r>
              <w:rPr>
                <w:rFonts w:hint="eastAsia" w:ascii="宋体" w:hAnsi="宋体" w:eastAsia="宋体" w:cs="宋体"/>
                <w:b/>
                <w:color w:val="auto"/>
                <w:sz w:val="21"/>
                <w:szCs w:val="21"/>
                <w:highlight w:val="none"/>
                <w:u w:val="none"/>
              </w:rPr>
              <w:t>文</w:t>
            </w:r>
            <w:r>
              <w:rPr>
                <w:rFonts w:hint="eastAsia" w:ascii="宋体" w:hAnsi="宋体" w:eastAsia="宋体" w:cs="宋体"/>
                <w:b/>
                <w:color w:val="auto"/>
                <w:sz w:val="21"/>
                <w:szCs w:val="21"/>
                <w:highlight w:val="none"/>
                <w:u w:val="none"/>
                <w:lang w:val="en-US" w:eastAsia="zh-CN"/>
              </w:rPr>
              <w:t>件：成交供应商</w:t>
            </w:r>
            <w:r>
              <w:rPr>
                <w:rFonts w:hint="eastAsia" w:ascii="宋体" w:hAnsi="宋体" w:eastAsia="宋体" w:cs="宋体"/>
                <w:b/>
                <w:color w:val="auto"/>
                <w:sz w:val="21"/>
                <w:szCs w:val="21"/>
                <w:highlight w:val="none"/>
                <w:u w:val="none"/>
              </w:rPr>
              <w:t>在</w:t>
            </w:r>
            <w:r>
              <w:rPr>
                <w:rFonts w:hint="eastAsia" w:ascii="宋体" w:hAnsi="宋体" w:eastAsia="宋体" w:cs="宋体"/>
                <w:b/>
                <w:color w:val="auto"/>
                <w:sz w:val="21"/>
                <w:szCs w:val="21"/>
                <w:highlight w:val="none"/>
                <w:u w:val="none"/>
                <w:lang w:val="en-US" w:eastAsia="zh-CN"/>
              </w:rPr>
              <w:t>成交</w:t>
            </w:r>
            <w:r>
              <w:rPr>
                <w:rFonts w:hint="eastAsia" w:ascii="宋体" w:hAnsi="宋体" w:eastAsia="宋体" w:cs="宋体"/>
                <w:b/>
                <w:color w:val="auto"/>
                <w:sz w:val="21"/>
                <w:szCs w:val="21"/>
                <w:highlight w:val="none"/>
                <w:u w:val="none"/>
              </w:rPr>
              <w:t>通知书发出后5</w:t>
            </w:r>
            <w:r>
              <w:rPr>
                <w:rFonts w:hint="eastAsia" w:ascii="宋体" w:hAnsi="宋体" w:cs="宋体"/>
                <w:b/>
                <w:color w:val="auto"/>
                <w:sz w:val="21"/>
                <w:szCs w:val="21"/>
                <w:highlight w:val="none"/>
                <w:u w:val="none"/>
                <w:lang w:val="en-US" w:eastAsia="zh-CN"/>
              </w:rPr>
              <w:t>个工作日</w:t>
            </w:r>
            <w:r>
              <w:rPr>
                <w:rFonts w:hint="eastAsia" w:ascii="宋体" w:hAnsi="宋体" w:eastAsia="宋体" w:cs="宋体"/>
                <w:b/>
                <w:color w:val="auto"/>
                <w:sz w:val="21"/>
                <w:szCs w:val="21"/>
                <w:highlight w:val="none"/>
                <w:u w:val="none"/>
              </w:rPr>
              <w:t>内须提交</w:t>
            </w:r>
            <w:r>
              <w:rPr>
                <w:rFonts w:hint="eastAsia" w:ascii="宋体" w:hAnsi="宋体" w:cs="宋体"/>
                <w:b/>
                <w:color w:val="auto"/>
                <w:sz w:val="21"/>
                <w:szCs w:val="21"/>
                <w:highlight w:val="none"/>
                <w:u w:val="none"/>
                <w:lang w:val="en-US" w:eastAsia="zh-CN"/>
              </w:rPr>
              <w:t>2</w:t>
            </w:r>
            <w:r>
              <w:rPr>
                <w:rFonts w:hint="eastAsia" w:ascii="宋体" w:hAnsi="宋体" w:eastAsia="宋体" w:cs="宋体"/>
                <w:b/>
                <w:color w:val="auto"/>
                <w:sz w:val="21"/>
                <w:szCs w:val="21"/>
                <w:highlight w:val="none"/>
                <w:u w:val="none"/>
              </w:rPr>
              <w:t>套纸质版</w:t>
            </w:r>
            <w:r>
              <w:rPr>
                <w:rFonts w:hint="eastAsia" w:ascii="宋体" w:hAnsi="宋体" w:eastAsia="宋体" w:cs="宋体"/>
                <w:b/>
                <w:color w:val="auto"/>
                <w:sz w:val="21"/>
                <w:szCs w:val="21"/>
                <w:highlight w:val="none"/>
                <w:u w:val="none"/>
                <w:lang w:val="en-US" w:eastAsia="zh-CN"/>
              </w:rPr>
              <w:t>响应</w:t>
            </w:r>
            <w:r>
              <w:rPr>
                <w:rFonts w:hint="eastAsia" w:ascii="宋体" w:hAnsi="宋体" w:eastAsia="宋体" w:cs="宋体"/>
                <w:b/>
                <w:color w:val="auto"/>
                <w:sz w:val="21"/>
                <w:szCs w:val="21"/>
                <w:highlight w:val="none"/>
                <w:u w:val="none"/>
              </w:rPr>
              <w:t>文件（含</w:t>
            </w:r>
            <w:r>
              <w:rPr>
                <w:rFonts w:hint="eastAsia" w:ascii="宋体" w:hAnsi="宋体" w:eastAsia="宋体" w:cs="宋体"/>
                <w:b/>
                <w:color w:val="auto"/>
                <w:sz w:val="21"/>
                <w:szCs w:val="21"/>
                <w:highlight w:val="none"/>
                <w:u w:val="none"/>
                <w:lang w:val="en-US" w:eastAsia="zh-CN"/>
              </w:rPr>
              <w:t>首次</w:t>
            </w:r>
            <w:r>
              <w:rPr>
                <w:rFonts w:hint="eastAsia" w:ascii="宋体" w:hAnsi="宋体" w:eastAsia="宋体" w:cs="宋体"/>
                <w:b/>
                <w:color w:val="auto"/>
                <w:sz w:val="21"/>
                <w:szCs w:val="21"/>
                <w:highlight w:val="none"/>
                <w:u w:val="none"/>
              </w:rPr>
              <w:t>报价文件、资格证明文件、商务技术文件。按要求加盖公章）给</w:t>
            </w:r>
            <w:r>
              <w:rPr>
                <w:rFonts w:hint="eastAsia" w:ascii="宋体" w:hAnsi="宋体" w:eastAsia="宋体" w:cs="宋体"/>
                <w:b/>
                <w:color w:val="auto"/>
                <w:sz w:val="21"/>
                <w:szCs w:val="21"/>
                <w:highlight w:val="none"/>
                <w:u w:val="none"/>
                <w:lang w:val="en-US" w:eastAsia="zh-CN"/>
              </w:rPr>
              <w:t>采购</w:t>
            </w:r>
            <w:r>
              <w:rPr>
                <w:rFonts w:hint="eastAsia" w:ascii="宋体" w:hAnsi="宋体" w:eastAsia="宋体" w:cs="宋体"/>
                <w:b/>
                <w:color w:val="auto"/>
                <w:sz w:val="21"/>
                <w:szCs w:val="21"/>
                <w:highlight w:val="none"/>
                <w:u w:val="none"/>
              </w:rPr>
              <w:t>代理机构，一正</w:t>
            </w:r>
            <w:r>
              <w:rPr>
                <w:rFonts w:hint="eastAsia" w:ascii="宋体" w:hAnsi="宋体" w:cs="宋体"/>
                <w:b/>
                <w:color w:val="auto"/>
                <w:sz w:val="21"/>
                <w:szCs w:val="21"/>
                <w:highlight w:val="none"/>
                <w:u w:val="none"/>
                <w:lang w:val="en-US" w:eastAsia="zh-CN"/>
              </w:rPr>
              <w:t>一</w:t>
            </w:r>
            <w:r>
              <w:rPr>
                <w:rFonts w:hint="eastAsia" w:ascii="宋体" w:hAnsi="宋体" w:eastAsia="宋体" w:cs="宋体"/>
                <w:b/>
                <w:color w:val="auto"/>
                <w:sz w:val="21"/>
                <w:szCs w:val="21"/>
                <w:highlight w:val="none"/>
                <w:u w:val="none"/>
              </w:rPr>
              <w:t xml:space="preserve">副。 </w:t>
            </w:r>
          </w:p>
          <w:p w14:paraId="1294575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宋体" w:eastAsia="宋体" w:cs="宋体"/>
                <w:color w:val="auto"/>
                <w:kern w:val="2"/>
                <w:sz w:val="21"/>
                <w:szCs w:val="21"/>
                <w:highlight w:val="none"/>
                <w:lang w:val="en-US" w:eastAsia="zh-CN" w:bidi="ar-SA"/>
              </w:rPr>
            </w:pPr>
            <w:r>
              <w:rPr>
                <w:rFonts w:hint="eastAsia" w:ascii="宋体" w:hAnsi="宋体" w:eastAsia="宋体" w:cs="宋体"/>
                <w:b/>
                <w:color w:val="auto"/>
                <w:sz w:val="21"/>
                <w:szCs w:val="21"/>
                <w:highlight w:val="none"/>
                <w:u w:val="none"/>
              </w:rPr>
              <w:t>提交的纸质版</w:t>
            </w:r>
            <w:r>
              <w:rPr>
                <w:rFonts w:hint="eastAsia" w:ascii="宋体" w:hAnsi="宋体" w:eastAsia="宋体" w:cs="宋体"/>
                <w:b/>
                <w:color w:val="auto"/>
                <w:sz w:val="21"/>
                <w:szCs w:val="21"/>
                <w:highlight w:val="none"/>
                <w:u w:val="none"/>
                <w:lang w:val="en-US" w:eastAsia="zh-CN"/>
              </w:rPr>
              <w:t>响应</w:t>
            </w:r>
            <w:r>
              <w:rPr>
                <w:rFonts w:hint="eastAsia" w:ascii="宋体" w:hAnsi="宋体" w:eastAsia="宋体" w:cs="宋体"/>
                <w:b/>
                <w:color w:val="auto"/>
                <w:sz w:val="21"/>
                <w:szCs w:val="21"/>
                <w:highlight w:val="none"/>
                <w:u w:val="none"/>
              </w:rPr>
              <w:t>文件文本必须与其上传到</w:t>
            </w:r>
            <w:r>
              <w:rPr>
                <w:rFonts w:hint="eastAsia" w:ascii="宋体" w:hAnsi="宋体" w:eastAsia="宋体" w:cs="宋体"/>
                <w:b/>
                <w:color w:val="auto"/>
                <w:sz w:val="21"/>
                <w:szCs w:val="21"/>
                <w:highlight w:val="none"/>
                <w:u w:val="none"/>
                <w:lang w:eastAsia="zh-CN"/>
              </w:rPr>
              <w:t>广西政府采购云平台</w:t>
            </w:r>
            <w:r>
              <w:rPr>
                <w:rFonts w:hint="eastAsia" w:ascii="宋体" w:hAnsi="宋体" w:eastAsia="宋体" w:cs="宋体"/>
                <w:b/>
                <w:color w:val="auto"/>
                <w:sz w:val="21"/>
                <w:szCs w:val="21"/>
                <w:highlight w:val="none"/>
                <w:u w:val="none"/>
              </w:rPr>
              <w:t>系统的电子</w:t>
            </w:r>
            <w:r>
              <w:rPr>
                <w:rFonts w:hint="eastAsia" w:ascii="宋体" w:hAnsi="宋体" w:eastAsia="宋体" w:cs="宋体"/>
                <w:b/>
                <w:color w:val="auto"/>
                <w:sz w:val="21"/>
                <w:szCs w:val="21"/>
                <w:highlight w:val="none"/>
                <w:u w:val="none"/>
                <w:lang w:val="en-US" w:eastAsia="zh-CN"/>
              </w:rPr>
              <w:t>响应</w:t>
            </w:r>
            <w:r>
              <w:rPr>
                <w:rFonts w:hint="eastAsia" w:ascii="宋体" w:hAnsi="宋体" w:eastAsia="宋体" w:cs="宋体"/>
                <w:b/>
                <w:color w:val="auto"/>
                <w:sz w:val="21"/>
                <w:szCs w:val="21"/>
                <w:highlight w:val="none"/>
                <w:u w:val="none"/>
              </w:rPr>
              <w:t>文件内容一致，不允许有篡改。如项目验收时因所提供的纸质</w:t>
            </w:r>
            <w:r>
              <w:rPr>
                <w:rFonts w:hint="eastAsia" w:ascii="宋体" w:hAnsi="宋体" w:eastAsia="宋体" w:cs="宋体"/>
                <w:b/>
                <w:color w:val="auto"/>
                <w:sz w:val="21"/>
                <w:szCs w:val="21"/>
                <w:highlight w:val="none"/>
                <w:u w:val="none"/>
                <w:lang w:val="en-US" w:eastAsia="zh-CN"/>
              </w:rPr>
              <w:t>响应</w:t>
            </w:r>
            <w:r>
              <w:rPr>
                <w:rFonts w:hint="eastAsia" w:ascii="宋体" w:hAnsi="宋体" w:eastAsia="宋体" w:cs="宋体"/>
                <w:b/>
                <w:color w:val="auto"/>
                <w:sz w:val="21"/>
                <w:szCs w:val="21"/>
                <w:highlight w:val="none"/>
                <w:u w:val="none"/>
              </w:rPr>
              <w:t>文件与</w:t>
            </w:r>
            <w:r>
              <w:rPr>
                <w:rFonts w:hint="eastAsia" w:ascii="宋体" w:hAnsi="宋体" w:eastAsia="宋体" w:cs="宋体"/>
                <w:b/>
                <w:color w:val="auto"/>
                <w:sz w:val="21"/>
                <w:szCs w:val="21"/>
                <w:highlight w:val="none"/>
                <w:u w:val="none"/>
                <w:lang w:val="en-US" w:eastAsia="zh-CN"/>
              </w:rPr>
              <w:t>评审</w:t>
            </w:r>
            <w:r>
              <w:rPr>
                <w:rFonts w:hint="eastAsia" w:ascii="宋体" w:hAnsi="宋体" w:eastAsia="宋体" w:cs="宋体"/>
                <w:b/>
                <w:color w:val="auto"/>
                <w:sz w:val="21"/>
                <w:szCs w:val="21"/>
                <w:highlight w:val="none"/>
                <w:u w:val="none"/>
              </w:rPr>
              <w:t>的</w:t>
            </w:r>
            <w:r>
              <w:rPr>
                <w:rFonts w:hint="eastAsia" w:ascii="宋体" w:hAnsi="宋体" w:eastAsia="宋体" w:cs="宋体"/>
                <w:b/>
                <w:color w:val="auto"/>
                <w:sz w:val="21"/>
                <w:szCs w:val="21"/>
                <w:highlight w:val="none"/>
                <w:u w:val="none"/>
                <w:lang w:val="en-US" w:eastAsia="zh-CN"/>
              </w:rPr>
              <w:t>响应</w:t>
            </w:r>
            <w:r>
              <w:rPr>
                <w:rFonts w:hint="eastAsia" w:ascii="宋体" w:hAnsi="宋体" w:eastAsia="宋体" w:cs="宋体"/>
                <w:b/>
                <w:color w:val="auto"/>
                <w:sz w:val="21"/>
                <w:szCs w:val="21"/>
                <w:highlight w:val="none"/>
                <w:u w:val="none"/>
              </w:rPr>
              <w:t>文件不一致造成纠纷时，所有责任由</w:t>
            </w:r>
            <w:r>
              <w:rPr>
                <w:rFonts w:hint="eastAsia" w:ascii="宋体" w:hAnsi="宋体" w:eastAsia="宋体" w:cs="宋体"/>
                <w:b/>
                <w:color w:val="auto"/>
                <w:sz w:val="21"/>
                <w:szCs w:val="21"/>
                <w:highlight w:val="none"/>
                <w:u w:val="none"/>
                <w:lang w:val="en-US" w:eastAsia="zh-CN"/>
              </w:rPr>
              <w:t>成交供应商</w:t>
            </w:r>
            <w:r>
              <w:rPr>
                <w:rFonts w:hint="eastAsia" w:ascii="宋体" w:hAnsi="宋体" w:eastAsia="宋体" w:cs="宋体"/>
                <w:b/>
                <w:color w:val="auto"/>
                <w:sz w:val="21"/>
                <w:szCs w:val="21"/>
                <w:highlight w:val="none"/>
                <w:u w:val="none"/>
              </w:rPr>
              <w:t>承担。</w:t>
            </w:r>
          </w:p>
        </w:tc>
      </w:tr>
    </w:tbl>
    <w:p w14:paraId="5D4AB790">
      <w:pPr>
        <w:keepNext/>
        <w:keepLines/>
        <w:spacing w:before="260" w:after="260" w:line="420" w:lineRule="exact"/>
        <w:jc w:val="center"/>
        <w:outlineLvl w:val="1"/>
        <w:rPr>
          <w:rFonts w:ascii="宋体" w:hAnsi="宋体"/>
          <w:bCs/>
          <w:color w:val="000000"/>
          <w:sz w:val="32"/>
          <w:szCs w:val="32"/>
          <w:highlight w:val="none"/>
        </w:rPr>
      </w:pPr>
      <w:r>
        <w:rPr>
          <w:rFonts w:ascii="宋体" w:hAnsi="宋体"/>
          <w:bCs/>
          <w:color w:val="000000"/>
          <w:sz w:val="32"/>
          <w:szCs w:val="32"/>
          <w:highlight w:val="none"/>
        </w:rPr>
        <w:br w:type="page"/>
      </w:r>
      <w:bookmarkStart w:id="38" w:name="_Toc30518"/>
      <w:r>
        <w:rPr>
          <w:rFonts w:hint="eastAsia" w:ascii="宋体" w:hAnsi="宋体"/>
          <w:bCs/>
          <w:color w:val="000000"/>
          <w:sz w:val="32"/>
          <w:szCs w:val="32"/>
          <w:highlight w:val="none"/>
        </w:rPr>
        <w:t>第二节 供应商须知正文</w:t>
      </w:r>
      <w:bookmarkEnd w:id="38"/>
    </w:p>
    <w:p w14:paraId="6557C82D">
      <w:pPr>
        <w:keepNext/>
        <w:keepLines/>
        <w:spacing w:line="360" w:lineRule="auto"/>
        <w:ind w:firstLine="640" w:firstLineChars="200"/>
        <w:outlineLvl w:val="2"/>
        <w:rPr>
          <w:rFonts w:ascii="宋体" w:hAnsi="宋体"/>
          <w:bCs/>
          <w:color w:val="000000"/>
          <w:sz w:val="32"/>
          <w:szCs w:val="32"/>
          <w:highlight w:val="none"/>
        </w:rPr>
      </w:pPr>
      <w:bookmarkStart w:id="39" w:name="_Toc18937"/>
      <w:r>
        <w:rPr>
          <w:rFonts w:hint="eastAsia" w:ascii="宋体" w:hAnsi="宋体"/>
          <w:bCs/>
          <w:color w:val="000000"/>
          <w:sz w:val="32"/>
          <w:szCs w:val="32"/>
          <w:highlight w:val="none"/>
        </w:rPr>
        <w:t>一、总则</w:t>
      </w:r>
      <w:bookmarkEnd w:id="39"/>
    </w:p>
    <w:p w14:paraId="119416B9">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宋体" w:hAnsi="宋体" w:cs="宋体"/>
          <w:b/>
          <w:bCs/>
          <w:color w:val="000000"/>
          <w:sz w:val="24"/>
          <w:highlight w:val="none"/>
        </w:rPr>
      </w:pPr>
      <w:r>
        <w:rPr>
          <w:rFonts w:hint="eastAsia" w:ascii="宋体" w:hAnsi="宋体" w:cs="宋体"/>
          <w:b/>
          <w:bCs/>
          <w:color w:val="000000"/>
          <w:sz w:val="24"/>
          <w:highlight w:val="none"/>
        </w:rPr>
        <w:t>1.适用范围</w:t>
      </w:r>
    </w:p>
    <w:p w14:paraId="75053339">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1.1本项目采购人、采购代理机构、供应商、磋商小组的相关行为均受《中华人民共和国政府采购法》《中华人民共和国政府采购法实施条例》</w:t>
      </w:r>
      <w:r>
        <w:rPr>
          <w:rFonts w:hint="eastAsia" w:ascii="宋体" w:hAnsi="宋体"/>
          <w:color w:val="000000"/>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000000"/>
          <w:szCs w:val="21"/>
          <w:highlight w:val="none"/>
        </w:rPr>
        <w:t>及本项目本级和上级财政部门政府采购有关规定的约束和保护。</w:t>
      </w:r>
    </w:p>
    <w:p w14:paraId="3259C369">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1.2</w:t>
      </w:r>
      <w:r>
        <w:rPr>
          <w:rFonts w:hint="eastAsia" w:ascii="宋体" w:hAnsi="宋体" w:cs="宋体"/>
          <w:color w:val="000000"/>
          <w:spacing w:val="-6"/>
          <w:szCs w:val="21"/>
          <w:highlight w:val="none"/>
        </w:rPr>
        <w:t>本竞争性磋商文件（以下简称磋商文件）适用于本项目的所有采购程序和环节（法律、法规另有规定的，从其规定）。</w:t>
      </w:r>
    </w:p>
    <w:p w14:paraId="474908D8">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宋体" w:hAnsi="宋体" w:cs="宋体"/>
          <w:b/>
          <w:bCs/>
          <w:color w:val="000000"/>
          <w:sz w:val="24"/>
          <w:highlight w:val="none"/>
        </w:rPr>
      </w:pPr>
      <w:r>
        <w:rPr>
          <w:rFonts w:hint="eastAsia" w:ascii="宋体" w:hAnsi="宋体" w:cs="宋体"/>
          <w:b/>
          <w:bCs/>
          <w:color w:val="000000"/>
          <w:sz w:val="24"/>
          <w:highlight w:val="none"/>
        </w:rPr>
        <w:t>2.定义</w:t>
      </w:r>
    </w:p>
    <w:p w14:paraId="04978051">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2.1“采购人”是指依法进行政府采购的国家机关、事业单位、团体组织。</w:t>
      </w:r>
    </w:p>
    <w:p w14:paraId="103216F1">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u w:val="single"/>
        </w:rPr>
      </w:pPr>
      <w:r>
        <w:rPr>
          <w:rFonts w:hint="eastAsia" w:ascii="宋体" w:hAnsi="宋体" w:cs="宋体"/>
          <w:color w:val="000000"/>
          <w:szCs w:val="21"/>
          <w:highlight w:val="none"/>
        </w:rPr>
        <w:t>2.2“采购代理机构”是指政府采购集中采购机构和集中采购机构以外的采购代理机构。</w:t>
      </w:r>
    </w:p>
    <w:p w14:paraId="154D271F">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2.3“供应商”是指向采购人提供货物、工程或者服务的法人、其他组织或者自然人。</w:t>
      </w:r>
    </w:p>
    <w:p w14:paraId="62CAAF57">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olor w:val="000000"/>
          <w:szCs w:val="21"/>
          <w:highlight w:val="none"/>
        </w:rPr>
        <w:t>2.4“工程”是指政府采购工程。</w:t>
      </w:r>
    </w:p>
    <w:p w14:paraId="6676D2D5">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2.</w:t>
      </w:r>
      <w:r>
        <w:rPr>
          <w:rFonts w:ascii="宋体" w:hAnsi="宋体" w:cs="宋体"/>
          <w:color w:val="000000"/>
          <w:szCs w:val="21"/>
          <w:highlight w:val="none"/>
        </w:rPr>
        <w:t>5</w:t>
      </w:r>
      <w:r>
        <w:rPr>
          <w:rFonts w:hint="eastAsia" w:ascii="宋体" w:hAnsi="宋体" w:cs="宋体"/>
          <w:color w:val="000000"/>
          <w:szCs w:val="21"/>
          <w:highlight w:val="none"/>
        </w:rPr>
        <w:t>“竞标”是指供应商按照本项目竞争性磋商公告或者邀请函规定的方式获取磋商文件、提交响应文件并希望获得标的的行为。</w:t>
      </w:r>
    </w:p>
    <w:p w14:paraId="2B31B0E8">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2.</w:t>
      </w:r>
      <w:r>
        <w:rPr>
          <w:rFonts w:ascii="宋体" w:hAnsi="宋体" w:cs="宋体"/>
          <w:color w:val="000000"/>
          <w:szCs w:val="21"/>
          <w:highlight w:val="none"/>
        </w:rPr>
        <w:t>6</w:t>
      </w:r>
      <w:r>
        <w:rPr>
          <w:rFonts w:hint="eastAsia" w:ascii="宋体" w:hAnsi="宋体" w:cs="宋体"/>
          <w:color w:val="000000"/>
          <w:szCs w:val="21"/>
          <w:highlight w:val="none"/>
        </w:rPr>
        <w:t>“响应文件”</w:t>
      </w:r>
      <w:r>
        <w:rPr>
          <w:rFonts w:hint="eastAsia" w:ascii="宋体" w:hAnsi="宋体" w:cs="宋体"/>
          <w:color w:val="000000"/>
          <w:spacing w:val="-6"/>
          <w:szCs w:val="21"/>
          <w:highlight w:val="none"/>
        </w:rPr>
        <w:t>是指供应商根据本磋商文件要求，编制包含资格证明、商务技术</w:t>
      </w:r>
      <w:r>
        <w:rPr>
          <w:rFonts w:hint="eastAsia" w:ascii="宋体" w:hAnsi="宋体" w:cs="宋体"/>
          <w:color w:val="000000"/>
          <w:spacing w:val="-6"/>
          <w:szCs w:val="21"/>
          <w:highlight w:val="none"/>
          <w:lang w:eastAsia="zh-CN"/>
        </w:rPr>
        <w:t>、</w:t>
      </w:r>
      <w:r>
        <w:rPr>
          <w:rFonts w:hint="eastAsia" w:ascii="宋体" w:hAnsi="宋体" w:cs="宋体"/>
          <w:color w:val="000000"/>
          <w:spacing w:val="-6"/>
          <w:szCs w:val="21"/>
          <w:highlight w:val="none"/>
        </w:rPr>
        <w:t>报价等所有内容的文件。</w:t>
      </w:r>
    </w:p>
    <w:p w14:paraId="45B90E6E">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2.</w:t>
      </w:r>
      <w:r>
        <w:rPr>
          <w:rFonts w:ascii="宋体" w:hAnsi="宋体" w:cs="宋体"/>
          <w:color w:val="000000"/>
          <w:szCs w:val="21"/>
          <w:highlight w:val="none"/>
        </w:rPr>
        <w:t>7</w:t>
      </w:r>
      <w:r>
        <w:rPr>
          <w:rFonts w:hint="eastAsia" w:ascii="宋体" w:hAnsi="宋体" w:cs="宋体"/>
          <w:color w:val="000000"/>
          <w:szCs w:val="21"/>
          <w:highlight w:val="none"/>
        </w:rPr>
        <w:t>“实质性要求”是指磋商文件中已经指明不满足则响应文件按无效响应处理的条款，或者不能负偏离的条款，或者采购需求中带“▲”的条款。</w:t>
      </w:r>
    </w:p>
    <w:p w14:paraId="639D3A74">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2.</w:t>
      </w:r>
      <w:r>
        <w:rPr>
          <w:rFonts w:ascii="宋体" w:hAnsi="宋体" w:cs="宋体"/>
          <w:color w:val="000000"/>
          <w:szCs w:val="21"/>
          <w:highlight w:val="none"/>
        </w:rPr>
        <w:t>8</w:t>
      </w:r>
      <w:r>
        <w:rPr>
          <w:rFonts w:hint="eastAsia" w:ascii="宋体" w:hAnsi="宋体" w:cs="宋体"/>
          <w:color w:val="000000"/>
          <w:szCs w:val="21"/>
          <w:highlight w:val="none"/>
        </w:rPr>
        <w:t>“正偏离”是指响应文件对磋商文件“采购需求”中有关条款作出的响应优于条款要求并有利于采购人的情形。</w:t>
      </w:r>
    </w:p>
    <w:p w14:paraId="15EBA89F">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ascii="宋体" w:hAnsi="宋体" w:cs="宋体"/>
          <w:color w:val="000000"/>
          <w:szCs w:val="21"/>
          <w:highlight w:val="none"/>
        </w:rPr>
        <w:t>2.9</w:t>
      </w:r>
      <w:r>
        <w:rPr>
          <w:rFonts w:hint="eastAsia" w:ascii="宋体" w:hAnsi="宋体" w:cs="宋体"/>
          <w:color w:val="000000"/>
          <w:szCs w:val="21"/>
          <w:highlight w:val="none"/>
        </w:rPr>
        <w:t>“负偏离”是指响应文件对磋商文件“采购需求”中有关条款作出的响应不满足条款要求，导致采购人要求不能得到满足的情形。</w:t>
      </w:r>
    </w:p>
    <w:p w14:paraId="67908C15">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2.10“允许负偏离的条款”是指采购需求中的不属于“实质性要求”的条款。</w:t>
      </w:r>
    </w:p>
    <w:p w14:paraId="37129785">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2.</w:t>
      </w:r>
      <w:r>
        <w:rPr>
          <w:rFonts w:ascii="宋体" w:hAnsi="宋体" w:cs="宋体"/>
          <w:color w:val="000000"/>
          <w:szCs w:val="21"/>
          <w:highlight w:val="none"/>
        </w:rPr>
        <w:t>11</w:t>
      </w:r>
      <w:r>
        <w:rPr>
          <w:rFonts w:hint="eastAsia" w:ascii="宋体" w:hAnsi="宋体" w:cs="宋体"/>
          <w:color w:val="000000"/>
          <w:szCs w:val="21"/>
          <w:highlight w:val="none"/>
        </w:rPr>
        <w:t>“书面形式”是指合同书、信件和数据电文（包括电报、电传、传真、电子数据交换和电子邮件）等可以有形地表现所载内容的形式。</w:t>
      </w:r>
    </w:p>
    <w:p w14:paraId="54B1C87F">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2.</w:t>
      </w:r>
      <w:r>
        <w:rPr>
          <w:rFonts w:ascii="宋体" w:hAnsi="宋体" w:cs="宋体"/>
          <w:color w:val="000000"/>
          <w:szCs w:val="21"/>
          <w:highlight w:val="none"/>
        </w:rPr>
        <w:t>12</w:t>
      </w:r>
      <w:r>
        <w:rPr>
          <w:rFonts w:hint="eastAsia" w:ascii="宋体" w:hAnsi="宋体" w:cs="宋体"/>
          <w:color w:val="000000"/>
          <w:szCs w:val="21"/>
          <w:highlight w:val="none"/>
        </w:rPr>
        <w:t>“首次报价”是指供应商提交的首次响应文件中的报价。</w:t>
      </w:r>
    </w:p>
    <w:p w14:paraId="197253B5">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2.1</w:t>
      </w:r>
      <w:r>
        <w:rPr>
          <w:rFonts w:ascii="宋体" w:hAnsi="宋体" w:cs="宋体"/>
          <w:color w:val="000000"/>
          <w:szCs w:val="21"/>
          <w:highlight w:val="none"/>
        </w:rPr>
        <w:t>3</w:t>
      </w:r>
      <w:r>
        <w:rPr>
          <w:rFonts w:hint="eastAsia" w:ascii="宋体" w:hAnsi="宋体" w:cs="宋体"/>
          <w:color w:val="000000"/>
          <w:szCs w:val="21"/>
          <w:highlight w:val="none"/>
        </w:rPr>
        <w:t>“评审报价”是指供应商提交的最后报价并经修正（如有）和政策功能价格扣除（如有）后的价格。</w:t>
      </w:r>
    </w:p>
    <w:p w14:paraId="638AB6D3">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宋体" w:hAnsi="宋体" w:cs="宋体"/>
          <w:b/>
          <w:bCs/>
          <w:color w:val="000000"/>
          <w:sz w:val="24"/>
          <w:highlight w:val="none"/>
        </w:rPr>
      </w:pPr>
      <w:r>
        <w:rPr>
          <w:rFonts w:hint="eastAsia" w:ascii="宋体" w:hAnsi="宋体" w:cs="宋体"/>
          <w:b/>
          <w:bCs/>
          <w:color w:val="000000"/>
          <w:sz w:val="24"/>
          <w:highlight w:val="none"/>
        </w:rPr>
        <w:t>3.供应商的资格条件</w:t>
      </w:r>
    </w:p>
    <w:p w14:paraId="07FA0A9C">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lang w:val="en-US" w:eastAsia="zh-CN"/>
        </w:rPr>
        <w:t>3.1</w:t>
      </w:r>
      <w:r>
        <w:rPr>
          <w:rFonts w:hint="eastAsia" w:ascii="宋体" w:hAnsi="宋体" w:cs="宋体"/>
          <w:color w:val="000000"/>
          <w:szCs w:val="21"/>
          <w:highlight w:val="none"/>
        </w:rPr>
        <w:t>供应商的资格条件详见“供应商须知前附表”。</w:t>
      </w:r>
    </w:p>
    <w:p w14:paraId="0AAD6994">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宋体" w:hAnsi="宋体" w:cs="宋体"/>
          <w:b/>
          <w:bCs/>
          <w:color w:val="000000"/>
          <w:sz w:val="24"/>
          <w:highlight w:val="none"/>
        </w:rPr>
      </w:pPr>
      <w:r>
        <w:rPr>
          <w:rFonts w:hint="eastAsia" w:ascii="宋体" w:hAnsi="宋体" w:cs="宋体"/>
          <w:b/>
          <w:bCs/>
          <w:color w:val="000000"/>
          <w:sz w:val="24"/>
          <w:highlight w:val="none"/>
        </w:rPr>
        <w:t>4.磋商费用</w:t>
      </w:r>
    </w:p>
    <w:p w14:paraId="19D86040">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供应商应承担参与本次采购活动有关的所有费用，包括但不限于勘查现场、编制和提交响应文件、参加磋商与应答、签订合同等，不论竞标结果如何，均应自行承担。</w:t>
      </w:r>
    </w:p>
    <w:p w14:paraId="59AE0A39">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宋体" w:hAnsi="宋体" w:cs="宋体"/>
          <w:b/>
          <w:bCs/>
          <w:color w:val="000000"/>
          <w:sz w:val="24"/>
          <w:highlight w:val="none"/>
        </w:rPr>
      </w:pPr>
      <w:r>
        <w:rPr>
          <w:rFonts w:hint="eastAsia" w:ascii="宋体" w:hAnsi="宋体" w:cs="宋体"/>
          <w:b/>
          <w:bCs/>
          <w:color w:val="000000"/>
          <w:sz w:val="24"/>
          <w:highlight w:val="none"/>
        </w:rPr>
        <w:t>5.联合体竞标</w:t>
      </w:r>
    </w:p>
    <w:p w14:paraId="7F3D8DB2">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bCs/>
          <w:color w:val="000000"/>
          <w:szCs w:val="21"/>
          <w:highlight w:val="none"/>
        </w:rPr>
      </w:pPr>
      <w:r>
        <w:rPr>
          <w:rFonts w:hint="eastAsia" w:ascii="宋体" w:hAnsi="宋体" w:eastAsia="宋体" w:cs="Times New Roman"/>
          <w:bCs/>
          <w:color w:val="000000"/>
          <w:szCs w:val="21"/>
          <w:highlight w:val="none"/>
        </w:rPr>
        <w:t>5.1本项目是否接受联合体竞标，详见“供应商须知前附表”。</w:t>
      </w:r>
    </w:p>
    <w:p w14:paraId="2DA799DA">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Times New Roman"/>
          <w:bCs/>
          <w:color w:val="000000"/>
          <w:szCs w:val="21"/>
          <w:highlight w:val="none"/>
        </w:rPr>
      </w:pPr>
      <w:r>
        <w:rPr>
          <w:rFonts w:hint="eastAsia" w:ascii="宋体" w:hAnsi="宋体" w:eastAsia="宋体" w:cs="Times New Roman"/>
          <w:bCs/>
          <w:color w:val="000000"/>
          <w:szCs w:val="21"/>
          <w:highlight w:val="none"/>
        </w:rPr>
        <w:t>5.2如接受联合体竞标，联合体竞标要求详见“供应商须知前附表”。</w:t>
      </w:r>
    </w:p>
    <w:p w14:paraId="43C62C2F">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Cs w:val="21"/>
          <w:highlight w:val="none"/>
          <w:lang w:val="en-US" w:eastAsia="zh-CN"/>
        </w:rPr>
      </w:pPr>
      <w:r>
        <w:rPr>
          <w:rFonts w:hint="eastAsia" w:ascii="宋体" w:hAnsi="宋体" w:cs="宋体"/>
          <w:color w:val="000000"/>
          <w:szCs w:val="21"/>
          <w:highlight w:val="none"/>
        </w:rPr>
        <w:t>5.</w:t>
      </w:r>
      <w:r>
        <w:rPr>
          <w:rFonts w:hint="eastAsia" w:ascii="宋体" w:hAnsi="宋体" w:cs="宋体"/>
          <w:color w:val="000000"/>
          <w:szCs w:val="21"/>
          <w:highlight w:val="none"/>
          <w:lang w:val="en-US" w:eastAsia="zh-CN"/>
        </w:rPr>
        <w:t>3根据《政府采购促进中小企业发展管理办法》（财库[2020]46号）第九条、《广西壮族自治区财政厅关于持续优化政府采购营商环境推动高质量发展的通知》（桂财采〔2024〕55号）规定，接受大中型企业与小微企业组成联合体的采购项目，对于联合协议约定小微企业的合同份额占到合同总金额 30%以上的，采购人、采购代理机构应当对联合体的报价给予4%-6%（工程项目为 1%—2%）的扣除，用扣除后的价格参加评审。组成联合体的小微企业与联合体内其他企业、分包企业之间存在直接控股、管理关系的，不享受价格扣除优惠政策。</w:t>
      </w:r>
    </w:p>
    <w:p w14:paraId="4B5DE39F">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宋体" w:hAnsi="宋体" w:cs="宋体"/>
          <w:b/>
          <w:bCs/>
          <w:color w:val="000000"/>
          <w:sz w:val="24"/>
          <w:highlight w:val="none"/>
        </w:rPr>
      </w:pPr>
      <w:r>
        <w:rPr>
          <w:rFonts w:hint="eastAsia" w:ascii="宋体" w:hAnsi="宋体" w:cs="宋体"/>
          <w:b/>
          <w:bCs/>
          <w:color w:val="000000"/>
          <w:sz w:val="24"/>
          <w:highlight w:val="none"/>
        </w:rPr>
        <w:t xml:space="preserve">6.转包与分包             </w:t>
      </w:r>
    </w:p>
    <w:p w14:paraId="7520F57E">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6.1本项目是否允许分包详见“供应商须知前附表”，本项目不允许</w:t>
      </w:r>
      <w:r>
        <w:rPr>
          <w:rFonts w:hint="eastAsia" w:ascii="宋体" w:hAnsi="宋体" w:cs="宋体"/>
          <w:color w:val="000000"/>
          <w:szCs w:val="21"/>
          <w:highlight w:val="none"/>
          <w:lang w:val="en-US" w:eastAsia="zh-CN"/>
        </w:rPr>
        <w:t>违法</w:t>
      </w:r>
      <w:r>
        <w:rPr>
          <w:rFonts w:hint="eastAsia" w:ascii="宋体" w:hAnsi="宋体" w:cs="宋体"/>
          <w:color w:val="000000"/>
          <w:szCs w:val="21"/>
          <w:highlight w:val="none"/>
        </w:rPr>
        <w:t>分包。</w:t>
      </w:r>
    </w:p>
    <w:p w14:paraId="4EB581C8">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Cs w:val="21"/>
          <w:highlight w:val="none"/>
        </w:rPr>
      </w:pPr>
      <w:r>
        <w:rPr>
          <w:rFonts w:hint="eastAsia" w:ascii="宋体" w:hAnsi="宋体" w:cs="宋体"/>
          <w:color w:val="000000"/>
          <w:szCs w:val="21"/>
          <w:highlight w:val="none"/>
        </w:rPr>
        <w:t>6.2</w:t>
      </w:r>
      <w:bookmarkStart w:id="40" w:name="_Toc254970532"/>
      <w:bookmarkStart w:id="41" w:name="_Toc254970673"/>
      <w:r>
        <w:rPr>
          <w:rFonts w:hint="eastAsia" w:ascii="宋体" w:hAnsi="宋体" w:cs="宋体"/>
          <w:color w:val="000000"/>
          <w:szCs w:val="21"/>
          <w:highlight w:val="none"/>
        </w:rPr>
        <w:t>根据《政府采购促进中小企业发展管理办法》（财库[2020]46号）第九条规定，允许大中型企业向一家或者多家小微企业分包的采购项目，对于分包意向协议约定小微企业的合同份额占到合同总金额 30%以上的，采购人、采购代理机构应当对大中型企业的报价给予 2%-3%的扣除，用扣除后的价格参加评审。接受分包的小微企业与分包企业之间存在直接控股、管理关系的，不享受价格扣除优惠政策。</w:t>
      </w:r>
    </w:p>
    <w:p w14:paraId="1EC2A2F2">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宋体" w:hAnsi="宋体" w:cs="宋体"/>
          <w:b/>
          <w:bCs/>
          <w:color w:val="000000"/>
          <w:sz w:val="24"/>
          <w:highlight w:val="none"/>
        </w:rPr>
      </w:pPr>
      <w:r>
        <w:rPr>
          <w:rFonts w:hint="eastAsia" w:ascii="宋体" w:hAnsi="宋体" w:cs="宋体"/>
          <w:b/>
          <w:bCs/>
          <w:color w:val="000000"/>
          <w:sz w:val="24"/>
          <w:highlight w:val="none"/>
        </w:rPr>
        <w:t>7.特别说明</w:t>
      </w:r>
      <w:bookmarkEnd w:id="40"/>
      <w:bookmarkEnd w:id="41"/>
    </w:p>
    <w:p w14:paraId="1904A1E9">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bookmarkStart w:id="42" w:name="_8.1提供相同品牌产品且通过资格审查、符合性审查的不同投标人参加同一合"/>
      <w:bookmarkEnd w:id="42"/>
      <w:r>
        <w:rPr>
          <w:rFonts w:hint="eastAsia" w:ascii="宋体" w:hAnsi="宋体" w:cs="宋体"/>
          <w:color w:val="000000"/>
          <w:szCs w:val="21"/>
          <w:highlight w:val="none"/>
        </w:rPr>
        <w:t>7.</w:t>
      </w:r>
      <w:r>
        <w:rPr>
          <w:rFonts w:ascii="宋体" w:hAnsi="宋体" w:cs="宋体"/>
          <w:color w:val="000000"/>
          <w:szCs w:val="21"/>
          <w:highlight w:val="none"/>
        </w:rPr>
        <w:t>1</w:t>
      </w:r>
      <w:bookmarkStart w:id="43" w:name="_Hlk65832145"/>
      <w:r>
        <w:rPr>
          <w:rFonts w:hint="eastAsia" w:ascii="宋体" w:hAnsi="宋体"/>
          <w:color w:val="000000"/>
          <w:szCs w:val="21"/>
          <w:highlight w:val="none"/>
        </w:rPr>
        <w:t>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color w:val="000000"/>
          <w:szCs w:val="21"/>
          <w:highlight w:val="none"/>
        </w:rPr>
        <w:t>。</w:t>
      </w:r>
    </w:p>
    <w:bookmarkEnd w:id="43"/>
    <w:p w14:paraId="42B4D2F4">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7.</w:t>
      </w:r>
      <w:r>
        <w:rPr>
          <w:rFonts w:ascii="宋体" w:hAnsi="宋体" w:cs="宋体"/>
          <w:color w:val="000000"/>
          <w:szCs w:val="21"/>
          <w:highlight w:val="none"/>
        </w:rPr>
        <w:t>2</w:t>
      </w:r>
      <w:r>
        <w:rPr>
          <w:rFonts w:hint="eastAsia" w:ascii="宋体" w:hAnsi="宋体" w:cs="宋体"/>
          <w:color w:val="000000"/>
          <w:szCs w:val="21"/>
          <w:highlight w:val="none"/>
        </w:rPr>
        <w:t>供应商应仔细阅读磋商文件的所有内容，按照磋商文件的要求提交响应文件，并对所提供的全部资料的真实性承担法律责任。</w:t>
      </w:r>
    </w:p>
    <w:p w14:paraId="0477E66C">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7.</w:t>
      </w:r>
      <w:r>
        <w:rPr>
          <w:rFonts w:ascii="宋体" w:hAnsi="宋体" w:cs="宋体"/>
          <w:color w:val="000000"/>
          <w:szCs w:val="21"/>
          <w:highlight w:val="none"/>
        </w:rPr>
        <w:t>3</w:t>
      </w:r>
      <w:r>
        <w:rPr>
          <w:rFonts w:hint="eastAsia" w:ascii="宋体" w:hAnsi="宋体" w:cs="宋体"/>
          <w:color w:val="000000"/>
          <w:szCs w:val="21"/>
          <w:highlight w:val="none"/>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545F74E2">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7.</w:t>
      </w:r>
      <w:r>
        <w:rPr>
          <w:rFonts w:ascii="宋体" w:hAnsi="宋体" w:cs="宋体"/>
          <w:color w:val="000000"/>
          <w:szCs w:val="21"/>
          <w:highlight w:val="none"/>
        </w:rPr>
        <w:t>4</w:t>
      </w:r>
      <w:r>
        <w:rPr>
          <w:rFonts w:hint="eastAsia" w:ascii="宋体" w:hAnsi="宋体" w:cs="宋体"/>
          <w:color w:val="000000"/>
          <w:szCs w:val="21"/>
          <w:highlight w:val="none"/>
        </w:rPr>
        <w:t>在政府采购活动中，采购人员及相关人员与供应商有下列利害关系之一的，应当回避：</w:t>
      </w:r>
    </w:p>
    <w:p w14:paraId="4BBDB016">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（1）参加采购活动前3年内与供应商存在劳动关系；</w:t>
      </w:r>
    </w:p>
    <w:p w14:paraId="3EC45EBE">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（2）参加采购活动前3年内担任供应商的董事、监事；</w:t>
      </w:r>
    </w:p>
    <w:p w14:paraId="00F6D895">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（3）参加采购活动前3年内是供应商的控股股东或者实际控制人；</w:t>
      </w:r>
    </w:p>
    <w:p w14:paraId="562CE737">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（4）与供应商的法定代表人或者负责人有夫妻、直系血亲、三代以内旁系血亲或者近姻亲关系；</w:t>
      </w:r>
    </w:p>
    <w:p w14:paraId="6EE9ED3E">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（5）与供应商有其他可能影响政府采购活动公平、公正进行的关系。</w:t>
      </w:r>
    </w:p>
    <w:p w14:paraId="381E80F3">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7253F064">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7.</w:t>
      </w:r>
      <w:r>
        <w:rPr>
          <w:rFonts w:ascii="宋体" w:hAnsi="宋体" w:cs="宋体"/>
          <w:color w:val="000000"/>
          <w:szCs w:val="21"/>
          <w:highlight w:val="none"/>
        </w:rPr>
        <w:t>5</w:t>
      </w:r>
      <w:r>
        <w:rPr>
          <w:rFonts w:hint="eastAsia" w:ascii="宋体" w:hAnsi="宋体" w:cs="宋体"/>
          <w:color w:val="000000"/>
          <w:szCs w:val="21"/>
          <w:highlight w:val="none"/>
        </w:rPr>
        <w:t>有下列情形之一的视为供应商相互串通竞标，响应文件将被视为无效：</w:t>
      </w:r>
    </w:p>
    <w:p w14:paraId="628AA26C">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 xml:space="preserve">（1）不同供应商的响应文件由同一单位或者个人编制；或者不同供应商报名的IP地址一致的；或者编制响应文件硬件设备CPU编号、硬盘编号、网卡地址一致的情况； </w:t>
      </w:r>
    </w:p>
    <w:p w14:paraId="61E6CEF4">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（2）不同供应商委托同一单位或者个人办理竞标事宜；</w:t>
      </w:r>
    </w:p>
    <w:p w14:paraId="5CE22397">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（3）不同的供应商的响应文件载明的项目管理员为同一个人；</w:t>
      </w:r>
    </w:p>
    <w:p w14:paraId="0303EAFE">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（4）不同供应商的响应文件异常一致或者报价呈规律性差异；</w:t>
      </w:r>
    </w:p>
    <w:p w14:paraId="4EFC0D24">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（5）不同供应商的响应文件相互混装；</w:t>
      </w:r>
    </w:p>
    <w:p w14:paraId="0FF9BCE7">
      <w:pPr>
        <w:keepNext w:val="0"/>
        <w:keepLines w:val="0"/>
        <w:pageBreakBefore w:val="0"/>
        <w:widowControl w:val="0"/>
        <w:tabs>
          <w:tab w:val="left" w:pos="6931"/>
        </w:tabs>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（6）不同供应商的磋商保证金从同一单位或者个人账户转出。</w:t>
      </w:r>
      <w:r>
        <w:rPr>
          <w:rFonts w:ascii="宋体" w:hAnsi="宋体" w:cs="宋体"/>
          <w:color w:val="000000"/>
          <w:szCs w:val="21"/>
          <w:highlight w:val="none"/>
        </w:rPr>
        <w:tab/>
      </w:r>
    </w:p>
    <w:p w14:paraId="7A7BD903">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7.</w:t>
      </w:r>
      <w:r>
        <w:rPr>
          <w:rFonts w:ascii="宋体" w:hAnsi="宋体" w:cs="宋体"/>
          <w:color w:val="000000"/>
          <w:szCs w:val="21"/>
          <w:highlight w:val="none"/>
        </w:rPr>
        <w:t>6</w:t>
      </w:r>
      <w:r>
        <w:rPr>
          <w:rFonts w:hint="eastAsia" w:ascii="宋体" w:hAnsi="宋体" w:cs="宋体"/>
          <w:color w:val="000000"/>
          <w:szCs w:val="21"/>
          <w:highlight w:val="none"/>
        </w:rPr>
        <w:t>供应商有下列情形之一的，属于恶意串通行为，将报同级监督管理部门：</w:t>
      </w:r>
    </w:p>
    <w:p w14:paraId="4748A7D2">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（1）供应商直接或者间接从采购人或者采购代理机构处获得其他供应商的相关信息并修改其响应文件；</w:t>
      </w:r>
    </w:p>
    <w:p w14:paraId="68DD76EF">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（2）供应商按照采购人或者采购代理机构的授意撤换、修改响应文件；</w:t>
      </w:r>
    </w:p>
    <w:p w14:paraId="58AB159F">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（3）供应商之间协商报价、技术方案等响应文件或者响应文件的实质性内容；</w:t>
      </w:r>
    </w:p>
    <w:p w14:paraId="1BEEAC0F">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（4）属于同一集团、协会、商会等组织成员的供应商按照该组织要求协同参加政府采购活动；</w:t>
      </w:r>
    </w:p>
    <w:p w14:paraId="11CC5CB3">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（5）供应商之间事先约定一致抬高或者压低报价，或者在政府采购活动中事先约定轮流以高价位或者低价位成交，或者事先约定由某一特定供应商成交，然后再参加竞标；</w:t>
      </w:r>
    </w:p>
    <w:p w14:paraId="52E112E7">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（6）供应商之间商定部分供应商放弃参加政府采购活动或者放弃成交；</w:t>
      </w:r>
    </w:p>
    <w:p w14:paraId="64270F73">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（7）供应商与采购人或者采购代理机构之间、供应商相互之间，为谋求特定供应商成交或者排斥其他供应商的其他串通行为。</w:t>
      </w:r>
    </w:p>
    <w:p w14:paraId="6F2D4A38">
      <w:pPr>
        <w:keepNext/>
        <w:keepLines/>
        <w:spacing w:line="360" w:lineRule="auto"/>
        <w:ind w:firstLine="640" w:firstLineChars="200"/>
        <w:outlineLvl w:val="2"/>
        <w:rPr>
          <w:rFonts w:ascii="宋体" w:hAnsi="宋体"/>
          <w:color w:val="000000"/>
          <w:sz w:val="32"/>
          <w:szCs w:val="32"/>
          <w:highlight w:val="none"/>
        </w:rPr>
      </w:pPr>
      <w:bookmarkStart w:id="44" w:name="_Toc254970534"/>
      <w:bookmarkStart w:id="45" w:name="_Toc254970675"/>
      <w:bookmarkStart w:id="46" w:name="_Toc20029"/>
      <w:r>
        <w:rPr>
          <w:rFonts w:hint="eastAsia" w:ascii="宋体" w:hAnsi="宋体"/>
          <w:color w:val="000000"/>
          <w:sz w:val="32"/>
          <w:szCs w:val="32"/>
          <w:highlight w:val="none"/>
        </w:rPr>
        <w:t>二、磋商文件</w:t>
      </w:r>
      <w:bookmarkEnd w:id="44"/>
      <w:bookmarkEnd w:id="45"/>
      <w:bookmarkEnd w:id="46"/>
    </w:p>
    <w:p w14:paraId="7AD1F48F">
      <w:pPr>
        <w:spacing w:line="440" w:lineRule="exact"/>
        <w:ind w:firstLine="482" w:firstLineChars="200"/>
        <w:rPr>
          <w:rFonts w:ascii="宋体" w:hAnsi="宋体" w:cs="宋体"/>
          <w:b/>
          <w:bCs/>
          <w:color w:val="000000"/>
          <w:sz w:val="24"/>
          <w:highlight w:val="none"/>
        </w:rPr>
      </w:pPr>
      <w:r>
        <w:rPr>
          <w:rFonts w:hint="eastAsia" w:ascii="宋体" w:hAnsi="宋体" w:cs="宋体"/>
          <w:b/>
          <w:bCs/>
          <w:color w:val="000000"/>
          <w:sz w:val="24"/>
          <w:highlight w:val="none"/>
        </w:rPr>
        <w:t>8.磋商文件的构成</w:t>
      </w:r>
    </w:p>
    <w:p w14:paraId="29172F14">
      <w:pPr>
        <w:spacing w:line="44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第一章 竞争性磋商公告；</w:t>
      </w:r>
    </w:p>
    <w:p w14:paraId="49FB8D6F">
      <w:pPr>
        <w:spacing w:line="44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第二章 采购需求；</w:t>
      </w:r>
    </w:p>
    <w:p w14:paraId="7740CB59">
      <w:pPr>
        <w:spacing w:line="44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 xml:space="preserve">第三章 供应商须知； </w:t>
      </w:r>
    </w:p>
    <w:p w14:paraId="240D3B4E">
      <w:pPr>
        <w:spacing w:line="44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第四章 评审程序、评审方法和评审标准；</w:t>
      </w:r>
    </w:p>
    <w:p w14:paraId="58B5D963">
      <w:pPr>
        <w:spacing w:line="44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第五章 响应文件格式；</w:t>
      </w:r>
    </w:p>
    <w:p w14:paraId="3D908077">
      <w:pPr>
        <w:spacing w:line="44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第六章 合同文本；</w:t>
      </w:r>
    </w:p>
    <w:p w14:paraId="6F4C5F7D">
      <w:pPr>
        <w:spacing w:line="440" w:lineRule="exact"/>
        <w:ind w:firstLine="420" w:firstLineChars="200"/>
        <w:jc w:val="left"/>
        <w:rPr>
          <w:rFonts w:hint="default" w:ascii="宋体" w:hAnsi="宋体" w:eastAsia="宋体"/>
          <w:color w:val="000000"/>
          <w:szCs w:val="21"/>
          <w:highlight w:val="none"/>
          <w:lang w:val="en-US" w:eastAsia="zh-CN"/>
        </w:rPr>
      </w:pPr>
      <w:r>
        <w:rPr>
          <w:rFonts w:hint="eastAsia" w:ascii="宋体" w:hAnsi="宋体"/>
          <w:color w:val="000000"/>
          <w:szCs w:val="21"/>
          <w:highlight w:val="none"/>
          <w:lang w:val="en-US" w:eastAsia="zh-CN"/>
        </w:rPr>
        <w:t>第七章 图纸和招标控制价；</w:t>
      </w:r>
    </w:p>
    <w:p w14:paraId="2FCA5F96">
      <w:pPr>
        <w:spacing w:line="44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第</w:t>
      </w:r>
      <w:r>
        <w:rPr>
          <w:rFonts w:hint="eastAsia" w:ascii="宋体" w:hAnsi="宋体"/>
          <w:color w:val="000000"/>
          <w:szCs w:val="21"/>
          <w:highlight w:val="none"/>
          <w:lang w:val="en-US" w:eastAsia="zh-CN"/>
        </w:rPr>
        <w:t>八</w:t>
      </w:r>
      <w:r>
        <w:rPr>
          <w:rFonts w:hint="eastAsia" w:ascii="宋体" w:hAnsi="宋体"/>
          <w:color w:val="000000"/>
          <w:szCs w:val="21"/>
          <w:highlight w:val="none"/>
        </w:rPr>
        <w:t>章 质疑、投诉材料格式。</w:t>
      </w:r>
    </w:p>
    <w:p w14:paraId="3633A288">
      <w:pPr>
        <w:spacing w:line="440" w:lineRule="exact"/>
        <w:ind w:firstLine="482" w:firstLineChars="200"/>
        <w:rPr>
          <w:rFonts w:ascii="宋体" w:hAnsi="宋体" w:cs="宋体"/>
          <w:b/>
          <w:bCs/>
          <w:color w:val="000000"/>
          <w:sz w:val="24"/>
          <w:highlight w:val="none"/>
        </w:rPr>
      </w:pPr>
      <w:r>
        <w:rPr>
          <w:rFonts w:hint="eastAsia" w:ascii="宋体" w:hAnsi="宋体" w:cs="宋体"/>
          <w:b/>
          <w:bCs/>
          <w:color w:val="000000"/>
          <w:sz w:val="24"/>
          <w:highlight w:val="none"/>
        </w:rPr>
        <w:t>9.供应商的询问</w:t>
      </w:r>
    </w:p>
    <w:p w14:paraId="5C50105C">
      <w:pPr>
        <w:spacing w:line="440" w:lineRule="exact"/>
        <w:ind w:firstLine="420" w:firstLineChars="200"/>
        <w:rPr>
          <w:rFonts w:ascii="宋体" w:hAnsi="宋体"/>
          <w:color w:val="000000"/>
          <w:szCs w:val="21"/>
          <w:highlight w:val="none"/>
        </w:rPr>
      </w:pPr>
      <w:r>
        <w:rPr>
          <w:rFonts w:hint="eastAsia" w:ascii="宋体" w:hAnsi="宋体"/>
          <w:color w:val="000000"/>
          <w:szCs w:val="21"/>
          <w:highlight w:val="none"/>
        </w:rPr>
        <w:t>供应商应认真阅读磋商文件的采购需求，如供应商对磋商文件有疑问的，如要求采购人作出澄清或者修改的，供应商应在</w:t>
      </w:r>
      <w:r>
        <w:rPr>
          <w:rFonts w:ascii="宋体" w:hAnsi="宋体"/>
          <w:color w:val="000000"/>
          <w:szCs w:val="21"/>
          <w:highlight w:val="none"/>
        </w:rPr>
        <w:t>提交首次响应文件截止之日前</w:t>
      </w:r>
      <w:r>
        <w:rPr>
          <w:rFonts w:hint="eastAsia" w:ascii="宋体" w:hAnsi="宋体"/>
          <w:color w:val="000000"/>
          <w:szCs w:val="21"/>
          <w:highlight w:val="none"/>
        </w:rPr>
        <w:t>，以书面形式向</w:t>
      </w:r>
      <w:r>
        <w:rPr>
          <w:rFonts w:ascii="宋体" w:hAnsi="宋体"/>
          <w:color w:val="000000"/>
          <w:szCs w:val="21"/>
          <w:highlight w:val="none"/>
        </w:rPr>
        <w:t>采购人、采购代理机构</w:t>
      </w:r>
      <w:r>
        <w:rPr>
          <w:rFonts w:hint="eastAsia" w:ascii="宋体" w:hAnsi="宋体"/>
          <w:color w:val="000000"/>
          <w:szCs w:val="21"/>
          <w:highlight w:val="none"/>
        </w:rPr>
        <w:t>提出。</w:t>
      </w:r>
    </w:p>
    <w:p w14:paraId="7DF9DEAE">
      <w:pPr>
        <w:spacing w:line="440" w:lineRule="exact"/>
        <w:ind w:firstLine="482" w:firstLineChars="200"/>
        <w:rPr>
          <w:rFonts w:ascii="宋体" w:hAnsi="宋体" w:cs="宋体"/>
          <w:b/>
          <w:bCs/>
          <w:color w:val="000000"/>
          <w:sz w:val="24"/>
          <w:highlight w:val="none"/>
        </w:rPr>
      </w:pPr>
      <w:r>
        <w:rPr>
          <w:rFonts w:hint="eastAsia" w:ascii="宋体" w:hAnsi="宋体" w:cs="宋体"/>
          <w:b/>
          <w:bCs/>
          <w:color w:val="000000"/>
          <w:sz w:val="24"/>
          <w:highlight w:val="none"/>
        </w:rPr>
        <w:t>10.磋商文件的澄清和修改</w:t>
      </w:r>
    </w:p>
    <w:p w14:paraId="48429EDF">
      <w:pPr>
        <w:spacing w:line="440" w:lineRule="exact"/>
        <w:ind w:firstLine="420" w:firstLineChars="200"/>
        <w:rPr>
          <w:rFonts w:ascii="宋体" w:hAnsi="宋体"/>
          <w:color w:val="000000"/>
          <w:szCs w:val="21"/>
          <w:highlight w:val="none"/>
        </w:rPr>
      </w:pPr>
      <w:r>
        <w:rPr>
          <w:rFonts w:hint="eastAsia" w:ascii="宋体" w:hAnsi="宋体"/>
          <w:color w:val="000000"/>
          <w:szCs w:val="21"/>
          <w:highlight w:val="none"/>
        </w:rPr>
        <w:t>10.1已获取磋商文件的潜在供应商，若有问题需要澄清，应于</w:t>
      </w:r>
      <w:r>
        <w:rPr>
          <w:rFonts w:hint="eastAsia" w:ascii="宋体" w:hAnsi="宋体"/>
          <w:color w:val="000000"/>
          <w:szCs w:val="21"/>
          <w:highlight w:val="none"/>
          <w:lang w:val="en-US" w:eastAsia="zh-CN"/>
        </w:rPr>
        <w:t>提交</w:t>
      </w:r>
      <w:r>
        <w:rPr>
          <w:rFonts w:ascii="宋体" w:hAnsi="宋体"/>
          <w:color w:val="000000"/>
          <w:szCs w:val="21"/>
          <w:highlight w:val="none"/>
        </w:rPr>
        <w:t>响应文件截止之日</w:t>
      </w:r>
      <w:r>
        <w:rPr>
          <w:rFonts w:hint="eastAsia" w:ascii="宋体" w:hAnsi="宋体"/>
          <w:color w:val="000000"/>
          <w:szCs w:val="21"/>
          <w:highlight w:val="none"/>
        </w:rPr>
        <w:t>前，以书面形式向采购代理机构提出，采购代理机构与采购人研究后，对认为有必要回答的问题，按照本章10.3的内容处理。</w:t>
      </w:r>
    </w:p>
    <w:p w14:paraId="5DAE8ABB">
      <w:pPr>
        <w:spacing w:line="440" w:lineRule="exact"/>
        <w:ind w:firstLine="422" w:firstLineChars="200"/>
        <w:rPr>
          <w:rFonts w:ascii="宋体" w:hAnsi="宋体"/>
          <w:b/>
          <w:color w:val="000000"/>
          <w:szCs w:val="21"/>
          <w:highlight w:val="none"/>
        </w:rPr>
      </w:pPr>
      <w:r>
        <w:rPr>
          <w:rFonts w:hint="eastAsia" w:ascii="宋体" w:hAnsi="宋体"/>
          <w:b/>
          <w:color w:val="000000"/>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5F98D392">
      <w:pPr>
        <w:spacing w:line="440" w:lineRule="exact"/>
        <w:ind w:firstLine="420" w:firstLineChars="200"/>
        <w:rPr>
          <w:rFonts w:ascii="宋体" w:hAnsi="宋体"/>
          <w:color w:val="000000"/>
          <w:szCs w:val="21"/>
          <w:highlight w:val="none"/>
        </w:rPr>
      </w:pPr>
      <w:r>
        <w:rPr>
          <w:rFonts w:hint="eastAsia" w:ascii="宋体" w:hAnsi="宋体"/>
          <w:color w:val="000000"/>
          <w:szCs w:val="21"/>
          <w:highlight w:val="none"/>
        </w:rPr>
        <w:t>1</w:t>
      </w:r>
      <w:r>
        <w:rPr>
          <w:rFonts w:ascii="宋体" w:hAnsi="宋体"/>
          <w:color w:val="000000"/>
          <w:szCs w:val="21"/>
          <w:highlight w:val="none"/>
        </w:rPr>
        <w:t>0.</w:t>
      </w:r>
      <w:r>
        <w:rPr>
          <w:rFonts w:hint="eastAsia" w:ascii="宋体" w:hAnsi="宋体"/>
          <w:color w:val="000000"/>
          <w:szCs w:val="21"/>
          <w:highlight w:val="none"/>
        </w:rPr>
        <w:t>3</w:t>
      </w:r>
      <w:r>
        <w:rPr>
          <w:rFonts w:ascii="宋体" w:hAnsi="宋体"/>
          <w:color w:val="000000"/>
          <w:szCs w:val="21"/>
          <w:highlight w:val="none"/>
        </w:rPr>
        <w:t>提交首次响应文件截止之日前，采购人、采购代理机构或者</w:t>
      </w:r>
      <w:r>
        <w:rPr>
          <w:rFonts w:hint="eastAsia" w:ascii="宋体" w:hAnsi="宋体"/>
          <w:color w:val="000000"/>
          <w:szCs w:val="21"/>
          <w:highlight w:val="none"/>
        </w:rPr>
        <w:t>磋商</w:t>
      </w:r>
      <w:r>
        <w:rPr>
          <w:rFonts w:ascii="宋体" w:hAnsi="宋体"/>
          <w:color w:val="000000"/>
          <w:szCs w:val="21"/>
          <w:highlight w:val="none"/>
        </w:rPr>
        <w:t>小组可以对已发出的磋商文件进行必要的澄清或者修改，澄清或者修改的内容作为磋商文件的组成部分。澄清或者修改的内容可能影响响应文件编制的，采购人、采购代理机构或者磋商小组在提交首次响应文件截止之日</w:t>
      </w:r>
      <w:r>
        <w:rPr>
          <w:rFonts w:hint="eastAsia" w:ascii="宋体" w:hAnsi="宋体"/>
          <w:color w:val="000000"/>
          <w:szCs w:val="21"/>
          <w:highlight w:val="none"/>
          <w:lang w:val="en-US" w:eastAsia="zh-CN"/>
        </w:rPr>
        <w:t>5</w:t>
      </w:r>
      <w:r>
        <w:rPr>
          <w:rFonts w:ascii="宋体" w:hAnsi="宋体"/>
          <w:color w:val="000000"/>
          <w:szCs w:val="21"/>
          <w:highlight w:val="none"/>
        </w:rPr>
        <w:t>个工作日前，以</w:t>
      </w:r>
      <w:r>
        <w:rPr>
          <w:rFonts w:hint="eastAsia" w:ascii="宋体" w:hAnsi="宋体"/>
          <w:color w:val="000000"/>
          <w:szCs w:val="21"/>
          <w:highlight w:val="none"/>
        </w:rPr>
        <w:t>书面</w:t>
      </w:r>
      <w:r>
        <w:rPr>
          <w:rFonts w:ascii="宋体" w:hAnsi="宋体"/>
          <w:color w:val="000000"/>
          <w:szCs w:val="21"/>
          <w:highlight w:val="none"/>
        </w:rPr>
        <w:t>形式</w:t>
      </w:r>
      <w:r>
        <w:rPr>
          <w:rFonts w:hint="eastAsia" w:ascii="宋体" w:hAnsi="宋体"/>
          <w:color w:val="000000"/>
          <w:szCs w:val="21"/>
          <w:highlight w:val="none"/>
        </w:rPr>
        <w:t>（目前为网上公告和系统短信等形式）</w:t>
      </w:r>
      <w:r>
        <w:rPr>
          <w:rFonts w:ascii="宋体" w:hAnsi="宋体"/>
          <w:color w:val="000000"/>
          <w:szCs w:val="21"/>
          <w:highlight w:val="none"/>
        </w:rPr>
        <w:t>通知所有</w:t>
      </w:r>
      <w:r>
        <w:rPr>
          <w:rFonts w:hint="eastAsia" w:ascii="宋体" w:hAnsi="宋体"/>
          <w:color w:val="000000"/>
          <w:szCs w:val="21"/>
          <w:highlight w:val="none"/>
        </w:rPr>
        <w:t>获取</w:t>
      </w:r>
      <w:r>
        <w:rPr>
          <w:rFonts w:ascii="宋体" w:hAnsi="宋体"/>
          <w:color w:val="000000"/>
          <w:szCs w:val="21"/>
          <w:highlight w:val="none"/>
        </w:rPr>
        <w:t>磋商文件的供应商，不足</w:t>
      </w:r>
      <w:r>
        <w:rPr>
          <w:rFonts w:hint="eastAsia" w:ascii="宋体" w:hAnsi="宋体"/>
          <w:color w:val="000000"/>
          <w:szCs w:val="21"/>
          <w:highlight w:val="none"/>
          <w:lang w:val="en-US" w:eastAsia="zh-CN"/>
        </w:rPr>
        <w:t>5</w:t>
      </w:r>
      <w:r>
        <w:rPr>
          <w:rFonts w:ascii="宋体" w:hAnsi="宋体"/>
          <w:color w:val="000000"/>
          <w:szCs w:val="21"/>
          <w:highlight w:val="none"/>
        </w:rPr>
        <w:t>个工作日的，应当顺延提交首次响应文件截止之日。</w:t>
      </w:r>
    </w:p>
    <w:p w14:paraId="2A8D8551">
      <w:pPr>
        <w:spacing w:line="440" w:lineRule="exact"/>
        <w:ind w:firstLine="420" w:firstLineChars="200"/>
        <w:rPr>
          <w:rFonts w:ascii="宋体" w:hAnsi="宋体"/>
          <w:color w:val="000000"/>
          <w:szCs w:val="21"/>
          <w:highlight w:val="none"/>
        </w:rPr>
      </w:pPr>
      <w:r>
        <w:rPr>
          <w:rFonts w:hint="eastAsia" w:ascii="宋体" w:hAnsi="宋体"/>
          <w:color w:val="000000"/>
          <w:szCs w:val="21"/>
          <w:highlight w:val="none"/>
        </w:rPr>
        <w:t>1</w:t>
      </w:r>
      <w:r>
        <w:rPr>
          <w:rFonts w:ascii="宋体" w:hAnsi="宋体"/>
          <w:color w:val="000000"/>
          <w:szCs w:val="21"/>
          <w:highlight w:val="none"/>
        </w:rPr>
        <w:t>0.</w:t>
      </w:r>
      <w:r>
        <w:rPr>
          <w:rFonts w:hint="eastAsia" w:ascii="宋体" w:hAnsi="宋体"/>
          <w:color w:val="000000"/>
          <w:szCs w:val="21"/>
          <w:highlight w:val="none"/>
        </w:rPr>
        <w:t>4</w:t>
      </w:r>
      <w:r>
        <w:rPr>
          <w:rFonts w:ascii="宋体" w:hAnsi="宋体" w:cs="Arial"/>
          <w:color w:val="000000"/>
          <w:highlight w:val="none"/>
          <w:shd w:val="clear" w:color="auto" w:fill="FFFFFF"/>
        </w:rPr>
        <w:t>采购信息更正公告的内容应当包括采购人和采购代理机构名称、地址、联系方式，原</w:t>
      </w:r>
      <w:r>
        <w:rPr>
          <w:rFonts w:ascii="宋体" w:hAnsi="宋体"/>
          <w:color w:val="000000"/>
          <w:szCs w:val="21"/>
          <w:highlight w:val="none"/>
        </w:rPr>
        <w:t>公告的采购项目名称及首次公告日期，更正事项、内容及日期，采购项目联系人和电话。</w:t>
      </w:r>
    </w:p>
    <w:p w14:paraId="4AAD34AC">
      <w:pPr>
        <w:spacing w:line="440" w:lineRule="exact"/>
        <w:ind w:firstLine="420" w:firstLineChars="200"/>
        <w:rPr>
          <w:rFonts w:ascii="宋体" w:hAnsi="宋体"/>
          <w:color w:val="000000"/>
          <w:szCs w:val="21"/>
          <w:highlight w:val="none"/>
        </w:rPr>
      </w:pPr>
      <w:r>
        <w:rPr>
          <w:rFonts w:hint="eastAsia" w:ascii="宋体" w:hAnsi="宋体"/>
          <w:color w:val="000000"/>
          <w:szCs w:val="21"/>
          <w:highlight w:val="none"/>
        </w:rPr>
        <w:t>10.5 采购人和采购代理机构可以视采购具体情况，变更</w:t>
      </w:r>
      <w:r>
        <w:rPr>
          <w:rFonts w:ascii="宋体" w:hAnsi="宋体"/>
          <w:color w:val="000000"/>
          <w:szCs w:val="21"/>
          <w:highlight w:val="none"/>
        </w:rPr>
        <w:t>提交首次响应文件</w:t>
      </w:r>
      <w:r>
        <w:rPr>
          <w:rFonts w:hint="eastAsia" w:ascii="宋体" w:hAnsi="宋体"/>
          <w:color w:val="000000"/>
          <w:szCs w:val="21"/>
          <w:highlight w:val="none"/>
        </w:rPr>
        <w:t>截止时间和</w:t>
      </w:r>
      <w:r>
        <w:rPr>
          <w:rFonts w:hint="eastAsia" w:ascii="宋体" w:hAnsi="宋体"/>
          <w:color w:val="000000"/>
          <w:szCs w:val="21"/>
          <w:highlight w:val="none"/>
          <w:lang w:val="en-US" w:eastAsia="zh-CN"/>
        </w:rPr>
        <w:t>磋商</w:t>
      </w:r>
      <w:r>
        <w:rPr>
          <w:rFonts w:hint="eastAsia" w:ascii="宋体" w:hAnsi="宋体"/>
          <w:color w:val="000000"/>
          <w:szCs w:val="21"/>
          <w:highlight w:val="none"/>
        </w:rPr>
        <w:t>时间，将变更时间将在“采购文件公告</w:t>
      </w:r>
      <w:r>
        <w:rPr>
          <w:rFonts w:ascii="宋体" w:hAnsi="宋体"/>
          <w:color w:val="000000"/>
          <w:szCs w:val="21"/>
          <w:highlight w:val="none"/>
        </w:rPr>
        <w:t>”</w:t>
      </w:r>
      <w:r>
        <w:rPr>
          <w:rFonts w:hint="eastAsia" w:ascii="宋体" w:hAnsi="宋体"/>
          <w:color w:val="000000"/>
          <w:szCs w:val="21"/>
          <w:highlight w:val="none"/>
        </w:rPr>
        <w:t>中“七、其他补充事宜</w:t>
      </w:r>
      <w:r>
        <w:rPr>
          <w:rFonts w:hint="eastAsia" w:ascii="宋体" w:hAnsi="宋体"/>
          <w:color w:val="000000"/>
          <w:szCs w:val="21"/>
          <w:highlight w:val="none"/>
          <w:lang w:val="en-US" w:eastAsia="zh-CN"/>
        </w:rPr>
        <w:t>3</w:t>
      </w:r>
      <w:r>
        <w:rPr>
          <w:rFonts w:hint="eastAsia" w:ascii="宋体" w:hAnsi="宋体"/>
          <w:color w:val="000000"/>
          <w:szCs w:val="21"/>
          <w:highlight w:val="none"/>
        </w:rPr>
        <w:t>.网上查询地址”规定的政府采购信息发布媒体上发布更正公告。</w:t>
      </w:r>
    </w:p>
    <w:p w14:paraId="56D27630">
      <w:pPr>
        <w:spacing w:line="440" w:lineRule="exact"/>
        <w:ind w:firstLine="420" w:firstLineChars="200"/>
        <w:rPr>
          <w:rFonts w:ascii="宋体" w:hAnsi="宋体"/>
          <w:color w:val="000000"/>
          <w:kern w:val="0"/>
          <w:szCs w:val="21"/>
          <w:highlight w:val="none"/>
        </w:rPr>
      </w:pPr>
      <w:r>
        <w:rPr>
          <w:rFonts w:hint="eastAsia" w:ascii="宋体" w:hAnsi="宋体"/>
          <w:color w:val="000000"/>
          <w:kern w:val="0"/>
          <w:szCs w:val="21"/>
          <w:highlight w:val="none"/>
        </w:rPr>
        <w:t>▲</w:t>
      </w:r>
      <w:r>
        <w:rPr>
          <w:rFonts w:hint="eastAsia" w:ascii="宋体" w:hAnsi="宋体"/>
          <w:b/>
          <w:color w:val="000000"/>
          <w:kern w:val="0"/>
          <w:szCs w:val="21"/>
          <w:highlight w:val="none"/>
        </w:rPr>
        <w:t>响应文件未按磋商文件的澄清、修改的内容编制，又不符合实质性要求的，其响应文件作无效处理。</w:t>
      </w:r>
    </w:p>
    <w:p w14:paraId="374B7F9F">
      <w:pPr>
        <w:keepNext/>
        <w:keepLines/>
        <w:spacing w:line="360" w:lineRule="auto"/>
        <w:ind w:firstLine="640" w:firstLineChars="200"/>
        <w:outlineLvl w:val="2"/>
        <w:rPr>
          <w:rFonts w:ascii="宋体" w:hAnsi="宋体"/>
          <w:color w:val="000000"/>
          <w:sz w:val="32"/>
          <w:szCs w:val="32"/>
          <w:highlight w:val="none"/>
        </w:rPr>
      </w:pPr>
      <w:bookmarkStart w:id="47" w:name="_Toc1597"/>
      <w:r>
        <w:rPr>
          <w:rFonts w:hint="eastAsia" w:ascii="宋体" w:hAnsi="宋体"/>
          <w:color w:val="000000"/>
          <w:sz w:val="32"/>
          <w:szCs w:val="32"/>
          <w:highlight w:val="none"/>
        </w:rPr>
        <w:t>三、响应文件的编制</w:t>
      </w:r>
      <w:bookmarkEnd w:id="47"/>
    </w:p>
    <w:p w14:paraId="7726F6B7">
      <w:pPr>
        <w:spacing w:line="360" w:lineRule="auto"/>
        <w:ind w:firstLine="482" w:firstLineChars="200"/>
        <w:rPr>
          <w:rFonts w:ascii="宋体" w:hAnsi="宋体" w:cs="宋体"/>
          <w:b/>
          <w:bCs/>
          <w:color w:val="000000"/>
          <w:sz w:val="24"/>
          <w:highlight w:val="none"/>
        </w:rPr>
      </w:pPr>
      <w:r>
        <w:rPr>
          <w:rFonts w:hint="eastAsia" w:ascii="宋体" w:hAnsi="宋体" w:cs="宋体"/>
          <w:b/>
          <w:bCs/>
          <w:color w:val="000000"/>
          <w:sz w:val="24"/>
          <w:highlight w:val="none"/>
        </w:rPr>
        <w:t>11.响应文件的编制原则</w:t>
      </w:r>
    </w:p>
    <w:p w14:paraId="3C8CB875">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供应商必须按照磋商文件的要求编制响应文件，并对其提交的响应文件的真实性、合法性承担法律责任。响应文件必须对磋商文件作出实质性响应。</w:t>
      </w:r>
    </w:p>
    <w:p w14:paraId="038F62A7">
      <w:pPr>
        <w:spacing w:line="360" w:lineRule="auto"/>
        <w:ind w:firstLine="482" w:firstLineChars="200"/>
        <w:rPr>
          <w:rFonts w:ascii="宋体" w:hAnsi="宋体" w:cs="宋体"/>
          <w:b/>
          <w:bCs/>
          <w:color w:val="000000"/>
          <w:sz w:val="24"/>
          <w:highlight w:val="none"/>
        </w:rPr>
      </w:pPr>
      <w:r>
        <w:rPr>
          <w:rFonts w:hint="eastAsia" w:ascii="宋体" w:hAnsi="宋体" w:cs="宋体"/>
          <w:b/>
          <w:bCs/>
          <w:color w:val="000000"/>
          <w:sz w:val="24"/>
          <w:highlight w:val="none"/>
        </w:rPr>
        <w:t>12.响应文件的组成</w:t>
      </w:r>
    </w:p>
    <w:p w14:paraId="0632304E">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12.1响应文件由资格证明文件、报价文件、商务和技术文件三部分组成。</w:t>
      </w:r>
    </w:p>
    <w:p w14:paraId="5636803A">
      <w:pPr>
        <w:spacing w:line="360" w:lineRule="auto"/>
        <w:ind w:left="420" w:leftChars="200" w:firstLine="420" w:firstLineChars="200"/>
        <w:rPr>
          <w:rFonts w:ascii="宋体" w:hAnsi="宋体" w:cs="宋体"/>
          <w:color w:val="000000"/>
          <w:szCs w:val="21"/>
          <w:highlight w:val="none"/>
        </w:rPr>
      </w:pPr>
      <w:r>
        <w:rPr>
          <w:rFonts w:hint="eastAsia" w:ascii="宋体" w:hAnsi="宋体" w:cs="宋体"/>
          <w:color w:val="000000"/>
          <w:szCs w:val="21"/>
          <w:highlight w:val="none"/>
        </w:rPr>
        <w:t>1</w:t>
      </w:r>
      <w:r>
        <w:rPr>
          <w:rFonts w:ascii="宋体" w:hAnsi="宋体" w:cs="宋体"/>
          <w:color w:val="000000"/>
          <w:szCs w:val="21"/>
          <w:highlight w:val="none"/>
        </w:rPr>
        <w:t>2.1.1</w:t>
      </w:r>
      <w:r>
        <w:rPr>
          <w:rFonts w:hint="eastAsia" w:ascii="宋体" w:hAnsi="宋体" w:cs="宋体"/>
          <w:color w:val="000000"/>
          <w:szCs w:val="21"/>
          <w:highlight w:val="none"/>
        </w:rPr>
        <w:t>资格证明文件：详见</w:t>
      </w:r>
      <w:r>
        <w:rPr>
          <w:rFonts w:hint="eastAsia" w:ascii="宋体" w:hAnsi="宋体" w:cs="宋体"/>
          <w:color w:val="000000"/>
          <w:szCs w:val="21"/>
          <w:highlight w:val="none"/>
          <w:lang w:eastAsia="zh-CN"/>
        </w:rPr>
        <w:t>“</w:t>
      </w:r>
      <w:r>
        <w:rPr>
          <w:rFonts w:hint="eastAsia" w:ascii="宋体" w:hAnsi="宋体" w:cs="宋体"/>
          <w:color w:val="000000"/>
          <w:szCs w:val="21"/>
          <w:highlight w:val="none"/>
          <w:lang w:val="en-US" w:eastAsia="zh-CN"/>
        </w:rPr>
        <w:t>供应商</w:t>
      </w:r>
      <w:r>
        <w:rPr>
          <w:rFonts w:hint="eastAsia" w:ascii="宋体" w:hAnsi="宋体" w:cs="宋体"/>
          <w:color w:val="000000"/>
          <w:szCs w:val="21"/>
          <w:highlight w:val="none"/>
        </w:rPr>
        <w:t>须知前附表</w:t>
      </w:r>
      <w:r>
        <w:rPr>
          <w:rFonts w:hint="eastAsia" w:ascii="宋体" w:hAnsi="宋体" w:cs="宋体"/>
          <w:color w:val="000000"/>
          <w:szCs w:val="21"/>
          <w:highlight w:val="none"/>
          <w:lang w:eastAsia="zh-CN"/>
        </w:rPr>
        <w:t>”</w:t>
      </w:r>
    </w:p>
    <w:p w14:paraId="31A84A3A">
      <w:pPr>
        <w:spacing w:line="360" w:lineRule="auto"/>
        <w:ind w:left="420" w:leftChars="200" w:firstLine="420" w:firstLineChars="200"/>
        <w:rPr>
          <w:rFonts w:ascii="宋体" w:hAnsi="宋体" w:cs="宋体"/>
          <w:color w:val="000000"/>
          <w:szCs w:val="21"/>
          <w:highlight w:val="none"/>
        </w:rPr>
      </w:pPr>
      <w:r>
        <w:rPr>
          <w:rFonts w:hint="eastAsia" w:ascii="宋体" w:hAnsi="宋体" w:cs="宋体"/>
          <w:color w:val="000000"/>
          <w:szCs w:val="21"/>
          <w:highlight w:val="none"/>
        </w:rPr>
        <w:t>12.1.2商务技术文件：详见</w:t>
      </w:r>
      <w:r>
        <w:rPr>
          <w:rFonts w:hint="eastAsia" w:ascii="宋体" w:hAnsi="宋体" w:cs="宋体"/>
          <w:color w:val="000000"/>
          <w:szCs w:val="21"/>
          <w:highlight w:val="none"/>
          <w:lang w:eastAsia="zh-CN"/>
        </w:rPr>
        <w:t>“</w:t>
      </w:r>
      <w:r>
        <w:rPr>
          <w:rFonts w:hint="eastAsia" w:ascii="宋体" w:hAnsi="宋体" w:cs="宋体"/>
          <w:color w:val="000000"/>
          <w:szCs w:val="21"/>
          <w:highlight w:val="none"/>
          <w:lang w:val="en-US" w:eastAsia="zh-CN"/>
        </w:rPr>
        <w:t>供应商</w:t>
      </w:r>
      <w:r>
        <w:rPr>
          <w:rFonts w:hint="eastAsia" w:ascii="宋体" w:hAnsi="宋体" w:cs="宋体"/>
          <w:color w:val="000000"/>
          <w:szCs w:val="21"/>
          <w:highlight w:val="none"/>
        </w:rPr>
        <w:t>须知前附表</w:t>
      </w:r>
      <w:r>
        <w:rPr>
          <w:rFonts w:hint="eastAsia" w:ascii="宋体" w:hAnsi="宋体" w:cs="宋体"/>
          <w:color w:val="000000"/>
          <w:szCs w:val="21"/>
          <w:highlight w:val="none"/>
          <w:lang w:eastAsia="zh-CN"/>
        </w:rPr>
        <w:t>”</w:t>
      </w:r>
    </w:p>
    <w:p w14:paraId="2183F361">
      <w:pPr>
        <w:spacing w:line="360" w:lineRule="auto"/>
        <w:ind w:left="420" w:leftChars="200" w:firstLine="420" w:firstLineChars="200"/>
        <w:rPr>
          <w:rFonts w:ascii="宋体" w:hAnsi="宋体" w:cs="宋体"/>
          <w:color w:val="000000"/>
          <w:szCs w:val="21"/>
          <w:highlight w:val="none"/>
        </w:rPr>
      </w:pPr>
      <w:r>
        <w:rPr>
          <w:rFonts w:hint="eastAsia" w:ascii="宋体" w:hAnsi="宋体" w:cs="宋体"/>
          <w:color w:val="000000"/>
          <w:szCs w:val="21"/>
          <w:highlight w:val="none"/>
        </w:rPr>
        <w:t>1</w:t>
      </w:r>
      <w:r>
        <w:rPr>
          <w:rFonts w:ascii="宋体" w:hAnsi="宋体" w:cs="宋体"/>
          <w:color w:val="000000"/>
          <w:szCs w:val="21"/>
          <w:highlight w:val="none"/>
        </w:rPr>
        <w:t>2.1.</w:t>
      </w:r>
      <w:r>
        <w:rPr>
          <w:rFonts w:hint="eastAsia" w:ascii="宋体" w:hAnsi="宋体" w:cs="宋体"/>
          <w:color w:val="000000"/>
          <w:szCs w:val="21"/>
          <w:highlight w:val="none"/>
        </w:rPr>
        <w:t>3报价文件：详见</w:t>
      </w:r>
      <w:r>
        <w:rPr>
          <w:rFonts w:hint="eastAsia" w:ascii="宋体" w:hAnsi="宋体" w:cs="宋体"/>
          <w:color w:val="000000"/>
          <w:szCs w:val="21"/>
          <w:highlight w:val="none"/>
          <w:lang w:eastAsia="zh-CN"/>
        </w:rPr>
        <w:t>“</w:t>
      </w:r>
      <w:r>
        <w:rPr>
          <w:rFonts w:hint="eastAsia" w:ascii="宋体" w:hAnsi="宋体" w:cs="宋体"/>
          <w:color w:val="000000"/>
          <w:szCs w:val="21"/>
          <w:highlight w:val="none"/>
          <w:lang w:val="en-US" w:eastAsia="zh-CN"/>
        </w:rPr>
        <w:t>供应商</w:t>
      </w:r>
      <w:r>
        <w:rPr>
          <w:rFonts w:hint="eastAsia" w:ascii="宋体" w:hAnsi="宋体" w:cs="宋体"/>
          <w:color w:val="000000"/>
          <w:szCs w:val="21"/>
          <w:highlight w:val="none"/>
        </w:rPr>
        <w:t>须知前附表</w:t>
      </w:r>
      <w:r>
        <w:rPr>
          <w:rFonts w:hint="eastAsia" w:ascii="宋体" w:hAnsi="宋体" w:cs="宋体"/>
          <w:color w:val="000000"/>
          <w:szCs w:val="21"/>
          <w:highlight w:val="none"/>
          <w:lang w:eastAsia="zh-CN"/>
        </w:rPr>
        <w:t>”</w:t>
      </w:r>
    </w:p>
    <w:p w14:paraId="167E76E1">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12.</w:t>
      </w:r>
      <w:r>
        <w:rPr>
          <w:rFonts w:ascii="宋体" w:hAnsi="宋体" w:cs="宋体"/>
          <w:color w:val="000000"/>
          <w:szCs w:val="21"/>
          <w:highlight w:val="none"/>
        </w:rPr>
        <w:t>2</w:t>
      </w:r>
      <w:r>
        <w:rPr>
          <w:rFonts w:hint="eastAsia" w:ascii="宋体" w:hAnsi="宋体" w:cs="宋体"/>
          <w:color w:val="000000"/>
          <w:szCs w:val="21"/>
          <w:highlight w:val="none"/>
        </w:rPr>
        <w:t>响应文件电子版：详见</w:t>
      </w:r>
      <w:r>
        <w:rPr>
          <w:rFonts w:hint="eastAsia" w:ascii="宋体" w:hAnsi="宋体" w:cs="宋体"/>
          <w:color w:val="000000"/>
          <w:szCs w:val="21"/>
          <w:highlight w:val="none"/>
          <w:lang w:eastAsia="zh-CN"/>
        </w:rPr>
        <w:t>“</w:t>
      </w:r>
      <w:r>
        <w:rPr>
          <w:rFonts w:hint="eastAsia" w:ascii="宋体" w:hAnsi="宋体" w:cs="宋体"/>
          <w:color w:val="000000"/>
          <w:szCs w:val="21"/>
          <w:highlight w:val="none"/>
          <w:lang w:val="en-US" w:eastAsia="zh-CN"/>
        </w:rPr>
        <w:t>供应商</w:t>
      </w:r>
      <w:r>
        <w:rPr>
          <w:rFonts w:hint="eastAsia" w:ascii="宋体" w:hAnsi="宋体" w:cs="宋体"/>
          <w:color w:val="000000"/>
          <w:szCs w:val="21"/>
          <w:highlight w:val="none"/>
        </w:rPr>
        <w:t>须知前附表</w:t>
      </w:r>
      <w:r>
        <w:rPr>
          <w:rFonts w:hint="eastAsia" w:ascii="宋体" w:hAnsi="宋体" w:cs="宋体"/>
          <w:color w:val="000000"/>
          <w:szCs w:val="21"/>
          <w:highlight w:val="none"/>
          <w:lang w:eastAsia="zh-CN"/>
        </w:rPr>
        <w:t>”</w:t>
      </w:r>
    </w:p>
    <w:p w14:paraId="0D7AA10D">
      <w:pPr>
        <w:spacing w:line="360" w:lineRule="auto"/>
        <w:ind w:firstLine="482" w:firstLineChars="200"/>
        <w:rPr>
          <w:rFonts w:ascii="宋体" w:hAnsi="宋体" w:cs="宋体"/>
          <w:b/>
          <w:bCs/>
          <w:color w:val="000000"/>
          <w:sz w:val="24"/>
          <w:highlight w:val="none"/>
        </w:rPr>
      </w:pPr>
      <w:r>
        <w:rPr>
          <w:rFonts w:hint="eastAsia" w:ascii="宋体" w:hAnsi="宋体" w:cs="宋体"/>
          <w:b/>
          <w:bCs/>
          <w:color w:val="000000"/>
          <w:sz w:val="24"/>
          <w:highlight w:val="none"/>
        </w:rPr>
        <w:t>13.计量单位</w:t>
      </w:r>
    </w:p>
    <w:p w14:paraId="0555A5F8">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磋商文件已有明确规定的，使用磋商文件规定的计量单位；磋商文件没有规定的，应采用中华人民共和国法定计量单位，货币种类为人民币，否则视同未响应。</w:t>
      </w:r>
    </w:p>
    <w:p w14:paraId="1A1EFA17">
      <w:pPr>
        <w:spacing w:line="360" w:lineRule="auto"/>
        <w:ind w:firstLine="482" w:firstLineChars="200"/>
        <w:rPr>
          <w:rFonts w:ascii="宋体" w:hAnsi="宋体" w:cs="宋体"/>
          <w:b/>
          <w:bCs/>
          <w:color w:val="000000"/>
          <w:sz w:val="24"/>
          <w:highlight w:val="none"/>
        </w:rPr>
      </w:pPr>
      <w:r>
        <w:rPr>
          <w:rFonts w:hint="eastAsia" w:ascii="宋体" w:hAnsi="宋体" w:cs="宋体"/>
          <w:b/>
          <w:bCs/>
          <w:color w:val="000000"/>
          <w:sz w:val="24"/>
          <w:highlight w:val="none"/>
        </w:rPr>
        <w:t>14.竞标的风险</w:t>
      </w:r>
    </w:p>
    <w:p w14:paraId="210563AC">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供应商没有按照磋商文件要求提供全部资料，或者供应商没有对磋商文件在各方面作出实质性响应可能导致其响应无效，是供应商应当考虑的风险。</w:t>
      </w:r>
    </w:p>
    <w:p w14:paraId="7DFE55FC">
      <w:pPr>
        <w:spacing w:line="360" w:lineRule="auto"/>
        <w:ind w:firstLine="482" w:firstLineChars="200"/>
        <w:rPr>
          <w:rFonts w:ascii="宋体" w:hAnsi="宋体" w:cs="宋体"/>
          <w:b/>
          <w:bCs/>
          <w:color w:val="000000"/>
          <w:sz w:val="24"/>
          <w:highlight w:val="none"/>
        </w:rPr>
      </w:pPr>
      <w:r>
        <w:rPr>
          <w:rFonts w:hint="eastAsia" w:ascii="宋体" w:hAnsi="宋体" w:cs="宋体"/>
          <w:b/>
          <w:bCs/>
          <w:color w:val="000000"/>
          <w:sz w:val="24"/>
          <w:highlight w:val="none"/>
        </w:rPr>
        <w:t>15.响应报价要求和构成</w:t>
      </w:r>
    </w:p>
    <w:p w14:paraId="7432CADA">
      <w:pPr>
        <w:tabs>
          <w:tab w:val="left" w:pos="2492"/>
        </w:tabs>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15.1响应报价应按“第五章 响应文件格式”中“响应报价表”格式填写。</w:t>
      </w:r>
    </w:p>
    <w:p w14:paraId="2A3CDEC7">
      <w:pPr>
        <w:tabs>
          <w:tab w:val="left" w:pos="2492"/>
        </w:tabs>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15.2响应报价的价格构成见“供应商须知前附表”。</w:t>
      </w:r>
    </w:p>
    <w:p w14:paraId="3538AFC6">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15.3响应报价要求</w:t>
      </w:r>
    </w:p>
    <w:p w14:paraId="47BB4F02">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1</w:t>
      </w:r>
      <w:r>
        <w:rPr>
          <w:rFonts w:ascii="宋体" w:hAnsi="宋体" w:cs="宋体"/>
          <w:color w:val="000000"/>
          <w:szCs w:val="21"/>
          <w:highlight w:val="none"/>
        </w:rPr>
        <w:t>5.3.1</w:t>
      </w:r>
      <w:r>
        <w:rPr>
          <w:rFonts w:hint="eastAsia" w:ascii="宋体" w:hAnsi="宋体" w:cs="宋体"/>
          <w:color w:val="000000"/>
          <w:szCs w:val="21"/>
          <w:highlight w:val="none"/>
        </w:rPr>
        <w:t>供应商的响应报价应符合以下要求，否则响应文件按无效响应处理：</w:t>
      </w:r>
    </w:p>
    <w:p w14:paraId="3C24BB59">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（1）供应商必须就“采购需求”中所竞标的全部内容分别作完整唯一总价报价，不得存在漏项报价；</w:t>
      </w:r>
    </w:p>
    <w:p w14:paraId="2F10E2FE">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w:t>
      </w:r>
      <w:r>
        <w:rPr>
          <w:rFonts w:ascii="宋体" w:hAnsi="宋体" w:cs="宋体"/>
          <w:color w:val="000000"/>
          <w:szCs w:val="21"/>
          <w:highlight w:val="none"/>
        </w:rPr>
        <w:t>2</w:t>
      </w:r>
      <w:r>
        <w:rPr>
          <w:rFonts w:hint="eastAsia" w:ascii="宋体" w:hAnsi="宋体" w:cs="宋体"/>
          <w:color w:val="000000"/>
          <w:szCs w:val="21"/>
          <w:highlight w:val="none"/>
        </w:rPr>
        <w:t>）供应商必须就所竞标的单项内容作唯一报价。</w:t>
      </w:r>
    </w:p>
    <w:p w14:paraId="7BAD4105">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15.3.</w:t>
      </w:r>
      <w:r>
        <w:rPr>
          <w:rFonts w:ascii="宋体" w:hAnsi="宋体" w:cs="宋体"/>
          <w:color w:val="000000"/>
          <w:szCs w:val="21"/>
          <w:highlight w:val="none"/>
        </w:rPr>
        <w:t>2</w:t>
      </w:r>
      <w:r>
        <w:rPr>
          <w:rFonts w:hint="eastAsia" w:ascii="宋体" w:hAnsi="宋体" w:cs="宋体"/>
          <w:color w:val="000000"/>
          <w:szCs w:val="21"/>
          <w:highlight w:val="none"/>
        </w:rPr>
        <w:t>响应报价（包含首次报价、最后报价）超过所竞标分标规定的采购预算金额或者最高限价的，其响应文件将作无效处理。</w:t>
      </w:r>
    </w:p>
    <w:p w14:paraId="7A21D7E2">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15.3.</w:t>
      </w:r>
      <w:r>
        <w:rPr>
          <w:rFonts w:ascii="宋体" w:hAnsi="宋体" w:cs="宋体"/>
          <w:color w:val="000000"/>
          <w:szCs w:val="21"/>
          <w:highlight w:val="none"/>
        </w:rPr>
        <w:t>3</w:t>
      </w:r>
      <w:bookmarkStart w:id="48" w:name="_Hlk42592874"/>
      <w:r>
        <w:rPr>
          <w:rFonts w:hint="eastAsia" w:ascii="宋体" w:hAnsi="宋体" w:cs="宋体"/>
          <w:color w:val="000000"/>
          <w:szCs w:val="21"/>
          <w:highlight w:val="none"/>
        </w:rPr>
        <w:t>响应报价（包含首次报价、最后报价）超过分项采购预算金额或者最高限价的，其响应文件将作无效处理。</w:t>
      </w:r>
    </w:p>
    <w:bookmarkEnd w:id="48"/>
    <w:p w14:paraId="665C8315">
      <w:pPr>
        <w:spacing w:line="360" w:lineRule="auto"/>
        <w:ind w:firstLine="482" w:firstLineChars="200"/>
        <w:rPr>
          <w:rFonts w:ascii="宋体" w:hAnsi="宋体" w:cs="宋体"/>
          <w:b/>
          <w:bCs/>
          <w:color w:val="000000"/>
          <w:sz w:val="24"/>
          <w:highlight w:val="none"/>
        </w:rPr>
      </w:pPr>
      <w:r>
        <w:rPr>
          <w:rFonts w:hint="eastAsia" w:ascii="宋体" w:hAnsi="宋体" w:cs="宋体"/>
          <w:b/>
          <w:bCs/>
          <w:color w:val="000000"/>
          <w:sz w:val="24"/>
          <w:highlight w:val="none"/>
        </w:rPr>
        <w:t>16.竞标有效期</w:t>
      </w:r>
    </w:p>
    <w:p w14:paraId="6C4FD7C3">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16.1竞标有效期是指为保证采购人有足够的时间在提交响应文件后完成评审、确定成交供应商、合同签订等工作而要求供应商提交的响应文件在一定时间内保持有效的期限。</w:t>
      </w:r>
    </w:p>
    <w:p w14:paraId="1BA2E173">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16.2 竞标有效期应由供应商按“供应商须知前附表”规定的期限作出响应。</w:t>
      </w:r>
    </w:p>
    <w:p w14:paraId="3437FA36">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16.3供应商的响应文件在竞标有效期内均保持有效。</w:t>
      </w:r>
    </w:p>
    <w:p w14:paraId="37C1967E">
      <w:pPr>
        <w:spacing w:line="360" w:lineRule="auto"/>
        <w:ind w:firstLine="482" w:firstLineChars="200"/>
        <w:rPr>
          <w:rFonts w:ascii="宋体" w:hAnsi="宋体" w:cs="宋体"/>
          <w:b/>
          <w:bCs/>
          <w:color w:val="000000"/>
          <w:sz w:val="24"/>
          <w:highlight w:val="none"/>
        </w:rPr>
      </w:pPr>
      <w:r>
        <w:rPr>
          <w:rFonts w:hint="eastAsia" w:ascii="宋体" w:hAnsi="宋体" w:cs="宋体"/>
          <w:b/>
          <w:bCs/>
          <w:color w:val="000000"/>
          <w:sz w:val="24"/>
          <w:highlight w:val="none"/>
        </w:rPr>
        <w:t>17.磋商保证金</w:t>
      </w:r>
    </w:p>
    <w:p w14:paraId="4B40836E">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详见“供应商须知前附表”。</w:t>
      </w:r>
    </w:p>
    <w:p w14:paraId="51728735">
      <w:pPr>
        <w:spacing w:line="360" w:lineRule="auto"/>
        <w:ind w:firstLine="482" w:firstLineChars="200"/>
        <w:rPr>
          <w:rFonts w:ascii="宋体" w:hAnsi="宋体" w:cs="宋体"/>
          <w:b/>
          <w:bCs/>
          <w:color w:val="000000"/>
          <w:sz w:val="24"/>
          <w:highlight w:val="none"/>
        </w:rPr>
      </w:pPr>
      <w:r>
        <w:rPr>
          <w:rFonts w:hint="eastAsia" w:ascii="宋体" w:hAnsi="宋体" w:cs="宋体"/>
          <w:b/>
          <w:bCs/>
          <w:color w:val="000000"/>
          <w:sz w:val="24"/>
          <w:highlight w:val="none"/>
        </w:rPr>
        <w:t>18.响应文件编制的要求</w:t>
      </w:r>
    </w:p>
    <w:p w14:paraId="41ACF0A3">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000000"/>
          <w:highlight w:val="none"/>
        </w:rPr>
        <w:t>由此引发的</w:t>
      </w:r>
      <w:r>
        <w:rPr>
          <w:rFonts w:hint="eastAsia" w:ascii="宋体" w:hAnsi="宋体" w:cs="宋体"/>
          <w:color w:val="000000"/>
          <w:szCs w:val="21"/>
          <w:highlight w:val="none"/>
        </w:rPr>
        <w:t>后果由供应商承担。</w:t>
      </w:r>
    </w:p>
    <w:p w14:paraId="494E65B9">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18.2响应文件应按资格证明、报价分别编制，商务技术文件合并编制，本磋商只接受电子版响应文件，要求见本章“12.2响应文件电子版要求”。</w:t>
      </w:r>
    </w:p>
    <w:p w14:paraId="687B8CCF">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18.</w:t>
      </w:r>
      <w:bookmarkStart w:id="49" w:name="_Hlk65832699"/>
      <w:r>
        <w:rPr>
          <w:rFonts w:hint="eastAsia" w:ascii="宋体" w:hAnsi="宋体" w:cs="宋体"/>
          <w:color w:val="000000"/>
          <w:szCs w:val="21"/>
          <w:highlight w:val="none"/>
        </w:rPr>
        <w:t>3</w:t>
      </w:r>
      <w:r>
        <w:rPr>
          <w:rFonts w:hint="eastAsia" w:ascii="宋体" w:hAnsi="宋体"/>
          <w:color w:val="000000"/>
          <w:szCs w:val="21"/>
          <w:highlight w:val="none"/>
        </w:rPr>
        <w:t>响应文件须由供应商在</w:t>
      </w:r>
      <w:r>
        <w:rPr>
          <w:rFonts w:hint="eastAsia" w:ascii="宋体" w:hAnsi="宋体" w:cs="仿宋_GB2312"/>
          <w:color w:val="000000"/>
          <w:kern w:val="0"/>
          <w:szCs w:val="21"/>
          <w:highlight w:val="none"/>
          <w:lang w:val="zh-CN"/>
        </w:rPr>
        <w:t>“</w:t>
      </w:r>
      <w:r>
        <w:rPr>
          <w:rFonts w:hint="eastAsia" w:ascii="宋体" w:hAnsi="宋体"/>
          <w:color w:val="000000"/>
          <w:szCs w:val="21"/>
          <w:highlight w:val="none"/>
        </w:rPr>
        <w:t>第五章 响应文件格式</w:t>
      </w:r>
      <w:r>
        <w:rPr>
          <w:rFonts w:hint="eastAsia" w:ascii="宋体" w:hAnsi="宋体" w:cs="仿宋_GB2312"/>
          <w:color w:val="000000"/>
          <w:kern w:val="0"/>
          <w:szCs w:val="21"/>
          <w:highlight w:val="none"/>
          <w:lang w:val="zh-CN"/>
        </w:rPr>
        <w:t>”</w:t>
      </w:r>
      <w:r>
        <w:rPr>
          <w:rFonts w:hint="eastAsia" w:ascii="宋体" w:hAnsi="宋体"/>
          <w:color w:val="000000"/>
          <w:szCs w:val="21"/>
          <w:highlight w:val="none"/>
        </w:rPr>
        <w:t>规定位置</w:t>
      </w:r>
      <w:r>
        <w:rPr>
          <w:rFonts w:hint="eastAsia" w:ascii="宋体" w:hAnsi="宋体" w:cs="仿宋_GB2312"/>
          <w:color w:val="000000"/>
          <w:szCs w:val="21"/>
          <w:highlight w:val="none"/>
        </w:rPr>
        <w:t>进行签署、盖章</w:t>
      </w:r>
      <w:bookmarkEnd w:id="49"/>
      <w:r>
        <w:rPr>
          <w:rFonts w:hint="eastAsia" w:ascii="宋体" w:hAnsi="宋体" w:cs="宋体"/>
          <w:color w:val="000000"/>
          <w:szCs w:val="21"/>
          <w:highlight w:val="none"/>
        </w:rPr>
        <w:t>，否则其响应文件按无效响应处理。骑缝盖公章不视为在规定位置盖章。</w:t>
      </w:r>
    </w:p>
    <w:p w14:paraId="02488BB2">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18.4响应文件中标注的供应商名称应与营业执照（事业单位法人证书、执业许可证、自然人身份证）及电子公章一致，否则其响应文件按无效响应处理。</w:t>
      </w:r>
    </w:p>
    <w:p w14:paraId="43E166D7">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18.5响应文件应避免涂改、行间插字或者删除，否则其响应文件按无效响应处理。</w:t>
      </w:r>
    </w:p>
    <w:p w14:paraId="555D5A06">
      <w:pPr>
        <w:spacing w:line="360" w:lineRule="auto"/>
        <w:ind w:firstLine="482" w:firstLineChars="200"/>
        <w:rPr>
          <w:rFonts w:ascii="宋体" w:hAnsi="宋体" w:cs="宋体"/>
          <w:b/>
          <w:bCs/>
          <w:color w:val="000000"/>
          <w:sz w:val="24"/>
          <w:highlight w:val="none"/>
        </w:rPr>
      </w:pPr>
      <w:r>
        <w:rPr>
          <w:rFonts w:hint="eastAsia" w:ascii="宋体" w:hAnsi="宋体" w:cs="宋体"/>
          <w:b/>
          <w:bCs/>
          <w:color w:val="000000"/>
          <w:sz w:val="24"/>
          <w:highlight w:val="none"/>
        </w:rPr>
        <w:t>19.响应文件的密封和标记</w:t>
      </w:r>
    </w:p>
    <w:p w14:paraId="6E83B30D">
      <w:pPr>
        <w:spacing w:line="360" w:lineRule="auto"/>
        <w:ind w:firstLine="420" w:firstLineChars="200"/>
        <w:rPr>
          <w:rFonts w:ascii="宋体" w:hAnsi="宋体" w:cs="仿宋_GB2312"/>
          <w:color w:val="000000"/>
          <w:kern w:val="0"/>
          <w:szCs w:val="21"/>
          <w:highlight w:val="none"/>
          <w:lang w:val="zh-CN"/>
        </w:rPr>
      </w:pPr>
      <w:r>
        <w:rPr>
          <w:rFonts w:hint="eastAsia" w:ascii="宋体" w:hAnsi="宋体" w:cs="仿宋_GB2312"/>
          <w:color w:val="000000"/>
          <w:kern w:val="0"/>
          <w:szCs w:val="21"/>
          <w:highlight w:val="none"/>
          <w:lang w:val="zh-CN"/>
        </w:rPr>
        <w:t>19.1供应商进行电子交易应安装客户端软件—“政采云电子交易客户端”，并按照磋商文件和电子交易平台的要求编制并加密响应文件。供应商未按规定加密的响应文件，电子交易平台将拒收并提示。</w:t>
      </w:r>
    </w:p>
    <w:p w14:paraId="5C3DC672">
      <w:pPr>
        <w:spacing w:line="360" w:lineRule="auto"/>
        <w:ind w:firstLine="420" w:firstLineChars="200"/>
        <w:rPr>
          <w:rFonts w:ascii="宋体" w:hAnsi="宋体" w:cs="仿宋_GB2312"/>
          <w:color w:val="000000"/>
          <w:kern w:val="0"/>
          <w:szCs w:val="21"/>
          <w:highlight w:val="none"/>
          <w:lang w:val="zh-CN"/>
        </w:rPr>
      </w:pPr>
      <w:r>
        <w:rPr>
          <w:rFonts w:hint="eastAsia" w:ascii="宋体" w:hAnsi="宋体" w:cs="仿宋_GB2312"/>
          <w:color w:val="000000"/>
          <w:kern w:val="0"/>
          <w:szCs w:val="21"/>
          <w:highlight w:val="none"/>
          <w:lang w:val="zh-CN"/>
        </w:rPr>
        <w:t>19.2使用“政采云电子交易客户端”需要提前申领CA数字证书。</w:t>
      </w:r>
    </w:p>
    <w:p w14:paraId="41621DD4">
      <w:pPr>
        <w:spacing w:line="360" w:lineRule="auto"/>
        <w:ind w:firstLine="420" w:firstLineChars="200"/>
        <w:rPr>
          <w:rFonts w:ascii="宋体" w:hAnsi="宋体" w:cs="仿宋_GB2312"/>
          <w:color w:val="000000"/>
          <w:kern w:val="0"/>
          <w:szCs w:val="21"/>
          <w:highlight w:val="none"/>
        </w:rPr>
      </w:pPr>
      <w:r>
        <w:rPr>
          <w:rFonts w:hint="eastAsia" w:ascii="宋体" w:hAnsi="宋体" w:cs="仿宋_GB2312"/>
          <w:color w:val="000000"/>
          <w:kern w:val="0"/>
          <w:szCs w:val="21"/>
          <w:highlight w:val="none"/>
        </w:rPr>
        <w:t>19.3为确保网上操作合法、有效和安全，供应商应当在响应文件提交截止时间前完成在“</w:t>
      </w:r>
      <w:r>
        <w:rPr>
          <w:rFonts w:hint="eastAsia" w:ascii="宋体" w:hAnsi="宋体" w:cs="仿宋_GB2312"/>
          <w:color w:val="000000"/>
          <w:kern w:val="0"/>
          <w:szCs w:val="21"/>
          <w:highlight w:val="none"/>
          <w:lang w:val="en-US" w:eastAsia="zh-CN"/>
        </w:rPr>
        <w:t>广西</w:t>
      </w:r>
      <w:r>
        <w:rPr>
          <w:rFonts w:hint="eastAsia" w:ascii="宋体" w:hAnsi="宋体" w:cs="仿宋_GB2312"/>
          <w:color w:val="000000"/>
          <w:kern w:val="0"/>
          <w:szCs w:val="21"/>
          <w:highlight w:val="none"/>
        </w:rPr>
        <w:t>政府采购云平台”的身份认证，确保在电子交易过程中能够对相关数据电文进行加密和使用电子签名。</w:t>
      </w:r>
    </w:p>
    <w:p w14:paraId="0F3A8DD6">
      <w:pPr>
        <w:spacing w:line="360" w:lineRule="auto"/>
        <w:ind w:firstLine="482" w:firstLineChars="200"/>
        <w:rPr>
          <w:rFonts w:ascii="宋体" w:hAnsi="宋体" w:cs="宋体"/>
          <w:b/>
          <w:bCs/>
          <w:color w:val="000000"/>
          <w:sz w:val="24"/>
          <w:highlight w:val="none"/>
        </w:rPr>
      </w:pPr>
      <w:r>
        <w:rPr>
          <w:rFonts w:hint="eastAsia" w:ascii="宋体" w:hAnsi="宋体" w:cs="宋体"/>
          <w:b/>
          <w:bCs/>
          <w:color w:val="000000"/>
          <w:sz w:val="24"/>
          <w:highlight w:val="none"/>
        </w:rPr>
        <w:t>20.响应文件的提交</w:t>
      </w:r>
    </w:p>
    <w:p w14:paraId="5E1D4BA2">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20.1供应商必须在“供应商须知前附表”规定的时间和地点提交响应文件。</w:t>
      </w:r>
    </w:p>
    <w:p w14:paraId="1FA39839">
      <w:pPr>
        <w:spacing w:line="360" w:lineRule="auto"/>
        <w:ind w:firstLine="420" w:firstLineChars="200"/>
        <w:rPr>
          <w:rFonts w:ascii="宋体" w:hAnsi="宋体"/>
          <w:color w:val="000000"/>
          <w:szCs w:val="21"/>
          <w:highlight w:val="none"/>
        </w:rPr>
      </w:pPr>
      <w:r>
        <w:rPr>
          <w:rFonts w:hint="eastAsia" w:ascii="宋体" w:hAnsi="宋体" w:cs="宋体"/>
          <w:color w:val="000000"/>
          <w:szCs w:val="21"/>
          <w:highlight w:val="none"/>
        </w:rPr>
        <w:t>20</w:t>
      </w:r>
      <w:r>
        <w:rPr>
          <w:rFonts w:hint="eastAsia" w:ascii="宋体" w:hAnsi="宋体"/>
          <w:color w:val="000000"/>
          <w:szCs w:val="21"/>
          <w:highlight w:val="none"/>
        </w:rPr>
        <w:t>.2 在响应文件提交截止时间以后，不能补充、修改响应文件。</w:t>
      </w:r>
    </w:p>
    <w:p w14:paraId="67E4205B">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20.3 在提交“最后报价”后，供应商不能退出</w:t>
      </w:r>
      <w:r>
        <w:rPr>
          <w:rFonts w:hint="eastAsia" w:ascii="宋体" w:hAnsi="宋体"/>
          <w:color w:val="000000"/>
          <w:szCs w:val="21"/>
          <w:highlight w:val="none"/>
          <w:lang w:val="en-US" w:eastAsia="zh-CN"/>
        </w:rPr>
        <w:t>磋商</w:t>
      </w:r>
      <w:r>
        <w:rPr>
          <w:rFonts w:hint="eastAsia" w:ascii="宋体" w:hAnsi="宋体"/>
          <w:color w:val="000000"/>
          <w:szCs w:val="21"/>
          <w:highlight w:val="none"/>
        </w:rPr>
        <w:t>。</w:t>
      </w:r>
    </w:p>
    <w:p w14:paraId="118392FD">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0EBED9A5">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20.5 采购</w:t>
      </w:r>
      <w:r>
        <w:rPr>
          <w:rFonts w:hint="eastAsia" w:ascii="宋体" w:hAnsi="宋体"/>
          <w:color w:val="000000"/>
          <w:szCs w:val="21"/>
          <w:highlight w:val="none"/>
          <w:lang w:val="en-US" w:eastAsia="zh-CN"/>
        </w:rPr>
        <w:t>代理</w:t>
      </w:r>
      <w:r>
        <w:rPr>
          <w:rFonts w:hint="eastAsia" w:ascii="宋体" w:hAnsi="宋体"/>
          <w:color w:val="000000"/>
          <w:szCs w:val="21"/>
          <w:highlight w:val="none"/>
        </w:rPr>
        <w:t>机构不可视情况延长提交响应文件的截止时间。</w:t>
      </w:r>
    </w:p>
    <w:p w14:paraId="19C46CA4">
      <w:pPr>
        <w:spacing w:line="360" w:lineRule="auto"/>
        <w:ind w:firstLine="420" w:firstLineChars="200"/>
        <w:rPr>
          <w:rFonts w:ascii="宋体" w:hAnsi="宋体"/>
          <w:color w:val="000000"/>
          <w:sz w:val="24"/>
          <w:highlight w:val="none"/>
        </w:rPr>
      </w:pPr>
      <w:r>
        <w:rPr>
          <w:rFonts w:hint="eastAsia" w:ascii="宋体" w:hAnsi="宋体"/>
          <w:color w:val="000000"/>
          <w:szCs w:val="21"/>
          <w:highlight w:val="none"/>
        </w:rPr>
        <w:t>20.6备份响应文件。</w:t>
      </w:r>
      <w:r>
        <w:rPr>
          <w:rFonts w:hint="eastAsia" w:ascii="宋体" w:hAnsi="宋体"/>
          <w:bCs/>
          <w:color w:val="000000"/>
          <w:szCs w:val="21"/>
          <w:highlight w:val="none"/>
        </w:rPr>
        <w:t>详见在“供应商须知前附表”。</w:t>
      </w:r>
    </w:p>
    <w:p w14:paraId="2221C4A0">
      <w:pPr>
        <w:spacing w:line="360" w:lineRule="auto"/>
        <w:ind w:firstLine="482" w:firstLineChars="200"/>
        <w:rPr>
          <w:rFonts w:ascii="宋体" w:hAnsi="宋体" w:cs="宋体"/>
          <w:b/>
          <w:bCs/>
          <w:color w:val="000000"/>
          <w:sz w:val="24"/>
          <w:highlight w:val="none"/>
        </w:rPr>
      </w:pPr>
      <w:r>
        <w:rPr>
          <w:rFonts w:hint="eastAsia" w:ascii="宋体" w:hAnsi="宋体" w:cs="宋体"/>
          <w:b/>
          <w:bCs/>
          <w:color w:val="000000"/>
          <w:sz w:val="24"/>
          <w:highlight w:val="none"/>
        </w:rPr>
        <w:t>21.首次响应文件的补充、修改与撤回</w:t>
      </w:r>
    </w:p>
    <w:p w14:paraId="0BEC07A2">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详见“供应商须知前附表”。</w:t>
      </w:r>
    </w:p>
    <w:p w14:paraId="23871CAA">
      <w:pPr>
        <w:spacing w:line="360" w:lineRule="auto"/>
        <w:ind w:firstLine="482" w:firstLineChars="200"/>
        <w:rPr>
          <w:rFonts w:ascii="宋体" w:hAnsi="宋体" w:cs="宋体"/>
          <w:b/>
          <w:bCs/>
          <w:color w:val="000000"/>
          <w:sz w:val="24"/>
          <w:highlight w:val="none"/>
        </w:rPr>
      </w:pPr>
      <w:bookmarkStart w:id="50" w:name="_Hlk45702405"/>
      <w:r>
        <w:rPr>
          <w:rFonts w:hint="eastAsia" w:ascii="宋体" w:hAnsi="宋体" w:cs="宋体"/>
          <w:b/>
          <w:bCs/>
          <w:color w:val="000000"/>
          <w:sz w:val="24"/>
          <w:highlight w:val="none"/>
        </w:rPr>
        <w:t>22.首次响应文件的退回</w:t>
      </w:r>
    </w:p>
    <w:p w14:paraId="4FD7C571">
      <w:pPr>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在首次响应文件提交截止时间止提交响应文件的供应商不足3家时电子响应文件由</w:t>
      </w:r>
      <w:r>
        <w:rPr>
          <w:rFonts w:hint="eastAsia" w:ascii="宋体" w:hAnsi="宋体" w:cs="宋体"/>
          <w:color w:val="000000"/>
          <w:szCs w:val="21"/>
          <w:highlight w:val="none"/>
          <w:lang w:val="en-US" w:eastAsia="zh-CN"/>
        </w:rPr>
        <w:t>采购</w:t>
      </w:r>
      <w:r>
        <w:rPr>
          <w:rFonts w:hint="eastAsia" w:ascii="宋体" w:hAnsi="宋体" w:cs="宋体"/>
          <w:color w:val="000000"/>
          <w:szCs w:val="21"/>
          <w:highlight w:val="none"/>
        </w:rPr>
        <w:t>代理机构在</w:t>
      </w:r>
      <w:r>
        <w:rPr>
          <w:rFonts w:hint="eastAsia" w:ascii="宋体" w:hAnsi="宋体" w:cs="宋体"/>
          <w:color w:val="000000"/>
          <w:szCs w:val="21"/>
          <w:highlight w:val="none"/>
          <w:lang w:val="en-US" w:eastAsia="zh-CN"/>
        </w:rPr>
        <w:t>广西政府采购</w:t>
      </w:r>
      <w:r>
        <w:rPr>
          <w:rFonts w:hint="eastAsia" w:ascii="宋体" w:hAnsi="宋体" w:cs="宋体"/>
          <w:color w:val="000000"/>
          <w:szCs w:val="21"/>
          <w:highlight w:val="none"/>
        </w:rPr>
        <w:t>云平台操作退回，除此之外采购人和采购代理机构对已提交的电子响应文件概不退回。</w:t>
      </w:r>
    </w:p>
    <w:p w14:paraId="33B2860F">
      <w:pPr>
        <w:spacing w:line="360" w:lineRule="auto"/>
        <w:ind w:firstLine="482" w:firstLineChars="200"/>
        <w:rPr>
          <w:rFonts w:ascii="宋体" w:hAnsi="宋体" w:cs="宋体"/>
          <w:b/>
          <w:bCs/>
          <w:color w:val="000000"/>
          <w:sz w:val="24"/>
          <w:highlight w:val="none"/>
        </w:rPr>
      </w:pPr>
      <w:r>
        <w:rPr>
          <w:rFonts w:hint="eastAsia" w:ascii="宋体" w:hAnsi="宋体" w:cs="宋体"/>
          <w:b/>
          <w:bCs/>
          <w:color w:val="000000"/>
          <w:sz w:val="24"/>
          <w:highlight w:val="none"/>
        </w:rPr>
        <w:t>23.截止时间后的撤回</w:t>
      </w:r>
    </w:p>
    <w:p w14:paraId="54CB2586">
      <w:pPr>
        <w:spacing w:line="360" w:lineRule="auto"/>
        <w:ind w:firstLine="420" w:firstLineChars="200"/>
        <w:rPr>
          <w:rFonts w:ascii="宋体" w:hAnsi="宋体"/>
          <w:color w:val="000000"/>
          <w:szCs w:val="21"/>
          <w:highlight w:val="none"/>
        </w:rPr>
      </w:pPr>
      <w:r>
        <w:rPr>
          <w:rFonts w:hint="eastAsia" w:ascii="宋体" w:hAnsi="宋体" w:cs="宋体"/>
          <w:color w:val="000000"/>
          <w:szCs w:val="21"/>
          <w:highlight w:val="none"/>
        </w:rPr>
        <w:t>本项目不收取磋商保证金，供应商在首次响应文件提交截止时间后可向采购人、采购代理机构书面申请撤回电子响应文件。</w:t>
      </w:r>
      <w:bookmarkEnd w:id="50"/>
    </w:p>
    <w:p w14:paraId="182DDB1B">
      <w:pPr>
        <w:keepNext/>
        <w:keepLines/>
        <w:spacing w:line="360" w:lineRule="auto"/>
        <w:ind w:firstLine="643" w:firstLineChars="200"/>
        <w:outlineLvl w:val="2"/>
        <w:rPr>
          <w:rFonts w:ascii="宋体" w:hAnsi="宋体"/>
          <w:b/>
          <w:bCs/>
          <w:color w:val="000000"/>
          <w:sz w:val="32"/>
          <w:szCs w:val="32"/>
          <w:highlight w:val="none"/>
        </w:rPr>
      </w:pPr>
      <w:bookmarkStart w:id="51" w:name="_Toc8327"/>
      <w:r>
        <w:rPr>
          <w:rFonts w:hint="eastAsia" w:ascii="宋体" w:hAnsi="宋体"/>
          <w:b/>
          <w:bCs/>
          <w:color w:val="000000"/>
          <w:sz w:val="32"/>
          <w:szCs w:val="32"/>
          <w:highlight w:val="none"/>
        </w:rPr>
        <w:t>四、评审及磋商</w:t>
      </w:r>
      <w:bookmarkEnd w:id="51"/>
    </w:p>
    <w:p w14:paraId="40D0B209">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ascii="宋体" w:hAnsi="宋体" w:cs="宋体"/>
          <w:b/>
          <w:bCs/>
          <w:color w:val="000000"/>
          <w:sz w:val="24"/>
          <w:highlight w:val="none"/>
        </w:rPr>
      </w:pPr>
      <w:r>
        <w:rPr>
          <w:rFonts w:hint="eastAsia" w:ascii="宋体" w:hAnsi="宋体" w:cs="宋体"/>
          <w:b/>
          <w:bCs/>
          <w:color w:val="000000"/>
          <w:sz w:val="24"/>
          <w:highlight w:val="none"/>
        </w:rPr>
        <w:t>24.磋商小组成立</w:t>
      </w:r>
    </w:p>
    <w:p w14:paraId="46C75482">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6F9AEE3D">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2FFA2A3C">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ascii="宋体" w:hAnsi="宋体" w:cs="宋体"/>
          <w:b/>
          <w:bCs/>
          <w:color w:val="000000"/>
          <w:sz w:val="24"/>
          <w:highlight w:val="none"/>
        </w:rPr>
      </w:pPr>
      <w:r>
        <w:rPr>
          <w:rFonts w:ascii="宋体" w:hAnsi="宋体" w:cs="宋体"/>
          <w:b/>
          <w:bCs/>
          <w:color w:val="000000"/>
          <w:sz w:val="24"/>
          <w:highlight w:val="none"/>
        </w:rPr>
        <w:t>25.</w:t>
      </w:r>
      <w:r>
        <w:rPr>
          <w:rFonts w:hint="eastAsia" w:ascii="宋体" w:hAnsi="宋体" w:cs="宋体"/>
          <w:b/>
          <w:bCs/>
          <w:color w:val="000000"/>
          <w:sz w:val="24"/>
          <w:highlight w:val="none"/>
        </w:rPr>
        <w:t>首次响应文件的开启</w:t>
      </w:r>
    </w:p>
    <w:p w14:paraId="08C8CF48">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2</w:t>
      </w:r>
      <w:r>
        <w:rPr>
          <w:rFonts w:ascii="宋体" w:hAnsi="宋体" w:cs="宋体"/>
          <w:color w:val="000000"/>
          <w:szCs w:val="21"/>
          <w:highlight w:val="none"/>
        </w:rPr>
        <w:t>5.1</w:t>
      </w:r>
      <w:r>
        <w:rPr>
          <w:rFonts w:hint="eastAsia" w:ascii="宋体" w:hAnsi="宋体" w:cs="宋体"/>
          <w:color w:val="000000"/>
          <w:szCs w:val="21"/>
          <w:highlight w:val="none"/>
        </w:rPr>
        <w:t>首次响应文件由磋商小组或者采购代理机构在“供应商须知前附表”规定的时间开启。</w:t>
      </w:r>
    </w:p>
    <w:p w14:paraId="31E73ED5">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bCs/>
          <w:color w:val="000000"/>
          <w:kern w:val="0"/>
          <w:szCs w:val="21"/>
          <w:highlight w:val="none"/>
        </w:rPr>
      </w:pPr>
      <w:r>
        <w:rPr>
          <w:rFonts w:ascii="宋体" w:hAnsi="宋体" w:cs="宋体"/>
          <w:color w:val="000000"/>
          <w:kern w:val="0"/>
          <w:szCs w:val="21"/>
          <w:highlight w:val="none"/>
        </w:rPr>
        <w:t xml:space="preserve">25.2 </w:t>
      </w:r>
      <w:r>
        <w:rPr>
          <w:rFonts w:hint="eastAsia" w:ascii="宋体" w:hAnsi="宋体"/>
          <w:bCs/>
          <w:color w:val="000000"/>
          <w:kern w:val="0"/>
          <w:szCs w:val="21"/>
          <w:highlight w:val="none"/>
        </w:rPr>
        <w:t>响应文件解密</w:t>
      </w:r>
    </w:p>
    <w:p w14:paraId="72ABAC53">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ascii="宋体" w:hAnsi="宋体"/>
          <w:color w:val="000000"/>
          <w:kern w:val="0"/>
          <w:szCs w:val="21"/>
          <w:highlight w:val="none"/>
        </w:rPr>
      </w:pPr>
      <w:r>
        <w:rPr>
          <w:rFonts w:hint="eastAsia" w:ascii="宋体" w:hAnsi="宋体"/>
          <w:bCs/>
          <w:color w:val="000000"/>
          <w:kern w:val="0"/>
          <w:szCs w:val="21"/>
          <w:highlight w:val="none"/>
        </w:rPr>
        <w:t>采购代理机构将在“供应商须知前附表”规定的时</w:t>
      </w:r>
      <w:r>
        <w:rPr>
          <w:rFonts w:hint="eastAsia" w:ascii="宋体" w:hAnsi="宋体"/>
          <w:color w:val="000000"/>
          <w:kern w:val="0"/>
          <w:szCs w:val="21"/>
          <w:highlight w:val="none"/>
        </w:rPr>
        <w:t>间通过电子交易平台组织响应文件开启，采购机构依托电子交易平台发起开始解密指令，供应商的法定代表人或其委托代理人</w:t>
      </w:r>
      <w:r>
        <w:rPr>
          <w:rFonts w:hint="eastAsia" w:ascii="宋体" w:hAnsi="宋体"/>
          <w:b/>
          <w:color w:val="000000"/>
          <w:kern w:val="0"/>
          <w:szCs w:val="21"/>
          <w:highlight w:val="none"/>
        </w:rPr>
        <w:t>须携带加密时所用的CA锁按平台提示和采购文件的规定登录到“</w:t>
      </w:r>
      <w:r>
        <w:rPr>
          <w:rFonts w:hint="eastAsia" w:ascii="宋体" w:hAnsi="宋体"/>
          <w:b/>
          <w:color w:val="000000"/>
          <w:kern w:val="0"/>
          <w:szCs w:val="21"/>
          <w:highlight w:val="none"/>
          <w:lang w:val="en-US" w:eastAsia="zh-CN"/>
        </w:rPr>
        <w:t>广西政府采购云</w:t>
      </w:r>
      <w:r>
        <w:rPr>
          <w:rFonts w:hint="eastAsia" w:ascii="宋体" w:hAnsi="宋体"/>
          <w:b/>
          <w:color w:val="000000"/>
          <w:kern w:val="0"/>
          <w:szCs w:val="21"/>
          <w:highlight w:val="none"/>
        </w:rPr>
        <w:t>平台”电子开标大厅签到并在发起解密指令之时起30分钟内完成对电子响应文件在线解密</w:t>
      </w:r>
      <w:r>
        <w:rPr>
          <w:rFonts w:hint="eastAsia" w:ascii="宋体" w:hAnsi="宋体"/>
          <w:color w:val="000000"/>
          <w:kern w:val="0"/>
          <w:szCs w:val="21"/>
          <w:highlight w:val="none"/>
        </w:rPr>
        <w:t>。供应商没预留联系方式或预留联系方式无效，导致</w:t>
      </w:r>
      <w:r>
        <w:rPr>
          <w:rFonts w:hint="eastAsia" w:ascii="宋体" w:hAnsi="宋体"/>
          <w:color w:val="000000"/>
          <w:kern w:val="0"/>
          <w:szCs w:val="21"/>
          <w:highlight w:val="none"/>
          <w:lang w:val="en-US" w:eastAsia="zh-CN"/>
        </w:rPr>
        <w:t>采购</w:t>
      </w:r>
      <w:r>
        <w:rPr>
          <w:rFonts w:hint="eastAsia" w:ascii="宋体" w:hAnsi="宋体"/>
          <w:color w:val="000000"/>
          <w:kern w:val="0"/>
          <w:szCs w:val="21"/>
          <w:highlight w:val="none"/>
        </w:rPr>
        <w:t>代理机构无法联系到供应商进行解密的，</w:t>
      </w:r>
      <w:r>
        <w:rPr>
          <w:rFonts w:hint="eastAsia" w:ascii="宋体" w:hAnsi="宋体"/>
          <w:b/>
          <w:color w:val="000000"/>
          <w:kern w:val="0"/>
          <w:szCs w:val="21"/>
          <w:highlight w:val="none"/>
        </w:rPr>
        <w:t>视为响应文件无效。</w:t>
      </w:r>
      <w:r>
        <w:rPr>
          <w:rFonts w:hint="eastAsia" w:ascii="宋体" w:hAnsi="宋体"/>
          <w:color w:val="000000"/>
          <w:kern w:val="0"/>
          <w:szCs w:val="21"/>
          <w:highlight w:val="none"/>
        </w:rPr>
        <w:t>（解密</w:t>
      </w:r>
      <w:r>
        <w:rPr>
          <w:rFonts w:hint="eastAsia" w:ascii="宋体" w:hAnsi="宋体"/>
          <w:bCs/>
          <w:color w:val="000000"/>
          <w:kern w:val="0"/>
          <w:szCs w:val="21"/>
          <w:highlight w:val="none"/>
        </w:rPr>
        <w:t>异常情况处理：详见本章</w:t>
      </w:r>
      <w:r>
        <w:rPr>
          <w:rFonts w:hint="eastAsia" w:ascii="宋体" w:hAnsi="宋体"/>
          <w:color w:val="000000"/>
          <w:kern w:val="0"/>
          <w:szCs w:val="21"/>
          <w:highlight w:val="none"/>
        </w:rPr>
        <w:t>26.</w:t>
      </w:r>
      <w:r>
        <w:rPr>
          <w:rFonts w:hint="eastAsia" w:ascii="宋体" w:hAnsi="宋体"/>
          <w:color w:val="000000"/>
          <w:kern w:val="0"/>
          <w:szCs w:val="21"/>
          <w:highlight w:val="none"/>
          <w:lang w:val="en-US" w:eastAsia="zh-CN"/>
        </w:rPr>
        <w:t>4</w:t>
      </w:r>
      <w:r>
        <w:rPr>
          <w:rFonts w:hint="eastAsia" w:ascii="宋体" w:hAnsi="宋体"/>
          <w:color w:val="000000"/>
          <w:kern w:val="0"/>
          <w:szCs w:val="21"/>
          <w:highlight w:val="none"/>
        </w:rPr>
        <w:t xml:space="preserve"> 电子交易活动的中止。）</w:t>
      </w:r>
    </w:p>
    <w:p w14:paraId="138A8E8B">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kern w:val="0"/>
          <w:szCs w:val="21"/>
          <w:highlight w:val="none"/>
        </w:rPr>
      </w:pPr>
      <w:r>
        <w:rPr>
          <w:rFonts w:hint="eastAsia" w:ascii="宋体" w:hAnsi="宋体"/>
          <w:color w:val="000000"/>
          <w:kern w:val="0"/>
          <w:szCs w:val="21"/>
          <w:highlight w:val="none"/>
        </w:rPr>
        <w:t>如</w:t>
      </w:r>
      <w:r>
        <w:rPr>
          <w:rFonts w:hint="eastAsia" w:ascii="宋体" w:hAnsi="宋体"/>
          <w:bCs/>
          <w:color w:val="000000"/>
          <w:kern w:val="0"/>
          <w:szCs w:val="21"/>
          <w:highlight w:val="none"/>
        </w:rPr>
        <w:t>供应商成功解密响应文件，但未在“</w:t>
      </w:r>
      <w:r>
        <w:rPr>
          <w:rFonts w:hint="eastAsia" w:ascii="宋体" w:hAnsi="宋体"/>
          <w:bCs/>
          <w:color w:val="000000"/>
          <w:kern w:val="0"/>
          <w:szCs w:val="21"/>
          <w:highlight w:val="none"/>
          <w:lang w:val="en-US" w:eastAsia="zh-CN"/>
        </w:rPr>
        <w:t>广西政府采购</w:t>
      </w:r>
      <w:r>
        <w:rPr>
          <w:rFonts w:hint="eastAsia" w:ascii="宋体" w:hAnsi="宋体"/>
          <w:bCs/>
          <w:color w:val="000000"/>
          <w:kern w:val="0"/>
          <w:szCs w:val="21"/>
          <w:highlight w:val="none"/>
        </w:rPr>
        <w:t>云</w:t>
      </w:r>
      <w:r>
        <w:rPr>
          <w:rFonts w:hint="eastAsia" w:ascii="宋体" w:hAnsi="宋体"/>
          <w:bCs/>
          <w:color w:val="000000"/>
          <w:kern w:val="0"/>
          <w:szCs w:val="21"/>
          <w:highlight w:val="none"/>
          <w:lang w:val="en-US" w:eastAsia="zh-CN"/>
        </w:rPr>
        <w:t>平台</w:t>
      </w:r>
      <w:r>
        <w:rPr>
          <w:rFonts w:hint="eastAsia" w:ascii="宋体" w:hAnsi="宋体"/>
          <w:bCs/>
          <w:color w:val="000000"/>
          <w:kern w:val="0"/>
          <w:szCs w:val="21"/>
          <w:highlight w:val="none"/>
        </w:rPr>
        <w:t>”电子开标大厅参加</w:t>
      </w:r>
      <w:r>
        <w:rPr>
          <w:rFonts w:hint="eastAsia" w:ascii="宋体" w:hAnsi="宋体"/>
          <w:bCs/>
          <w:color w:val="000000"/>
          <w:kern w:val="0"/>
          <w:szCs w:val="21"/>
          <w:highlight w:val="none"/>
          <w:lang w:val="en-US" w:eastAsia="zh-CN"/>
        </w:rPr>
        <w:t>磋商</w:t>
      </w:r>
      <w:r>
        <w:rPr>
          <w:rFonts w:hint="eastAsia" w:ascii="宋体" w:hAnsi="宋体"/>
          <w:bCs/>
          <w:color w:val="000000"/>
          <w:kern w:val="0"/>
          <w:szCs w:val="21"/>
          <w:highlight w:val="none"/>
        </w:rPr>
        <w:t>的，视同认可</w:t>
      </w:r>
      <w:r>
        <w:rPr>
          <w:rFonts w:hint="eastAsia" w:ascii="宋体" w:hAnsi="宋体"/>
          <w:bCs/>
          <w:color w:val="000000"/>
          <w:kern w:val="0"/>
          <w:szCs w:val="21"/>
          <w:highlight w:val="none"/>
          <w:lang w:val="en-US" w:eastAsia="zh-CN"/>
        </w:rPr>
        <w:t>磋商</w:t>
      </w:r>
      <w:r>
        <w:rPr>
          <w:rFonts w:hint="eastAsia" w:ascii="宋体" w:hAnsi="宋体"/>
          <w:bCs/>
          <w:color w:val="000000"/>
          <w:kern w:val="0"/>
          <w:szCs w:val="21"/>
          <w:highlight w:val="none"/>
        </w:rPr>
        <w:t>过程和结果，</w:t>
      </w:r>
      <w:r>
        <w:rPr>
          <w:rFonts w:hint="eastAsia" w:ascii="宋体" w:hAnsi="宋体"/>
          <w:color w:val="000000"/>
          <w:kern w:val="0"/>
          <w:szCs w:val="21"/>
          <w:highlight w:val="none"/>
        </w:rPr>
        <w:t>由此产生的后果由供应商自行负责。 参与</w:t>
      </w:r>
      <w:r>
        <w:rPr>
          <w:rFonts w:hint="eastAsia" w:ascii="宋体" w:hAnsi="宋体"/>
          <w:bCs/>
          <w:color w:val="000000"/>
          <w:kern w:val="0"/>
          <w:szCs w:val="21"/>
          <w:highlight w:val="none"/>
          <w:lang w:val="en-US" w:eastAsia="zh-CN"/>
        </w:rPr>
        <w:t>磋商</w:t>
      </w:r>
      <w:r>
        <w:rPr>
          <w:rFonts w:hint="eastAsia" w:ascii="宋体" w:hAnsi="宋体"/>
          <w:color w:val="000000"/>
          <w:kern w:val="0"/>
          <w:szCs w:val="21"/>
          <w:highlight w:val="none"/>
        </w:rPr>
        <w:t>的供应商不足3家的，不得</w:t>
      </w:r>
      <w:r>
        <w:rPr>
          <w:rFonts w:hint="eastAsia" w:ascii="宋体" w:hAnsi="宋体"/>
          <w:bCs/>
          <w:color w:val="000000"/>
          <w:kern w:val="0"/>
          <w:szCs w:val="21"/>
          <w:highlight w:val="none"/>
          <w:lang w:val="en-US" w:eastAsia="zh-CN"/>
        </w:rPr>
        <w:t>磋商</w:t>
      </w:r>
      <w:r>
        <w:rPr>
          <w:rFonts w:hint="eastAsia" w:ascii="宋体" w:hAnsi="宋体"/>
          <w:color w:val="000000"/>
          <w:kern w:val="0"/>
          <w:szCs w:val="21"/>
          <w:highlight w:val="none"/>
        </w:rPr>
        <w:t>。</w:t>
      </w:r>
    </w:p>
    <w:p w14:paraId="6A8DEAE8">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ascii="宋体" w:hAnsi="宋体" w:cs="宋体"/>
          <w:b/>
          <w:bCs/>
          <w:color w:val="000000"/>
          <w:sz w:val="24"/>
          <w:highlight w:val="none"/>
        </w:rPr>
      </w:pPr>
      <w:r>
        <w:rPr>
          <w:rFonts w:ascii="宋体" w:hAnsi="宋体" w:cs="宋体"/>
          <w:b/>
          <w:bCs/>
          <w:color w:val="000000"/>
          <w:sz w:val="24"/>
          <w:highlight w:val="none"/>
        </w:rPr>
        <w:t>26</w:t>
      </w:r>
      <w:r>
        <w:rPr>
          <w:rFonts w:hint="eastAsia" w:ascii="宋体" w:hAnsi="宋体" w:cs="宋体"/>
          <w:b/>
          <w:bCs/>
          <w:color w:val="000000"/>
          <w:sz w:val="24"/>
          <w:highlight w:val="none"/>
        </w:rPr>
        <w:t>.评审程序、评审方法和评审标准</w:t>
      </w:r>
    </w:p>
    <w:p w14:paraId="47A343C3">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s="宋体"/>
          <w:color w:val="000000"/>
          <w:szCs w:val="21"/>
          <w:highlight w:val="none"/>
        </w:rPr>
      </w:pPr>
      <w:r>
        <w:rPr>
          <w:rFonts w:ascii="宋体" w:hAnsi="宋体" w:cs="宋体"/>
          <w:color w:val="000000"/>
          <w:szCs w:val="21"/>
          <w:highlight w:val="none"/>
        </w:rPr>
        <w:t>26.1</w:t>
      </w:r>
      <w:r>
        <w:rPr>
          <w:rFonts w:hint="eastAsia" w:ascii="宋体" w:hAnsi="宋体" w:cs="宋体"/>
          <w:color w:val="000000"/>
          <w:szCs w:val="21"/>
          <w:highlight w:val="none"/>
        </w:rPr>
        <w:t>磋商小组</w:t>
      </w:r>
      <w:r>
        <w:rPr>
          <w:rFonts w:ascii="宋体" w:hAnsi="宋体" w:cs="宋体"/>
          <w:color w:val="000000"/>
          <w:szCs w:val="21"/>
          <w:highlight w:val="none"/>
        </w:rPr>
        <w:t>按照</w:t>
      </w:r>
      <w:r>
        <w:rPr>
          <w:rFonts w:hint="eastAsia" w:ascii="宋体" w:hAnsi="宋体" w:cs="宋体"/>
          <w:color w:val="000000"/>
          <w:szCs w:val="21"/>
          <w:highlight w:val="none"/>
        </w:rPr>
        <w:t>“第四章 评审程序、评审方法和评审标准”</w:t>
      </w:r>
      <w:r>
        <w:rPr>
          <w:rFonts w:ascii="宋体" w:hAnsi="宋体" w:cs="宋体"/>
          <w:color w:val="000000"/>
          <w:szCs w:val="21"/>
          <w:highlight w:val="none"/>
        </w:rPr>
        <w:t>规定的方法、评审因素、标准和程序对</w:t>
      </w:r>
      <w:r>
        <w:rPr>
          <w:rFonts w:hint="eastAsia" w:ascii="宋体" w:hAnsi="宋体" w:cs="宋体"/>
          <w:color w:val="000000"/>
          <w:szCs w:val="21"/>
          <w:highlight w:val="none"/>
        </w:rPr>
        <w:t>响应</w:t>
      </w:r>
      <w:r>
        <w:rPr>
          <w:rFonts w:ascii="宋体" w:hAnsi="宋体" w:cs="宋体"/>
          <w:color w:val="000000"/>
          <w:szCs w:val="21"/>
          <w:highlight w:val="none"/>
        </w:rPr>
        <w:t>文件进行评审。</w:t>
      </w:r>
    </w:p>
    <w:p w14:paraId="38581F3E">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rPr>
        <w:t>26.2 磋商文件内容违反国家有关强制性规定的，磋商小组应当停止评审并向采购人或者采购代理机构说明情况，并在评审报告中书面体现。</w:t>
      </w:r>
    </w:p>
    <w:p w14:paraId="5AE69500">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rPr>
        <w:t>2</w:t>
      </w:r>
      <w:r>
        <w:rPr>
          <w:rFonts w:ascii="宋体" w:hAnsi="宋体"/>
          <w:color w:val="000000"/>
          <w:szCs w:val="21"/>
          <w:highlight w:val="none"/>
        </w:rPr>
        <w:t xml:space="preserve">6.3 </w:t>
      </w:r>
      <w:r>
        <w:rPr>
          <w:rFonts w:hint="eastAsia" w:ascii="宋体" w:hAnsi="宋体"/>
          <w:color w:val="000000"/>
          <w:szCs w:val="21"/>
          <w:highlight w:val="none"/>
        </w:rPr>
        <w:t>采购需求负偏离要求及磋商顺序详见“供应商须知前附表”。</w:t>
      </w:r>
    </w:p>
    <w:p w14:paraId="78C00C95">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highlight w:val="none"/>
        </w:rPr>
      </w:pPr>
      <w:r>
        <w:rPr>
          <w:rFonts w:hint="eastAsia" w:ascii="宋体" w:hAnsi="宋体"/>
          <w:color w:val="000000"/>
          <w:highlight w:val="none"/>
        </w:rPr>
        <w:t>2</w:t>
      </w:r>
      <w:r>
        <w:rPr>
          <w:rFonts w:ascii="宋体" w:hAnsi="宋体"/>
          <w:color w:val="000000"/>
          <w:highlight w:val="none"/>
        </w:rPr>
        <w:t>6.4</w:t>
      </w:r>
      <w:r>
        <w:rPr>
          <w:rFonts w:hint="eastAsia" w:ascii="宋体" w:hAnsi="宋体"/>
          <w:color w:val="000000"/>
          <w:highlight w:val="none"/>
        </w:rPr>
        <w:t>电子交易活动的中止。采购过程中出现以下情形，导致电子交易平台无法正常运行，或者无法保证电子交易的公平、公正和安全时，采购</w:t>
      </w:r>
      <w:r>
        <w:rPr>
          <w:rFonts w:hint="eastAsia" w:ascii="宋体" w:hAnsi="宋体"/>
          <w:color w:val="000000"/>
          <w:highlight w:val="none"/>
          <w:lang w:val="en-US" w:eastAsia="zh-CN"/>
        </w:rPr>
        <w:t>代理</w:t>
      </w:r>
      <w:r>
        <w:rPr>
          <w:rFonts w:hint="eastAsia" w:ascii="宋体" w:hAnsi="宋体"/>
          <w:color w:val="000000"/>
          <w:highlight w:val="none"/>
        </w:rPr>
        <w:t>机构可中止电子交易活动：</w:t>
      </w:r>
    </w:p>
    <w:p w14:paraId="4BD4DFE3">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highlight w:val="none"/>
        </w:rPr>
      </w:pPr>
      <w:r>
        <w:rPr>
          <w:rFonts w:hint="eastAsia" w:ascii="宋体" w:hAnsi="宋体"/>
          <w:color w:val="000000"/>
          <w:highlight w:val="none"/>
        </w:rPr>
        <w:t xml:space="preserve">（1）电子交易平台发生故障而无法登录访问的； </w:t>
      </w:r>
    </w:p>
    <w:p w14:paraId="779B90E6">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highlight w:val="none"/>
        </w:rPr>
      </w:pPr>
      <w:r>
        <w:rPr>
          <w:rFonts w:hint="eastAsia" w:ascii="宋体" w:hAnsi="宋体"/>
          <w:color w:val="000000"/>
          <w:highlight w:val="none"/>
        </w:rPr>
        <w:t>（2）电子交易平台应用或数据库出现错误，不能进行正常操作的；</w:t>
      </w:r>
    </w:p>
    <w:p w14:paraId="1794DFE1">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highlight w:val="none"/>
        </w:rPr>
      </w:pPr>
      <w:r>
        <w:rPr>
          <w:rFonts w:hint="eastAsia" w:ascii="宋体" w:hAnsi="宋体"/>
          <w:color w:val="000000"/>
          <w:highlight w:val="none"/>
        </w:rPr>
        <w:t>（3）电子交易平台发现严重安全漏洞，有潜在泄密危险的；</w:t>
      </w:r>
    </w:p>
    <w:p w14:paraId="42D87F42">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highlight w:val="none"/>
        </w:rPr>
      </w:pPr>
      <w:r>
        <w:rPr>
          <w:rFonts w:hint="eastAsia" w:ascii="宋体" w:hAnsi="宋体"/>
          <w:color w:val="000000"/>
          <w:highlight w:val="none"/>
        </w:rPr>
        <w:t xml:space="preserve">（4）病毒发作导致不能进行正常操作的； </w:t>
      </w:r>
    </w:p>
    <w:p w14:paraId="57625845">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highlight w:val="none"/>
        </w:rPr>
      </w:pPr>
      <w:r>
        <w:rPr>
          <w:rFonts w:hint="eastAsia" w:ascii="宋体" w:hAnsi="宋体"/>
          <w:color w:val="000000"/>
          <w:highlight w:val="none"/>
        </w:rPr>
        <w:t>（5）其他无法保证电子交易的公平、公正和安全的情况。</w:t>
      </w:r>
    </w:p>
    <w:p w14:paraId="7D430D31">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highlight w:val="none"/>
        </w:rPr>
      </w:pPr>
      <w:r>
        <w:rPr>
          <w:rFonts w:hint="eastAsia" w:ascii="宋体" w:hAnsi="宋体"/>
          <w:color w:val="000000"/>
          <w:highlight w:val="none"/>
        </w:rPr>
        <w:t>26.</w:t>
      </w:r>
      <w:r>
        <w:rPr>
          <w:rFonts w:hint="eastAsia" w:ascii="宋体" w:hAnsi="宋体"/>
          <w:color w:val="000000"/>
          <w:highlight w:val="none"/>
          <w:lang w:val="en-US" w:eastAsia="zh-CN"/>
        </w:rPr>
        <w:t>5</w:t>
      </w:r>
      <w:r>
        <w:rPr>
          <w:rFonts w:hint="eastAsia" w:ascii="宋体" w:hAnsi="宋体"/>
          <w:color w:val="000000"/>
          <w:highlight w:val="none"/>
        </w:rPr>
        <w:t>出现以上情形，不影响采购公平、公正性的，采购</w:t>
      </w:r>
      <w:r>
        <w:rPr>
          <w:rFonts w:hint="eastAsia" w:ascii="宋体" w:hAnsi="宋体"/>
          <w:color w:val="000000"/>
          <w:highlight w:val="none"/>
          <w:lang w:val="en-US" w:eastAsia="zh-CN"/>
        </w:rPr>
        <w:t>代理</w:t>
      </w:r>
      <w:r>
        <w:rPr>
          <w:rFonts w:hint="eastAsia" w:ascii="宋体" w:hAnsi="宋体"/>
          <w:color w:val="000000"/>
          <w:highlight w:val="none"/>
        </w:rPr>
        <w:t>机构可以待上述情形消除后继续组织电子交易活动；影响或可能影响采购公平、公正性的，经采购代理机构确认后，应当重新采购。采购代理机构必须对原有的资料及信息作出妥善保密处理，并报财政部门备案。</w:t>
      </w:r>
    </w:p>
    <w:p w14:paraId="7E308278">
      <w:pPr>
        <w:keepNext/>
        <w:keepLines/>
        <w:spacing w:line="360" w:lineRule="auto"/>
        <w:ind w:firstLine="482" w:firstLineChars="150"/>
        <w:outlineLvl w:val="2"/>
        <w:rPr>
          <w:rFonts w:ascii="宋体" w:hAnsi="宋体"/>
          <w:b/>
          <w:bCs/>
          <w:color w:val="000000"/>
          <w:sz w:val="32"/>
          <w:szCs w:val="32"/>
          <w:highlight w:val="none"/>
        </w:rPr>
      </w:pPr>
      <w:bookmarkStart w:id="52" w:name="_Toc6329"/>
      <w:r>
        <w:rPr>
          <w:rFonts w:hint="eastAsia" w:ascii="宋体" w:hAnsi="宋体"/>
          <w:b/>
          <w:bCs/>
          <w:color w:val="000000"/>
          <w:sz w:val="32"/>
          <w:szCs w:val="32"/>
          <w:highlight w:val="none"/>
        </w:rPr>
        <w:t>五、成交及合同</w:t>
      </w:r>
      <w:bookmarkEnd w:id="52"/>
    </w:p>
    <w:p w14:paraId="43F06B1C">
      <w:pPr>
        <w:keepNext w:val="0"/>
        <w:keepLines w:val="0"/>
        <w:pageBreakBefore w:val="0"/>
        <w:widowControl w:val="0"/>
        <w:kinsoku/>
        <w:wordWrap/>
        <w:overflowPunct/>
        <w:topLinePunct w:val="0"/>
        <w:autoSpaceDE/>
        <w:autoSpaceDN/>
        <w:bidi w:val="0"/>
        <w:spacing w:line="440" w:lineRule="exact"/>
        <w:ind w:firstLine="482" w:firstLineChars="200"/>
        <w:textAlignment w:val="auto"/>
        <w:rPr>
          <w:rFonts w:ascii="宋体" w:hAnsi="宋体" w:cs="宋体"/>
          <w:b/>
          <w:bCs/>
          <w:color w:val="000000"/>
          <w:sz w:val="24"/>
          <w:highlight w:val="none"/>
        </w:rPr>
      </w:pPr>
      <w:r>
        <w:rPr>
          <w:rFonts w:ascii="宋体" w:hAnsi="宋体" w:cs="宋体"/>
          <w:b/>
          <w:bCs/>
          <w:color w:val="000000"/>
          <w:sz w:val="24"/>
          <w:highlight w:val="none"/>
        </w:rPr>
        <w:t>27</w:t>
      </w:r>
      <w:r>
        <w:rPr>
          <w:rFonts w:hint="eastAsia" w:ascii="宋体" w:hAnsi="宋体" w:cs="宋体"/>
          <w:b/>
          <w:bCs/>
          <w:color w:val="000000"/>
          <w:sz w:val="24"/>
          <w:highlight w:val="none"/>
        </w:rPr>
        <w:t>.确定成交供应商及结果公告</w:t>
      </w:r>
    </w:p>
    <w:p w14:paraId="4218AD46">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ascii="宋体" w:hAnsi="宋体" w:cs="宋体"/>
          <w:color w:val="000000"/>
          <w:szCs w:val="21"/>
          <w:highlight w:val="none"/>
        </w:rPr>
        <w:t>27</w:t>
      </w:r>
      <w:r>
        <w:rPr>
          <w:rFonts w:hint="eastAsia" w:ascii="宋体" w:hAnsi="宋体" w:cs="宋体"/>
          <w:color w:val="000000"/>
          <w:szCs w:val="21"/>
          <w:highlight w:val="none"/>
        </w:rPr>
        <w:t>.1确定成交供应商。</w:t>
      </w:r>
      <w:r>
        <w:rPr>
          <w:rFonts w:hint="eastAsia" w:ascii="宋体" w:hAnsi="宋体" w:cs="宋体"/>
          <w:color w:val="000000"/>
          <w:kern w:val="0"/>
          <w:szCs w:val="21"/>
          <w:highlight w:val="none"/>
          <w:u w:val="single"/>
        </w:rPr>
        <w:t>由采购人直接委托评审专家确定</w:t>
      </w:r>
      <w:r>
        <w:rPr>
          <w:rFonts w:hint="eastAsia" w:ascii="宋体" w:hAnsi="宋体" w:cs="宋体"/>
          <w:color w:val="000000"/>
          <w:szCs w:val="21"/>
          <w:highlight w:val="none"/>
          <w:u w:val="single"/>
        </w:rPr>
        <w:t>，评审报告提出的排序第一的供应商为成交供应商。</w:t>
      </w:r>
    </w:p>
    <w:p w14:paraId="28C1776B">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ascii="宋体" w:hAnsi="宋体" w:cs="宋体"/>
          <w:color w:val="000000"/>
          <w:szCs w:val="21"/>
          <w:highlight w:val="none"/>
        </w:rPr>
        <w:t>27</w:t>
      </w:r>
      <w:r>
        <w:rPr>
          <w:rFonts w:hint="eastAsia" w:ascii="宋体" w:hAnsi="宋体" w:cs="宋体"/>
          <w:color w:val="000000"/>
          <w:szCs w:val="21"/>
          <w:highlight w:val="none"/>
        </w:rPr>
        <w:t>.2成交通知及成交结果公告。成交供应商确定后2个工作日内，在省级以上财政部门指定的媒体上公告成交结果，同时向成交供应商发出成交通知书，成交通知书规定签订合同的时间不得超过25日。</w:t>
      </w:r>
    </w:p>
    <w:p w14:paraId="64AFF44F">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s="Courier New"/>
          <w:color w:val="000000"/>
          <w:szCs w:val="21"/>
          <w:highlight w:val="none"/>
        </w:rPr>
      </w:pPr>
      <w:r>
        <w:rPr>
          <w:rFonts w:hint="eastAsia" w:ascii="宋体" w:hAnsi="宋体" w:cs="宋体"/>
          <w:color w:val="000000"/>
          <w:szCs w:val="21"/>
          <w:highlight w:val="none"/>
        </w:rPr>
        <w:t>27.3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w:t>
      </w:r>
      <w:r>
        <w:rPr>
          <w:rFonts w:hint="eastAsia" w:ascii="宋体" w:hAnsi="宋体" w:cs="宋体"/>
          <w:color w:val="000000"/>
          <w:szCs w:val="21"/>
          <w:highlight w:val="none"/>
          <w:lang w:val="en-US" w:eastAsia="zh-CN"/>
        </w:rPr>
        <w:t>竞争性磋商</w:t>
      </w:r>
      <w:r>
        <w:rPr>
          <w:rFonts w:hint="eastAsia" w:ascii="宋体" w:hAnsi="宋体" w:cs="宋体"/>
          <w:color w:val="000000"/>
          <w:szCs w:val="21"/>
          <w:highlight w:val="none"/>
        </w:rPr>
        <w:t>文件一并保存。</w:t>
      </w:r>
      <w:r>
        <w:rPr>
          <w:rFonts w:hint="eastAsia" w:ascii="宋体" w:hAnsi="宋体" w:cs="Courier New"/>
          <w:color w:val="000000"/>
          <w:szCs w:val="21"/>
          <w:highlight w:val="none"/>
        </w:rPr>
        <w:t>成交供应商享受</w:t>
      </w:r>
      <w:r>
        <w:rPr>
          <w:rFonts w:hint="eastAsia" w:ascii="宋体" w:hAnsi="宋体"/>
          <w:color w:val="000000"/>
          <w:szCs w:val="21"/>
          <w:highlight w:val="none"/>
        </w:rPr>
        <w:t>《政府采购促进中小企业发展管理办法》（财库〔2020〕46号）规定的中小企业扶持</w:t>
      </w:r>
      <w:r>
        <w:rPr>
          <w:rFonts w:hint="eastAsia" w:ascii="宋体" w:hAnsi="宋体" w:cs="Courier New"/>
          <w:color w:val="000000"/>
          <w:szCs w:val="21"/>
          <w:highlight w:val="none"/>
        </w:rPr>
        <w:t>政策的，采购人、采购代理机构应当随成交结果公开成交供应商的《中小企业声明函》。</w:t>
      </w:r>
    </w:p>
    <w:p w14:paraId="635D99CF">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2</w:t>
      </w:r>
      <w:r>
        <w:rPr>
          <w:rFonts w:ascii="宋体" w:hAnsi="宋体" w:cs="宋体"/>
          <w:color w:val="000000"/>
          <w:szCs w:val="21"/>
          <w:highlight w:val="none"/>
        </w:rPr>
        <w:t>7.</w:t>
      </w:r>
      <w:r>
        <w:rPr>
          <w:rFonts w:hint="eastAsia" w:ascii="宋体" w:hAnsi="宋体" w:cs="宋体"/>
          <w:color w:val="000000"/>
          <w:szCs w:val="21"/>
          <w:highlight w:val="none"/>
        </w:rPr>
        <w:t>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0E2F7AB8">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hint="eastAsia" w:ascii="宋体" w:hAnsi="宋体" w:eastAsia="宋体" w:cs="宋体"/>
          <w:color w:val="000000"/>
          <w:szCs w:val="21"/>
          <w:highlight w:val="yellow"/>
          <w:lang w:eastAsia="zh-CN"/>
        </w:rPr>
      </w:pPr>
      <w:r>
        <w:rPr>
          <w:rFonts w:hint="eastAsia" w:ascii="宋体" w:hAnsi="宋体" w:eastAsia="宋体" w:cs="宋体"/>
          <w:color w:val="000000"/>
          <w:szCs w:val="21"/>
          <w:highlight w:val="none"/>
        </w:rPr>
        <w:t>27.5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r>
        <w:rPr>
          <w:rFonts w:hint="eastAsia" w:ascii="宋体" w:hAnsi="宋体" w:eastAsia="宋体" w:cs="宋体"/>
          <w:color w:val="000000"/>
          <w:szCs w:val="21"/>
          <w:highlight w:val="none"/>
          <w:lang w:val="en-US" w:eastAsia="zh-CN"/>
        </w:rPr>
        <w:t>。</w:t>
      </w:r>
    </w:p>
    <w:p w14:paraId="7B799596">
      <w:pPr>
        <w:keepNext w:val="0"/>
        <w:keepLines w:val="0"/>
        <w:pageBreakBefore w:val="0"/>
        <w:widowControl w:val="0"/>
        <w:kinsoku/>
        <w:wordWrap/>
        <w:overflowPunct/>
        <w:topLinePunct w:val="0"/>
        <w:autoSpaceDE/>
        <w:autoSpaceDN/>
        <w:bidi w:val="0"/>
        <w:spacing w:line="440" w:lineRule="exact"/>
        <w:ind w:firstLine="482" w:firstLineChars="200"/>
        <w:textAlignment w:val="auto"/>
        <w:rPr>
          <w:rFonts w:ascii="宋体" w:hAnsi="宋体" w:cs="宋体"/>
          <w:b/>
          <w:bCs/>
          <w:color w:val="000000"/>
          <w:sz w:val="24"/>
          <w:highlight w:val="none"/>
        </w:rPr>
      </w:pPr>
      <w:r>
        <w:rPr>
          <w:rFonts w:ascii="宋体" w:hAnsi="宋体" w:cs="宋体"/>
          <w:b/>
          <w:bCs/>
          <w:color w:val="000000"/>
          <w:sz w:val="24"/>
          <w:highlight w:val="none"/>
        </w:rPr>
        <w:t>28</w:t>
      </w:r>
      <w:r>
        <w:rPr>
          <w:rFonts w:hint="eastAsia" w:ascii="宋体" w:hAnsi="宋体" w:cs="宋体"/>
          <w:b/>
          <w:bCs/>
          <w:color w:val="000000"/>
          <w:sz w:val="24"/>
          <w:highlight w:val="none"/>
        </w:rPr>
        <w:t>.履约保证金</w:t>
      </w:r>
    </w:p>
    <w:p w14:paraId="57E41F44">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hint="eastAsia" w:ascii="宋体" w:hAnsi="宋体" w:eastAsia="宋体" w:cs="宋体"/>
          <w:b/>
          <w:bCs/>
          <w:color w:val="000000"/>
          <w:sz w:val="24"/>
          <w:highlight w:val="none"/>
          <w:lang w:eastAsia="zh-CN"/>
        </w:rPr>
      </w:pPr>
      <w:r>
        <w:rPr>
          <w:rFonts w:hint="eastAsia" w:ascii="宋体" w:hAnsi="宋体" w:cs="宋体"/>
          <w:color w:val="000000"/>
          <w:szCs w:val="21"/>
          <w:highlight w:val="none"/>
        </w:rPr>
        <w:t>详见“供应商须知前附表”</w:t>
      </w:r>
      <w:r>
        <w:rPr>
          <w:rFonts w:hint="eastAsia" w:ascii="宋体" w:hAnsi="宋体" w:cs="宋体"/>
          <w:color w:val="000000"/>
          <w:szCs w:val="21"/>
          <w:highlight w:val="none"/>
          <w:lang w:eastAsia="zh-CN"/>
        </w:rPr>
        <w:t>。</w:t>
      </w:r>
    </w:p>
    <w:p w14:paraId="791369AF">
      <w:pPr>
        <w:keepNext w:val="0"/>
        <w:keepLines w:val="0"/>
        <w:pageBreakBefore w:val="0"/>
        <w:widowControl w:val="0"/>
        <w:kinsoku/>
        <w:wordWrap/>
        <w:overflowPunct/>
        <w:topLinePunct w:val="0"/>
        <w:autoSpaceDE/>
        <w:autoSpaceDN/>
        <w:bidi w:val="0"/>
        <w:spacing w:line="440" w:lineRule="exact"/>
        <w:ind w:firstLine="482" w:firstLineChars="200"/>
        <w:textAlignment w:val="auto"/>
        <w:rPr>
          <w:rFonts w:ascii="宋体" w:hAnsi="宋体" w:cs="宋体"/>
          <w:b/>
          <w:bCs/>
          <w:color w:val="000000"/>
          <w:sz w:val="24"/>
          <w:highlight w:val="none"/>
        </w:rPr>
      </w:pPr>
      <w:r>
        <w:rPr>
          <w:rFonts w:ascii="宋体" w:hAnsi="宋体" w:cs="宋体"/>
          <w:b/>
          <w:bCs/>
          <w:color w:val="000000"/>
          <w:sz w:val="24"/>
          <w:highlight w:val="none"/>
        </w:rPr>
        <w:t>29</w:t>
      </w:r>
      <w:r>
        <w:rPr>
          <w:rFonts w:hint="eastAsia" w:ascii="宋体" w:hAnsi="宋体" w:cs="宋体"/>
          <w:b/>
          <w:bCs/>
          <w:color w:val="000000"/>
          <w:sz w:val="24"/>
          <w:highlight w:val="none"/>
        </w:rPr>
        <w:t>.签订合同</w:t>
      </w:r>
    </w:p>
    <w:p w14:paraId="1A69437E">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ascii="宋体" w:hAnsi="宋体"/>
          <w:color w:val="000000"/>
          <w:kern w:val="0"/>
          <w:szCs w:val="21"/>
          <w:highlight w:val="none"/>
          <w:lang w:val="zh-CN"/>
        </w:rPr>
      </w:pPr>
      <w:r>
        <w:rPr>
          <w:rFonts w:ascii="宋体" w:hAnsi="宋体" w:cs="宋体"/>
          <w:color w:val="000000"/>
          <w:kern w:val="0"/>
          <w:szCs w:val="21"/>
          <w:highlight w:val="none"/>
        </w:rPr>
        <w:t>29.1</w:t>
      </w:r>
      <w:r>
        <w:rPr>
          <w:rFonts w:hint="eastAsia" w:ascii="宋体" w:hAnsi="宋体"/>
          <w:color w:val="000000"/>
          <w:kern w:val="0"/>
          <w:szCs w:val="21"/>
          <w:highlight w:val="none"/>
        </w:rPr>
        <w:t>采购人与成交供应商应当在</w:t>
      </w:r>
      <w:r>
        <w:rPr>
          <w:rFonts w:hint="eastAsia" w:ascii="宋体" w:hAnsi="宋体" w:cs="宋体"/>
          <w:color w:val="000000"/>
          <w:kern w:val="0"/>
          <w:szCs w:val="21"/>
          <w:highlight w:val="none"/>
        </w:rPr>
        <w:t>成交通知书规定的时间内</w:t>
      </w:r>
      <w:r>
        <w:rPr>
          <w:rFonts w:hint="eastAsia" w:ascii="宋体" w:hAnsi="宋体"/>
          <w:color w:val="000000"/>
          <w:kern w:val="0"/>
          <w:szCs w:val="21"/>
          <w:highlight w:val="none"/>
        </w:rPr>
        <w:t>，按照磋商文件确定的合同文本以及采购标的、服务技术、采购金额、采购数量、技术和服务要求等事项签订政府采购合同。</w:t>
      </w:r>
      <w:r>
        <w:rPr>
          <w:rFonts w:hint="eastAsia" w:ascii="宋体" w:hAnsi="宋体"/>
          <w:color w:val="000000"/>
          <w:kern w:val="0"/>
          <w:szCs w:val="21"/>
          <w:highlight w:val="none"/>
          <w:lang w:val="zh-CN"/>
        </w:rPr>
        <w:t>如成交供应商为联合体的，由联合体成员各方法定代表人或其授权代表与采购人代表签订合同。</w:t>
      </w:r>
    </w:p>
    <w:p w14:paraId="453AC320">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0AB9FF50">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rPr>
        <w:t>29.3成交供应商拒绝签订政府采购合同的，</w:t>
      </w:r>
      <w:r>
        <w:rPr>
          <w:rFonts w:hint="eastAsia" w:ascii="宋体" w:hAnsi="宋体" w:cs="宋体"/>
          <w:color w:val="000000"/>
          <w:szCs w:val="21"/>
          <w:highlight w:val="none"/>
        </w:rPr>
        <w:t>采购人可以按照评审报告推荐的成交候选人名单排序，确定下一候选人为成交供应商</w:t>
      </w:r>
      <w:r>
        <w:rPr>
          <w:rFonts w:hint="eastAsia" w:ascii="宋体" w:hAnsi="宋体"/>
          <w:color w:val="000000"/>
          <w:szCs w:val="21"/>
          <w:highlight w:val="none"/>
        </w:rPr>
        <w:t>，也可以重新开展采购活动。拒绝签订政府采购合同的成交供应商不得参加对该项目重新开展的采购活动。</w:t>
      </w:r>
    </w:p>
    <w:p w14:paraId="297AE254">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rPr>
        <w:t>29.4如签订合同并生效后，供应商无故拒绝或延期，除按照合同条款处理外，列入不良行为记录，并给予通报。</w:t>
      </w:r>
    </w:p>
    <w:p w14:paraId="57164B21">
      <w:pPr>
        <w:keepNext w:val="0"/>
        <w:keepLines w:val="0"/>
        <w:pageBreakBefore w:val="0"/>
        <w:widowControl w:val="0"/>
        <w:kinsoku/>
        <w:wordWrap/>
        <w:overflowPunct/>
        <w:topLinePunct w:val="0"/>
        <w:autoSpaceDE/>
        <w:autoSpaceDN/>
        <w:bidi w:val="0"/>
        <w:adjustRightInd w:val="0"/>
        <w:spacing w:line="440" w:lineRule="exact"/>
        <w:ind w:firstLine="420" w:firstLineChars="200"/>
        <w:textAlignment w:val="auto"/>
        <w:rPr>
          <w:rFonts w:ascii="宋体" w:hAnsi="宋体" w:cs="宋体"/>
          <w:color w:val="000000"/>
          <w:kern w:val="0"/>
          <w:sz w:val="24"/>
          <w:szCs w:val="21"/>
          <w:highlight w:val="none"/>
        </w:rPr>
      </w:pPr>
      <w:r>
        <w:rPr>
          <w:rFonts w:hint="eastAsia" w:ascii="宋体" w:hAnsi="宋体" w:cs="仿宋_GB2312"/>
          <w:color w:val="000000"/>
          <w:kern w:val="0"/>
          <w:szCs w:val="21"/>
          <w:highlight w:val="none"/>
        </w:rPr>
        <w:t>29</w:t>
      </w:r>
      <w:r>
        <w:rPr>
          <w:rFonts w:ascii="宋体" w:hAnsi="宋体" w:cs="仿宋_GB2312"/>
          <w:color w:val="000000"/>
          <w:kern w:val="0"/>
          <w:szCs w:val="21"/>
          <w:highlight w:val="none"/>
        </w:rPr>
        <w:t>.5采购合同由采购人与</w:t>
      </w:r>
      <w:r>
        <w:rPr>
          <w:rFonts w:hint="eastAsia" w:ascii="宋体" w:hAnsi="宋体" w:cs="仿宋_GB2312"/>
          <w:color w:val="000000"/>
          <w:kern w:val="0"/>
          <w:szCs w:val="21"/>
          <w:highlight w:val="none"/>
        </w:rPr>
        <w:t>成交</w:t>
      </w:r>
      <w:r>
        <w:rPr>
          <w:rFonts w:ascii="宋体" w:hAnsi="宋体" w:cs="仿宋_GB2312"/>
          <w:color w:val="000000"/>
          <w:kern w:val="0"/>
          <w:szCs w:val="21"/>
          <w:highlight w:val="none"/>
        </w:rPr>
        <w:t>供应商根据</w:t>
      </w:r>
      <w:r>
        <w:rPr>
          <w:rFonts w:hint="eastAsia" w:ascii="宋体" w:hAnsi="宋体"/>
          <w:color w:val="000000"/>
          <w:kern w:val="0"/>
          <w:szCs w:val="21"/>
          <w:highlight w:val="none"/>
        </w:rPr>
        <w:t>磋商文件</w:t>
      </w:r>
      <w:r>
        <w:rPr>
          <w:rFonts w:hint="eastAsia" w:ascii="宋体" w:hAnsi="宋体" w:cs="仿宋_GB2312"/>
          <w:color w:val="000000"/>
          <w:kern w:val="0"/>
          <w:szCs w:val="21"/>
          <w:highlight w:val="none"/>
        </w:rPr>
        <w:t>、响应文件等内容通过政府采购电子交易平台在线签订，自动备案，在线签订须携带的材料见“供应商须</w:t>
      </w:r>
      <w:r>
        <w:rPr>
          <w:rFonts w:hint="eastAsia" w:ascii="宋体" w:hAnsi="宋体"/>
          <w:color w:val="000000"/>
          <w:kern w:val="0"/>
          <w:szCs w:val="21"/>
          <w:highlight w:val="none"/>
        </w:rPr>
        <w:t>知前附表</w:t>
      </w:r>
      <w:r>
        <w:rPr>
          <w:rFonts w:hint="eastAsia" w:ascii="宋体" w:hAnsi="宋体" w:cs="仿宋_GB2312"/>
          <w:color w:val="000000"/>
          <w:kern w:val="0"/>
          <w:szCs w:val="21"/>
          <w:highlight w:val="none"/>
        </w:rPr>
        <w:t>”。</w:t>
      </w:r>
    </w:p>
    <w:p w14:paraId="1DE04FD4">
      <w:pPr>
        <w:keepNext w:val="0"/>
        <w:keepLines w:val="0"/>
        <w:pageBreakBefore w:val="0"/>
        <w:widowControl w:val="0"/>
        <w:kinsoku/>
        <w:wordWrap/>
        <w:overflowPunct/>
        <w:topLinePunct w:val="0"/>
        <w:autoSpaceDE/>
        <w:autoSpaceDN/>
        <w:bidi w:val="0"/>
        <w:spacing w:line="440" w:lineRule="exact"/>
        <w:ind w:firstLine="482" w:firstLineChars="200"/>
        <w:textAlignment w:val="auto"/>
        <w:rPr>
          <w:rFonts w:ascii="宋体" w:hAnsi="宋体" w:cs="宋体"/>
          <w:b/>
          <w:bCs/>
          <w:color w:val="000000"/>
          <w:sz w:val="24"/>
          <w:highlight w:val="none"/>
        </w:rPr>
      </w:pPr>
      <w:r>
        <w:rPr>
          <w:rFonts w:ascii="宋体" w:hAnsi="宋体" w:cs="宋体"/>
          <w:b/>
          <w:bCs/>
          <w:color w:val="000000"/>
          <w:sz w:val="24"/>
          <w:highlight w:val="none"/>
        </w:rPr>
        <w:t>30</w:t>
      </w:r>
      <w:r>
        <w:rPr>
          <w:rFonts w:hint="eastAsia" w:ascii="宋体" w:hAnsi="宋体" w:cs="宋体"/>
          <w:b/>
          <w:bCs/>
          <w:color w:val="000000"/>
          <w:sz w:val="24"/>
          <w:highlight w:val="none"/>
        </w:rPr>
        <w:t>.政府采购合同公告</w:t>
      </w:r>
    </w:p>
    <w:p w14:paraId="75530260">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olor w:val="000000"/>
          <w:highlight w:val="none"/>
        </w:rPr>
      </w:pPr>
      <w:r>
        <w:rPr>
          <w:rFonts w:hint="eastAsia" w:ascii="宋体" w:hAnsi="宋体"/>
          <w:color w:val="000000"/>
          <w:highlight w:val="none"/>
        </w:rPr>
        <w:t>采购人或者受托采购代理机构应当自政府采购合同签订之日起2个工作日内，将政府采购合同</w:t>
      </w:r>
      <w:r>
        <w:rPr>
          <w:rFonts w:hint="eastAsia" w:ascii="宋体" w:hAnsi="宋体"/>
          <w:bCs/>
          <w:color w:val="000000"/>
          <w:highlight w:val="none"/>
        </w:rPr>
        <w:t>在</w:t>
      </w:r>
      <w:r>
        <w:rPr>
          <w:rFonts w:hint="eastAsia" w:ascii="宋体" w:hAnsi="宋体" w:cs="宋体"/>
          <w:color w:val="000000"/>
          <w:kern w:val="0"/>
          <w:szCs w:val="21"/>
          <w:highlight w:val="none"/>
        </w:rPr>
        <w:t>“广西政府采购网”（http://zfcg.gxzf.gov.cn）</w:t>
      </w:r>
      <w:r>
        <w:rPr>
          <w:rFonts w:hint="eastAsia" w:ascii="宋体" w:hAnsi="宋体"/>
          <w:color w:val="000000"/>
          <w:highlight w:val="none"/>
        </w:rPr>
        <w:t>上公告，</w:t>
      </w:r>
      <w:r>
        <w:rPr>
          <w:rFonts w:ascii="宋体" w:hAnsi="宋体"/>
          <w:color w:val="000000"/>
          <w:highlight w:val="none"/>
        </w:rPr>
        <w:t>但政府采购合同中涉及国家秘密、商业秘密的内容除外。</w:t>
      </w:r>
    </w:p>
    <w:p w14:paraId="1509D5EF">
      <w:pPr>
        <w:keepNext w:val="0"/>
        <w:keepLines w:val="0"/>
        <w:pageBreakBefore w:val="0"/>
        <w:widowControl w:val="0"/>
        <w:kinsoku/>
        <w:wordWrap/>
        <w:overflowPunct/>
        <w:topLinePunct w:val="0"/>
        <w:autoSpaceDE/>
        <w:autoSpaceDN/>
        <w:bidi w:val="0"/>
        <w:spacing w:line="440" w:lineRule="exact"/>
        <w:ind w:firstLine="482" w:firstLineChars="200"/>
        <w:textAlignment w:val="auto"/>
        <w:rPr>
          <w:rFonts w:ascii="宋体" w:hAnsi="宋体" w:cs="宋体"/>
          <w:b/>
          <w:bCs/>
          <w:color w:val="000000"/>
          <w:sz w:val="24"/>
          <w:highlight w:val="none"/>
        </w:rPr>
      </w:pPr>
      <w:r>
        <w:rPr>
          <w:rFonts w:ascii="宋体" w:hAnsi="宋体" w:cs="宋体"/>
          <w:b/>
          <w:bCs/>
          <w:color w:val="000000"/>
          <w:sz w:val="24"/>
          <w:highlight w:val="none"/>
        </w:rPr>
        <w:t>31</w:t>
      </w:r>
      <w:r>
        <w:rPr>
          <w:rFonts w:hint="eastAsia" w:ascii="宋体" w:hAnsi="宋体" w:cs="宋体"/>
          <w:b/>
          <w:bCs/>
          <w:color w:val="000000"/>
          <w:sz w:val="24"/>
          <w:highlight w:val="none"/>
        </w:rPr>
        <w:t>.询问、质疑和投诉</w:t>
      </w:r>
    </w:p>
    <w:p w14:paraId="61C43525">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s="宋体"/>
          <w:color w:val="000000"/>
          <w:highlight w:val="none"/>
        </w:rPr>
      </w:pPr>
      <w:r>
        <w:rPr>
          <w:rFonts w:hint="eastAsia" w:ascii="宋体" w:hAnsi="宋体" w:cs="宋体"/>
          <w:color w:val="000000"/>
          <w:highlight w:val="none"/>
        </w:rPr>
        <w:t>3</w:t>
      </w:r>
      <w:r>
        <w:rPr>
          <w:rFonts w:ascii="宋体" w:hAnsi="宋体" w:cs="宋体"/>
          <w:color w:val="000000"/>
          <w:highlight w:val="none"/>
        </w:rPr>
        <w:t>1</w:t>
      </w:r>
      <w:r>
        <w:rPr>
          <w:rFonts w:hint="eastAsia" w:ascii="宋体" w:hAnsi="宋体" w:cs="宋体"/>
          <w:color w:val="000000"/>
          <w:highlight w:val="none"/>
        </w:rPr>
        <w:t>.1供应商对政府采购活动事项有疑问的，可以向采购人、采购代理机构提出询问，采购人或者采购代理机构应当在3个工作日内对供应商依法提出的询问作出答复。</w:t>
      </w:r>
    </w:p>
    <w:p w14:paraId="2F6D29B8">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b/>
          <w:color w:val="000000"/>
          <w:szCs w:val="21"/>
          <w:highlight w:val="none"/>
        </w:rPr>
      </w:pPr>
      <w:r>
        <w:rPr>
          <w:rFonts w:hint="eastAsia" w:ascii="宋体" w:hAnsi="宋体" w:cs="宋体"/>
          <w:color w:val="000000"/>
          <w:highlight w:val="none"/>
        </w:rPr>
        <w:t>3</w:t>
      </w:r>
      <w:r>
        <w:rPr>
          <w:rFonts w:ascii="宋体" w:hAnsi="宋体" w:cs="宋体"/>
          <w:color w:val="000000"/>
          <w:highlight w:val="none"/>
        </w:rPr>
        <w:t>1</w:t>
      </w:r>
      <w:r>
        <w:rPr>
          <w:rFonts w:hint="eastAsia" w:ascii="宋体" w:hAnsi="宋体" w:cs="宋体"/>
          <w:color w:val="000000"/>
          <w:highlight w:val="none"/>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color w:val="000000"/>
          <w:highlight w:val="none"/>
          <w:shd w:val="clear" w:color="auto" w:fill="FFFFFF"/>
        </w:rPr>
        <w:t>接收质疑函的方式、联系部门、联系电话和通讯地址等信息</w:t>
      </w:r>
      <w:r>
        <w:rPr>
          <w:rFonts w:hint="eastAsia" w:ascii="宋体" w:hAnsi="宋体" w:cs="Arial"/>
          <w:color w:val="000000"/>
          <w:highlight w:val="none"/>
          <w:shd w:val="clear" w:color="auto" w:fill="FFFFFF"/>
        </w:rPr>
        <w:t>详见</w:t>
      </w:r>
      <w:r>
        <w:rPr>
          <w:rFonts w:hint="eastAsia" w:ascii="宋体" w:hAnsi="宋体" w:cs="宋体"/>
          <w:color w:val="000000"/>
          <w:szCs w:val="21"/>
          <w:highlight w:val="none"/>
        </w:rPr>
        <w:t>“供应商须知前附表”</w:t>
      </w:r>
      <w:r>
        <w:rPr>
          <w:rFonts w:hint="eastAsia" w:ascii="宋体" w:hAnsi="宋体" w:cs="宋体"/>
          <w:color w:val="000000"/>
          <w:highlight w:val="none"/>
        </w:rPr>
        <w:t>。</w:t>
      </w:r>
      <w:r>
        <w:rPr>
          <w:rFonts w:hint="eastAsia" w:ascii="宋体" w:hAnsi="宋体"/>
          <w:b/>
          <w:color w:val="000000"/>
          <w:szCs w:val="21"/>
          <w:highlight w:val="none"/>
        </w:rPr>
        <w:t xml:space="preserve">具体质疑起算时间及处理方式如下： </w:t>
      </w:r>
    </w:p>
    <w:p w14:paraId="4B1FB8F4">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bCs/>
          <w:color w:val="000000"/>
          <w:highlight w:val="none"/>
        </w:rPr>
      </w:pPr>
      <w:r>
        <w:rPr>
          <w:rFonts w:hint="eastAsia" w:ascii="宋体" w:hAnsi="宋体"/>
          <w:bCs/>
          <w:color w:val="000000"/>
          <w:highlight w:val="none"/>
        </w:rPr>
        <w:t>（1）潜在供应商依法获取采购文件后，认为采购文件使自己的权益受到损害的，应当在竞争性磋商采购文件公告期限届满之日起7个工作日内提出质疑。</w:t>
      </w:r>
    </w:p>
    <w:p w14:paraId="1A2D4F50">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bCs/>
          <w:color w:val="000000"/>
          <w:highlight w:val="none"/>
        </w:rPr>
      </w:pPr>
      <w:r>
        <w:rPr>
          <w:rFonts w:hint="eastAsia" w:ascii="宋体" w:hAnsi="宋体"/>
          <w:bCs/>
          <w:color w:val="000000"/>
          <w:highlight w:val="none"/>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35E4CFE8">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s="宋体"/>
          <w:color w:val="000000"/>
          <w:highlight w:val="none"/>
        </w:rPr>
      </w:pPr>
      <w:r>
        <w:rPr>
          <w:rFonts w:hint="eastAsia" w:ascii="宋体" w:hAnsi="宋体"/>
          <w:bCs/>
          <w:color w:val="000000"/>
          <w:highlight w:val="none"/>
        </w:rPr>
        <w:t>（3）供应商认为成交结果使自己的权益受到损害的，应当在成交结果公告期限届满之日起7个工作日内提出质疑，由采购人受理并负责答复</w:t>
      </w:r>
      <w:r>
        <w:rPr>
          <w:rFonts w:hint="eastAsia" w:ascii="宋体" w:hAnsi="宋体" w:cs="宋体"/>
          <w:color w:val="000000"/>
          <w:highlight w:val="none"/>
        </w:rPr>
        <w:t>。</w:t>
      </w:r>
    </w:p>
    <w:p w14:paraId="4C832D5E">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s="宋体"/>
          <w:color w:val="000000"/>
          <w:highlight w:val="none"/>
        </w:rPr>
      </w:pPr>
      <w:r>
        <w:rPr>
          <w:rFonts w:hint="eastAsia" w:ascii="宋体" w:hAnsi="宋体" w:cs="宋体"/>
          <w:color w:val="000000"/>
          <w:highlight w:val="none"/>
        </w:rPr>
        <w:t>3</w:t>
      </w:r>
      <w:r>
        <w:rPr>
          <w:rFonts w:ascii="宋体" w:hAnsi="宋体" w:cs="宋体"/>
          <w:color w:val="000000"/>
          <w:highlight w:val="none"/>
        </w:rPr>
        <w:t>1</w:t>
      </w:r>
      <w:r>
        <w:rPr>
          <w:rFonts w:hint="eastAsia" w:ascii="宋体" w:hAnsi="宋体" w:cs="宋体"/>
          <w:color w:val="000000"/>
          <w:highlight w:val="none"/>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60D535CE">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s="宋体"/>
          <w:color w:val="000000"/>
          <w:highlight w:val="none"/>
        </w:rPr>
      </w:pPr>
      <w:r>
        <w:rPr>
          <w:rFonts w:hint="eastAsia" w:ascii="宋体" w:hAnsi="宋体" w:cs="宋体"/>
          <w:color w:val="000000"/>
          <w:highlight w:val="none"/>
        </w:rPr>
        <w:t>3</w:t>
      </w:r>
      <w:r>
        <w:rPr>
          <w:rFonts w:ascii="宋体" w:hAnsi="宋体" w:cs="宋体"/>
          <w:color w:val="000000"/>
          <w:highlight w:val="none"/>
        </w:rPr>
        <w:t>1</w:t>
      </w:r>
      <w:r>
        <w:rPr>
          <w:rFonts w:hint="eastAsia" w:ascii="宋体" w:hAnsi="宋体" w:cs="宋体"/>
          <w:color w:val="000000"/>
          <w:highlight w:val="none"/>
        </w:rPr>
        <w:t>.4 供应商提出质疑应当提交质疑函和必要的证明材料，针对同一采购程序环节的质疑必须在法定质疑期内一次性提出。质疑函应当包括下列内容</w:t>
      </w:r>
      <w:r>
        <w:rPr>
          <w:rFonts w:hint="eastAsia" w:ascii="宋体" w:hAnsi="宋体"/>
          <w:bCs/>
          <w:color w:val="000000"/>
          <w:highlight w:val="none"/>
        </w:rPr>
        <w:t>（质疑函格式后附）</w:t>
      </w:r>
      <w:r>
        <w:rPr>
          <w:rFonts w:hint="eastAsia" w:ascii="宋体" w:hAnsi="宋体" w:cs="宋体"/>
          <w:color w:val="000000"/>
          <w:highlight w:val="none"/>
        </w:rPr>
        <w:t>：</w:t>
      </w:r>
    </w:p>
    <w:p w14:paraId="17D772C0">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s="宋体"/>
          <w:color w:val="000000"/>
          <w:highlight w:val="none"/>
        </w:rPr>
      </w:pPr>
      <w:r>
        <w:rPr>
          <w:rFonts w:hint="eastAsia" w:ascii="宋体" w:hAnsi="宋体" w:cs="宋体"/>
          <w:color w:val="000000"/>
          <w:highlight w:val="none"/>
        </w:rPr>
        <w:t>（1）供应商的姓名或者名称、地址、邮编、联系人及联系电话；</w:t>
      </w:r>
    </w:p>
    <w:p w14:paraId="25D0E4D6">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s="宋体"/>
          <w:color w:val="000000"/>
          <w:highlight w:val="none"/>
        </w:rPr>
      </w:pPr>
      <w:r>
        <w:rPr>
          <w:rFonts w:hint="eastAsia" w:ascii="宋体" w:hAnsi="宋体" w:cs="宋体"/>
          <w:color w:val="000000"/>
          <w:highlight w:val="none"/>
        </w:rPr>
        <w:t>（2）质疑项目的名称、编号；</w:t>
      </w:r>
    </w:p>
    <w:p w14:paraId="369AFD18">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s="宋体"/>
          <w:color w:val="000000"/>
          <w:highlight w:val="none"/>
        </w:rPr>
      </w:pPr>
      <w:r>
        <w:rPr>
          <w:rFonts w:hint="eastAsia" w:ascii="宋体" w:hAnsi="宋体" w:cs="宋体"/>
          <w:color w:val="000000"/>
          <w:highlight w:val="none"/>
        </w:rPr>
        <w:t>（3）具体、明确的质疑事项和与质疑事项相关的请求；</w:t>
      </w:r>
    </w:p>
    <w:p w14:paraId="026E0A7F">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s="宋体"/>
          <w:color w:val="000000"/>
          <w:highlight w:val="none"/>
        </w:rPr>
      </w:pPr>
      <w:r>
        <w:rPr>
          <w:rFonts w:hint="eastAsia" w:ascii="宋体" w:hAnsi="宋体" w:cs="宋体"/>
          <w:color w:val="000000"/>
          <w:highlight w:val="none"/>
        </w:rPr>
        <w:t>（4）事实依据；</w:t>
      </w:r>
    </w:p>
    <w:p w14:paraId="729F4A01">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s="宋体"/>
          <w:color w:val="000000"/>
          <w:highlight w:val="none"/>
        </w:rPr>
      </w:pPr>
      <w:r>
        <w:rPr>
          <w:rFonts w:hint="eastAsia" w:ascii="宋体" w:hAnsi="宋体" w:cs="宋体"/>
          <w:color w:val="000000"/>
          <w:highlight w:val="none"/>
        </w:rPr>
        <w:t>（5）必要的法律依据；</w:t>
      </w:r>
    </w:p>
    <w:p w14:paraId="122B5C9D">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s="宋体"/>
          <w:color w:val="000000"/>
          <w:highlight w:val="none"/>
        </w:rPr>
      </w:pPr>
      <w:r>
        <w:rPr>
          <w:rFonts w:hint="eastAsia" w:ascii="宋体" w:hAnsi="宋体" w:cs="宋体"/>
          <w:color w:val="000000"/>
          <w:highlight w:val="none"/>
        </w:rPr>
        <w:t>（6）提出质疑的日期。</w:t>
      </w:r>
    </w:p>
    <w:p w14:paraId="78078613">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s="宋体"/>
          <w:color w:val="000000"/>
          <w:highlight w:val="none"/>
        </w:rPr>
      </w:pPr>
      <w:r>
        <w:rPr>
          <w:rFonts w:hint="eastAsia" w:ascii="宋体" w:hAnsi="宋体" w:cs="宋体"/>
          <w:color w:val="000000"/>
          <w:highlight w:val="none"/>
        </w:rPr>
        <w:t>供应商为自然人的，应当由本人签字；供应商为法人或者其他组织的，应当由法定代表人、主要负责人，或者其委托代理人签字或者盖章，并加盖公章。</w:t>
      </w:r>
    </w:p>
    <w:p w14:paraId="3EB9B851">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s="宋体"/>
          <w:color w:val="000000"/>
          <w:highlight w:val="none"/>
        </w:rPr>
      </w:pPr>
      <w:r>
        <w:rPr>
          <w:rFonts w:hint="eastAsia" w:ascii="宋体" w:hAnsi="宋体" w:cs="宋体"/>
          <w:color w:val="000000"/>
          <w:highlight w:val="none"/>
        </w:rPr>
        <w:t>3</w:t>
      </w:r>
      <w:r>
        <w:rPr>
          <w:rFonts w:ascii="宋体" w:hAnsi="宋体" w:cs="宋体"/>
          <w:color w:val="000000"/>
          <w:highlight w:val="none"/>
        </w:rPr>
        <w:t>1.5</w:t>
      </w:r>
      <w:r>
        <w:rPr>
          <w:rFonts w:hint="eastAsia" w:ascii="宋体" w:hAnsi="宋体" w:cs="宋体"/>
          <w:color w:val="000000"/>
          <w:highlight w:val="none"/>
        </w:rPr>
        <w:t>采购人、采购代理机构认为供应商质疑不成立，或者成立但未对成交结果构成影响的，继续开展采购活动；认为供应商质疑成立且影响或者可能影响成交结果的，按照下列情况处理：</w:t>
      </w:r>
    </w:p>
    <w:p w14:paraId="409B657A">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s="宋体"/>
          <w:color w:val="000000"/>
          <w:highlight w:val="none"/>
        </w:rPr>
      </w:pPr>
      <w:r>
        <w:rPr>
          <w:rFonts w:hint="eastAsia" w:ascii="宋体" w:hAnsi="宋体" w:cs="宋体"/>
          <w:color w:val="000000"/>
          <w:highlight w:val="none"/>
        </w:rPr>
        <w:t>（一）对采购文件提出的质疑，依法通过澄清或者修改可以继续开展采购活动的，澄清或者修改采购文件后继续开展采购活动；否则应当修改采购文件后重新开展采购活动。</w:t>
      </w:r>
    </w:p>
    <w:p w14:paraId="056B299D">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s="宋体"/>
          <w:color w:val="000000"/>
          <w:highlight w:val="none"/>
        </w:rPr>
      </w:pPr>
      <w:r>
        <w:rPr>
          <w:rFonts w:hint="eastAsia" w:ascii="宋体" w:hAnsi="宋体" w:cs="宋体"/>
          <w:color w:val="000000"/>
          <w:highlight w:val="none"/>
        </w:rPr>
        <w:t>（二）对采购过程或者成交结果提出的质疑，合格供应商符合法定数量时，可以从合格的成交候选人中另行确定成交供应商的，应当依法另行确定成交供应商；否则应当重新开展采购活动。</w:t>
      </w:r>
    </w:p>
    <w:p w14:paraId="2FF2CDF6">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s="宋体"/>
          <w:color w:val="000000"/>
          <w:highlight w:val="none"/>
        </w:rPr>
      </w:pPr>
      <w:r>
        <w:rPr>
          <w:rFonts w:hint="eastAsia" w:ascii="宋体" w:hAnsi="宋体" w:cs="宋体"/>
          <w:color w:val="000000"/>
          <w:highlight w:val="none"/>
        </w:rPr>
        <w:t>质疑答复导致成交结果改变的，采购人或者采购代理机构应当将有关情况书面报告本级财政部门。</w:t>
      </w:r>
    </w:p>
    <w:p w14:paraId="6067BB60">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s="宋体"/>
          <w:color w:val="000000"/>
          <w:highlight w:val="none"/>
        </w:rPr>
      </w:pPr>
      <w:r>
        <w:rPr>
          <w:rFonts w:ascii="宋体" w:hAnsi="宋体" w:cs="宋体"/>
          <w:color w:val="000000"/>
          <w:highlight w:val="none"/>
        </w:rPr>
        <w:t>31</w:t>
      </w:r>
      <w:r>
        <w:rPr>
          <w:rFonts w:hint="eastAsia" w:ascii="宋体" w:hAnsi="宋体" w:cs="宋体"/>
          <w:color w:val="000000"/>
          <w:highlight w:val="none"/>
        </w:rPr>
        <w:t>.</w:t>
      </w:r>
      <w:r>
        <w:rPr>
          <w:rFonts w:ascii="宋体" w:hAnsi="宋体" w:cs="宋体"/>
          <w:color w:val="000000"/>
          <w:highlight w:val="none"/>
        </w:rPr>
        <w:t>6</w:t>
      </w:r>
      <w:r>
        <w:rPr>
          <w:rFonts w:hint="eastAsia" w:ascii="宋体" w:hAnsi="宋体" w:cs="宋体"/>
          <w:color w:val="000000"/>
          <w:highlight w:val="none"/>
        </w:rPr>
        <w:t>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受理投诉方式见“供应商须知前附表”。</w:t>
      </w:r>
      <w:bookmarkStart w:id="53" w:name="_Toc80205930"/>
    </w:p>
    <w:p w14:paraId="573B0E40">
      <w:pPr>
        <w:keepNext/>
        <w:keepLines/>
        <w:spacing w:line="360" w:lineRule="auto"/>
        <w:ind w:firstLine="315" w:firstLineChars="98"/>
        <w:outlineLvl w:val="2"/>
        <w:rPr>
          <w:rFonts w:ascii="宋体" w:hAnsi="宋体"/>
          <w:b/>
          <w:bCs/>
          <w:color w:val="000000"/>
          <w:sz w:val="32"/>
          <w:szCs w:val="32"/>
          <w:highlight w:val="none"/>
        </w:rPr>
      </w:pPr>
      <w:bookmarkStart w:id="54" w:name="_Toc28964"/>
      <w:r>
        <w:rPr>
          <w:rFonts w:hint="eastAsia" w:ascii="宋体" w:hAnsi="宋体"/>
          <w:b/>
          <w:bCs/>
          <w:color w:val="000000"/>
          <w:sz w:val="32"/>
          <w:szCs w:val="32"/>
          <w:highlight w:val="none"/>
        </w:rPr>
        <w:t>六、验收</w:t>
      </w:r>
      <w:bookmarkEnd w:id="53"/>
      <w:bookmarkEnd w:id="54"/>
    </w:p>
    <w:p w14:paraId="12B18A18">
      <w:pPr>
        <w:tabs>
          <w:tab w:val="left" w:pos="0"/>
        </w:tabs>
        <w:spacing w:line="360" w:lineRule="auto"/>
        <w:ind w:firstLine="482" w:firstLineChars="200"/>
        <w:rPr>
          <w:rFonts w:ascii="宋体" w:hAnsi="宋体" w:cs="宋体"/>
          <w:b/>
          <w:bCs/>
          <w:color w:val="000000"/>
          <w:sz w:val="24"/>
          <w:highlight w:val="none"/>
        </w:rPr>
      </w:pPr>
      <w:r>
        <w:rPr>
          <w:rFonts w:hint="eastAsia" w:ascii="宋体" w:hAnsi="宋体" w:cs="宋体"/>
          <w:b/>
          <w:bCs/>
          <w:color w:val="000000"/>
          <w:sz w:val="24"/>
          <w:highlight w:val="none"/>
        </w:rPr>
        <w:t>32.验收</w:t>
      </w:r>
    </w:p>
    <w:p w14:paraId="293831AA">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420" w:firstLineChars="200"/>
        <w:textAlignment w:val="auto"/>
        <w:rPr>
          <w:rFonts w:hint="default" w:ascii="宋体" w:hAnsi="宋体" w:cs="Helvetica"/>
          <w:color w:val="auto"/>
          <w:kern w:val="0"/>
          <w:sz w:val="21"/>
          <w:szCs w:val="21"/>
          <w:highlight w:val="none"/>
        </w:rPr>
      </w:pPr>
      <w:r>
        <w:rPr>
          <w:rFonts w:hint="eastAsia" w:ascii="宋体" w:hAnsi="宋体" w:cs="Helvetica"/>
          <w:color w:val="auto"/>
          <w:kern w:val="0"/>
          <w:sz w:val="21"/>
          <w:szCs w:val="21"/>
          <w:highlight w:val="none"/>
        </w:rPr>
        <w:t>32.1</w:t>
      </w:r>
      <w:r>
        <w:rPr>
          <w:rFonts w:hint="eastAsia" w:ascii="宋体" w:hAnsi="宋体" w:cs="Helvetica"/>
          <w:color w:val="auto"/>
          <w:kern w:val="0"/>
          <w:sz w:val="21"/>
          <w:szCs w:val="21"/>
          <w:highlight w:val="none"/>
          <w:lang w:eastAsia="zh-CN"/>
        </w:rPr>
        <w:t>按第二章 采购需求</w:t>
      </w:r>
      <w:r>
        <w:rPr>
          <w:rFonts w:hint="eastAsia" w:ascii="宋体" w:hAnsi="宋体" w:cs="Helvetica"/>
          <w:color w:val="auto"/>
          <w:kern w:val="0"/>
          <w:sz w:val="21"/>
          <w:szCs w:val="21"/>
          <w:highlight w:val="none"/>
          <w:lang w:val="en-US" w:eastAsia="zh-CN"/>
        </w:rPr>
        <w:t>和</w:t>
      </w:r>
      <w:r>
        <w:rPr>
          <w:rFonts w:hint="eastAsia" w:ascii="宋体" w:hAnsi="宋体" w:cs="Helvetica"/>
          <w:color w:val="auto"/>
          <w:kern w:val="0"/>
          <w:sz w:val="21"/>
          <w:szCs w:val="21"/>
          <w:highlight w:val="none"/>
          <w:lang w:eastAsia="zh-CN"/>
        </w:rPr>
        <w:t>第六章 合同文本</w:t>
      </w:r>
      <w:r>
        <w:rPr>
          <w:rFonts w:hint="eastAsia" w:ascii="宋体" w:hAnsi="宋体" w:cs="Helvetica"/>
          <w:color w:val="auto"/>
          <w:kern w:val="0"/>
          <w:sz w:val="21"/>
          <w:szCs w:val="21"/>
          <w:highlight w:val="none"/>
          <w:lang w:val="en-US" w:eastAsia="zh-CN"/>
        </w:rPr>
        <w:t>关于验收的相关规定执行。</w:t>
      </w:r>
    </w:p>
    <w:p w14:paraId="25CFD7C8">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 w:val="21"/>
          <w:szCs w:val="21"/>
          <w:highlight w:val="none"/>
        </w:rPr>
      </w:pPr>
      <w:r>
        <w:rPr>
          <w:rFonts w:hint="eastAsia" w:ascii="宋体" w:hAnsi="宋体" w:cs="Helvetica"/>
          <w:color w:val="auto"/>
          <w:kern w:val="0"/>
          <w:sz w:val="21"/>
          <w:szCs w:val="21"/>
          <w:highlight w:val="none"/>
        </w:rPr>
        <w:t>32.</w:t>
      </w:r>
      <w:r>
        <w:rPr>
          <w:rFonts w:hint="eastAsia" w:ascii="宋体" w:hAnsi="宋体" w:cs="Helvetica"/>
          <w:color w:val="auto"/>
          <w:kern w:val="0"/>
          <w:sz w:val="21"/>
          <w:szCs w:val="21"/>
          <w:highlight w:val="none"/>
          <w:lang w:val="en-US" w:eastAsia="zh-CN"/>
        </w:rPr>
        <w:t>2</w:t>
      </w:r>
      <w:r>
        <w:rPr>
          <w:rFonts w:hint="eastAsia" w:ascii="宋体" w:hAnsi="宋体" w:cs="Helvetica"/>
          <w:color w:val="auto"/>
          <w:kern w:val="0"/>
          <w:sz w:val="21"/>
          <w:szCs w:val="21"/>
          <w:highlight w:val="none"/>
        </w:rPr>
        <w:t>验收合格的项目，实际使用人将根据采购合同的约定及时向</w:t>
      </w:r>
      <w:r>
        <w:rPr>
          <w:rFonts w:hint="eastAsia" w:ascii="宋体" w:hAnsi="宋体" w:cs="Helvetica"/>
          <w:color w:val="auto"/>
          <w:kern w:val="0"/>
          <w:sz w:val="21"/>
          <w:szCs w:val="21"/>
          <w:highlight w:val="none"/>
          <w:lang w:val="en-US" w:eastAsia="zh-CN"/>
        </w:rPr>
        <w:t>承包人</w:t>
      </w:r>
      <w:r>
        <w:rPr>
          <w:rFonts w:hint="eastAsia" w:ascii="宋体" w:hAnsi="宋体" w:cs="Helvetica"/>
          <w:color w:val="auto"/>
          <w:kern w:val="0"/>
          <w:sz w:val="21"/>
          <w:szCs w:val="21"/>
          <w:highlight w:val="none"/>
        </w:rPr>
        <w:t>支付采购资金。验收不合格的项目，</w:t>
      </w:r>
      <w:r>
        <w:rPr>
          <w:rFonts w:hint="eastAsia" w:ascii="宋体" w:hAnsi="宋体" w:cs="Helvetica"/>
          <w:color w:val="auto"/>
          <w:kern w:val="0"/>
          <w:sz w:val="21"/>
          <w:szCs w:val="21"/>
          <w:highlight w:val="none"/>
          <w:lang w:val="en-US" w:eastAsia="zh-CN"/>
        </w:rPr>
        <w:t>发包人</w:t>
      </w:r>
      <w:r>
        <w:rPr>
          <w:rFonts w:hint="eastAsia" w:ascii="宋体" w:hAnsi="宋体" w:cs="Helvetica"/>
          <w:color w:val="auto"/>
          <w:kern w:val="0"/>
          <w:sz w:val="21"/>
          <w:szCs w:val="21"/>
          <w:highlight w:val="none"/>
        </w:rPr>
        <w:t>将依法及时处理。采购合同的履行、违约责任和解决争议的方式等适用《中华人民共和国民法典》。</w:t>
      </w:r>
    </w:p>
    <w:p w14:paraId="066D06F0">
      <w:pPr>
        <w:keepNext/>
        <w:keepLines/>
        <w:spacing w:line="360" w:lineRule="auto"/>
        <w:ind w:firstLine="321" w:firstLineChars="100"/>
        <w:outlineLvl w:val="2"/>
        <w:rPr>
          <w:rFonts w:ascii="宋体" w:hAnsi="宋体"/>
          <w:b/>
          <w:bCs/>
          <w:color w:val="000000"/>
          <w:sz w:val="32"/>
          <w:szCs w:val="32"/>
          <w:highlight w:val="none"/>
        </w:rPr>
      </w:pPr>
      <w:bookmarkStart w:id="55" w:name="_Toc8784"/>
      <w:r>
        <w:rPr>
          <w:rFonts w:hint="eastAsia" w:ascii="宋体" w:hAnsi="宋体"/>
          <w:b/>
          <w:bCs/>
          <w:color w:val="000000"/>
          <w:sz w:val="32"/>
          <w:szCs w:val="32"/>
          <w:highlight w:val="none"/>
        </w:rPr>
        <w:t>七、其他事项</w:t>
      </w:r>
      <w:bookmarkEnd w:id="55"/>
    </w:p>
    <w:p w14:paraId="40EAEE4A">
      <w:pPr>
        <w:spacing w:line="360" w:lineRule="auto"/>
        <w:ind w:firstLine="482" w:firstLineChars="200"/>
        <w:rPr>
          <w:rFonts w:ascii="宋体" w:hAnsi="宋体" w:cs="宋体"/>
          <w:b/>
          <w:bCs/>
          <w:color w:val="000000"/>
          <w:sz w:val="24"/>
          <w:highlight w:val="none"/>
        </w:rPr>
      </w:pPr>
      <w:r>
        <w:rPr>
          <w:rFonts w:ascii="宋体" w:hAnsi="宋体" w:cs="宋体"/>
          <w:b/>
          <w:bCs/>
          <w:color w:val="000000"/>
          <w:sz w:val="24"/>
          <w:highlight w:val="none"/>
        </w:rPr>
        <w:t>3</w:t>
      </w:r>
      <w:r>
        <w:rPr>
          <w:rFonts w:hint="eastAsia" w:ascii="宋体" w:hAnsi="宋体" w:cs="宋体"/>
          <w:b/>
          <w:bCs/>
          <w:color w:val="000000"/>
          <w:sz w:val="24"/>
          <w:highlight w:val="none"/>
        </w:rPr>
        <w:t>3.代理服务费</w:t>
      </w:r>
    </w:p>
    <w:p w14:paraId="2F3171CB">
      <w:pPr>
        <w:tabs>
          <w:tab w:val="left" w:pos="2835"/>
        </w:tabs>
        <w:spacing w:line="360" w:lineRule="auto"/>
        <w:ind w:firstLine="420" w:firstLineChars="200"/>
        <w:rPr>
          <w:rFonts w:ascii="宋体" w:hAnsi="宋体" w:cs="宋体"/>
          <w:color w:val="000000"/>
          <w:szCs w:val="21"/>
          <w:highlight w:val="none"/>
        </w:rPr>
      </w:pPr>
      <w:r>
        <w:rPr>
          <w:rFonts w:hint="eastAsia" w:ascii="宋体" w:hAnsi="宋体" w:cs="宋体"/>
          <w:color w:val="000000"/>
          <w:szCs w:val="21"/>
          <w:highlight w:val="none"/>
        </w:rPr>
        <w:t>代理服务收费标准及缴费账户详见“供应商须知前附表”。</w:t>
      </w:r>
    </w:p>
    <w:p w14:paraId="612D0625">
      <w:pPr>
        <w:spacing w:line="360" w:lineRule="auto"/>
        <w:ind w:firstLine="482" w:firstLineChars="200"/>
        <w:rPr>
          <w:rFonts w:ascii="宋体" w:hAnsi="宋体" w:cs="宋体"/>
          <w:b/>
          <w:bCs/>
          <w:color w:val="000000"/>
          <w:sz w:val="24"/>
          <w:highlight w:val="none"/>
        </w:rPr>
      </w:pPr>
      <w:r>
        <w:rPr>
          <w:rFonts w:hint="eastAsia" w:ascii="宋体" w:hAnsi="宋体" w:cs="宋体"/>
          <w:b/>
          <w:bCs/>
          <w:color w:val="000000"/>
          <w:sz w:val="24"/>
          <w:highlight w:val="none"/>
        </w:rPr>
        <w:t>34</w:t>
      </w:r>
      <w:r>
        <w:rPr>
          <w:rFonts w:ascii="宋体" w:hAnsi="宋体" w:cs="宋体"/>
          <w:b/>
          <w:bCs/>
          <w:color w:val="000000"/>
          <w:sz w:val="24"/>
          <w:highlight w:val="none"/>
        </w:rPr>
        <w:t>.需要补充的其他内容</w:t>
      </w:r>
    </w:p>
    <w:p w14:paraId="2D57C63F">
      <w:pPr>
        <w:spacing w:line="360" w:lineRule="auto"/>
        <w:ind w:firstLine="420" w:firstLineChars="200"/>
        <w:textAlignment w:val="center"/>
        <w:rPr>
          <w:rFonts w:ascii="宋体" w:hAnsi="宋体" w:cs="宋体"/>
          <w:color w:val="000000"/>
          <w:szCs w:val="21"/>
          <w:highlight w:val="none"/>
        </w:rPr>
      </w:pPr>
      <w:r>
        <w:rPr>
          <w:rFonts w:hint="eastAsia" w:ascii="宋体" w:hAnsi="宋体" w:cs="宋体"/>
          <w:color w:val="000000"/>
          <w:szCs w:val="21"/>
          <w:highlight w:val="none"/>
        </w:rPr>
        <w:t>34</w:t>
      </w:r>
      <w:r>
        <w:rPr>
          <w:rFonts w:ascii="宋体" w:hAnsi="宋体" w:cs="宋体"/>
          <w:color w:val="000000"/>
          <w:szCs w:val="21"/>
          <w:highlight w:val="none"/>
        </w:rPr>
        <w:t>.1</w:t>
      </w:r>
      <w:r>
        <w:rPr>
          <w:rFonts w:hint="eastAsia" w:ascii="宋体" w:hAnsi="宋体" w:cs="宋体"/>
          <w:color w:val="000000"/>
          <w:szCs w:val="21"/>
          <w:highlight w:val="none"/>
        </w:rPr>
        <w:t>本磋商文件解释规则详见“供应商须知前附表”。</w:t>
      </w:r>
    </w:p>
    <w:p w14:paraId="6BA3F2A0">
      <w:pPr>
        <w:spacing w:line="360" w:lineRule="auto"/>
        <w:ind w:firstLine="420" w:firstLineChars="200"/>
        <w:textAlignment w:val="center"/>
        <w:rPr>
          <w:rFonts w:ascii="宋体" w:hAnsi="宋体" w:cs="宋体"/>
          <w:color w:val="000000"/>
          <w:szCs w:val="21"/>
          <w:highlight w:val="none"/>
        </w:rPr>
      </w:pPr>
      <w:r>
        <w:rPr>
          <w:rFonts w:ascii="宋体" w:hAnsi="宋体" w:cs="宋体"/>
          <w:color w:val="000000"/>
          <w:szCs w:val="21"/>
          <w:highlight w:val="none"/>
        </w:rPr>
        <w:t>3</w:t>
      </w:r>
      <w:r>
        <w:rPr>
          <w:rFonts w:hint="eastAsia" w:ascii="宋体" w:hAnsi="宋体" w:cs="宋体"/>
          <w:color w:val="000000"/>
          <w:szCs w:val="21"/>
          <w:highlight w:val="none"/>
        </w:rPr>
        <w:t>4</w:t>
      </w:r>
      <w:r>
        <w:rPr>
          <w:rFonts w:ascii="宋体" w:hAnsi="宋体" w:cs="宋体"/>
          <w:color w:val="000000"/>
          <w:szCs w:val="21"/>
          <w:highlight w:val="none"/>
        </w:rPr>
        <w:t>.2</w:t>
      </w:r>
      <w:r>
        <w:rPr>
          <w:rFonts w:hint="eastAsia" w:ascii="宋体" w:hAnsi="宋体" w:cs="宋体"/>
          <w:color w:val="000000"/>
          <w:szCs w:val="21"/>
          <w:highlight w:val="none"/>
        </w:rPr>
        <w:t xml:space="preserve"> 其他事项详见“供应商须知前附表”。</w:t>
      </w:r>
    </w:p>
    <w:p w14:paraId="2F5513A4">
      <w:pPr>
        <w:spacing w:line="360" w:lineRule="auto"/>
        <w:ind w:firstLine="420" w:firstLineChars="200"/>
        <w:textAlignment w:val="center"/>
        <w:rPr>
          <w:rFonts w:ascii="宋体" w:hAnsi="宋体" w:cs="宋体"/>
          <w:color w:val="000000"/>
          <w:szCs w:val="21"/>
          <w:highlight w:val="none"/>
        </w:rPr>
      </w:pPr>
      <w:r>
        <w:rPr>
          <w:rFonts w:hint="eastAsia" w:ascii="宋体" w:hAnsi="宋体" w:cs="宋体"/>
          <w:color w:val="000000"/>
          <w:szCs w:val="21"/>
          <w:highlight w:val="none"/>
        </w:rPr>
        <w:t>34</w:t>
      </w:r>
      <w:r>
        <w:rPr>
          <w:rFonts w:ascii="宋体" w:hAnsi="宋体" w:cs="宋体"/>
          <w:color w:val="000000"/>
          <w:szCs w:val="21"/>
          <w:highlight w:val="none"/>
        </w:rPr>
        <w:t>.3</w:t>
      </w:r>
      <w:r>
        <w:rPr>
          <w:rFonts w:hint="eastAsia" w:ascii="宋体" w:hAnsi="宋体" w:cs="宋体"/>
          <w:color w:val="000000"/>
          <w:szCs w:val="21"/>
          <w:highlight w:val="none"/>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ascii="宋体" w:hAnsi="宋体"/>
          <w:color w:val="000000"/>
          <w:kern w:val="0"/>
          <w:szCs w:val="21"/>
          <w:highlight w:val="none"/>
        </w:rPr>
        <w:t>服务由中小企业承接，即提供服务的人员为中小企业依照《中华人民共和国劳动合同法》订立劳动合同的从业人员，不对其中涉及的货物的制造商和工程承建商作出要求的</w:t>
      </w:r>
      <w:r>
        <w:rPr>
          <w:rFonts w:hint="eastAsia" w:ascii="宋体" w:hAnsi="宋体" w:cs="宋体"/>
          <w:color w:val="000000"/>
          <w:szCs w:val="21"/>
          <w:highlight w:val="none"/>
        </w:rPr>
        <w:t>，享受本文件规定的中小企业扶持政策。</w:t>
      </w:r>
    </w:p>
    <w:p w14:paraId="14643D65">
      <w:pPr>
        <w:spacing w:line="360" w:lineRule="auto"/>
        <w:ind w:firstLine="420" w:firstLineChars="200"/>
        <w:textAlignment w:val="center"/>
        <w:rPr>
          <w:rFonts w:ascii="宋体" w:hAnsi="宋体" w:cs="宋体"/>
          <w:color w:val="000000"/>
          <w:szCs w:val="21"/>
          <w:highlight w:val="none"/>
        </w:rPr>
      </w:pPr>
      <w:r>
        <w:rPr>
          <w:rFonts w:hint="eastAsia" w:ascii="宋体" w:hAnsi="宋体" w:cs="宋体"/>
          <w:color w:val="000000"/>
          <w:szCs w:val="21"/>
          <w:highlight w:val="none"/>
        </w:rPr>
        <w:t>以联合体形式参加政府采购活动，联合体各方均为中小企业的，联合体视同中小企业。其中，联合体各方均为小微企业的，联合体视同小微企业。</w:t>
      </w:r>
    </w:p>
    <w:p w14:paraId="5831D214">
      <w:pPr>
        <w:spacing w:line="360" w:lineRule="auto"/>
        <w:ind w:firstLine="420" w:firstLineChars="200"/>
        <w:textAlignment w:val="center"/>
        <w:rPr>
          <w:rFonts w:ascii="宋体" w:hAnsi="宋体" w:cs="宋体"/>
          <w:color w:val="000000"/>
          <w:szCs w:val="21"/>
          <w:highlight w:val="none"/>
        </w:rPr>
      </w:pPr>
      <w:r>
        <w:rPr>
          <w:rFonts w:hint="eastAsia" w:ascii="宋体" w:hAnsi="宋体" w:cs="宋体"/>
          <w:color w:val="000000"/>
          <w:szCs w:val="21"/>
          <w:highlight w:val="none"/>
        </w:rPr>
        <w:t>依据本文件规定享受扶持政策获得政府采购合同的，小微企业不得将合同分包给大中型企业，中型企业不得将合同分包给大型企业。</w:t>
      </w:r>
    </w:p>
    <w:p w14:paraId="0653B445">
      <w:pPr>
        <w:spacing w:line="360" w:lineRule="auto"/>
        <w:ind w:firstLine="402" w:firstLineChars="200"/>
        <w:textAlignment w:val="center"/>
        <w:rPr>
          <w:rFonts w:ascii="宋体" w:hAnsi="宋体"/>
          <w:color w:val="000000"/>
          <w:kern w:val="0"/>
          <w:sz w:val="20"/>
          <w:szCs w:val="21"/>
          <w:highlight w:val="yellow"/>
        </w:rPr>
      </w:pPr>
      <w:r>
        <w:rPr>
          <w:rFonts w:ascii="宋体" w:hAnsi="宋体"/>
          <w:b/>
          <w:color w:val="000000"/>
          <w:kern w:val="0"/>
          <w:sz w:val="20"/>
          <w:szCs w:val="21"/>
          <w:highlight w:val="yellow"/>
        </w:rPr>
        <w:br w:type="page"/>
      </w:r>
    </w:p>
    <w:p w14:paraId="7274FFF5">
      <w:pPr>
        <w:keepNext/>
        <w:keepLines/>
        <w:spacing w:before="340" w:after="330" w:line="240" w:lineRule="auto"/>
        <w:jc w:val="center"/>
        <w:outlineLvl w:val="0"/>
        <w:rPr>
          <w:rFonts w:ascii="宋体" w:hAnsi="宋体"/>
          <w:b/>
          <w:bCs/>
          <w:color w:val="000000"/>
          <w:kern w:val="44"/>
          <w:sz w:val="44"/>
          <w:szCs w:val="44"/>
          <w:highlight w:val="none"/>
        </w:rPr>
      </w:pPr>
      <w:bookmarkStart w:id="56" w:name="_Toc10035"/>
      <w:r>
        <w:rPr>
          <w:rFonts w:hint="eastAsia" w:ascii="宋体" w:hAnsi="宋体"/>
          <w:b/>
          <w:bCs/>
          <w:color w:val="000000"/>
          <w:kern w:val="44"/>
          <w:sz w:val="44"/>
          <w:szCs w:val="44"/>
          <w:highlight w:val="none"/>
        </w:rPr>
        <w:t>第四章  评审程序、评审方法和评审标准</w:t>
      </w:r>
      <w:bookmarkEnd w:id="56"/>
    </w:p>
    <w:p w14:paraId="6985F54C">
      <w:pPr>
        <w:keepNext/>
        <w:keepLines/>
        <w:spacing w:before="260" w:after="260" w:line="416" w:lineRule="auto"/>
        <w:jc w:val="center"/>
        <w:outlineLvl w:val="1"/>
        <w:rPr>
          <w:rFonts w:ascii="宋体" w:hAnsi="宋体"/>
          <w:bCs/>
          <w:color w:val="000000"/>
          <w:sz w:val="32"/>
          <w:szCs w:val="32"/>
          <w:highlight w:val="none"/>
        </w:rPr>
      </w:pPr>
      <w:bookmarkStart w:id="57" w:name="_Toc14409"/>
      <w:r>
        <w:rPr>
          <w:rFonts w:hint="eastAsia" w:ascii="宋体" w:hAnsi="宋体"/>
          <w:bCs/>
          <w:color w:val="000000"/>
          <w:sz w:val="32"/>
          <w:szCs w:val="32"/>
          <w:highlight w:val="none"/>
        </w:rPr>
        <w:t>第一节 评审程序和评审方法</w:t>
      </w:r>
      <w:bookmarkEnd w:id="57"/>
    </w:p>
    <w:p w14:paraId="57A9AA4F">
      <w:pPr>
        <w:keepNext w:val="0"/>
        <w:keepLines w:val="0"/>
        <w:pageBreakBefore w:val="0"/>
        <w:kinsoku/>
        <w:wordWrap/>
        <w:overflowPunct/>
        <w:topLinePunct w:val="0"/>
        <w:autoSpaceDE/>
        <w:autoSpaceDN/>
        <w:bidi w:val="0"/>
        <w:spacing w:line="440" w:lineRule="exact"/>
        <w:ind w:firstLine="482" w:firstLineChars="200"/>
        <w:textAlignment w:val="auto"/>
        <w:rPr>
          <w:rFonts w:ascii="宋体" w:hAnsi="宋体" w:cs="宋体"/>
          <w:b/>
          <w:bCs/>
          <w:color w:val="000000"/>
          <w:sz w:val="24"/>
          <w:highlight w:val="none"/>
        </w:rPr>
      </w:pPr>
      <w:r>
        <w:rPr>
          <w:rFonts w:ascii="宋体" w:hAnsi="宋体" w:cs="宋体"/>
          <w:b/>
          <w:bCs/>
          <w:color w:val="000000"/>
          <w:sz w:val="24"/>
          <w:highlight w:val="none"/>
        </w:rPr>
        <w:t>1</w:t>
      </w:r>
      <w:r>
        <w:rPr>
          <w:rFonts w:hint="eastAsia" w:ascii="宋体" w:hAnsi="宋体" w:cs="宋体"/>
          <w:b/>
          <w:bCs/>
          <w:color w:val="000000"/>
          <w:sz w:val="24"/>
          <w:highlight w:val="none"/>
        </w:rPr>
        <w:t>.确认磋商文件</w:t>
      </w:r>
    </w:p>
    <w:p w14:paraId="557045E0">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由磋商小组确认磋商文件。</w:t>
      </w:r>
    </w:p>
    <w:p w14:paraId="5300BB77">
      <w:pPr>
        <w:keepNext w:val="0"/>
        <w:keepLines w:val="0"/>
        <w:pageBreakBefore w:val="0"/>
        <w:kinsoku/>
        <w:wordWrap/>
        <w:overflowPunct/>
        <w:topLinePunct w:val="0"/>
        <w:autoSpaceDE/>
        <w:autoSpaceDN/>
        <w:bidi w:val="0"/>
        <w:spacing w:line="440" w:lineRule="exact"/>
        <w:ind w:firstLine="482" w:firstLineChars="200"/>
        <w:textAlignment w:val="auto"/>
        <w:rPr>
          <w:rFonts w:ascii="宋体" w:hAnsi="宋体" w:cs="宋体"/>
          <w:b/>
          <w:bCs/>
          <w:color w:val="000000"/>
          <w:sz w:val="24"/>
          <w:highlight w:val="none"/>
        </w:rPr>
      </w:pPr>
      <w:r>
        <w:rPr>
          <w:rFonts w:hint="eastAsia" w:ascii="宋体" w:hAnsi="宋体" w:cs="宋体"/>
          <w:b/>
          <w:bCs/>
          <w:color w:val="000000"/>
          <w:sz w:val="24"/>
          <w:highlight w:val="none"/>
        </w:rPr>
        <w:t>2.资格审查</w:t>
      </w:r>
    </w:p>
    <w:p w14:paraId="0A239B70">
      <w:pPr>
        <w:keepNext w:val="0"/>
        <w:keepLines w:val="0"/>
        <w:pageBreakBefore w:val="0"/>
        <w:kinsoku/>
        <w:wordWrap/>
        <w:overflowPunct/>
        <w:topLinePunct w:val="0"/>
        <w:autoSpaceDE/>
        <w:autoSpaceDN/>
        <w:bidi w:val="0"/>
        <w:snapToGrid w:val="0"/>
        <w:spacing w:line="440" w:lineRule="exact"/>
        <w:ind w:firstLine="420" w:firstLineChars="200"/>
        <w:textAlignment w:val="auto"/>
        <w:rPr>
          <w:rFonts w:ascii="宋体" w:hAnsi="宋体"/>
          <w:color w:val="000000"/>
          <w:szCs w:val="21"/>
          <w:highlight w:val="none"/>
        </w:rPr>
      </w:pPr>
      <w:r>
        <w:rPr>
          <w:rFonts w:hint="eastAsia" w:ascii="宋体" w:hAnsi="宋体" w:cs="宋体"/>
          <w:color w:val="000000"/>
          <w:szCs w:val="21"/>
          <w:highlight w:val="none"/>
        </w:rPr>
        <w:t>2.1</w:t>
      </w:r>
      <w:r>
        <w:rPr>
          <w:rFonts w:hint="eastAsia" w:ascii="宋体" w:hAnsi="宋体"/>
          <w:color w:val="000000"/>
          <w:szCs w:val="21"/>
          <w:highlight w:val="none"/>
        </w:rPr>
        <w:t>响应文件开启后，磋商小组依法对供应商的资格证明文件进行审查。</w:t>
      </w:r>
    </w:p>
    <w:p w14:paraId="1DCC3B3A">
      <w:pPr>
        <w:keepNext w:val="0"/>
        <w:keepLines w:val="0"/>
        <w:pageBreakBefore w:val="0"/>
        <w:kinsoku/>
        <w:wordWrap/>
        <w:overflowPunct/>
        <w:topLinePunct w:val="0"/>
        <w:autoSpaceDE/>
        <w:autoSpaceDN/>
        <w:bidi w:val="0"/>
        <w:snapToGrid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注：在资格审查结束前，对供应商进行信用查询。</w:t>
      </w:r>
    </w:p>
    <w:p w14:paraId="100846BD">
      <w:pPr>
        <w:keepNext w:val="0"/>
        <w:keepLines w:val="0"/>
        <w:pageBreakBefore w:val="0"/>
        <w:kinsoku/>
        <w:wordWrap/>
        <w:overflowPunct/>
        <w:topLinePunct w:val="0"/>
        <w:autoSpaceDE/>
        <w:autoSpaceDN/>
        <w:bidi w:val="0"/>
        <w:snapToGrid w:val="0"/>
        <w:spacing w:line="440" w:lineRule="exact"/>
        <w:ind w:firstLine="420" w:firstLineChars="200"/>
        <w:jc w:val="left"/>
        <w:textAlignment w:val="auto"/>
        <w:rPr>
          <w:rFonts w:ascii="宋体" w:hAnsi="宋体" w:cs="宋体"/>
          <w:color w:val="000000"/>
          <w:szCs w:val="21"/>
          <w:highlight w:val="none"/>
        </w:rPr>
      </w:pPr>
      <w:r>
        <w:rPr>
          <w:rFonts w:hint="eastAsia" w:ascii="宋体" w:hAnsi="宋体" w:cs="宋体"/>
          <w:color w:val="000000"/>
          <w:szCs w:val="21"/>
          <w:highlight w:val="none"/>
        </w:rPr>
        <w:t>（1）查询渠道：“</w:t>
      </w:r>
      <w:r>
        <w:rPr>
          <w:rFonts w:hint="eastAsia" w:ascii="宋体" w:hAnsi="宋体" w:cs="宋体"/>
          <w:color w:val="000000"/>
          <w:szCs w:val="21"/>
          <w:highlight w:val="none"/>
          <w:lang w:val="en-US" w:eastAsia="zh-CN"/>
        </w:rPr>
        <w:t>广西政府采购</w:t>
      </w:r>
      <w:r>
        <w:rPr>
          <w:rFonts w:hint="eastAsia" w:ascii="宋体" w:hAnsi="宋体" w:cs="宋体"/>
          <w:color w:val="000000"/>
          <w:szCs w:val="21"/>
          <w:highlight w:val="none"/>
        </w:rPr>
        <w:t>云平台</w:t>
      </w:r>
      <w:r>
        <w:rPr>
          <w:rFonts w:hint="eastAsia" w:ascii="宋体" w:hAnsi="宋体" w:cs="宋体"/>
          <w:color w:val="000000"/>
          <w:szCs w:val="21"/>
          <w:highlight w:val="none"/>
          <w:lang w:eastAsia="zh-CN"/>
        </w:rPr>
        <w:t>”</w:t>
      </w:r>
      <w:r>
        <w:rPr>
          <w:rFonts w:hint="eastAsia" w:ascii="宋体" w:hAnsi="宋体" w:cs="宋体"/>
          <w:color w:val="000000"/>
          <w:szCs w:val="21"/>
          <w:highlight w:val="none"/>
        </w:rPr>
        <w:t>“信用中国”网站(</w:t>
      </w:r>
      <w:r>
        <w:rPr>
          <w:rFonts w:ascii="Calibri" w:hAnsi="Calibri"/>
          <w:color w:val="000000"/>
          <w:highlight w:val="none"/>
        </w:rPr>
        <w:fldChar w:fldCharType="begin"/>
      </w:r>
      <w:r>
        <w:rPr>
          <w:rFonts w:ascii="Calibri" w:hAnsi="Calibri"/>
          <w:color w:val="000000"/>
          <w:highlight w:val="none"/>
        </w:rPr>
        <w:instrText xml:space="preserve"> HYPERLINK "http://www.creditchina.gov.cn" </w:instrText>
      </w:r>
      <w:r>
        <w:rPr>
          <w:rFonts w:ascii="Calibri" w:hAnsi="Calibri"/>
          <w:color w:val="000000"/>
          <w:highlight w:val="none"/>
        </w:rPr>
        <w:fldChar w:fldCharType="separate"/>
      </w:r>
      <w:r>
        <w:rPr>
          <w:rFonts w:hint="eastAsia" w:ascii="宋体" w:hAnsi="宋体" w:cs="宋体"/>
          <w:color w:val="000000"/>
          <w:highlight w:val="none"/>
        </w:rPr>
        <w:t>www.creditchina.gov.cn</w:t>
      </w:r>
      <w:r>
        <w:rPr>
          <w:rFonts w:ascii="宋体" w:hAnsi="宋体" w:cs="宋体"/>
          <w:color w:val="000000"/>
          <w:highlight w:val="none"/>
        </w:rPr>
        <w:fldChar w:fldCharType="end"/>
      </w:r>
      <w:r>
        <w:rPr>
          <w:rFonts w:hint="eastAsia" w:ascii="宋体" w:hAnsi="宋体" w:cs="宋体"/>
          <w:color w:val="000000"/>
          <w:szCs w:val="21"/>
          <w:highlight w:val="none"/>
        </w:rPr>
        <w:t>)、中国政府采购网(</w:t>
      </w:r>
      <w:r>
        <w:rPr>
          <w:rFonts w:ascii="Calibri" w:hAnsi="Calibri"/>
          <w:color w:val="000000"/>
          <w:highlight w:val="none"/>
        </w:rPr>
        <w:fldChar w:fldCharType="begin"/>
      </w:r>
      <w:r>
        <w:rPr>
          <w:rFonts w:ascii="Calibri" w:hAnsi="Calibri"/>
          <w:color w:val="000000"/>
          <w:highlight w:val="none"/>
        </w:rPr>
        <w:instrText xml:space="preserve"> HYPERLINK "http://www.ccgp.gov.cn" </w:instrText>
      </w:r>
      <w:r>
        <w:rPr>
          <w:rFonts w:ascii="Calibri" w:hAnsi="Calibri"/>
          <w:color w:val="000000"/>
          <w:highlight w:val="none"/>
        </w:rPr>
        <w:fldChar w:fldCharType="separate"/>
      </w:r>
      <w:r>
        <w:rPr>
          <w:rFonts w:hint="eastAsia" w:ascii="宋体" w:hAnsi="宋体" w:cs="宋体"/>
          <w:color w:val="000000"/>
          <w:highlight w:val="none"/>
        </w:rPr>
        <w:t>www.ccgp.gov.cn</w:t>
      </w:r>
      <w:r>
        <w:rPr>
          <w:rFonts w:ascii="宋体" w:hAnsi="宋体" w:cs="宋体"/>
          <w:color w:val="000000"/>
          <w:highlight w:val="none"/>
        </w:rPr>
        <w:fldChar w:fldCharType="end"/>
      </w:r>
      <w:r>
        <w:rPr>
          <w:rFonts w:hint="eastAsia" w:ascii="宋体" w:hAnsi="宋体" w:cs="宋体"/>
          <w:color w:val="000000"/>
          <w:szCs w:val="21"/>
          <w:highlight w:val="none"/>
        </w:rPr>
        <w:t>)链接入口。</w:t>
      </w:r>
    </w:p>
    <w:p w14:paraId="6FA3F1BF">
      <w:pPr>
        <w:keepNext w:val="0"/>
        <w:keepLines w:val="0"/>
        <w:pageBreakBefore w:val="0"/>
        <w:kinsoku/>
        <w:wordWrap/>
        <w:overflowPunct/>
        <w:topLinePunct w:val="0"/>
        <w:autoSpaceDE/>
        <w:autoSpaceDN/>
        <w:bidi w:val="0"/>
        <w:snapToGrid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（2）信用查询截止时点：资格审查结束前。</w:t>
      </w:r>
    </w:p>
    <w:p w14:paraId="59AD7E43">
      <w:pPr>
        <w:keepNext w:val="0"/>
        <w:keepLines w:val="0"/>
        <w:pageBreakBefore w:val="0"/>
        <w:kinsoku/>
        <w:wordWrap/>
        <w:overflowPunct/>
        <w:topLinePunct w:val="0"/>
        <w:autoSpaceDE/>
        <w:autoSpaceDN/>
        <w:bidi w:val="0"/>
        <w:snapToGrid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查询记录和证据留存方式：在查询网站中直接打印查询记录，另存为电子文档作为评审资料保存。</w:t>
      </w:r>
    </w:p>
    <w:p w14:paraId="6718D1DD">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（3）信用信息使用规则：对在“信用中国”网站(www.creditchina.gov.cn)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D3AE2C3">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2.2资格审查标准为本磋商文件中载明对供应商资格要求的条件。资格审查采用合格制，凡符合磋商文件规定的供应商资格要求的响应文件均通过资格审查。</w:t>
      </w:r>
    </w:p>
    <w:p w14:paraId="0FA3242C">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2.3供应商有下列情形之一的，资格审查不通过，其响应文件按无效响应处理：</w:t>
      </w:r>
    </w:p>
    <w:p w14:paraId="7431E8D0">
      <w:pPr>
        <w:keepNext w:val="0"/>
        <w:keepLines w:val="0"/>
        <w:pageBreakBefore w:val="0"/>
        <w:kinsoku/>
        <w:wordWrap/>
        <w:overflowPunct/>
        <w:topLinePunct w:val="0"/>
        <w:autoSpaceDE/>
        <w:autoSpaceDN/>
        <w:bidi w:val="0"/>
        <w:snapToGrid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w:t>
      </w:r>
      <w:r>
        <w:rPr>
          <w:rFonts w:ascii="宋体" w:hAnsi="宋体" w:cs="宋体"/>
          <w:color w:val="000000"/>
          <w:szCs w:val="21"/>
          <w:highlight w:val="none"/>
        </w:rPr>
        <w:t>1</w:t>
      </w:r>
      <w:r>
        <w:rPr>
          <w:rFonts w:hint="eastAsia" w:ascii="宋体" w:hAnsi="宋体" w:cs="宋体"/>
          <w:color w:val="000000"/>
          <w:szCs w:val="21"/>
          <w:highlight w:val="none"/>
        </w:rPr>
        <w:t>）不具备磋商文件中规定的资格要求的；</w:t>
      </w:r>
    </w:p>
    <w:p w14:paraId="1D4126E3">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w:t>
      </w:r>
      <w:r>
        <w:rPr>
          <w:rFonts w:ascii="宋体" w:hAnsi="宋体" w:cs="宋体"/>
          <w:color w:val="000000"/>
          <w:szCs w:val="21"/>
          <w:highlight w:val="none"/>
        </w:rPr>
        <w:t>2</w:t>
      </w:r>
      <w:r>
        <w:rPr>
          <w:rFonts w:hint="eastAsia" w:ascii="宋体" w:hAnsi="宋体" w:cs="宋体"/>
          <w:color w:val="000000"/>
          <w:szCs w:val="21"/>
          <w:highlight w:val="none"/>
        </w:rPr>
        <w:t>）响应文件未提供任一项“供应商须知前附表”资格证明文件规定的“必须提供”的文件资料的；</w:t>
      </w:r>
    </w:p>
    <w:p w14:paraId="227BB594">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w:t>
      </w:r>
      <w:r>
        <w:rPr>
          <w:rFonts w:ascii="宋体" w:hAnsi="宋体" w:cs="宋体"/>
          <w:color w:val="000000"/>
          <w:szCs w:val="21"/>
          <w:highlight w:val="none"/>
        </w:rPr>
        <w:t>3</w:t>
      </w:r>
      <w:r>
        <w:rPr>
          <w:rFonts w:hint="eastAsia" w:ascii="宋体" w:hAnsi="宋体" w:cs="宋体"/>
          <w:color w:val="000000"/>
          <w:szCs w:val="21"/>
          <w:highlight w:val="none"/>
        </w:rPr>
        <w:t>）响应文件提供的资格证明文件出现任一项不符合“供应商须知前附表”资格证明文件规定的“必须提供”的文件资料要求或者无效的。</w:t>
      </w:r>
    </w:p>
    <w:p w14:paraId="741A5FDE">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bookmarkStart w:id="58" w:name="_Hlk68601553"/>
      <w:r>
        <w:rPr>
          <w:rFonts w:hint="eastAsia" w:ascii="宋体" w:hAnsi="宋体" w:cs="宋体"/>
          <w:color w:val="000000"/>
          <w:szCs w:val="21"/>
          <w:highlight w:val="none"/>
        </w:rPr>
        <w:t>（4）同一合同项下的不同供应商，单位负责人为同一人或者存在直接控股、管理关系的；为本项目提供过整体设计、规范编制或者项目管理、监理、检测等服务的。</w:t>
      </w:r>
      <w:bookmarkEnd w:id="58"/>
    </w:p>
    <w:p w14:paraId="363650A6">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2.4通过资格审查的合格供应商不足3家的，不得进入符合性审查环节，</w:t>
      </w:r>
      <w:r>
        <w:rPr>
          <w:rFonts w:hint="eastAsia" w:ascii="宋体" w:hAnsi="宋体"/>
          <w:color w:val="000000"/>
          <w:szCs w:val="21"/>
          <w:highlight w:val="none"/>
        </w:rPr>
        <w:t>采购人或者采购代理机构应当重新开展采购活动。</w:t>
      </w:r>
    </w:p>
    <w:p w14:paraId="07976D3C">
      <w:pPr>
        <w:keepNext w:val="0"/>
        <w:keepLines w:val="0"/>
        <w:pageBreakBefore w:val="0"/>
        <w:kinsoku/>
        <w:wordWrap/>
        <w:overflowPunct/>
        <w:topLinePunct w:val="0"/>
        <w:autoSpaceDE/>
        <w:autoSpaceDN/>
        <w:bidi w:val="0"/>
        <w:spacing w:line="440" w:lineRule="exact"/>
        <w:ind w:firstLine="482" w:firstLineChars="200"/>
        <w:textAlignment w:val="auto"/>
        <w:rPr>
          <w:rFonts w:ascii="宋体" w:hAnsi="宋体" w:cs="宋体"/>
          <w:b/>
          <w:bCs/>
          <w:color w:val="000000"/>
          <w:sz w:val="24"/>
          <w:highlight w:val="none"/>
        </w:rPr>
      </w:pPr>
      <w:r>
        <w:rPr>
          <w:rFonts w:hint="eastAsia" w:ascii="宋体" w:hAnsi="宋体" w:cs="宋体"/>
          <w:b/>
          <w:bCs/>
          <w:color w:val="000000"/>
          <w:sz w:val="24"/>
          <w:highlight w:val="none"/>
        </w:rPr>
        <w:t>3.符合性审查</w:t>
      </w:r>
    </w:p>
    <w:p w14:paraId="3AE79487">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3</w:t>
      </w:r>
      <w:r>
        <w:rPr>
          <w:rFonts w:ascii="宋体" w:hAnsi="宋体" w:cs="宋体"/>
          <w:color w:val="000000"/>
          <w:szCs w:val="21"/>
          <w:highlight w:val="none"/>
        </w:rPr>
        <w:t>.1</w:t>
      </w:r>
      <w:r>
        <w:rPr>
          <w:rFonts w:hint="eastAsia" w:ascii="宋体" w:hAnsi="宋体" w:cs="宋体"/>
          <w:color w:val="000000"/>
          <w:szCs w:val="21"/>
          <w:highlight w:val="none"/>
        </w:rPr>
        <w:t>由磋商小组对</w:t>
      </w:r>
      <w:r>
        <w:rPr>
          <w:rFonts w:hint="eastAsia" w:ascii="宋体" w:hAnsi="宋体"/>
          <w:color w:val="000000"/>
          <w:szCs w:val="21"/>
          <w:highlight w:val="none"/>
        </w:rPr>
        <w:t>通过资格审查的合格供应商</w:t>
      </w:r>
      <w:r>
        <w:rPr>
          <w:rFonts w:hint="eastAsia" w:ascii="宋体" w:hAnsi="宋体" w:cs="宋体"/>
          <w:color w:val="000000"/>
          <w:szCs w:val="21"/>
          <w:highlight w:val="none"/>
        </w:rPr>
        <w:t>的响应文件的响应报价、商务、技术等实质性要求进行符合性审查，以确定其是否满足磋商文件的实质性要求。</w:t>
      </w:r>
    </w:p>
    <w:p w14:paraId="3F62FD06">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3</w:t>
      </w:r>
      <w:r>
        <w:rPr>
          <w:rFonts w:ascii="宋体" w:hAnsi="宋体" w:cs="宋体"/>
          <w:color w:val="000000"/>
          <w:szCs w:val="21"/>
          <w:highlight w:val="none"/>
        </w:rPr>
        <w:t>.2</w:t>
      </w:r>
      <w:r>
        <w:rPr>
          <w:rFonts w:hint="eastAsia" w:ascii="宋体" w:hAnsi="宋体" w:cs="宋体"/>
          <w:color w:val="000000"/>
          <w:szCs w:val="21"/>
          <w:highlight w:val="none"/>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B210B38">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pacing w:val="-6"/>
          <w:szCs w:val="21"/>
          <w:highlight w:val="none"/>
        </w:rPr>
      </w:pPr>
      <w:r>
        <w:rPr>
          <w:rFonts w:hint="eastAsia" w:ascii="宋体" w:hAnsi="宋体" w:cs="宋体"/>
          <w:color w:val="000000"/>
          <w:szCs w:val="21"/>
          <w:highlight w:val="none"/>
        </w:rPr>
        <w:t>3.</w:t>
      </w:r>
      <w:r>
        <w:rPr>
          <w:rFonts w:ascii="宋体" w:hAnsi="宋体" w:cs="宋体"/>
          <w:color w:val="000000"/>
          <w:szCs w:val="21"/>
          <w:highlight w:val="none"/>
        </w:rPr>
        <w:t>3</w:t>
      </w:r>
      <w:r>
        <w:rPr>
          <w:rFonts w:hint="eastAsia" w:ascii="宋体" w:hAnsi="宋体" w:cs="宋体"/>
          <w:color w:val="000000"/>
          <w:szCs w:val="21"/>
          <w:highlight w:val="none"/>
        </w:rPr>
        <w:t>磋商小组要求供应商澄清、说明或者更正响应文件应当以电子澄清函形式作出。供应商的澄清、说明或者更正应当</w:t>
      </w:r>
      <w:r>
        <w:rPr>
          <w:rFonts w:hint="eastAsia" w:ascii="宋体" w:hAnsi="宋体" w:cs="宋体"/>
          <w:color w:val="000000"/>
          <w:szCs w:val="21"/>
          <w:highlight w:val="none"/>
          <w:lang w:val="en-US" w:eastAsia="zh-CN"/>
        </w:rPr>
        <w:t>以</w:t>
      </w:r>
      <w:r>
        <w:rPr>
          <w:rFonts w:hint="eastAsia" w:ascii="宋体" w:hAnsi="宋体" w:cs="宋体"/>
          <w:color w:val="000000"/>
          <w:szCs w:val="21"/>
          <w:highlight w:val="none"/>
        </w:rPr>
        <w:t>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000000"/>
          <w:spacing w:val="-6"/>
          <w:szCs w:val="21"/>
          <w:highlight w:val="none"/>
        </w:rPr>
        <w:t>。供应商为自然人的，必须由本人签字并附身份证明。</w:t>
      </w:r>
    </w:p>
    <w:p w14:paraId="4AB380CA">
      <w:pPr>
        <w:keepNext w:val="0"/>
        <w:keepLines w:val="0"/>
        <w:pageBreakBefore w:val="0"/>
        <w:kinsoku/>
        <w:wordWrap/>
        <w:overflowPunct/>
        <w:topLinePunct w:val="0"/>
        <w:autoSpaceDE/>
        <w:autoSpaceDN/>
        <w:bidi w:val="0"/>
        <w:spacing w:line="440" w:lineRule="exact"/>
        <w:ind w:firstLine="396" w:firstLineChars="200"/>
        <w:textAlignment w:val="auto"/>
        <w:rPr>
          <w:rFonts w:ascii="宋体" w:hAnsi="宋体" w:cs="宋体"/>
          <w:color w:val="000000"/>
          <w:szCs w:val="21"/>
          <w:highlight w:val="none"/>
        </w:rPr>
      </w:pPr>
      <w:r>
        <w:rPr>
          <w:rFonts w:hint="eastAsia" w:ascii="宋体" w:hAnsi="宋体" w:cs="宋体"/>
          <w:color w:val="000000"/>
          <w:spacing w:val="-6"/>
          <w:szCs w:val="21"/>
          <w:highlight w:val="none"/>
        </w:rPr>
        <w:t>3</w:t>
      </w:r>
      <w:r>
        <w:rPr>
          <w:rFonts w:ascii="宋体" w:hAnsi="宋体" w:cs="宋体"/>
          <w:color w:val="000000"/>
          <w:spacing w:val="-6"/>
          <w:szCs w:val="21"/>
          <w:highlight w:val="none"/>
        </w:rPr>
        <w:t>.4</w:t>
      </w:r>
      <w:r>
        <w:rPr>
          <w:rFonts w:hint="eastAsia" w:ascii="宋体" w:hAnsi="宋体" w:cs="宋体"/>
          <w:color w:val="000000"/>
          <w:szCs w:val="21"/>
          <w:highlight w:val="none"/>
        </w:rPr>
        <w:t xml:space="preserve">首次响应文件报价出现前后不一致的，按照下列规定修正： </w:t>
      </w:r>
    </w:p>
    <w:p w14:paraId="0058AE9D">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（1）响应文件中报价表内容与响应文件中相应内容不一致的，以报价表为准；</w:t>
      </w:r>
    </w:p>
    <w:p w14:paraId="18B09A3F">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（2）大写金额和小写金额不一致的，以大写金额为准；</w:t>
      </w:r>
    </w:p>
    <w:p w14:paraId="33235706">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（3）单价金额小数点或者百分比有明显错位的，以报价表的总价为准，并修改单价；</w:t>
      </w:r>
    </w:p>
    <w:p w14:paraId="55DF57A4">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（4）总价金额与按单价汇总金额不一致的，以单价金额计算结果为准。</w:t>
      </w:r>
    </w:p>
    <w:p w14:paraId="513DC2BF">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同时出现两种以上不一致的，按照以上（1）-（4）规定的顺序逐条进行修正。修正后的报价经供应商确认后产生约束力，供应商不确认的，其响应文件按无效响应处理。</w:t>
      </w:r>
    </w:p>
    <w:p w14:paraId="1C95A504">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3.</w:t>
      </w:r>
      <w:r>
        <w:rPr>
          <w:rFonts w:ascii="宋体" w:hAnsi="宋体" w:cs="宋体"/>
          <w:color w:val="000000"/>
          <w:szCs w:val="21"/>
          <w:highlight w:val="none"/>
        </w:rPr>
        <w:t>5</w:t>
      </w:r>
      <w:r>
        <w:rPr>
          <w:rFonts w:hint="eastAsia" w:ascii="宋体" w:hAnsi="宋体" w:cs="宋体"/>
          <w:color w:val="000000"/>
          <w:szCs w:val="21"/>
          <w:highlight w:val="none"/>
        </w:rPr>
        <w:t>商务技术、报价评审</w:t>
      </w:r>
    </w:p>
    <w:p w14:paraId="1E08BDC6">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在评审时，如发现下列情形之一的，将被视为响应文件无效处理：</w:t>
      </w:r>
    </w:p>
    <w:p w14:paraId="6EC4B567">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（1）商务技术评审</w:t>
      </w:r>
    </w:p>
    <w:p w14:paraId="055B2914">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1）响应文件未按磋商文件要求签署、盖章；</w:t>
      </w:r>
    </w:p>
    <w:p w14:paraId="3ECA4BDE">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 xml:space="preserve">2）委托代理人未能出具有效身份证明或者出具的身份证明与授权委托书中的信息不符； </w:t>
      </w:r>
    </w:p>
    <w:p w14:paraId="37178E50">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0D5924D7">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4）商务条款中标“▲”的条款发生负偏离的或者允许负偏离的条款数超过“供应商须知前附表”规定项数的或者标明实质性的要求发生负偏离；</w:t>
      </w:r>
    </w:p>
    <w:p w14:paraId="754C7BB2">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5）未对竞标有效期作出响应或者响应文件承诺的竞标有效期不满足磋商文件要求；</w:t>
      </w:r>
    </w:p>
    <w:p w14:paraId="0B4E5139">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6）响应文件的实质性内容未使用中文表述、使用计量单位不符合磋商文件要求；</w:t>
      </w:r>
    </w:p>
    <w:p w14:paraId="5334A2A0">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7）响应文件中的文件资料因填写不齐全或者内容虚假或者出现其他情形而导致被磋商小组认定无效；</w:t>
      </w:r>
    </w:p>
    <w:p w14:paraId="119A81BD">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8）响应文件含有采购人不能接受的附加条件；</w:t>
      </w:r>
    </w:p>
    <w:p w14:paraId="2F0E6273">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9）属于“供应商须知正文”第7.</w:t>
      </w:r>
      <w:r>
        <w:rPr>
          <w:rFonts w:ascii="宋体" w:hAnsi="宋体" w:cs="宋体"/>
          <w:color w:val="000000"/>
          <w:szCs w:val="21"/>
          <w:highlight w:val="none"/>
        </w:rPr>
        <w:t>5</w:t>
      </w:r>
      <w:r>
        <w:rPr>
          <w:rFonts w:hint="eastAsia" w:ascii="宋体" w:hAnsi="宋体" w:cs="宋体"/>
          <w:color w:val="000000"/>
          <w:szCs w:val="21"/>
          <w:highlight w:val="none"/>
        </w:rPr>
        <w:t>条情形；</w:t>
      </w:r>
    </w:p>
    <w:p w14:paraId="75397D26">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10）技术需求允许负偏离的条款数超过“供应商须知前附表”规定项数；</w:t>
      </w:r>
    </w:p>
    <w:p w14:paraId="5D3014CA">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11）虚假竞标，或者出现其他情形而导致被磋商小组认定无效；</w:t>
      </w:r>
    </w:p>
    <w:p w14:paraId="44FD48DC">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12）竞标技术方案不明确，磋商文件未允许</w:t>
      </w:r>
      <w:r>
        <w:rPr>
          <w:rFonts w:hint="eastAsia" w:ascii="宋体" w:hAnsi="宋体"/>
          <w:color w:val="000000"/>
          <w:szCs w:val="21"/>
          <w:highlight w:val="none"/>
        </w:rPr>
        <w:t>但响应文件中</w:t>
      </w:r>
      <w:r>
        <w:rPr>
          <w:rFonts w:hint="eastAsia" w:ascii="宋体" w:hAnsi="宋体" w:cs="宋体"/>
          <w:color w:val="000000"/>
          <w:szCs w:val="21"/>
          <w:highlight w:val="none"/>
        </w:rPr>
        <w:t>存在一个或者一个以上备选（替代）竞标方案；</w:t>
      </w:r>
    </w:p>
    <w:p w14:paraId="6738F8D2">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13）响应文件标注的项目名称或者项目编号与竞争性磋商文件标注的项目名称或者项目编号不一致的；</w:t>
      </w:r>
    </w:p>
    <w:p w14:paraId="0A0F0226">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14）未响应磋商文件实质性要求；</w:t>
      </w:r>
    </w:p>
    <w:p w14:paraId="07023F32">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15）法律、法规和磋商文件规定的其他无效情形。</w:t>
      </w:r>
    </w:p>
    <w:p w14:paraId="18E4194C">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w:t>
      </w:r>
      <w:r>
        <w:rPr>
          <w:rFonts w:ascii="宋体" w:hAnsi="宋体" w:cs="宋体"/>
          <w:color w:val="000000"/>
          <w:szCs w:val="21"/>
          <w:highlight w:val="none"/>
        </w:rPr>
        <w:t>2</w:t>
      </w:r>
      <w:r>
        <w:rPr>
          <w:rFonts w:hint="eastAsia" w:ascii="宋体" w:hAnsi="宋体" w:cs="宋体"/>
          <w:color w:val="000000"/>
          <w:szCs w:val="21"/>
          <w:highlight w:val="none"/>
        </w:rPr>
        <w:t>）报价评审</w:t>
      </w:r>
    </w:p>
    <w:p w14:paraId="4B89E05A">
      <w:pPr>
        <w:keepNext w:val="0"/>
        <w:keepLines w:val="0"/>
        <w:pageBreakBefore w:val="0"/>
        <w:kinsoku/>
        <w:wordWrap/>
        <w:overflowPunct/>
        <w:topLinePunct w:val="0"/>
        <w:autoSpaceDE/>
        <w:autoSpaceDN/>
        <w:bidi w:val="0"/>
        <w:spacing w:line="440" w:lineRule="exact"/>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 响应文件未提供“供应商须知前附表”报价文件中规定的“响应报价表”；</w:t>
      </w:r>
    </w:p>
    <w:p w14:paraId="18DC1720">
      <w:pPr>
        <w:keepNext w:val="0"/>
        <w:keepLines w:val="0"/>
        <w:pageBreakBefore w:val="0"/>
        <w:kinsoku/>
        <w:wordWrap/>
        <w:overflowPunct/>
        <w:topLinePunct w:val="0"/>
        <w:autoSpaceDE/>
        <w:autoSpaceDN/>
        <w:bidi w:val="0"/>
        <w:spacing w:line="440" w:lineRule="exact"/>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2）未采用人民币报价或者未按照磋商文件标明的币种报价；</w:t>
      </w:r>
    </w:p>
    <w:p w14:paraId="69D5BC2B">
      <w:pPr>
        <w:keepNext w:val="0"/>
        <w:keepLines w:val="0"/>
        <w:pageBreakBefore w:val="0"/>
        <w:kinsoku/>
        <w:wordWrap/>
        <w:overflowPunct/>
        <w:topLinePunct w:val="0"/>
        <w:autoSpaceDE/>
        <w:autoSpaceDN/>
        <w:bidi w:val="0"/>
        <w:spacing w:line="440" w:lineRule="exact"/>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3）供应商未就所竞标</w:t>
      </w:r>
      <w:r>
        <w:rPr>
          <w:rFonts w:hint="eastAsia" w:ascii="宋体" w:hAnsi="宋体" w:eastAsia="宋体" w:cs="宋体"/>
          <w:color w:val="000000"/>
          <w:sz w:val="21"/>
          <w:szCs w:val="21"/>
          <w:highlight w:val="none"/>
          <w:lang w:eastAsia="zh-CN"/>
        </w:rPr>
        <w:t>的全部内容</w:t>
      </w:r>
      <w:r>
        <w:rPr>
          <w:rFonts w:hint="eastAsia" w:ascii="宋体" w:hAnsi="宋体" w:eastAsia="宋体" w:cs="宋体"/>
          <w:color w:val="000000"/>
          <w:sz w:val="21"/>
          <w:szCs w:val="21"/>
          <w:highlight w:val="none"/>
        </w:rPr>
        <w:t>进行报价或者存在漏项报价；供应商未就所竞标的全部内容作唯一总价报价；供应商响应文件中存在有选择、有条件报价的（磋商文件允许有备选方案或者其他约定的除外）；</w:t>
      </w:r>
    </w:p>
    <w:p w14:paraId="511A8F1A">
      <w:pPr>
        <w:keepNext w:val="0"/>
        <w:keepLines w:val="0"/>
        <w:pageBreakBefore w:val="0"/>
        <w:kinsoku/>
        <w:wordWrap/>
        <w:overflowPunct/>
        <w:topLinePunct w:val="0"/>
        <w:autoSpaceDE/>
        <w:autoSpaceDN/>
        <w:bidi w:val="0"/>
        <w:spacing w:line="440" w:lineRule="exact"/>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4）响应报价（包含首次报价、最后报价）超过所竞标规定的采购预算金额或者最高限价的（如本项目公布了最高限价）；</w:t>
      </w:r>
    </w:p>
    <w:p w14:paraId="13AE2222">
      <w:pPr>
        <w:keepNext w:val="0"/>
        <w:keepLines w:val="0"/>
        <w:pageBreakBefore w:val="0"/>
        <w:kinsoku/>
        <w:wordWrap/>
        <w:overflowPunct/>
        <w:topLinePunct w:val="0"/>
        <w:autoSpaceDE/>
        <w:autoSpaceDN/>
        <w:bidi w:val="0"/>
        <w:spacing w:line="440" w:lineRule="exact"/>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5）修正后的报价，供应商不确认的；或者经供应商确认修正后的响应报价（包含首次报价、最后报价）超过所竞标规定的采购预算金额或者最高限价（如本项目公布了最高限价）。</w:t>
      </w:r>
    </w:p>
    <w:p w14:paraId="4B6C3A33">
      <w:pPr>
        <w:keepNext w:val="0"/>
        <w:keepLines w:val="0"/>
        <w:pageBreakBefore w:val="0"/>
        <w:kinsoku/>
        <w:wordWrap/>
        <w:overflowPunct/>
        <w:topLinePunct w:val="0"/>
        <w:autoSpaceDE/>
        <w:autoSpaceDN/>
        <w:bidi w:val="0"/>
        <w:spacing w:line="440" w:lineRule="exact"/>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6）响应文件响应的标的数量及单位与竞争性磋商采购文件要求实质性不一致的。</w:t>
      </w:r>
    </w:p>
    <w:p w14:paraId="291CA5DA">
      <w:pPr>
        <w:keepNext w:val="0"/>
        <w:keepLines w:val="0"/>
        <w:pageBreakBefore w:val="0"/>
        <w:kinsoku/>
        <w:wordWrap/>
        <w:overflowPunct/>
        <w:topLinePunct w:val="0"/>
        <w:autoSpaceDE/>
        <w:autoSpaceDN/>
        <w:bidi w:val="0"/>
        <w:spacing w:line="440" w:lineRule="exact"/>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7）供应商采用总价优惠或以总价百分比优惠的方式进行响应报价的；</w:t>
      </w:r>
    </w:p>
    <w:p w14:paraId="2F3671D4">
      <w:pPr>
        <w:keepNext w:val="0"/>
        <w:keepLines w:val="0"/>
        <w:pageBreakBefore w:val="0"/>
        <w:kinsoku/>
        <w:wordWrap/>
        <w:overflowPunct/>
        <w:topLinePunct w:val="0"/>
        <w:autoSpaceDE/>
        <w:autoSpaceDN/>
        <w:bidi w:val="0"/>
        <w:spacing w:line="44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000000"/>
          <w:sz w:val="21"/>
          <w:szCs w:val="21"/>
          <w:highlight w:val="none"/>
          <w:lang w:val="en-US" w:eastAsia="zh-CN"/>
        </w:rPr>
        <w:t>8</w:t>
      </w:r>
      <w:r>
        <w:rPr>
          <w:rFonts w:hint="eastAsia" w:ascii="宋体" w:hAnsi="宋体" w:eastAsia="宋体" w:cs="宋体"/>
          <w:color w:val="000000"/>
          <w:sz w:val="21"/>
          <w:szCs w:val="21"/>
          <w:highlight w:val="none"/>
        </w:rPr>
        <w:t>）供应商已标价工程量清单的项目</w:t>
      </w:r>
      <w:r>
        <w:rPr>
          <w:rFonts w:hint="eastAsia" w:ascii="宋体" w:hAnsi="宋体" w:eastAsia="宋体" w:cs="宋体"/>
          <w:color w:val="000000"/>
          <w:sz w:val="21"/>
          <w:szCs w:val="21"/>
          <w:highlight w:val="none"/>
          <w:lang w:val="en-US" w:eastAsia="zh-CN"/>
        </w:rPr>
        <w:t>名称、项目</w:t>
      </w:r>
      <w:r>
        <w:rPr>
          <w:rFonts w:hint="eastAsia" w:ascii="宋体" w:hAnsi="宋体" w:eastAsia="宋体" w:cs="宋体"/>
          <w:color w:val="000000"/>
          <w:sz w:val="21"/>
          <w:szCs w:val="21"/>
          <w:highlight w:val="none"/>
        </w:rPr>
        <w:t>编码</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或代号</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、计量单位、工程量任何一处与</w:t>
      </w:r>
      <w:r>
        <w:rPr>
          <w:rFonts w:hint="eastAsia" w:ascii="宋体" w:hAnsi="宋体" w:cs="宋体"/>
          <w:color w:val="000000"/>
          <w:sz w:val="21"/>
          <w:szCs w:val="21"/>
          <w:highlight w:val="none"/>
          <w:lang w:val="en-US" w:eastAsia="zh-CN"/>
        </w:rPr>
        <w:t>招标控制价</w:t>
      </w:r>
      <w:r>
        <w:rPr>
          <w:rFonts w:hint="eastAsia" w:ascii="宋体" w:hAnsi="宋体" w:eastAsia="宋体" w:cs="宋体"/>
          <w:color w:val="000000"/>
          <w:sz w:val="21"/>
          <w:szCs w:val="21"/>
          <w:highlight w:val="none"/>
        </w:rPr>
        <w:t>不一致的；</w:t>
      </w:r>
    </w:p>
    <w:p w14:paraId="05AF41BA">
      <w:pPr>
        <w:keepNext w:val="0"/>
        <w:keepLines w:val="0"/>
        <w:pageBreakBefore w:val="0"/>
        <w:kinsoku/>
        <w:wordWrap/>
        <w:overflowPunct/>
        <w:topLinePunct w:val="0"/>
        <w:autoSpaceDE/>
        <w:autoSpaceDN/>
        <w:bidi w:val="0"/>
        <w:spacing w:line="44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）供应商已标价工程量清单的项目名称或项目特征与</w:t>
      </w:r>
      <w:r>
        <w:rPr>
          <w:rFonts w:hint="eastAsia" w:ascii="宋体" w:hAnsi="宋体" w:cs="宋体"/>
          <w:color w:val="auto"/>
          <w:sz w:val="21"/>
          <w:szCs w:val="21"/>
          <w:highlight w:val="none"/>
          <w:lang w:val="en-US" w:eastAsia="zh-CN"/>
        </w:rPr>
        <w:t>招标</w:t>
      </w:r>
      <w:r>
        <w:rPr>
          <w:rFonts w:hint="eastAsia" w:ascii="宋体" w:hAnsi="宋体" w:eastAsia="宋体" w:cs="宋体"/>
          <w:color w:val="auto"/>
          <w:sz w:val="21"/>
          <w:szCs w:val="21"/>
          <w:highlight w:val="none"/>
          <w:lang w:val="en-US" w:eastAsia="zh-CN"/>
        </w:rPr>
        <w:t>控制价</w:t>
      </w:r>
      <w:r>
        <w:rPr>
          <w:rFonts w:hint="eastAsia" w:ascii="宋体" w:hAnsi="宋体" w:eastAsia="宋体" w:cs="宋体"/>
          <w:color w:val="auto"/>
          <w:sz w:val="21"/>
          <w:szCs w:val="21"/>
          <w:highlight w:val="none"/>
        </w:rPr>
        <w:t>不一致，磋商小组要求澄清、说明或补正，但供应商拒绝澄清、说明或补正的；</w:t>
      </w:r>
    </w:p>
    <w:p w14:paraId="35F4549A">
      <w:pPr>
        <w:keepNext w:val="0"/>
        <w:keepLines w:val="0"/>
        <w:pageBreakBefore w:val="0"/>
        <w:kinsoku/>
        <w:wordWrap/>
        <w:overflowPunct/>
        <w:topLinePunct w:val="0"/>
        <w:autoSpaceDE/>
        <w:autoSpaceDN/>
        <w:bidi w:val="0"/>
        <w:spacing w:line="44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11）响应函中的报价与已标价的工程量清单汇总表不一致的；</w:t>
      </w:r>
    </w:p>
    <w:p w14:paraId="5FB535EE">
      <w:pPr>
        <w:keepNext w:val="0"/>
        <w:keepLines w:val="0"/>
        <w:pageBreakBefore w:val="0"/>
        <w:kinsoku/>
        <w:wordWrap/>
        <w:overflowPunct/>
        <w:topLinePunct w:val="0"/>
        <w:autoSpaceDE/>
        <w:autoSpaceDN/>
        <w:bidi w:val="0"/>
        <w:spacing w:line="44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12）设有暂估价、暂列金额的，响应时未按</w:t>
      </w:r>
      <w:r>
        <w:rPr>
          <w:rFonts w:hint="eastAsia" w:ascii="宋体" w:hAnsi="宋体" w:cs="宋体"/>
          <w:color w:val="auto"/>
          <w:sz w:val="21"/>
          <w:szCs w:val="21"/>
          <w:highlight w:val="none"/>
          <w:lang w:val="en-US" w:eastAsia="zh-CN"/>
        </w:rPr>
        <w:t>招标控制价</w:t>
      </w:r>
      <w:r>
        <w:rPr>
          <w:rFonts w:hint="eastAsia" w:ascii="宋体" w:hAnsi="宋体" w:eastAsia="宋体" w:cs="宋体"/>
          <w:color w:val="auto"/>
          <w:sz w:val="21"/>
          <w:szCs w:val="21"/>
          <w:highlight w:val="none"/>
        </w:rPr>
        <w:t>给出的暂估价总价、暂列金额总价计入</w:t>
      </w:r>
      <w:r>
        <w:rPr>
          <w:rFonts w:hint="eastAsia" w:ascii="宋体" w:hAnsi="宋体" w:eastAsia="宋体" w:cs="宋体"/>
          <w:color w:val="auto"/>
          <w:sz w:val="21"/>
          <w:szCs w:val="21"/>
          <w:highlight w:val="none"/>
          <w:lang w:val="en-US" w:eastAsia="zh-CN"/>
        </w:rPr>
        <w:t>报价</w:t>
      </w:r>
      <w:r>
        <w:rPr>
          <w:rFonts w:hint="eastAsia" w:ascii="宋体" w:hAnsi="宋体" w:eastAsia="宋体" w:cs="宋体"/>
          <w:color w:val="auto"/>
          <w:sz w:val="21"/>
          <w:szCs w:val="21"/>
          <w:highlight w:val="none"/>
        </w:rPr>
        <w:t>中的。</w:t>
      </w:r>
    </w:p>
    <w:p w14:paraId="397A6CCE">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.6</w:t>
      </w:r>
      <w:r>
        <w:rPr>
          <w:rFonts w:hint="eastAsia" w:ascii="宋体" w:hAnsi="宋体" w:cs="宋体"/>
          <w:color w:val="auto"/>
          <w:szCs w:val="21"/>
          <w:highlight w:val="none"/>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78F43767">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.7</w:t>
      </w:r>
      <w:r>
        <w:rPr>
          <w:rFonts w:hint="eastAsia" w:ascii="宋体" w:hAnsi="宋体" w:cs="宋体"/>
          <w:color w:val="auto"/>
          <w:szCs w:val="21"/>
          <w:highlight w:val="none"/>
        </w:rPr>
        <w:t>非</w:t>
      </w:r>
      <w:r>
        <w:rPr>
          <w:rFonts w:hint="eastAsia" w:ascii="宋体" w:hAnsi="宋体"/>
          <w:color w:val="auto"/>
          <w:szCs w:val="21"/>
          <w:highlight w:val="none"/>
        </w:rPr>
        <w:t>政府购买服务项目，通过符合性审查的合格供应商不足3家的，不得进入磋商环节，采购人或者采购代理机构应当重新开展采购活动。政府购买服务项目，按</w:t>
      </w:r>
      <w:r>
        <w:rPr>
          <w:rFonts w:hint="eastAsia" w:ascii="宋体" w:hAnsi="宋体"/>
          <w:color w:val="000000"/>
          <w:szCs w:val="21"/>
          <w:highlight w:val="none"/>
        </w:rPr>
        <w:t>《财政部关于政府采购竞争性磋商采购方式管理暂行办法有关问题的补充通知》（财库〔2015〕124号）规定，采购过程中通过符合性审查的供应商（社会资本）只有2家的，磋商采购活动可以继续进行。</w:t>
      </w:r>
    </w:p>
    <w:p w14:paraId="1C1618C4">
      <w:pPr>
        <w:keepNext w:val="0"/>
        <w:keepLines w:val="0"/>
        <w:pageBreakBefore w:val="0"/>
        <w:kinsoku/>
        <w:wordWrap/>
        <w:overflowPunct/>
        <w:topLinePunct w:val="0"/>
        <w:autoSpaceDE/>
        <w:autoSpaceDN/>
        <w:bidi w:val="0"/>
        <w:spacing w:line="440" w:lineRule="exact"/>
        <w:ind w:firstLine="482" w:firstLineChars="200"/>
        <w:textAlignment w:val="auto"/>
        <w:rPr>
          <w:rFonts w:ascii="宋体" w:hAnsi="宋体" w:cs="宋体"/>
          <w:b/>
          <w:bCs/>
          <w:color w:val="000000"/>
          <w:sz w:val="24"/>
          <w:highlight w:val="none"/>
        </w:rPr>
      </w:pPr>
      <w:r>
        <w:rPr>
          <w:rFonts w:hint="eastAsia" w:ascii="宋体" w:hAnsi="宋体" w:cs="宋体"/>
          <w:b/>
          <w:bCs/>
          <w:color w:val="000000"/>
          <w:sz w:val="24"/>
          <w:highlight w:val="none"/>
        </w:rPr>
        <w:t>4.磋商程序</w:t>
      </w:r>
    </w:p>
    <w:p w14:paraId="4F055E69">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kern w:val="0"/>
          <w:szCs w:val="21"/>
          <w:highlight w:val="none"/>
        </w:rPr>
      </w:pPr>
      <w:r>
        <w:rPr>
          <w:rFonts w:hint="eastAsia" w:ascii="宋体" w:hAnsi="宋体" w:cs="宋体"/>
          <w:color w:val="000000"/>
          <w:kern w:val="0"/>
          <w:szCs w:val="21"/>
          <w:highlight w:val="none"/>
        </w:rPr>
        <w:t>4</w:t>
      </w:r>
      <w:r>
        <w:rPr>
          <w:rFonts w:ascii="宋体" w:hAnsi="宋体" w:cs="宋体"/>
          <w:color w:val="000000"/>
          <w:kern w:val="0"/>
          <w:szCs w:val="21"/>
          <w:highlight w:val="none"/>
        </w:rPr>
        <w:t>.1</w:t>
      </w:r>
      <w:r>
        <w:rPr>
          <w:rFonts w:hint="eastAsia" w:ascii="宋体" w:hAnsi="宋体" w:cs="宋体"/>
          <w:color w:val="000000"/>
          <w:kern w:val="0"/>
          <w:szCs w:val="21"/>
          <w:highlight w:val="none"/>
        </w:rPr>
        <w:t>磋商小组按照“供应商须知前附表”确定的</w:t>
      </w:r>
      <w:r>
        <w:rPr>
          <w:rFonts w:hint="eastAsia" w:ascii="宋体" w:hAnsi="宋体" w:cs="宋体"/>
          <w:color w:val="000000"/>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68698855">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4</w:t>
      </w:r>
      <w:r>
        <w:rPr>
          <w:rFonts w:ascii="宋体" w:hAnsi="宋体" w:cs="宋体"/>
          <w:color w:val="000000"/>
          <w:szCs w:val="21"/>
          <w:highlight w:val="none"/>
        </w:rPr>
        <w:t>.2</w:t>
      </w:r>
      <w:r>
        <w:rPr>
          <w:rFonts w:hint="eastAsia" w:ascii="宋体" w:hAnsi="宋体" w:cs="宋体"/>
          <w:color w:val="000000"/>
          <w:szCs w:val="21"/>
          <w:highlight w:val="none"/>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3992B46D">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4</w:t>
      </w:r>
      <w:r>
        <w:rPr>
          <w:rFonts w:ascii="宋体" w:hAnsi="宋体" w:cs="宋体"/>
          <w:color w:val="000000"/>
          <w:szCs w:val="21"/>
          <w:highlight w:val="none"/>
        </w:rPr>
        <w:t>.3</w:t>
      </w:r>
      <w:r>
        <w:rPr>
          <w:rFonts w:hint="eastAsia" w:ascii="宋体" w:hAnsi="宋体" w:cs="宋体"/>
          <w:color w:val="000000"/>
          <w:szCs w:val="21"/>
          <w:highlight w:val="none"/>
        </w:rPr>
        <w:t>对磋商文件作出的实质性变动是磋商文件的有效组成部分，由磋商小组及时以电子澄清函形式同时通知所有参加磋商的供应商。</w:t>
      </w:r>
    </w:p>
    <w:p w14:paraId="10F85FB8">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4</w:t>
      </w:r>
      <w:r>
        <w:rPr>
          <w:rFonts w:ascii="宋体" w:hAnsi="宋体" w:cs="宋体"/>
          <w:color w:val="000000"/>
          <w:szCs w:val="21"/>
          <w:highlight w:val="none"/>
        </w:rPr>
        <w:t>.4</w:t>
      </w:r>
      <w:r>
        <w:rPr>
          <w:rFonts w:hint="eastAsia" w:ascii="宋体" w:hAnsi="宋体" w:cs="宋体"/>
          <w:color w:val="000000"/>
          <w:szCs w:val="21"/>
          <w:highlight w:val="none"/>
        </w:rPr>
        <w:t>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201CEF84">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4</w:t>
      </w:r>
      <w:r>
        <w:rPr>
          <w:rFonts w:ascii="宋体" w:hAnsi="宋体" w:cs="宋体"/>
          <w:color w:val="000000"/>
          <w:szCs w:val="21"/>
          <w:highlight w:val="none"/>
        </w:rPr>
        <w:t>.5</w:t>
      </w:r>
      <w:r>
        <w:rPr>
          <w:rFonts w:hint="eastAsia" w:ascii="宋体" w:hAnsi="宋体" w:cs="宋体"/>
          <w:color w:val="000000"/>
          <w:szCs w:val="21"/>
          <w:highlight w:val="none"/>
        </w:rPr>
        <w:t>磋商中，</w:t>
      </w:r>
      <w:r>
        <w:rPr>
          <w:rFonts w:hint="eastAsia" w:ascii="宋体" w:hAnsi="宋体" w:cs="宋体"/>
          <w:color w:val="000000"/>
          <w:spacing w:val="-6"/>
          <w:szCs w:val="21"/>
          <w:highlight w:val="none"/>
        </w:rPr>
        <w:t>磋商的任何一方不得透露与磋商有关的其他供应商的技术资料、价格和其他信息。</w:t>
      </w:r>
    </w:p>
    <w:p w14:paraId="0F6EDBA7">
      <w:pPr>
        <w:keepNext w:val="0"/>
        <w:keepLines w:val="0"/>
        <w:pageBreakBefore w:val="0"/>
        <w:widowControl/>
        <w:tabs>
          <w:tab w:val="left" w:pos="540"/>
        </w:tabs>
        <w:kinsoku/>
        <w:wordWrap/>
        <w:overflowPunct/>
        <w:topLinePunct w:val="0"/>
        <w:autoSpaceDE/>
        <w:autoSpaceDN/>
        <w:bidi w:val="0"/>
        <w:spacing w:line="440" w:lineRule="exact"/>
        <w:ind w:firstLine="420" w:firstLineChars="200"/>
        <w:jc w:val="left"/>
        <w:textAlignment w:val="auto"/>
        <w:rPr>
          <w:rFonts w:ascii="宋体" w:hAnsi="宋体" w:cs="仿宋_GB2312"/>
          <w:b/>
          <w:color w:val="000000"/>
          <w:highlight w:val="none"/>
        </w:rPr>
      </w:pPr>
      <w:r>
        <w:rPr>
          <w:rFonts w:hint="eastAsia" w:ascii="宋体" w:hAnsi="宋体" w:cs="宋体"/>
          <w:color w:val="000000"/>
          <w:szCs w:val="21"/>
          <w:highlight w:val="none"/>
        </w:rPr>
        <w:t>4</w:t>
      </w:r>
      <w:r>
        <w:rPr>
          <w:rFonts w:ascii="宋体" w:hAnsi="宋体" w:cs="宋体"/>
          <w:color w:val="000000"/>
          <w:szCs w:val="21"/>
          <w:highlight w:val="none"/>
        </w:rPr>
        <w:t>.6</w:t>
      </w:r>
      <w:r>
        <w:rPr>
          <w:rFonts w:hint="eastAsia" w:ascii="宋体" w:hAnsi="宋体" w:cs="宋体"/>
          <w:color w:val="000000"/>
          <w:szCs w:val="21"/>
          <w:highlight w:val="none"/>
        </w:rPr>
        <w:t>磋商小组应对磋商过程和重要磋商内容进行记录，作为评标报告一部分，磋商小组在记录上签字确认。</w:t>
      </w:r>
      <w:r>
        <w:rPr>
          <w:rFonts w:hint="eastAsia" w:ascii="宋体" w:hAnsi="宋体" w:cs="仿宋_GB2312"/>
          <w:b/>
          <w:color w:val="000000"/>
          <w:highlight w:val="none"/>
        </w:rPr>
        <w:t>主要内容包括：</w:t>
      </w:r>
    </w:p>
    <w:p w14:paraId="0B236739">
      <w:pPr>
        <w:keepNext w:val="0"/>
        <w:keepLines w:val="0"/>
        <w:pageBreakBefore w:val="0"/>
        <w:kinsoku/>
        <w:wordWrap/>
        <w:overflowPunct/>
        <w:topLinePunct w:val="0"/>
        <w:autoSpaceDE/>
        <w:autoSpaceDN/>
        <w:bidi w:val="0"/>
        <w:adjustRightInd w:val="0"/>
        <w:spacing w:line="440" w:lineRule="exact"/>
        <w:ind w:firstLine="396" w:firstLineChars="200"/>
        <w:textAlignment w:val="auto"/>
        <w:rPr>
          <w:rFonts w:ascii="宋体" w:hAnsi="宋体" w:cs="宋体"/>
          <w:color w:val="000000"/>
          <w:spacing w:val="-6"/>
          <w:szCs w:val="21"/>
          <w:highlight w:val="none"/>
        </w:rPr>
      </w:pPr>
      <w:r>
        <w:rPr>
          <w:rFonts w:hint="eastAsia" w:ascii="宋体" w:hAnsi="宋体" w:cs="宋体"/>
          <w:color w:val="000000"/>
          <w:spacing w:val="-6"/>
          <w:szCs w:val="21"/>
          <w:highlight w:val="none"/>
        </w:rPr>
        <w:t>（1）按照相关规定进行公示的，公示情况说明；</w:t>
      </w:r>
    </w:p>
    <w:p w14:paraId="103273E9">
      <w:pPr>
        <w:keepNext w:val="0"/>
        <w:keepLines w:val="0"/>
        <w:pageBreakBefore w:val="0"/>
        <w:kinsoku/>
        <w:wordWrap/>
        <w:overflowPunct/>
        <w:topLinePunct w:val="0"/>
        <w:autoSpaceDE/>
        <w:autoSpaceDN/>
        <w:bidi w:val="0"/>
        <w:adjustRightInd w:val="0"/>
        <w:spacing w:line="440" w:lineRule="exact"/>
        <w:ind w:firstLine="396" w:firstLineChars="200"/>
        <w:textAlignment w:val="auto"/>
        <w:rPr>
          <w:rFonts w:ascii="宋体" w:hAnsi="宋体" w:cs="宋体"/>
          <w:color w:val="000000"/>
          <w:spacing w:val="-6"/>
          <w:szCs w:val="21"/>
          <w:highlight w:val="none"/>
        </w:rPr>
      </w:pPr>
      <w:r>
        <w:rPr>
          <w:rFonts w:hint="eastAsia" w:ascii="宋体" w:hAnsi="宋体" w:cs="宋体"/>
          <w:color w:val="000000"/>
          <w:spacing w:val="-6"/>
          <w:szCs w:val="21"/>
          <w:highlight w:val="none"/>
        </w:rPr>
        <w:t>（2）磋商日期和地点，磋商人员名单；</w:t>
      </w:r>
    </w:p>
    <w:p w14:paraId="28B24AE1">
      <w:pPr>
        <w:keepNext w:val="0"/>
        <w:keepLines w:val="0"/>
        <w:pageBreakBefore w:val="0"/>
        <w:kinsoku/>
        <w:wordWrap/>
        <w:overflowPunct/>
        <w:topLinePunct w:val="0"/>
        <w:autoSpaceDE/>
        <w:autoSpaceDN/>
        <w:bidi w:val="0"/>
        <w:adjustRightInd w:val="0"/>
        <w:spacing w:line="440" w:lineRule="exact"/>
        <w:ind w:firstLine="396" w:firstLineChars="200"/>
        <w:textAlignment w:val="auto"/>
        <w:rPr>
          <w:rFonts w:ascii="宋体" w:hAnsi="宋体" w:cs="宋体"/>
          <w:color w:val="000000"/>
          <w:spacing w:val="-6"/>
          <w:szCs w:val="21"/>
          <w:highlight w:val="none"/>
        </w:rPr>
      </w:pPr>
      <w:r>
        <w:rPr>
          <w:rFonts w:hint="eastAsia" w:ascii="宋体" w:hAnsi="宋体" w:cs="宋体"/>
          <w:color w:val="000000"/>
          <w:spacing w:val="-6"/>
          <w:szCs w:val="21"/>
          <w:highlight w:val="none"/>
        </w:rPr>
        <w:t>（3）合同主要条款及价格商定情况。</w:t>
      </w:r>
    </w:p>
    <w:p w14:paraId="1940993C">
      <w:pPr>
        <w:keepNext w:val="0"/>
        <w:keepLines w:val="0"/>
        <w:pageBreakBefore w:val="0"/>
        <w:widowControl/>
        <w:tabs>
          <w:tab w:val="left" w:pos="540"/>
        </w:tabs>
        <w:kinsoku/>
        <w:wordWrap/>
        <w:overflowPunct/>
        <w:topLinePunct w:val="0"/>
        <w:autoSpaceDE/>
        <w:autoSpaceDN/>
        <w:bidi w:val="0"/>
        <w:spacing w:line="440" w:lineRule="exact"/>
        <w:ind w:firstLine="420" w:firstLineChars="200"/>
        <w:jc w:val="left"/>
        <w:textAlignment w:val="auto"/>
        <w:rPr>
          <w:rFonts w:ascii="宋体" w:hAnsi="宋体" w:cs="宋体"/>
          <w:color w:val="000000"/>
          <w:szCs w:val="21"/>
          <w:highlight w:val="none"/>
        </w:rPr>
      </w:pPr>
      <w:r>
        <w:rPr>
          <w:rFonts w:hint="eastAsia" w:ascii="宋体" w:hAnsi="宋体" w:cs="宋体"/>
          <w:color w:val="000000"/>
          <w:szCs w:val="21"/>
          <w:highlight w:val="none"/>
        </w:rPr>
        <w:t>4.</w:t>
      </w:r>
      <w:r>
        <w:rPr>
          <w:rFonts w:ascii="宋体" w:hAnsi="宋体" w:cs="宋体"/>
          <w:color w:val="000000"/>
          <w:szCs w:val="21"/>
          <w:highlight w:val="none"/>
        </w:rPr>
        <w:t>7</w:t>
      </w:r>
      <w:r>
        <w:rPr>
          <w:rFonts w:hint="eastAsia" w:ascii="宋体" w:hAnsi="宋体" w:cs="宋体"/>
          <w:color w:val="000000"/>
          <w:szCs w:val="21"/>
          <w:highlight w:val="none"/>
        </w:rPr>
        <w:t>磋商过程中重新提交的响应文件，供应商可以在开启前补充、修改。</w:t>
      </w:r>
    </w:p>
    <w:p w14:paraId="27B48C69">
      <w:pPr>
        <w:keepNext w:val="0"/>
        <w:keepLines w:val="0"/>
        <w:pageBreakBefore w:val="0"/>
        <w:tabs>
          <w:tab w:val="left" w:pos="2835"/>
        </w:tabs>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4</w:t>
      </w:r>
      <w:r>
        <w:rPr>
          <w:rFonts w:ascii="宋体" w:hAnsi="宋体" w:cs="宋体"/>
          <w:color w:val="000000"/>
          <w:szCs w:val="21"/>
          <w:highlight w:val="none"/>
        </w:rPr>
        <w:t>.8</w:t>
      </w:r>
      <w:r>
        <w:rPr>
          <w:rFonts w:hint="eastAsia" w:ascii="宋体" w:hAnsi="宋体"/>
          <w:color w:val="000000"/>
          <w:szCs w:val="21"/>
          <w:highlight w:val="none"/>
        </w:rPr>
        <w:t>对磋商过程提交的响应文件进行有效性、完整性和响应程度审查，通过审查的合格供应商不足3家的，采购人或者采购代理机构应当重新开展采购活动。</w:t>
      </w:r>
    </w:p>
    <w:p w14:paraId="751265BC">
      <w:pPr>
        <w:keepNext w:val="0"/>
        <w:keepLines w:val="0"/>
        <w:pageBreakBefore w:val="0"/>
        <w:kinsoku/>
        <w:wordWrap/>
        <w:overflowPunct/>
        <w:topLinePunct w:val="0"/>
        <w:autoSpaceDE/>
        <w:autoSpaceDN/>
        <w:bidi w:val="0"/>
        <w:spacing w:line="440" w:lineRule="exact"/>
        <w:ind w:firstLine="200"/>
        <w:textAlignment w:val="auto"/>
        <w:rPr>
          <w:rFonts w:ascii="宋体" w:hAnsi="宋体" w:cs="宋体"/>
          <w:color w:val="000000"/>
          <w:szCs w:val="21"/>
          <w:highlight w:val="none"/>
        </w:rPr>
      </w:pPr>
      <w:r>
        <w:rPr>
          <w:rFonts w:hint="eastAsia" w:ascii="宋体" w:hAnsi="宋体" w:cs="宋体"/>
          <w:b/>
          <w:bCs/>
          <w:color w:val="000000"/>
          <w:sz w:val="24"/>
          <w:highlight w:val="none"/>
        </w:rPr>
        <w:t>5</w:t>
      </w:r>
      <w:r>
        <w:rPr>
          <w:rFonts w:ascii="宋体" w:hAnsi="宋体" w:cs="宋体"/>
          <w:b/>
          <w:bCs/>
          <w:color w:val="000000"/>
          <w:sz w:val="24"/>
          <w:highlight w:val="none"/>
        </w:rPr>
        <w:t>.</w:t>
      </w:r>
      <w:r>
        <w:rPr>
          <w:rFonts w:hint="eastAsia" w:ascii="宋体" w:hAnsi="宋体" w:cs="宋体"/>
          <w:b/>
          <w:bCs/>
          <w:color w:val="000000"/>
          <w:sz w:val="24"/>
          <w:highlight w:val="none"/>
        </w:rPr>
        <w:t xml:space="preserve"> 最后报价</w:t>
      </w:r>
    </w:p>
    <w:p w14:paraId="52EF2E0B">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5</w:t>
      </w:r>
      <w:r>
        <w:rPr>
          <w:rFonts w:ascii="宋体" w:hAnsi="宋体" w:cs="宋体"/>
          <w:color w:val="000000"/>
          <w:szCs w:val="21"/>
          <w:highlight w:val="none"/>
        </w:rPr>
        <w:t>.1</w:t>
      </w:r>
      <w:r>
        <w:rPr>
          <w:rFonts w:hint="eastAsia" w:ascii="宋体" w:hAnsi="宋体" w:cs="宋体"/>
          <w:color w:val="000000"/>
          <w:szCs w:val="21"/>
          <w:highlight w:val="none"/>
        </w:rPr>
        <w:t>磋商文件能够详细列明采购标的的技术、服务要求的，磋商结束后，由磋商小组要求所有继续参加磋商的供应商在规定时间内密封提交最后报价，除本章第5</w:t>
      </w:r>
      <w:r>
        <w:rPr>
          <w:rFonts w:ascii="宋体" w:hAnsi="宋体" w:cs="宋体"/>
          <w:color w:val="000000"/>
          <w:szCs w:val="21"/>
          <w:highlight w:val="none"/>
        </w:rPr>
        <w:t>.3</w:t>
      </w:r>
      <w:r>
        <w:rPr>
          <w:rFonts w:hint="eastAsia" w:ascii="宋体" w:hAnsi="宋体" w:cs="宋体"/>
          <w:color w:val="000000"/>
          <w:szCs w:val="21"/>
          <w:highlight w:val="none"/>
        </w:rPr>
        <w:t>条外，提交最后报价的供应商不得少于3家，否则必须重新采购。</w:t>
      </w:r>
    </w:p>
    <w:p w14:paraId="649CC33B">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5</w:t>
      </w:r>
      <w:r>
        <w:rPr>
          <w:rFonts w:ascii="宋体" w:hAnsi="宋体" w:cs="宋体"/>
          <w:color w:val="000000"/>
          <w:szCs w:val="21"/>
          <w:highlight w:val="none"/>
        </w:rPr>
        <w:t>.2</w:t>
      </w:r>
      <w:r>
        <w:rPr>
          <w:rFonts w:hint="eastAsia" w:ascii="宋体" w:hAnsi="宋体" w:cs="宋体"/>
          <w:color w:val="000000"/>
          <w:szCs w:val="21"/>
          <w:highlight w:val="none"/>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7B50A85E">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5</w:t>
      </w:r>
      <w:r>
        <w:rPr>
          <w:rFonts w:ascii="宋体" w:hAnsi="宋体" w:cs="宋体"/>
          <w:color w:val="000000"/>
          <w:szCs w:val="21"/>
          <w:highlight w:val="none"/>
        </w:rPr>
        <w:t>.3</w:t>
      </w:r>
      <w:r>
        <w:rPr>
          <w:rFonts w:hint="eastAsia" w:ascii="宋体" w:hAnsi="宋体" w:cs="宋体"/>
          <w:color w:val="000000"/>
          <w:szCs w:val="21"/>
          <w:highlight w:val="none"/>
        </w:rPr>
        <w:t xml:space="preserve">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39994327">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5</w:t>
      </w:r>
      <w:r>
        <w:rPr>
          <w:rFonts w:ascii="宋体" w:hAnsi="宋体" w:cs="宋体"/>
          <w:color w:val="000000"/>
          <w:szCs w:val="21"/>
          <w:highlight w:val="none"/>
        </w:rPr>
        <w:t>.4</w:t>
      </w:r>
      <w:r>
        <w:rPr>
          <w:rFonts w:hint="eastAsia" w:ascii="宋体" w:hAnsi="宋体" w:cs="宋体"/>
          <w:color w:val="000000"/>
          <w:szCs w:val="21"/>
          <w:highlight w:val="none"/>
        </w:rPr>
        <w:t>已经提交响应文件的供应商，在提交最后报价之前，可以根据磋商情况退出磋商，退出磋商的供应商的响应文件按无效响应处理。</w:t>
      </w:r>
    </w:p>
    <w:p w14:paraId="7E529BD8">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5</w:t>
      </w:r>
      <w:r>
        <w:rPr>
          <w:rFonts w:ascii="宋体" w:hAnsi="宋体" w:cs="宋体"/>
          <w:color w:val="000000"/>
          <w:szCs w:val="21"/>
          <w:highlight w:val="none"/>
        </w:rPr>
        <w:t>.5</w:t>
      </w:r>
      <w:r>
        <w:rPr>
          <w:rFonts w:hint="eastAsia" w:ascii="宋体" w:hAnsi="宋体" w:cs="宋体"/>
          <w:color w:val="000000"/>
          <w:szCs w:val="21"/>
          <w:highlight w:val="none"/>
        </w:rPr>
        <w:t>供应商未在规定时间内提交最后报价的，视同退出磋商。</w:t>
      </w:r>
    </w:p>
    <w:p w14:paraId="5BF8BF89">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5</w:t>
      </w:r>
      <w:r>
        <w:rPr>
          <w:rFonts w:ascii="宋体" w:hAnsi="宋体" w:cs="宋体"/>
          <w:color w:val="000000"/>
          <w:szCs w:val="21"/>
          <w:highlight w:val="none"/>
        </w:rPr>
        <w:t>.6</w:t>
      </w:r>
      <w:r>
        <w:rPr>
          <w:rFonts w:hint="eastAsia" w:ascii="宋体" w:hAnsi="宋体" w:cs="宋体"/>
          <w:color w:val="000000"/>
          <w:szCs w:val="21"/>
          <w:highlight w:val="none"/>
        </w:rPr>
        <w:t>磋商小组收齐某一分标最后报价后统一开启，磋商小组对最后报价进行有效性、完整性和响应程度的审查。</w:t>
      </w:r>
    </w:p>
    <w:p w14:paraId="7F6E09B0">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5</w:t>
      </w:r>
      <w:r>
        <w:rPr>
          <w:rFonts w:ascii="宋体" w:hAnsi="宋体" w:cs="宋体"/>
          <w:color w:val="000000"/>
          <w:szCs w:val="21"/>
          <w:highlight w:val="none"/>
        </w:rPr>
        <w:t>.7</w:t>
      </w:r>
      <w:r>
        <w:rPr>
          <w:rFonts w:hint="eastAsia" w:ascii="宋体" w:hAnsi="宋体" w:cs="宋体"/>
          <w:color w:val="000000"/>
          <w:szCs w:val="21"/>
          <w:highlight w:val="none"/>
        </w:rPr>
        <w:t>最终响应文件的报价出现前后不一致的，按照本章第3</w:t>
      </w:r>
      <w:r>
        <w:rPr>
          <w:rFonts w:ascii="宋体" w:hAnsi="宋体" w:cs="宋体"/>
          <w:color w:val="000000"/>
          <w:szCs w:val="21"/>
          <w:highlight w:val="none"/>
        </w:rPr>
        <w:t>.4</w:t>
      </w:r>
      <w:r>
        <w:rPr>
          <w:rFonts w:hint="eastAsia" w:ascii="宋体" w:hAnsi="宋体" w:cs="宋体"/>
          <w:color w:val="000000"/>
          <w:szCs w:val="21"/>
          <w:highlight w:val="none"/>
        </w:rPr>
        <w:t xml:space="preserve">条的规定修正。 </w:t>
      </w:r>
    </w:p>
    <w:p w14:paraId="1265F59C">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5</w:t>
      </w:r>
      <w:r>
        <w:rPr>
          <w:rFonts w:ascii="宋体" w:hAnsi="宋体" w:cs="宋体"/>
          <w:color w:val="000000"/>
          <w:szCs w:val="21"/>
          <w:highlight w:val="none"/>
        </w:rPr>
        <w:t>.8</w:t>
      </w:r>
      <w:r>
        <w:rPr>
          <w:rFonts w:hint="eastAsia" w:ascii="宋体" w:hAnsi="宋体" w:cs="宋体"/>
          <w:color w:val="000000"/>
          <w:szCs w:val="21"/>
          <w:highlight w:val="none"/>
        </w:rPr>
        <w:t>修正后的最终报价出现下列情形的，按无效响应处理：</w:t>
      </w:r>
    </w:p>
    <w:p w14:paraId="4CC79242">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（1）供应商不确认的（全流程电子化评标采取在线确认）；</w:t>
      </w:r>
    </w:p>
    <w:p w14:paraId="4452029A">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（2）经供应商确认修正后的响应报价（包含首次报价、最后报价）超过所竞标分标规定的采购预算金额或者最高限价的（如本项目公布了最高限价）；</w:t>
      </w:r>
    </w:p>
    <w:p w14:paraId="6EE98DF1">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（3）经供应商确认修正后的响应报价（包含首次报价、最后报价）超过分项采购预算金额或者最高限价的（如本项目公布了最高限价）。</w:t>
      </w:r>
    </w:p>
    <w:p w14:paraId="1079A496">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5</w:t>
      </w:r>
      <w:r>
        <w:rPr>
          <w:rFonts w:ascii="宋体" w:hAnsi="宋体" w:cs="宋体"/>
          <w:color w:val="000000"/>
          <w:szCs w:val="21"/>
          <w:highlight w:val="none"/>
        </w:rPr>
        <w:t>.9</w:t>
      </w:r>
      <w:r>
        <w:rPr>
          <w:rFonts w:hint="eastAsia" w:ascii="宋体" w:hAnsi="宋体" w:cs="宋体"/>
          <w:color w:val="000000"/>
          <w:szCs w:val="21"/>
          <w:highlight w:val="none"/>
        </w:rPr>
        <w:t>经供应商确认修正后的最后报价作为评审及签订合同的依据。</w:t>
      </w:r>
    </w:p>
    <w:p w14:paraId="2E70A1B3">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5.10供应商出现最后报价按无效响应处理或者响应文件按无效处理时</w:t>
      </w:r>
      <w:r>
        <w:rPr>
          <w:rFonts w:hint="eastAsia" w:ascii="宋体" w:hAnsi="宋体"/>
          <w:color w:val="000000"/>
          <w:sz w:val="22"/>
          <w:szCs w:val="22"/>
          <w:highlight w:val="none"/>
        </w:rPr>
        <w:t>，磋商小组应当告知有关供应商</w:t>
      </w:r>
      <w:r>
        <w:rPr>
          <w:rFonts w:hint="eastAsia" w:ascii="宋体" w:hAnsi="宋体" w:cs="宋体"/>
          <w:color w:val="000000"/>
          <w:szCs w:val="21"/>
          <w:highlight w:val="none"/>
        </w:rPr>
        <w:t>。</w:t>
      </w:r>
    </w:p>
    <w:p w14:paraId="783E8297">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ascii="宋体" w:hAnsi="宋体" w:cs="宋体"/>
          <w:color w:val="000000"/>
          <w:szCs w:val="21"/>
          <w:highlight w:val="none"/>
        </w:rPr>
        <w:t>5.1</w:t>
      </w:r>
      <w:r>
        <w:rPr>
          <w:rFonts w:hint="eastAsia" w:ascii="宋体" w:hAnsi="宋体" w:cs="宋体"/>
          <w:color w:val="000000"/>
          <w:szCs w:val="21"/>
          <w:highlight w:val="none"/>
        </w:rPr>
        <w:t>1最后报价结束后，磋商小组不得再与供应商进行任何形式的商谈。</w:t>
      </w:r>
    </w:p>
    <w:p w14:paraId="19F95DEC">
      <w:pPr>
        <w:keepNext w:val="0"/>
        <w:keepLines w:val="0"/>
        <w:pageBreakBefore w:val="0"/>
        <w:kinsoku/>
        <w:wordWrap/>
        <w:overflowPunct/>
        <w:topLinePunct w:val="0"/>
        <w:autoSpaceDE/>
        <w:autoSpaceDN/>
        <w:bidi w:val="0"/>
        <w:spacing w:line="440" w:lineRule="exact"/>
        <w:ind w:firstLine="200"/>
        <w:textAlignment w:val="auto"/>
        <w:rPr>
          <w:rFonts w:ascii="宋体" w:hAnsi="宋体" w:cs="宋体"/>
          <w:b/>
          <w:bCs/>
          <w:color w:val="000000"/>
          <w:sz w:val="24"/>
          <w:highlight w:val="none"/>
        </w:rPr>
      </w:pPr>
      <w:r>
        <w:rPr>
          <w:rFonts w:hint="eastAsia" w:ascii="宋体" w:hAnsi="宋体" w:cs="宋体"/>
          <w:b/>
          <w:bCs/>
          <w:color w:val="000000"/>
          <w:sz w:val="24"/>
          <w:highlight w:val="none"/>
        </w:rPr>
        <w:t>6</w:t>
      </w:r>
      <w:r>
        <w:rPr>
          <w:rFonts w:ascii="宋体" w:hAnsi="宋体" w:cs="宋体"/>
          <w:b/>
          <w:bCs/>
          <w:color w:val="000000"/>
          <w:sz w:val="24"/>
          <w:highlight w:val="none"/>
        </w:rPr>
        <w:t>.</w:t>
      </w:r>
      <w:r>
        <w:rPr>
          <w:rFonts w:hint="eastAsia" w:ascii="宋体" w:hAnsi="宋体" w:cs="宋体"/>
          <w:b/>
          <w:bCs/>
          <w:color w:val="000000"/>
          <w:sz w:val="24"/>
          <w:highlight w:val="none"/>
        </w:rPr>
        <w:t>比较与评价</w:t>
      </w:r>
    </w:p>
    <w:p w14:paraId="26005340">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6</w:t>
      </w:r>
      <w:r>
        <w:rPr>
          <w:rFonts w:ascii="宋体" w:hAnsi="宋体" w:cs="宋体"/>
          <w:color w:val="000000"/>
          <w:szCs w:val="21"/>
          <w:highlight w:val="none"/>
        </w:rPr>
        <w:t>.1</w:t>
      </w:r>
      <w:r>
        <w:rPr>
          <w:rFonts w:hint="eastAsia" w:ascii="宋体" w:hAnsi="宋体" w:cs="宋体"/>
          <w:color w:val="000000"/>
          <w:szCs w:val="21"/>
          <w:highlight w:val="none"/>
        </w:rPr>
        <w:t>评审方法：综合评分法。</w:t>
      </w:r>
    </w:p>
    <w:p w14:paraId="2EA8B16F">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ascii="宋体" w:hAnsi="宋体" w:cs="宋体"/>
          <w:color w:val="000000"/>
          <w:szCs w:val="21"/>
          <w:highlight w:val="none"/>
        </w:rPr>
        <w:t>6.2</w:t>
      </w:r>
      <w:r>
        <w:rPr>
          <w:rFonts w:hint="eastAsia" w:ascii="宋体" w:hAnsi="宋体" w:cs="宋体"/>
          <w:color w:val="000000"/>
          <w:szCs w:val="21"/>
          <w:highlight w:val="none"/>
        </w:rPr>
        <w:t>经磋商确定最终采购需求和提交最后报价的供应商后，由磋商小组采用综合评分法对提交最后报价的供应商的响应文件和最后报价进行综合评分。</w:t>
      </w:r>
    </w:p>
    <w:p w14:paraId="290ED622">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ascii="宋体" w:hAnsi="宋体" w:cs="宋体"/>
          <w:color w:val="000000"/>
          <w:szCs w:val="21"/>
          <w:highlight w:val="none"/>
        </w:rPr>
        <w:t>6.3</w:t>
      </w:r>
      <w:r>
        <w:rPr>
          <w:rFonts w:hint="eastAsia" w:ascii="宋体" w:hAnsi="宋体" w:cs="宋体"/>
          <w:color w:val="000000"/>
          <w:szCs w:val="21"/>
          <w:highlight w:val="none"/>
        </w:rPr>
        <w:t>评审时，磋商小组各成员应当独立对每个有效响应的文件进行评价、打分，然后汇总每个供应商每项评分因素的得分。</w:t>
      </w:r>
    </w:p>
    <w:p w14:paraId="75526C55">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6FCEBE0D">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（2）磋商小组按照磋商文件中规定的评审标准计算各供应商的报价得分。项目评审过程中，不得去掉最后报价中的最高报价和最低报价。</w:t>
      </w:r>
    </w:p>
    <w:p w14:paraId="0634CB3F">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hint="eastAsia" w:ascii="宋体" w:hAnsi="宋体" w:cs="宋体"/>
          <w:color w:val="000000"/>
          <w:szCs w:val="21"/>
          <w:highlight w:val="none"/>
        </w:rPr>
        <w:t>（3）各供应商的得分为磋商小组所有成员的有效评分的算术平均数。</w:t>
      </w:r>
    </w:p>
    <w:p w14:paraId="1ABB2300">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s="宋体"/>
          <w:color w:val="000000"/>
          <w:szCs w:val="21"/>
          <w:highlight w:val="none"/>
        </w:rPr>
      </w:pPr>
      <w:r>
        <w:rPr>
          <w:rFonts w:ascii="宋体" w:hAnsi="宋体" w:cs="宋体"/>
          <w:color w:val="000000"/>
          <w:szCs w:val="21"/>
          <w:highlight w:val="none"/>
        </w:rPr>
        <w:t>6.4</w:t>
      </w:r>
      <w:r>
        <w:rPr>
          <w:rFonts w:hint="eastAsia" w:ascii="宋体" w:hAnsi="宋体" w:cs="宋体"/>
          <w:color w:val="000000"/>
          <w:szCs w:val="21"/>
          <w:highlight w:val="none"/>
        </w:rPr>
        <w:t>评审价为供应商的最后报价进行政策性扣除后的价格，评审价只是作为评审时使用。最终成交供应商的成交金额等于最后报价（如有修正，以确认修正后的最后报价为准）。</w:t>
      </w:r>
    </w:p>
    <w:p w14:paraId="3982CB35">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olor w:val="000000"/>
          <w:kern w:val="0"/>
          <w:szCs w:val="21"/>
          <w:highlight w:val="none"/>
        </w:rPr>
      </w:pPr>
      <w:r>
        <w:rPr>
          <w:rFonts w:ascii="宋体" w:hAnsi="宋体" w:cs="宋体"/>
          <w:color w:val="000000"/>
          <w:szCs w:val="21"/>
          <w:highlight w:val="none"/>
        </w:rPr>
        <w:t>6.5</w:t>
      </w:r>
      <w:r>
        <w:rPr>
          <w:rFonts w:hint="eastAsia" w:ascii="宋体" w:hAnsi="宋体" w:cs="宋体"/>
          <w:color w:val="000000"/>
          <w:szCs w:val="21"/>
          <w:highlight w:val="none"/>
        </w:rPr>
        <w:t>由磋商小组根据综合评分情况，按照评审得分由高到低顺序推荐3名以上成交候选供应商，并编写评</w:t>
      </w:r>
      <w:r>
        <w:rPr>
          <w:rFonts w:hint="eastAsia" w:ascii="宋体" w:hAnsi="宋体"/>
          <w:color w:val="000000"/>
          <w:kern w:val="0"/>
          <w:szCs w:val="21"/>
          <w:highlight w:val="none"/>
        </w:rPr>
        <w:t>审报告。符合本章第</w:t>
      </w:r>
      <w:r>
        <w:rPr>
          <w:rFonts w:ascii="宋体" w:hAnsi="宋体"/>
          <w:color w:val="000000"/>
          <w:kern w:val="0"/>
          <w:szCs w:val="21"/>
          <w:highlight w:val="none"/>
        </w:rPr>
        <w:t>5.3</w:t>
      </w:r>
      <w:r>
        <w:rPr>
          <w:rFonts w:hint="eastAsia" w:ascii="宋体" w:hAnsi="宋体"/>
          <w:color w:val="000000"/>
          <w:kern w:val="0"/>
          <w:szCs w:val="21"/>
          <w:highlight w:val="none"/>
        </w:rPr>
        <w:t>条情形的，可以推荐2家成交候选供应商。评审得分相同的，按照最后报价由低到高的顺序推荐。评审得分且最后报价相同的，按照技术指标优劣顺序推荐。</w:t>
      </w:r>
    </w:p>
    <w:p w14:paraId="6B10002C">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olor w:val="000000"/>
          <w:kern w:val="0"/>
          <w:szCs w:val="21"/>
          <w:highlight w:val="none"/>
        </w:rPr>
      </w:pPr>
      <w:r>
        <w:rPr>
          <w:rFonts w:ascii="宋体" w:hAnsi="宋体"/>
          <w:color w:val="000000"/>
          <w:kern w:val="0"/>
          <w:szCs w:val="21"/>
          <w:highlight w:val="none"/>
        </w:rPr>
        <w:t>6.6</w:t>
      </w:r>
      <w:r>
        <w:rPr>
          <w:rFonts w:hint="eastAsia" w:ascii="宋体" w:hAnsi="宋体"/>
          <w:color w:val="000000"/>
          <w:kern w:val="0"/>
          <w:szCs w:val="21"/>
          <w:highlight w:val="none"/>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132489E">
      <w:pPr>
        <w:keepNext w:val="0"/>
        <w:keepLines w:val="0"/>
        <w:pageBreakBefore w:val="0"/>
        <w:kinsoku/>
        <w:wordWrap/>
        <w:overflowPunct/>
        <w:topLinePunct w:val="0"/>
        <w:autoSpaceDE/>
        <w:autoSpaceDN/>
        <w:bidi w:val="0"/>
        <w:spacing w:line="440" w:lineRule="exact"/>
        <w:ind w:firstLine="200"/>
        <w:textAlignment w:val="auto"/>
        <w:rPr>
          <w:rFonts w:ascii="宋体" w:hAnsi="宋体" w:cs="宋体"/>
          <w:b/>
          <w:bCs/>
          <w:color w:val="000000"/>
          <w:sz w:val="24"/>
          <w:highlight w:val="none"/>
        </w:rPr>
      </w:pPr>
      <w:r>
        <w:rPr>
          <w:rFonts w:hint="eastAsia" w:ascii="宋体" w:hAnsi="宋体" w:cs="宋体"/>
          <w:b/>
          <w:bCs/>
          <w:color w:val="000000"/>
          <w:sz w:val="24"/>
          <w:highlight w:val="none"/>
        </w:rPr>
        <w:t>7</w:t>
      </w:r>
      <w:r>
        <w:rPr>
          <w:rFonts w:ascii="宋体" w:hAnsi="宋体" w:cs="宋体"/>
          <w:b/>
          <w:bCs/>
          <w:color w:val="000000"/>
          <w:sz w:val="24"/>
          <w:highlight w:val="none"/>
        </w:rPr>
        <w:t>.</w:t>
      </w:r>
      <w:r>
        <w:rPr>
          <w:rFonts w:hint="eastAsia" w:ascii="宋体" w:hAnsi="宋体" w:cs="宋体"/>
          <w:b/>
          <w:bCs/>
          <w:color w:val="000000"/>
          <w:sz w:val="24"/>
          <w:highlight w:val="none"/>
        </w:rPr>
        <w:t>评审复核</w:t>
      </w:r>
    </w:p>
    <w:p w14:paraId="373C06CA">
      <w:pPr>
        <w:keepNext w:val="0"/>
        <w:keepLines w:val="0"/>
        <w:pageBreakBefore w:val="0"/>
        <w:kinsoku/>
        <w:wordWrap/>
        <w:overflowPunct/>
        <w:topLinePunct w:val="0"/>
        <w:autoSpaceDE/>
        <w:autoSpaceDN/>
        <w:bidi w:val="0"/>
        <w:spacing w:line="44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rPr>
        <w:t>7.1评审报告签署前，评审委员会要对评审结果进行复核，复核意见要体现在评审报告中。</w:t>
      </w:r>
    </w:p>
    <w:p w14:paraId="3202AF80">
      <w:pPr>
        <w:keepNext w:val="0"/>
        <w:keepLines w:val="0"/>
        <w:pageBreakBefore w:val="0"/>
        <w:widowControl/>
        <w:kinsoku/>
        <w:wordWrap/>
        <w:overflowPunct/>
        <w:topLinePunct w:val="0"/>
        <w:autoSpaceDE/>
        <w:autoSpaceDN/>
        <w:bidi w:val="0"/>
        <w:spacing w:line="440" w:lineRule="exact"/>
        <w:ind w:firstLine="420" w:firstLineChars="200"/>
        <w:jc w:val="left"/>
        <w:textAlignment w:val="auto"/>
        <w:rPr>
          <w:rFonts w:ascii="宋体" w:hAnsi="宋体" w:cs="宋体"/>
          <w:color w:val="000000"/>
          <w:szCs w:val="21"/>
          <w:highlight w:val="none"/>
        </w:rPr>
      </w:pPr>
      <w:r>
        <w:rPr>
          <w:rFonts w:hint="eastAsia" w:ascii="宋体" w:hAnsi="宋体" w:cs="宋体"/>
          <w:color w:val="000000"/>
          <w:kern w:val="0"/>
          <w:szCs w:val="21"/>
          <w:highlight w:val="none"/>
        </w:rPr>
        <w:t>7.2</w:t>
      </w:r>
      <w:r>
        <w:rPr>
          <w:rFonts w:ascii="宋体" w:hAnsi="宋体" w:cs="宋体"/>
          <w:color w:val="000000"/>
          <w:kern w:val="0"/>
          <w:szCs w:val="21"/>
          <w:highlight w:val="none"/>
        </w:rPr>
        <w:t>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6C839AC5">
      <w:pPr>
        <w:keepNext w:val="0"/>
        <w:keepLines w:val="0"/>
        <w:pageBreakBefore w:val="0"/>
        <w:kinsoku/>
        <w:wordWrap/>
        <w:overflowPunct/>
        <w:topLinePunct w:val="0"/>
        <w:autoSpaceDE/>
        <w:autoSpaceDN/>
        <w:bidi w:val="0"/>
        <w:spacing w:line="440" w:lineRule="exact"/>
        <w:ind w:firstLine="200"/>
        <w:textAlignment w:val="auto"/>
        <w:rPr>
          <w:rFonts w:ascii="宋体" w:hAnsi="宋体" w:cs="宋体"/>
          <w:b/>
          <w:bCs/>
          <w:color w:val="000000"/>
          <w:sz w:val="24"/>
          <w:highlight w:val="none"/>
        </w:rPr>
      </w:pPr>
      <w:r>
        <w:rPr>
          <w:rFonts w:ascii="宋体" w:hAnsi="宋体" w:cs="宋体"/>
          <w:b/>
          <w:bCs/>
          <w:color w:val="000000"/>
          <w:sz w:val="24"/>
          <w:highlight w:val="none"/>
        </w:rPr>
        <w:t>8.</w:t>
      </w:r>
      <w:r>
        <w:rPr>
          <w:rFonts w:hint="eastAsia" w:ascii="宋体" w:hAnsi="宋体" w:cs="宋体"/>
          <w:b/>
          <w:bCs/>
          <w:color w:val="000000"/>
          <w:sz w:val="24"/>
          <w:highlight w:val="none"/>
        </w:rPr>
        <w:t>评审标准</w:t>
      </w:r>
    </w:p>
    <w:p w14:paraId="62798DFB">
      <w:pPr>
        <w:keepNext w:val="0"/>
        <w:keepLines w:val="0"/>
        <w:pageBreakBefore w:val="0"/>
        <w:kinsoku/>
        <w:wordWrap/>
        <w:overflowPunct/>
        <w:topLinePunct w:val="0"/>
        <w:autoSpaceDE/>
        <w:autoSpaceDN/>
        <w:bidi w:val="0"/>
        <w:spacing w:line="440" w:lineRule="exact"/>
        <w:ind w:firstLine="420" w:firstLineChars="200"/>
        <w:textAlignment w:val="auto"/>
        <w:rPr>
          <w:rFonts w:hint="eastAsia" w:ascii="宋体" w:hAnsi="宋体"/>
          <w:bCs/>
          <w:color w:val="000000"/>
          <w:szCs w:val="21"/>
          <w:highlight w:val="none"/>
        </w:rPr>
      </w:pPr>
      <w:r>
        <w:rPr>
          <w:rFonts w:ascii="宋体" w:hAnsi="宋体"/>
          <w:b w:val="0"/>
          <w:bCs/>
          <w:color w:val="000000"/>
          <w:highlight w:val="none"/>
        </w:rPr>
        <w:t>8</w:t>
      </w:r>
      <w:r>
        <w:rPr>
          <w:rFonts w:hint="eastAsia" w:ascii="宋体" w:hAnsi="宋体"/>
          <w:b w:val="0"/>
          <w:bCs/>
          <w:color w:val="000000"/>
          <w:highlight w:val="none"/>
        </w:rPr>
        <w:t>.</w:t>
      </w:r>
      <w:r>
        <w:rPr>
          <w:rFonts w:hint="eastAsia" w:ascii="宋体" w:hAnsi="宋体"/>
          <w:b w:val="0"/>
          <w:bCs/>
          <w:color w:val="000000"/>
          <w:szCs w:val="21"/>
          <w:highlight w:val="none"/>
        </w:rPr>
        <w:t>1</w:t>
      </w:r>
      <w:r>
        <w:rPr>
          <w:rFonts w:hint="eastAsia" w:ascii="宋体" w:hAnsi="宋体"/>
          <w:bCs/>
          <w:color w:val="000000"/>
          <w:szCs w:val="21"/>
          <w:highlight w:val="none"/>
        </w:rPr>
        <w:t>评审依据：磋商小组将以磋商响应文件为评审依据，对供应商的报价、技术、商务等方面内容按百分制打分。（计分方法按四舍五入取至百分位）</w:t>
      </w:r>
    </w:p>
    <w:tbl>
      <w:tblPr>
        <w:tblStyle w:val="15"/>
        <w:tblW w:w="9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453"/>
        <w:gridCol w:w="6647"/>
        <w:gridCol w:w="968"/>
      </w:tblGrid>
      <w:tr w14:paraId="5D0A3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59" w:type="dxa"/>
            <w:noWrap w:val="0"/>
            <w:vAlign w:val="center"/>
          </w:tcPr>
          <w:p w14:paraId="441B375A">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kern w:val="0"/>
                <w:sz w:val="21"/>
                <w:szCs w:val="21"/>
                <w:highlight w:val="none"/>
              </w:rPr>
            </w:pPr>
            <w:bookmarkStart w:id="59" w:name="PO_TDCUS_ITEM_SM_TABLE_1_0"/>
            <w:r>
              <w:rPr>
                <w:rFonts w:hint="eastAsia" w:ascii="宋体" w:hAnsi="宋体" w:eastAsia="宋体" w:cs="宋体"/>
                <w:b/>
                <w:bCs/>
                <w:color w:val="auto"/>
                <w:kern w:val="0"/>
                <w:sz w:val="21"/>
                <w:szCs w:val="21"/>
                <w:highlight w:val="none"/>
              </w:rPr>
              <w:t>序号</w:t>
            </w:r>
          </w:p>
        </w:tc>
        <w:tc>
          <w:tcPr>
            <w:tcW w:w="1453" w:type="dxa"/>
            <w:noWrap w:val="0"/>
            <w:vAlign w:val="center"/>
          </w:tcPr>
          <w:p w14:paraId="22B702DD">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评审因素</w:t>
            </w:r>
          </w:p>
        </w:tc>
        <w:tc>
          <w:tcPr>
            <w:tcW w:w="6647" w:type="dxa"/>
            <w:noWrap w:val="0"/>
            <w:vAlign w:val="center"/>
          </w:tcPr>
          <w:p w14:paraId="4E2D49B7">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评审因素具体内容</w:t>
            </w:r>
          </w:p>
        </w:tc>
        <w:tc>
          <w:tcPr>
            <w:tcW w:w="968" w:type="dxa"/>
            <w:noWrap w:val="0"/>
            <w:vAlign w:val="center"/>
          </w:tcPr>
          <w:p w14:paraId="4FD37DDE">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分值</w:t>
            </w:r>
          </w:p>
        </w:tc>
      </w:tr>
      <w:tr w14:paraId="4D4A0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9" w:type="dxa"/>
            <w:noWrap w:val="0"/>
            <w:vAlign w:val="center"/>
          </w:tcPr>
          <w:p w14:paraId="5E1878B4">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453" w:type="dxa"/>
            <w:noWrap w:val="0"/>
            <w:vAlign w:val="center"/>
          </w:tcPr>
          <w:p w14:paraId="23FBE957">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价格分</w:t>
            </w:r>
          </w:p>
        </w:tc>
        <w:tc>
          <w:tcPr>
            <w:tcW w:w="6647" w:type="dxa"/>
            <w:noWrap w:val="0"/>
            <w:vAlign w:val="center"/>
          </w:tcPr>
          <w:p w14:paraId="64082489">
            <w:pPr>
              <w:pStyle w:val="9"/>
              <w:keepNext w:val="0"/>
              <w:keepLines w:val="0"/>
              <w:pageBreakBefore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（1）本项目为专门面向中小企业采购项目，不执行价格扣除优惠政策，参加本项目磋商的供应商必须为中小微企业，或监狱企业，或残疾人福利性单位，否则竞标无效。评审报价＝最后报价；</w:t>
            </w:r>
          </w:p>
          <w:p w14:paraId="517D0178">
            <w:pPr>
              <w:pStyle w:val="9"/>
              <w:keepNext w:val="0"/>
              <w:keepLines w:val="0"/>
              <w:pageBreakBefore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（2）</w:t>
            </w:r>
            <w:r>
              <w:rPr>
                <w:rFonts w:hint="eastAsia" w:ascii="宋体" w:hAnsi="宋体" w:eastAsia="宋体" w:cs="宋体"/>
                <w:bCs/>
                <w:color w:val="auto"/>
                <w:kern w:val="2"/>
                <w:sz w:val="21"/>
                <w:szCs w:val="21"/>
                <w:highlight w:val="none"/>
                <w:lang w:eastAsia="zh-CN"/>
              </w:rPr>
              <w:t>供应商</w:t>
            </w:r>
            <w:r>
              <w:rPr>
                <w:rFonts w:hint="eastAsia" w:ascii="宋体" w:hAnsi="宋体" w:eastAsia="宋体" w:cs="宋体"/>
                <w:bCs/>
                <w:color w:val="auto"/>
                <w:kern w:val="2"/>
                <w:sz w:val="21"/>
                <w:szCs w:val="21"/>
                <w:highlight w:val="none"/>
              </w:rPr>
              <w:t>按《关于政府采购支持监狱企业发展有关问题的通知》（财库[2014]68号）认定为监狱企业的，在政府采购活动中，监狱企业视同小型、微型企业，享受预留份额。监狱企业参加政府采购活动时，应当提供由省级以上监狱管理局、戒毒管理局（含新疆生产建设兵团）出具的属于监狱企业的证明文件；</w:t>
            </w:r>
          </w:p>
          <w:p w14:paraId="35842846">
            <w:pPr>
              <w:pStyle w:val="9"/>
              <w:keepNext w:val="0"/>
              <w:keepLines w:val="0"/>
              <w:pageBreakBefore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（3）</w:t>
            </w:r>
            <w:r>
              <w:rPr>
                <w:rFonts w:hint="eastAsia" w:ascii="宋体" w:hAnsi="宋体" w:eastAsia="宋体" w:cs="宋体"/>
                <w:bCs/>
                <w:color w:val="auto"/>
                <w:kern w:val="2"/>
                <w:sz w:val="21"/>
                <w:szCs w:val="21"/>
                <w:highlight w:val="none"/>
                <w:lang w:eastAsia="zh-CN"/>
              </w:rPr>
              <w:t>供应商</w:t>
            </w:r>
            <w:r>
              <w:rPr>
                <w:rFonts w:hint="eastAsia" w:ascii="宋体" w:hAnsi="宋体" w:eastAsia="宋体" w:cs="宋体"/>
                <w:bCs/>
                <w:color w:val="auto"/>
                <w:kern w:val="2"/>
                <w:sz w:val="21"/>
                <w:szCs w:val="21"/>
                <w:highlight w:val="none"/>
              </w:rPr>
              <w:t>按《关于促进残疾人就业政府采购政策的通知》（财库〔2017〕141号）认定为残疾人福利性单位的，在政府采购活动中，残疾人福利性单位视同小型、微型企业，享受预留份额。残疾人福利性单位参加政府采购活动时，应当提供该《残疾人福利性单位声明函》为证明文件（格式见“第五章</w:t>
            </w:r>
            <w:r>
              <w:rPr>
                <w:rFonts w:hint="eastAsia" w:ascii="宋体" w:hAnsi="宋体" w:eastAsia="宋体" w:cs="宋体"/>
                <w:bCs/>
                <w:color w:val="auto"/>
                <w:kern w:val="2"/>
                <w:sz w:val="21"/>
                <w:szCs w:val="21"/>
                <w:highlight w:val="none"/>
                <w:lang w:val="en-US" w:eastAsia="zh-CN"/>
              </w:rPr>
              <w:t xml:space="preserve"> </w:t>
            </w:r>
            <w:r>
              <w:rPr>
                <w:rFonts w:hint="eastAsia" w:ascii="宋体" w:hAnsi="宋体" w:eastAsia="宋体" w:cs="宋体"/>
                <w:bCs/>
                <w:color w:val="auto"/>
                <w:kern w:val="2"/>
                <w:sz w:val="21"/>
                <w:szCs w:val="21"/>
                <w:highlight w:val="none"/>
              </w:rPr>
              <w:t>响应文件格式”）。</w:t>
            </w:r>
          </w:p>
          <w:p w14:paraId="7152F285">
            <w:pPr>
              <w:pStyle w:val="9"/>
              <w:keepNext w:val="0"/>
              <w:keepLines w:val="0"/>
              <w:pageBreakBefore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（4）以进入比较与评价环节的最低的评审报价为基准价，基准价得分为</w:t>
            </w:r>
            <w:r>
              <w:rPr>
                <w:rFonts w:hint="eastAsia" w:hAnsi="宋体" w:eastAsia="宋体" w:cs="宋体"/>
                <w:bCs/>
                <w:color w:val="auto"/>
                <w:kern w:val="2"/>
                <w:sz w:val="21"/>
                <w:szCs w:val="21"/>
                <w:highlight w:val="none"/>
                <w:lang w:val="en-US" w:eastAsia="zh-CN"/>
              </w:rPr>
              <w:t>10</w:t>
            </w:r>
            <w:r>
              <w:rPr>
                <w:rFonts w:hint="eastAsia" w:ascii="宋体" w:hAnsi="宋体" w:eastAsia="宋体" w:cs="宋体"/>
                <w:bCs/>
                <w:color w:val="auto"/>
                <w:kern w:val="2"/>
                <w:sz w:val="21"/>
                <w:szCs w:val="21"/>
                <w:highlight w:val="none"/>
              </w:rPr>
              <w:t>分。</w:t>
            </w:r>
          </w:p>
          <w:p w14:paraId="0B6BA118">
            <w:pPr>
              <w:pStyle w:val="9"/>
              <w:keepNext w:val="0"/>
              <w:keepLines w:val="0"/>
              <w:pageBreakBefore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（5）价格分计算公式：</w:t>
            </w:r>
          </w:p>
          <w:p w14:paraId="0BB4F249">
            <w:pPr>
              <w:pStyle w:val="9"/>
              <w:keepNext w:val="0"/>
              <w:keepLines w:val="0"/>
              <w:pageBreakBefore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rPr>
              <w:t>某供应商价格分=基准价/某供应商评标价×</w:t>
            </w:r>
            <w:r>
              <w:rPr>
                <w:rFonts w:hint="eastAsia" w:hAnsi="宋体" w:eastAsia="宋体" w:cs="宋体"/>
                <w:bCs/>
                <w:color w:val="auto"/>
                <w:kern w:val="2"/>
                <w:sz w:val="21"/>
                <w:szCs w:val="21"/>
                <w:highlight w:val="none"/>
                <w:lang w:val="en-US" w:eastAsia="zh-CN"/>
              </w:rPr>
              <w:t>10</w:t>
            </w:r>
            <w:r>
              <w:rPr>
                <w:rFonts w:hint="eastAsia" w:ascii="宋体" w:hAnsi="宋体" w:eastAsia="宋体" w:cs="宋体"/>
                <w:bCs/>
                <w:color w:val="auto"/>
                <w:kern w:val="2"/>
                <w:sz w:val="21"/>
                <w:szCs w:val="21"/>
                <w:highlight w:val="none"/>
              </w:rPr>
              <w:t>分。</w:t>
            </w:r>
          </w:p>
        </w:tc>
        <w:tc>
          <w:tcPr>
            <w:tcW w:w="968" w:type="dxa"/>
            <w:noWrap w:val="0"/>
            <w:vAlign w:val="center"/>
          </w:tcPr>
          <w:p w14:paraId="2DE24611">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分</w:t>
            </w:r>
          </w:p>
        </w:tc>
      </w:tr>
      <w:tr w14:paraId="4BD44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9" w:type="dxa"/>
            <w:noWrap w:val="0"/>
            <w:vAlign w:val="center"/>
          </w:tcPr>
          <w:p w14:paraId="7207A301">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rPr>
              <w:t>2</w:t>
            </w:r>
          </w:p>
        </w:tc>
        <w:tc>
          <w:tcPr>
            <w:tcW w:w="1453" w:type="dxa"/>
            <w:noWrap w:val="0"/>
            <w:vAlign w:val="center"/>
          </w:tcPr>
          <w:p w14:paraId="417A802B">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rPr>
              <w:t>技术分</w:t>
            </w:r>
          </w:p>
        </w:tc>
        <w:tc>
          <w:tcPr>
            <w:tcW w:w="6647" w:type="dxa"/>
            <w:noWrap w:val="0"/>
            <w:vAlign w:val="center"/>
          </w:tcPr>
          <w:p w14:paraId="0BF2B6CB">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rPr>
              <w:t>评审因素具体内容</w:t>
            </w:r>
          </w:p>
        </w:tc>
        <w:tc>
          <w:tcPr>
            <w:tcW w:w="968" w:type="dxa"/>
            <w:noWrap w:val="0"/>
            <w:vAlign w:val="center"/>
          </w:tcPr>
          <w:p w14:paraId="1FE8835A">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val="0"/>
                <w:color w:val="auto"/>
                <w:kern w:val="0"/>
                <w:sz w:val="21"/>
                <w:szCs w:val="21"/>
                <w:highlight w:val="none"/>
                <w:lang w:val="en-US" w:eastAsia="zh-CN"/>
              </w:rPr>
            </w:pPr>
            <w:r>
              <w:rPr>
                <w:rFonts w:hint="eastAsia" w:ascii="宋体" w:hAnsi="宋体" w:cs="宋体"/>
                <w:b/>
                <w:bCs w:val="0"/>
                <w:color w:val="auto"/>
                <w:kern w:val="0"/>
                <w:sz w:val="21"/>
                <w:szCs w:val="21"/>
                <w:highlight w:val="none"/>
                <w:lang w:val="en-US" w:eastAsia="zh-CN"/>
              </w:rPr>
              <w:t>8</w:t>
            </w:r>
            <w:r>
              <w:rPr>
                <w:rFonts w:hint="eastAsia" w:ascii="宋体" w:hAnsi="宋体" w:eastAsia="宋体" w:cs="宋体"/>
                <w:b/>
                <w:bCs w:val="0"/>
                <w:color w:val="auto"/>
                <w:kern w:val="0"/>
                <w:sz w:val="21"/>
                <w:szCs w:val="21"/>
                <w:highlight w:val="none"/>
                <w:lang w:val="en-US" w:eastAsia="zh-CN"/>
              </w:rPr>
              <w:t>0分</w:t>
            </w:r>
          </w:p>
        </w:tc>
      </w:tr>
      <w:tr w14:paraId="08B0F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59" w:type="dxa"/>
            <w:noWrap w:val="0"/>
            <w:vAlign w:val="center"/>
          </w:tcPr>
          <w:p w14:paraId="35747F75">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2.1</w:t>
            </w:r>
          </w:p>
        </w:tc>
        <w:tc>
          <w:tcPr>
            <w:tcW w:w="1453" w:type="dxa"/>
            <w:noWrap w:val="0"/>
            <w:vAlign w:val="center"/>
          </w:tcPr>
          <w:p w14:paraId="564EFB0D">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rPr>
              <w:t>主要施工方法</w:t>
            </w:r>
          </w:p>
          <w:p w14:paraId="20BB41F0">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Cs/>
                <w:color w:val="auto"/>
                <w:kern w:val="0"/>
                <w:sz w:val="21"/>
                <w:szCs w:val="21"/>
                <w:highlight w:val="none"/>
                <w:lang w:val="en-US" w:eastAsia="zh-CN"/>
              </w:rPr>
            </w:pPr>
          </w:p>
        </w:tc>
        <w:tc>
          <w:tcPr>
            <w:tcW w:w="6647" w:type="dxa"/>
            <w:noWrap w:val="0"/>
            <w:vAlign w:val="center"/>
          </w:tcPr>
          <w:p w14:paraId="43FD8BD6">
            <w:pPr>
              <w:keepNext w:val="0"/>
              <w:keepLines w:val="0"/>
              <w:pageBreakBefore w:val="0"/>
              <w:widowControl/>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优（10分）：各主要分部施工方法符合项目实际、针对性强，施工技术方案详尽周密，工艺先进、方法科学、可行，能很好地指导具体施工和确保安全。</w:t>
            </w:r>
          </w:p>
          <w:p w14:paraId="7617AD8F">
            <w:pPr>
              <w:keepNext w:val="0"/>
              <w:keepLines w:val="0"/>
              <w:pageBreakBefore w:val="0"/>
              <w:widowControl/>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良（7分）：各主要分部施工方法符合项目实际，施工技术方案齐全，工艺成熟、方法合理、可行，能指导具体施工并确保安全。</w:t>
            </w:r>
          </w:p>
          <w:p w14:paraId="46B3DBF7">
            <w:pPr>
              <w:keepNext w:val="0"/>
              <w:keepLines w:val="0"/>
              <w:pageBreakBefore w:val="0"/>
              <w:widowControl/>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中（5分）：各主要分部施工方法基本符合项目实际，施工技术方案基本齐全，方法基本合理、基本可行，基本能指导具体施工并确保安全。</w:t>
            </w:r>
          </w:p>
          <w:p w14:paraId="56F3AF6B">
            <w:pPr>
              <w:keepNext w:val="0"/>
              <w:keepLines w:val="0"/>
              <w:pageBreakBefore w:val="0"/>
              <w:widowControl/>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一般（3分）：各主要分部施工方法简单，施工技术方案基本齐全，基本能指导具体施工并确保安全。</w:t>
            </w:r>
          </w:p>
          <w:p w14:paraId="43D93BB7">
            <w:pPr>
              <w:keepNext w:val="0"/>
              <w:keepLines w:val="0"/>
              <w:pageBreakBefore w:val="0"/>
              <w:widowControl/>
              <w:kinsoku/>
              <w:wordWrap/>
              <w:overflowPunct/>
              <w:topLinePunct w:val="0"/>
              <w:autoSpaceDE/>
              <w:autoSpaceDN/>
              <w:bidi w:val="0"/>
              <w:adjustRightInd/>
              <w:snapToGrid/>
              <w:spacing w:line="460" w:lineRule="exact"/>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color w:val="auto"/>
                <w:kern w:val="0"/>
                <w:sz w:val="21"/>
                <w:szCs w:val="21"/>
                <w:highlight w:val="none"/>
              </w:rPr>
              <w:t>差（</w:t>
            </w:r>
            <w:r>
              <w:rPr>
                <w:rFonts w:hint="eastAsia" w:ascii="宋体" w:hAnsi="宋体" w:eastAsia="宋体" w:cs="宋体"/>
                <w:color w:val="auto"/>
                <w:kern w:val="0"/>
                <w:sz w:val="21"/>
                <w:szCs w:val="21"/>
                <w:highlight w:val="none"/>
                <w:lang w:val="en-US" w:eastAsia="zh-CN"/>
              </w:rPr>
              <w:t>0</w:t>
            </w:r>
            <w:r>
              <w:rPr>
                <w:rFonts w:hint="eastAsia" w:ascii="宋体" w:hAnsi="宋体" w:eastAsia="宋体" w:cs="宋体"/>
                <w:color w:val="auto"/>
                <w:kern w:val="0"/>
                <w:sz w:val="21"/>
                <w:szCs w:val="21"/>
                <w:highlight w:val="none"/>
              </w:rPr>
              <w:t>分）：各主要分部施工方法针对性差，施工技术方案差，工艺落后、方法不合理，不能指导具体施工和确保安全。</w:t>
            </w:r>
          </w:p>
        </w:tc>
        <w:tc>
          <w:tcPr>
            <w:tcW w:w="968" w:type="dxa"/>
            <w:noWrap w:val="0"/>
            <w:vAlign w:val="center"/>
          </w:tcPr>
          <w:p w14:paraId="027DF553">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rPr>
              <w:t>分</w:t>
            </w:r>
          </w:p>
        </w:tc>
      </w:tr>
      <w:tr w14:paraId="6ECDC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dxa"/>
            <w:noWrap w:val="0"/>
            <w:vAlign w:val="center"/>
          </w:tcPr>
          <w:p w14:paraId="7431DFD6">
            <w:pPr>
              <w:keepNext w:val="0"/>
              <w:keepLines w:val="0"/>
              <w:pageBreakBefore w:val="0"/>
              <w:kinsoku/>
              <w:wordWrap/>
              <w:overflowPunct/>
              <w:topLinePunct w:val="0"/>
              <w:autoSpaceDE/>
              <w:autoSpaceDN/>
              <w:bidi w:val="0"/>
              <w:adjustRightInd/>
              <w:snapToGrid/>
              <w:spacing w:line="460" w:lineRule="exact"/>
              <w:ind w:left="-105" w:leftChars="-50" w:right="-105" w:rightChars="-50"/>
              <w:jc w:val="center"/>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2.2</w:t>
            </w:r>
          </w:p>
        </w:tc>
        <w:tc>
          <w:tcPr>
            <w:tcW w:w="1453" w:type="dxa"/>
            <w:noWrap w:val="0"/>
            <w:vAlign w:val="center"/>
          </w:tcPr>
          <w:p w14:paraId="3386DF23">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bCs/>
                <w:kern w:val="0"/>
                <w:sz w:val="21"/>
                <w:szCs w:val="21"/>
                <w:highlight w:val="none"/>
              </w:rPr>
              <w:t>拟投入的主要物资计划</w:t>
            </w:r>
          </w:p>
        </w:tc>
        <w:tc>
          <w:tcPr>
            <w:tcW w:w="6647" w:type="dxa"/>
            <w:noWrap w:val="0"/>
            <w:vAlign w:val="center"/>
          </w:tcPr>
          <w:p w14:paraId="1D435A83">
            <w:pPr>
              <w:keepNext w:val="0"/>
              <w:keepLines w:val="0"/>
              <w:pageBreakBefore w:val="0"/>
              <w:widowControl/>
              <w:kinsoku/>
              <w:wordWrap/>
              <w:overflowPunct/>
              <w:topLinePunct w:val="0"/>
              <w:autoSpaceDE/>
              <w:autoSpaceDN/>
              <w:bidi w:val="0"/>
              <w:adjustRightInd/>
              <w:snapToGrid/>
              <w:spacing w:line="460" w:lineRule="exact"/>
              <w:textAlignment w:val="auto"/>
              <w:rPr>
                <w:rFonts w:hint="default"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优（</w:t>
            </w:r>
            <w:r>
              <w:rPr>
                <w:rFonts w:hint="eastAsia" w:ascii="宋体" w:hAnsi="宋体" w:eastAsia="宋体" w:cs="宋体"/>
                <w:kern w:val="0"/>
                <w:sz w:val="21"/>
                <w:szCs w:val="21"/>
                <w:highlight w:val="none"/>
                <w:lang w:val="en-US" w:eastAsia="zh-CN"/>
              </w:rPr>
              <w:t>8</w:t>
            </w:r>
            <w:r>
              <w:rPr>
                <w:rFonts w:hint="eastAsia" w:ascii="宋体" w:hAnsi="宋体" w:eastAsia="宋体" w:cs="宋体"/>
                <w:kern w:val="0"/>
                <w:sz w:val="21"/>
                <w:szCs w:val="21"/>
                <w:highlight w:val="none"/>
              </w:rPr>
              <w:t>分）：投入的施工材料有详细的组织计划且计划周密，投入计划与进度计划呼应，数量、选型配置、进场时间安排合理，完全满足施工需要，调配投入计划合理、准确</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lang w:val="en-US" w:eastAsia="zh-CN"/>
              </w:rPr>
              <w:t>同时承诺“</w:t>
            </w:r>
            <w:r>
              <w:rPr>
                <w:rStyle w:val="16"/>
                <w:rFonts w:hint="eastAsia" w:ascii="宋体" w:hAnsi="宋体" w:eastAsia="宋体" w:cs="Times New Roman"/>
                <w:b w:val="0"/>
                <w:bCs w:val="0"/>
                <w:color w:val="auto"/>
                <w:kern w:val="2"/>
                <w:sz w:val="21"/>
                <w:szCs w:val="22"/>
                <w:highlight w:val="none"/>
                <w:lang w:val="en-US" w:eastAsia="zh-CN" w:bidi="ar-SA"/>
              </w:rPr>
              <w:t>优先采购可循环可利用建材、高强度高耐久建材、绿色产品部件、绿色装饰装修材料、节水节能建材等绿色建材产品</w:t>
            </w:r>
            <w:r>
              <w:rPr>
                <w:rFonts w:hint="eastAsia" w:ascii="宋体" w:hAnsi="宋体" w:eastAsia="宋体" w:cs="宋体"/>
                <w:kern w:val="0"/>
                <w:sz w:val="21"/>
                <w:szCs w:val="21"/>
                <w:highlight w:val="none"/>
                <w:lang w:val="en-US" w:eastAsia="zh-CN"/>
              </w:rPr>
              <w:t>”</w:t>
            </w:r>
            <w:r>
              <w:rPr>
                <w:rFonts w:hint="eastAsia" w:ascii="宋体" w:hAnsi="宋体" w:cs="宋体"/>
                <w:kern w:val="0"/>
                <w:sz w:val="21"/>
                <w:szCs w:val="21"/>
                <w:highlight w:val="none"/>
                <w:lang w:val="en-US" w:eastAsia="zh-CN"/>
              </w:rPr>
              <w:t>。</w:t>
            </w:r>
          </w:p>
          <w:p w14:paraId="283DE6AA">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rPr>
              <w:t>良（</w:t>
            </w:r>
            <w:r>
              <w:rPr>
                <w:rFonts w:hint="eastAsia" w:ascii="宋体" w:hAnsi="宋体" w:eastAsia="宋体" w:cs="宋体"/>
                <w:kern w:val="0"/>
                <w:sz w:val="21"/>
                <w:szCs w:val="21"/>
                <w:highlight w:val="none"/>
                <w:lang w:val="en-US" w:eastAsia="zh-CN"/>
              </w:rPr>
              <w:t>6</w:t>
            </w:r>
            <w:r>
              <w:rPr>
                <w:rFonts w:hint="eastAsia" w:ascii="宋体" w:hAnsi="宋体" w:eastAsia="宋体" w:cs="宋体"/>
                <w:kern w:val="0"/>
                <w:sz w:val="21"/>
                <w:szCs w:val="21"/>
                <w:highlight w:val="none"/>
              </w:rPr>
              <w:t>分）：投入的施工材料有详细的组织计划，投入计划与进度计划呼应，数量、选型配置、进场时间安排合理，基本满足施工需要，调配投入计划基本合理、准确</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lang w:val="en-US" w:eastAsia="zh-CN"/>
              </w:rPr>
              <w:t>同时承诺在“</w:t>
            </w:r>
            <w:r>
              <w:rPr>
                <w:rStyle w:val="16"/>
                <w:rFonts w:hint="eastAsia" w:ascii="宋体" w:hAnsi="宋体" w:eastAsia="宋体" w:cs="Times New Roman"/>
                <w:b w:val="0"/>
                <w:bCs w:val="0"/>
                <w:color w:val="auto"/>
                <w:kern w:val="2"/>
                <w:sz w:val="21"/>
                <w:szCs w:val="22"/>
                <w:highlight w:val="none"/>
                <w:lang w:val="en-US" w:eastAsia="zh-CN" w:bidi="ar-SA"/>
              </w:rPr>
              <w:t>优先采购可循环可利用建材、高强度高耐久建材、绿色产品部件、绿色装饰装修材料、节水节能建材等绿色建材产品</w:t>
            </w:r>
            <w:r>
              <w:rPr>
                <w:rFonts w:hint="eastAsia" w:ascii="宋体" w:hAnsi="宋体" w:eastAsia="宋体" w:cs="宋体"/>
                <w:kern w:val="0"/>
                <w:sz w:val="21"/>
                <w:szCs w:val="21"/>
                <w:highlight w:val="none"/>
                <w:lang w:val="en-US" w:eastAsia="zh-CN"/>
              </w:rPr>
              <w:t>”。</w:t>
            </w:r>
          </w:p>
          <w:p w14:paraId="09600058">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rPr>
              <w:t>中（</w:t>
            </w:r>
            <w:r>
              <w:rPr>
                <w:rFonts w:hint="eastAsia" w:ascii="宋体" w:hAnsi="宋体" w:eastAsia="宋体" w:cs="宋体"/>
                <w:kern w:val="0"/>
                <w:sz w:val="21"/>
                <w:szCs w:val="21"/>
                <w:highlight w:val="none"/>
                <w:lang w:val="en-US" w:eastAsia="zh-CN"/>
              </w:rPr>
              <w:t>4</w:t>
            </w:r>
            <w:r>
              <w:rPr>
                <w:rFonts w:hint="eastAsia" w:ascii="宋体" w:hAnsi="宋体" w:eastAsia="宋体" w:cs="宋体"/>
                <w:kern w:val="0"/>
                <w:sz w:val="21"/>
                <w:szCs w:val="21"/>
                <w:highlight w:val="none"/>
              </w:rPr>
              <w:t>分）：投入的施工材料组织计划基本合理，投入计划与进度计划基本合理，数量、选型配置、进场时间安排合理，基本满足施工需要，调配投入计划基本合理</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lang w:val="en-US" w:eastAsia="zh-CN"/>
              </w:rPr>
              <w:t>同时承诺“</w:t>
            </w:r>
            <w:r>
              <w:rPr>
                <w:rStyle w:val="16"/>
                <w:rFonts w:hint="eastAsia" w:ascii="宋体" w:hAnsi="宋体" w:eastAsia="宋体" w:cs="Times New Roman"/>
                <w:b w:val="0"/>
                <w:bCs w:val="0"/>
                <w:color w:val="auto"/>
                <w:kern w:val="2"/>
                <w:sz w:val="21"/>
                <w:szCs w:val="22"/>
                <w:highlight w:val="none"/>
                <w:lang w:val="en-US" w:eastAsia="zh-CN" w:bidi="ar-SA"/>
              </w:rPr>
              <w:t>优先采购可循环可利用建材、高强度高耐久建材、绿色产品部件、绿色装饰装修材料、节水节能建材等绿色建材产品</w:t>
            </w:r>
            <w:r>
              <w:rPr>
                <w:rFonts w:hint="eastAsia" w:ascii="宋体" w:hAnsi="宋体" w:eastAsia="宋体" w:cs="宋体"/>
                <w:kern w:val="0"/>
                <w:sz w:val="21"/>
                <w:szCs w:val="21"/>
                <w:highlight w:val="none"/>
                <w:lang w:val="en-US" w:eastAsia="zh-CN"/>
              </w:rPr>
              <w:t>”。</w:t>
            </w:r>
          </w:p>
          <w:p w14:paraId="3757E13F">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rPr>
              <w:t>一般（</w:t>
            </w:r>
            <w:r>
              <w:rPr>
                <w:rFonts w:hint="eastAsia" w:ascii="宋体" w:hAnsi="宋体" w:eastAsia="宋体" w:cs="宋体"/>
                <w:kern w:val="0"/>
                <w:sz w:val="21"/>
                <w:szCs w:val="21"/>
                <w:highlight w:val="none"/>
                <w:lang w:val="en-US" w:eastAsia="zh-CN"/>
              </w:rPr>
              <w:t>2</w:t>
            </w:r>
            <w:r>
              <w:rPr>
                <w:rFonts w:hint="eastAsia" w:ascii="宋体" w:hAnsi="宋体" w:eastAsia="宋体" w:cs="宋体"/>
                <w:kern w:val="0"/>
                <w:sz w:val="21"/>
                <w:szCs w:val="21"/>
                <w:highlight w:val="none"/>
              </w:rPr>
              <w:t>分）：投入的施工材料组织计划简单，投入计划与进度计划简单，数量、选型配置、进场时间安排一般，基本满足施工需要</w:t>
            </w:r>
            <w:r>
              <w:rPr>
                <w:rFonts w:hint="eastAsia" w:ascii="宋体" w:hAnsi="宋体" w:eastAsia="宋体" w:cs="宋体"/>
                <w:kern w:val="0"/>
                <w:sz w:val="21"/>
                <w:szCs w:val="21"/>
                <w:highlight w:val="none"/>
                <w:lang w:eastAsia="zh-CN"/>
              </w:rPr>
              <w:t>，</w:t>
            </w:r>
            <w:r>
              <w:rPr>
                <w:rFonts w:hint="eastAsia" w:ascii="宋体" w:hAnsi="宋体" w:eastAsia="宋体" w:cs="宋体"/>
                <w:kern w:val="0"/>
                <w:sz w:val="21"/>
                <w:szCs w:val="21"/>
                <w:highlight w:val="none"/>
                <w:lang w:val="en-US" w:eastAsia="zh-CN"/>
              </w:rPr>
              <w:t>同时承诺“</w:t>
            </w:r>
            <w:r>
              <w:rPr>
                <w:rStyle w:val="16"/>
                <w:rFonts w:hint="eastAsia" w:ascii="宋体" w:hAnsi="宋体" w:eastAsia="宋体" w:cs="Times New Roman"/>
                <w:b w:val="0"/>
                <w:bCs w:val="0"/>
                <w:color w:val="auto"/>
                <w:kern w:val="2"/>
                <w:sz w:val="21"/>
                <w:szCs w:val="22"/>
                <w:highlight w:val="none"/>
                <w:lang w:val="en-US" w:eastAsia="zh-CN" w:bidi="ar-SA"/>
              </w:rPr>
              <w:t>优先采购可循环可利用建材、高强度高耐久建材、绿色产品部件、绿色装饰装修材料、节水节能建材等绿色建材产品</w:t>
            </w:r>
            <w:r>
              <w:rPr>
                <w:rFonts w:hint="eastAsia" w:ascii="宋体" w:hAnsi="宋体" w:eastAsia="宋体" w:cs="宋体"/>
                <w:kern w:val="0"/>
                <w:sz w:val="21"/>
                <w:szCs w:val="21"/>
                <w:highlight w:val="none"/>
                <w:lang w:val="en-US" w:eastAsia="zh-CN"/>
              </w:rPr>
              <w:t>”。</w:t>
            </w:r>
          </w:p>
          <w:p w14:paraId="255A49A8">
            <w:pPr>
              <w:keepNext w:val="0"/>
              <w:keepLines w:val="0"/>
              <w:pageBreakBefore w:val="0"/>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差（</w:t>
            </w:r>
            <w:r>
              <w:rPr>
                <w:rFonts w:hint="eastAsia" w:ascii="宋体" w:hAnsi="宋体" w:eastAsia="宋体" w:cs="宋体"/>
                <w:kern w:val="0"/>
                <w:sz w:val="21"/>
                <w:szCs w:val="21"/>
                <w:highlight w:val="none"/>
                <w:lang w:val="en-US" w:eastAsia="zh-CN"/>
              </w:rPr>
              <w:t>0</w:t>
            </w:r>
            <w:r>
              <w:rPr>
                <w:rFonts w:hint="eastAsia" w:ascii="宋体" w:hAnsi="宋体" w:eastAsia="宋体" w:cs="宋体"/>
                <w:kern w:val="0"/>
                <w:sz w:val="21"/>
                <w:szCs w:val="21"/>
                <w:highlight w:val="none"/>
              </w:rPr>
              <w:t>分）：投入的施工材料的组织计划差，投入计划与进度计划不呼应，数量、选型配置、进场时间安排不合理，不能满足施工需要。</w:t>
            </w:r>
          </w:p>
        </w:tc>
        <w:tc>
          <w:tcPr>
            <w:tcW w:w="968" w:type="dxa"/>
            <w:noWrap w:val="0"/>
            <w:vAlign w:val="center"/>
          </w:tcPr>
          <w:p w14:paraId="420B946A">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8分</w:t>
            </w:r>
          </w:p>
        </w:tc>
      </w:tr>
      <w:tr w14:paraId="78CF4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dxa"/>
            <w:noWrap w:val="0"/>
            <w:vAlign w:val="center"/>
          </w:tcPr>
          <w:p w14:paraId="271611FC">
            <w:pPr>
              <w:keepNext w:val="0"/>
              <w:keepLines w:val="0"/>
              <w:pageBreakBefore w:val="0"/>
              <w:kinsoku/>
              <w:wordWrap/>
              <w:overflowPunct/>
              <w:topLinePunct w:val="0"/>
              <w:autoSpaceDE/>
              <w:autoSpaceDN/>
              <w:bidi w:val="0"/>
              <w:adjustRightInd/>
              <w:snapToGrid/>
              <w:spacing w:line="460" w:lineRule="exact"/>
              <w:ind w:left="-105" w:leftChars="-50" w:right="-105" w:rightChars="-50"/>
              <w:jc w:val="center"/>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2.3</w:t>
            </w:r>
          </w:p>
        </w:tc>
        <w:tc>
          <w:tcPr>
            <w:tcW w:w="1453" w:type="dxa"/>
            <w:noWrap w:val="0"/>
            <w:vAlign w:val="center"/>
          </w:tcPr>
          <w:p w14:paraId="1FE17E0C">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Cs/>
                <w:color w:val="auto"/>
                <w:sz w:val="21"/>
                <w:szCs w:val="21"/>
                <w:highlight w:val="none"/>
              </w:rPr>
            </w:pPr>
            <w:r>
              <w:rPr>
                <w:rFonts w:hint="eastAsia" w:ascii="宋体" w:hAnsi="宋体" w:eastAsia="宋体" w:cs="宋体"/>
                <w:b/>
                <w:bCs/>
                <w:kern w:val="0"/>
                <w:sz w:val="21"/>
                <w:szCs w:val="21"/>
                <w:highlight w:val="none"/>
              </w:rPr>
              <w:t>劳动力安排计划</w:t>
            </w:r>
          </w:p>
        </w:tc>
        <w:tc>
          <w:tcPr>
            <w:tcW w:w="6647" w:type="dxa"/>
            <w:noWrap w:val="0"/>
            <w:vAlign w:val="center"/>
          </w:tcPr>
          <w:p w14:paraId="59A16E36">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优（</w:t>
            </w:r>
            <w:r>
              <w:rPr>
                <w:rFonts w:hint="eastAsia" w:ascii="宋体" w:hAnsi="宋体" w:eastAsia="宋体" w:cs="宋体"/>
                <w:kern w:val="0"/>
                <w:sz w:val="21"/>
                <w:szCs w:val="21"/>
                <w:highlight w:val="none"/>
                <w:lang w:val="en-US" w:eastAsia="zh-CN"/>
              </w:rPr>
              <w:t>8</w:t>
            </w:r>
            <w:r>
              <w:rPr>
                <w:rFonts w:hint="eastAsia" w:ascii="宋体" w:hAnsi="宋体" w:eastAsia="宋体" w:cs="宋体"/>
                <w:kern w:val="0"/>
                <w:sz w:val="21"/>
                <w:szCs w:val="21"/>
                <w:highlight w:val="none"/>
              </w:rPr>
              <w:t>分）：各主要施工工序有详细周密的劳动力安排计划，各工种劳动力安排计划齐全，劳动力投入与进度计划呼应合理，满足施工需要。</w:t>
            </w:r>
          </w:p>
          <w:p w14:paraId="2ED88A24">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良（</w:t>
            </w:r>
            <w:r>
              <w:rPr>
                <w:rFonts w:hint="eastAsia" w:ascii="宋体" w:hAnsi="宋体" w:eastAsia="宋体" w:cs="宋体"/>
                <w:kern w:val="0"/>
                <w:sz w:val="21"/>
                <w:szCs w:val="21"/>
                <w:highlight w:val="none"/>
                <w:lang w:val="en-US" w:eastAsia="zh-CN"/>
              </w:rPr>
              <w:t>6</w:t>
            </w:r>
            <w:r>
              <w:rPr>
                <w:rFonts w:hint="eastAsia" w:ascii="宋体" w:hAnsi="宋体" w:eastAsia="宋体" w:cs="宋体"/>
                <w:kern w:val="0"/>
                <w:sz w:val="21"/>
                <w:szCs w:val="21"/>
                <w:highlight w:val="none"/>
              </w:rPr>
              <w:t>分）：各主要施工工序有详细的劳动力安排计划，有各工种劳动力安排计划，劳动力投入合理，完全满足施工需要。</w:t>
            </w:r>
          </w:p>
          <w:p w14:paraId="2FCAC30D">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中（</w:t>
            </w:r>
            <w:r>
              <w:rPr>
                <w:rFonts w:hint="eastAsia" w:ascii="宋体" w:hAnsi="宋体" w:eastAsia="宋体" w:cs="宋体"/>
                <w:kern w:val="0"/>
                <w:sz w:val="21"/>
                <w:szCs w:val="21"/>
                <w:highlight w:val="none"/>
                <w:lang w:val="en-US" w:eastAsia="zh-CN"/>
              </w:rPr>
              <w:t>4</w:t>
            </w:r>
            <w:r>
              <w:rPr>
                <w:rFonts w:hint="eastAsia" w:ascii="宋体" w:hAnsi="宋体" w:eastAsia="宋体" w:cs="宋体"/>
                <w:kern w:val="0"/>
                <w:sz w:val="21"/>
                <w:szCs w:val="21"/>
                <w:highlight w:val="none"/>
              </w:rPr>
              <w:t>分）：各主要施工工序有劳动力安排计划，有各工种劳动力安排计划，劳动力投入基本合理，基本满足施工需要。</w:t>
            </w:r>
          </w:p>
          <w:p w14:paraId="3DAA98DE">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一般（</w:t>
            </w:r>
            <w:r>
              <w:rPr>
                <w:rFonts w:hint="eastAsia" w:ascii="宋体" w:hAnsi="宋体" w:eastAsia="宋体" w:cs="宋体"/>
                <w:kern w:val="0"/>
                <w:sz w:val="21"/>
                <w:szCs w:val="21"/>
                <w:highlight w:val="none"/>
                <w:lang w:val="en-US" w:eastAsia="zh-CN"/>
              </w:rPr>
              <w:t>2</w:t>
            </w:r>
            <w:r>
              <w:rPr>
                <w:rFonts w:hint="eastAsia" w:ascii="宋体" w:hAnsi="宋体" w:eastAsia="宋体" w:cs="宋体"/>
                <w:kern w:val="0"/>
                <w:sz w:val="21"/>
                <w:szCs w:val="21"/>
                <w:highlight w:val="none"/>
              </w:rPr>
              <w:t>分）：各主要施工工序有劳动力安排计划，各工种劳动力安排计划简单，劳动力投入简单，基本满足施工需要。</w:t>
            </w:r>
          </w:p>
          <w:p w14:paraId="02793135">
            <w:pPr>
              <w:keepNext w:val="0"/>
              <w:keepLines w:val="0"/>
              <w:pageBreakBefore w:val="0"/>
              <w:kinsoku/>
              <w:wordWrap/>
              <w:overflowPunct/>
              <w:topLinePunct w:val="0"/>
              <w:autoSpaceDE/>
              <w:autoSpaceDN/>
              <w:bidi w:val="0"/>
              <w:adjustRightInd/>
              <w:snapToGrid/>
              <w:spacing w:line="460" w:lineRule="exact"/>
              <w:textAlignment w:val="auto"/>
              <w:rPr>
                <w:rFonts w:hint="eastAsia"/>
              </w:rPr>
            </w:pPr>
            <w:r>
              <w:rPr>
                <w:rFonts w:hint="eastAsia" w:ascii="宋体" w:hAnsi="宋体" w:eastAsia="宋体" w:cs="宋体"/>
                <w:kern w:val="0"/>
                <w:sz w:val="21"/>
                <w:szCs w:val="21"/>
                <w:highlight w:val="none"/>
              </w:rPr>
              <w:t>差（</w:t>
            </w:r>
            <w:r>
              <w:rPr>
                <w:rFonts w:hint="eastAsia" w:ascii="宋体" w:hAnsi="宋体" w:eastAsia="宋体" w:cs="宋体"/>
                <w:kern w:val="0"/>
                <w:sz w:val="21"/>
                <w:szCs w:val="21"/>
                <w:highlight w:val="none"/>
                <w:lang w:val="en-US" w:eastAsia="zh-CN"/>
              </w:rPr>
              <w:t>0</w:t>
            </w:r>
            <w:r>
              <w:rPr>
                <w:rFonts w:hint="eastAsia" w:ascii="宋体" w:hAnsi="宋体" w:eastAsia="宋体" w:cs="宋体"/>
                <w:kern w:val="0"/>
                <w:sz w:val="21"/>
                <w:szCs w:val="21"/>
                <w:highlight w:val="none"/>
              </w:rPr>
              <w:t>分）：各主要施工工序劳动力安排计划不全，无各工种劳动力安排计划或计划不全，劳动力投入不合理，不能满足施工需要。</w:t>
            </w:r>
          </w:p>
        </w:tc>
        <w:tc>
          <w:tcPr>
            <w:tcW w:w="968" w:type="dxa"/>
            <w:noWrap w:val="0"/>
            <w:vAlign w:val="center"/>
          </w:tcPr>
          <w:p w14:paraId="5707A54C">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8分</w:t>
            </w:r>
          </w:p>
        </w:tc>
      </w:tr>
      <w:tr w14:paraId="77BB4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59" w:type="dxa"/>
            <w:noWrap w:val="0"/>
            <w:vAlign w:val="center"/>
          </w:tcPr>
          <w:p w14:paraId="3EA6B84E">
            <w:pPr>
              <w:keepNext w:val="0"/>
              <w:keepLines w:val="0"/>
              <w:pageBreakBefore w:val="0"/>
              <w:kinsoku/>
              <w:wordWrap/>
              <w:overflowPunct/>
              <w:topLinePunct w:val="0"/>
              <w:autoSpaceDE/>
              <w:autoSpaceDN/>
              <w:bidi w:val="0"/>
              <w:adjustRightInd/>
              <w:snapToGrid/>
              <w:spacing w:line="460" w:lineRule="exact"/>
              <w:ind w:left="-105" w:leftChars="-50" w:right="-105" w:rightChars="-50"/>
              <w:jc w:val="center"/>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2.4</w:t>
            </w:r>
          </w:p>
        </w:tc>
        <w:tc>
          <w:tcPr>
            <w:tcW w:w="1453" w:type="dxa"/>
            <w:noWrap w:val="0"/>
            <w:vAlign w:val="center"/>
          </w:tcPr>
          <w:p w14:paraId="0A36878A">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确保工程质量的技术组织措施</w:t>
            </w:r>
          </w:p>
          <w:p w14:paraId="44E66D98">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Cs/>
                <w:color w:val="auto"/>
                <w:sz w:val="21"/>
                <w:szCs w:val="21"/>
                <w:highlight w:val="none"/>
                <w:lang w:val="en-US" w:eastAsia="zh-CN"/>
              </w:rPr>
            </w:pPr>
          </w:p>
        </w:tc>
        <w:tc>
          <w:tcPr>
            <w:tcW w:w="6647" w:type="dxa"/>
            <w:noWrap w:val="0"/>
            <w:vAlign w:val="center"/>
          </w:tcPr>
          <w:p w14:paraId="6BDDFD3C">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优（</w:t>
            </w:r>
            <w:r>
              <w:rPr>
                <w:rFonts w:hint="eastAsia" w:ascii="宋体" w:hAnsi="宋体" w:eastAsia="宋体" w:cs="宋体"/>
                <w:kern w:val="0"/>
                <w:sz w:val="21"/>
                <w:szCs w:val="21"/>
                <w:highlight w:val="none"/>
                <w:lang w:val="en-US" w:eastAsia="zh-CN"/>
              </w:rPr>
              <w:t>8</w:t>
            </w:r>
            <w:r>
              <w:rPr>
                <w:rFonts w:hint="eastAsia" w:ascii="宋体" w:hAnsi="宋体" w:eastAsia="宋体" w:cs="宋体"/>
                <w:kern w:val="0"/>
                <w:sz w:val="21"/>
                <w:szCs w:val="21"/>
                <w:highlight w:val="none"/>
              </w:rPr>
              <w:t>分）：有专门的质量技术管理班子和制度，人员配备合理，制度健全。主要工序有质量技术保证措施和手段科学合理，且先进、可行、具体，自控体系完整，能有效保证技术质量，达到承诺的质量标准。</w:t>
            </w:r>
          </w:p>
          <w:p w14:paraId="66F250E0">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良（</w:t>
            </w:r>
            <w:r>
              <w:rPr>
                <w:rFonts w:hint="eastAsia" w:ascii="宋体" w:hAnsi="宋体" w:eastAsia="宋体" w:cs="宋体"/>
                <w:kern w:val="0"/>
                <w:sz w:val="21"/>
                <w:szCs w:val="21"/>
                <w:highlight w:val="none"/>
                <w:lang w:val="en-US" w:eastAsia="zh-CN"/>
              </w:rPr>
              <w:t>6</w:t>
            </w:r>
            <w:r>
              <w:rPr>
                <w:rFonts w:hint="eastAsia" w:ascii="宋体" w:hAnsi="宋体" w:eastAsia="宋体" w:cs="宋体"/>
                <w:kern w:val="0"/>
                <w:sz w:val="21"/>
                <w:szCs w:val="21"/>
                <w:highlight w:val="none"/>
              </w:rPr>
              <w:t>分）：有专门的质量技术管理班子和制度，人员配备合理，制度健全。主要工序有质量技术保证措施和手段合理，自控体系完整，能有效保证技术质量，达到承诺的质量标准。</w:t>
            </w:r>
          </w:p>
          <w:p w14:paraId="0052154D">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中（</w:t>
            </w:r>
            <w:r>
              <w:rPr>
                <w:rFonts w:hint="eastAsia" w:ascii="宋体" w:hAnsi="宋体" w:eastAsia="宋体" w:cs="宋体"/>
                <w:kern w:val="0"/>
                <w:sz w:val="21"/>
                <w:szCs w:val="21"/>
                <w:highlight w:val="none"/>
                <w:lang w:val="en-US" w:eastAsia="zh-CN"/>
              </w:rPr>
              <w:t>4</w:t>
            </w:r>
            <w:r>
              <w:rPr>
                <w:rFonts w:hint="eastAsia" w:ascii="宋体" w:hAnsi="宋体" w:eastAsia="宋体" w:cs="宋体"/>
                <w:kern w:val="0"/>
                <w:sz w:val="21"/>
                <w:szCs w:val="21"/>
                <w:highlight w:val="none"/>
              </w:rPr>
              <w:t>分）：质量技术管理班子人员配备基本合理，制度基本健全。主要工序有质量技术保证措施和手段基本合理，自控体系基本合理，能基本保证技术质量，基本达到承诺的质量标准。</w:t>
            </w:r>
          </w:p>
          <w:p w14:paraId="281F433D">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一般（</w:t>
            </w:r>
            <w:r>
              <w:rPr>
                <w:rFonts w:hint="eastAsia" w:ascii="宋体" w:hAnsi="宋体" w:eastAsia="宋体" w:cs="宋体"/>
                <w:kern w:val="0"/>
                <w:sz w:val="21"/>
                <w:szCs w:val="21"/>
                <w:highlight w:val="none"/>
                <w:lang w:val="en-US" w:eastAsia="zh-CN"/>
              </w:rPr>
              <w:t>2</w:t>
            </w:r>
            <w:r>
              <w:rPr>
                <w:rFonts w:hint="eastAsia" w:ascii="宋体" w:hAnsi="宋体" w:eastAsia="宋体" w:cs="宋体"/>
                <w:kern w:val="0"/>
                <w:sz w:val="21"/>
                <w:szCs w:val="21"/>
                <w:highlight w:val="none"/>
              </w:rPr>
              <w:t>分）：质量技术管理班子人员配备简单，制度简单。主要工序有质量技术保证措施和手段简单，自控体系一般，能基本保证技术质量，基本达到承诺的质量标准。</w:t>
            </w:r>
          </w:p>
          <w:p w14:paraId="14BAF34B">
            <w:pPr>
              <w:pStyle w:val="20"/>
              <w:keepNext w:val="0"/>
              <w:keepLines w:val="0"/>
              <w:pageBreakBefore w:val="0"/>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差（</w:t>
            </w:r>
            <w:r>
              <w:rPr>
                <w:rFonts w:hint="eastAsia" w:ascii="宋体" w:hAnsi="宋体" w:cs="宋体"/>
                <w:kern w:val="0"/>
                <w:sz w:val="21"/>
                <w:szCs w:val="21"/>
                <w:highlight w:val="none"/>
                <w:lang w:val="en-US" w:eastAsia="zh-CN"/>
              </w:rPr>
              <w:t>0</w:t>
            </w:r>
            <w:r>
              <w:rPr>
                <w:rFonts w:hint="eastAsia" w:ascii="宋体" w:hAnsi="宋体" w:eastAsia="宋体" w:cs="宋体"/>
                <w:kern w:val="0"/>
                <w:sz w:val="21"/>
                <w:szCs w:val="21"/>
                <w:highlight w:val="none"/>
              </w:rPr>
              <w:t>分）：质量技术管理班子人员配备不合理，制度不健全。质量技术保证措施和手段不可行，自控体系不完整，达不到承诺的质量标准。</w:t>
            </w:r>
          </w:p>
        </w:tc>
        <w:tc>
          <w:tcPr>
            <w:tcW w:w="968" w:type="dxa"/>
            <w:noWrap w:val="0"/>
            <w:vAlign w:val="center"/>
          </w:tcPr>
          <w:p w14:paraId="55CC3664">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8分</w:t>
            </w:r>
          </w:p>
        </w:tc>
      </w:tr>
      <w:tr w14:paraId="1D55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59" w:type="dxa"/>
            <w:noWrap w:val="0"/>
            <w:vAlign w:val="center"/>
          </w:tcPr>
          <w:p w14:paraId="78C437E8">
            <w:pPr>
              <w:keepNext w:val="0"/>
              <w:keepLines w:val="0"/>
              <w:pageBreakBefore w:val="0"/>
              <w:kinsoku/>
              <w:wordWrap/>
              <w:overflowPunct/>
              <w:topLinePunct w:val="0"/>
              <w:autoSpaceDE/>
              <w:autoSpaceDN/>
              <w:bidi w:val="0"/>
              <w:adjustRightInd/>
              <w:snapToGrid/>
              <w:spacing w:line="460" w:lineRule="exact"/>
              <w:ind w:left="-105" w:leftChars="-50" w:right="-105" w:rightChars="-50"/>
              <w:jc w:val="center"/>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2.5</w:t>
            </w:r>
          </w:p>
        </w:tc>
        <w:tc>
          <w:tcPr>
            <w:tcW w:w="1453" w:type="dxa"/>
            <w:noWrap w:val="0"/>
            <w:vAlign w:val="center"/>
          </w:tcPr>
          <w:p w14:paraId="44354F1F">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确保安全生产的技术组织措施</w:t>
            </w:r>
          </w:p>
          <w:p w14:paraId="29F88501">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auto"/>
                <w:sz w:val="21"/>
                <w:szCs w:val="21"/>
                <w:highlight w:val="none"/>
                <w:lang w:eastAsia="zh-CN"/>
              </w:rPr>
            </w:pPr>
          </w:p>
        </w:tc>
        <w:tc>
          <w:tcPr>
            <w:tcW w:w="6647" w:type="dxa"/>
            <w:noWrap w:val="0"/>
            <w:vAlign w:val="center"/>
          </w:tcPr>
          <w:p w14:paraId="70DDAF0A">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优（</w:t>
            </w:r>
            <w:r>
              <w:rPr>
                <w:rFonts w:hint="eastAsia" w:ascii="宋体" w:hAnsi="宋体" w:eastAsia="宋体" w:cs="宋体"/>
                <w:kern w:val="0"/>
                <w:sz w:val="21"/>
                <w:szCs w:val="21"/>
                <w:highlight w:val="none"/>
                <w:lang w:val="en-US" w:eastAsia="zh-CN"/>
              </w:rPr>
              <w:t>8</w:t>
            </w:r>
            <w:r>
              <w:rPr>
                <w:rFonts w:hint="eastAsia" w:ascii="宋体" w:hAnsi="宋体" w:eastAsia="宋体" w:cs="宋体"/>
                <w:kern w:val="0"/>
                <w:sz w:val="21"/>
                <w:szCs w:val="21"/>
                <w:highlight w:val="none"/>
              </w:rPr>
              <w:t>分）：有配备满足项目要求的安全管理人员，人员配备合理。有健全的安全管理制度，各道工序安全技术措施针对性强，符合实际且满足有关安全技术标准要求。现场防火、应急救援、社会治安安全措施得力。</w:t>
            </w:r>
          </w:p>
          <w:p w14:paraId="3C08ACBF">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良（</w:t>
            </w:r>
            <w:r>
              <w:rPr>
                <w:rFonts w:hint="eastAsia" w:ascii="宋体" w:hAnsi="宋体" w:eastAsia="宋体" w:cs="宋体"/>
                <w:kern w:val="0"/>
                <w:sz w:val="21"/>
                <w:szCs w:val="21"/>
                <w:highlight w:val="none"/>
                <w:lang w:val="en-US" w:eastAsia="zh-CN"/>
              </w:rPr>
              <w:t>6</w:t>
            </w:r>
            <w:r>
              <w:rPr>
                <w:rFonts w:hint="eastAsia" w:ascii="宋体" w:hAnsi="宋体" w:eastAsia="宋体" w:cs="宋体"/>
                <w:kern w:val="0"/>
                <w:sz w:val="21"/>
                <w:szCs w:val="21"/>
                <w:highlight w:val="none"/>
              </w:rPr>
              <w:t>分）：有配备满足项目要求的安全管理人员，人员配备合理，有健全的安全管理制度，各道工序安全技术措施符合实际且满足有关安全技术标准要求。现场防火、应急救援、社会治安安全措施合理。</w:t>
            </w:r>
          </w:p>
          <w:p w14:paraId="50F4BF29">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中（</w:t>
            </w:r>
            <w:r>
              <w:rPr>
                <w:rFonts w:hint="eastAsia" w:ascii="宋体" w:hAnsi="宋体" w:eastAsia="宋体" w:cs="宋体"/>
                <w:kern w:val="0"/>
                <w:sz w:val="21"/>
                <w:szCs w:val="21"/>
                <w:highlight w:val="none"/>
                <w:lang w:val="en-US" w:eastAsia="zh-CN"/>
              </w:rPr>
              <w:t>4</w:t>
            </w:r>
            <w:r>
              <w:rPr>
                <w:rFonts w:hint="eastAsia" w:ascii="宋体" w:hAnsi="宋体" w:eastAsia="宋体" w:cs="宋体"/>
                <w:kern w:val="0"/>
                <w:sz w:val="21"/>
                <w:szCs w:val="21"/>
                <w:highlight w:val="none"/>
              </w:rPr>
              <w:t>分）：有配备满足项目要求的安全管理人员，人员配备基本合理，安全管理制度基本健全，各道工序安全技术措施基本符合实际，基本满足有关安全技术标准要求。现场防火、应急救援、社会治安安全措施基本合理。</w:t>
            </w:r>
          </w:p>
          <w:p w14:paraId="6010358B">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一般（</w:t>
            </w:r>
            <w:r>
              <w:rPr>
                <w:rFonts w:hint="eastAsia" w:ascii="宋体" w:hAnsi="宋体" w:eastAsia="宋体" w:cs="宋体"/>
                <w:kern w:val="0"/>
                <w:sz w:val="21"/>
                <w:szCs w:val="21"/>
                <w:highlight w:val="none"/>
                <w:lang w:val="en-US" w:eastAsia="zh-CN"/>
              </w:rPr>
              <w:t>2</w:t>
            </w:r>
            <w:r>
              <w:rPr>
                <w:rFonts w:hint="eastAsia" w:ascii="宋体" w:hAnsi="宋体" w:eastAsia="宋体" w:cs="宋体"/>
                <w:kern w:val="0"/>
                <w:sz w:val="21"/>
                <w:szCs w:val="21"/>
                <w:highlight w:val="none"/>
              </w:rPr>
              <w:t>分）：有配备满足项目要求的安全管理人员，人员配备基本合理，安全管理制度简单，各道工序安全技术措施简单，基本满足有关安全技术标准要求。现场防火、应急救援、社会治安安全措施一般。</w:t>
            </w:r>
          </w:p>
          <w:p w14:paraId="02AACBE7">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差（</w:t>
            </w:r>
            <w:r>
              <w:rPr>
                <w:rFonts w:hint="eastAsia" w:ascii="宋体" w:hAnsi="宋体" w:eastAsia="宋体" w:cs="宋体"/>
                <w:kern w:val="0"/>
                <w:sz w:val="21"/>
                <w:szCs w:val="21"/>
                <w:highlight w:val="none"/>
                <w:lang w:val="en-US" w:eastAsia="zh-CN"/>
              </w:rPr>
              <w:t>0</w:t>
            </w:r>
            <w:r>
              <w:rPr>
                <w:rFonts w:hint="eastAsia" w:ascii="宋体" w:hAnsi="宋体" w:eastAsia="宋体" w:cs="宋体"/>
                <w:kern w:val="0"/>
                <w:sz w:val="21"/>
                <w:szCs w:val="21"/>
                <w:highlight w:val="none"/>
              </w:rPr>
              <w:t>分）：有配备满足项目要求的安全管理人员，人员配备不合理，安全管理制度不健全，各道工序安全技术措施基本不符合实际，不能满足有关安全技术标准要求。现场防火、应急救援、社会治安安全措施不合理。</w:t>
            </w:r>
          </w:p>
        </w:tc>
        <w:tc>
          <w:tcPr>
            <w:tcW w:w="968" w:type="dxa"/>
            <w:noWrap w:val="0"/>
            <w:vAlign w:val="center"/>
          </w:tcPr>
          <w:p w14:paraId="7E7D83C9">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8分</w:t>
            </w:r>
          </w:p>
        </w:tc>
      </w:tr>
      <w:tr w14:paraId="088AC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59" w:type="dxa"/>
            <w:noWrap w:val="0"/>
            <w:vAlign w:val="center"/>
          </w:tcPr>
          <w:p w14:paraId="2062791B">
            <w:pPr>
              <w:keepNext w:val="0"/>
              <w:keepLines w:val="0"/>
              <w:pageBreakBefore w:val="0"/>
              <w:kinsoku/>
              <w:wordWrap/>
              <w:overflowPunct/>
              <w:topLinePunct w:val="0"/>
              <w:autoSpaceDE/>
              <w:autoSpaceDN/>
              <w:bidi w:val="0"/>
              <w:adjustRightInd/>
              <w:snapToGrid/>
              <w:spacing w:line="460" w:lineRule="exact"/>
              <w:ind w:left="-105" w:leftChars="-50" w:right="-105" w:rightChars="-50"/>
              <w:jc w:val="center"/>
              <w:textAlignment w:val="auto"/>
              <w:rPr>
                <w:rFonts w:hint="default"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2.6</w:t>
            </w:r>
          </w:p>
        </w:tc>
        <w:tc>
          <w:tcPr>
            <w:tcW w:w="1453" w:type="dxa"/>
            <w:noWrap w:val="0"/>
            <w:vAlign w:val="center"/>
          </w:tcPr>
          <w:p w14:paraId="0A3C1266">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确保工期的技术组织措施</w:t>
            </w:r>
          </w:p>
        </w:tc>
        <w:tc>
          <w:tcPr>
            <w:tcW w:w="6647" w:type="dxa"/>
            <w:noWrap w:val="0"/>
            <w:vAlign w:val="center"/>
          </w:tcPr>
          <w:p w14:paraId="4237206A">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优（</w:t>
            </w:r>
            <w:r>
              <w:rPr>
                <w:rFonts w:hint="eastAsia" w:ascii="宋体" w:hAnsi="宋体" w:eastAsia="宋体" w:cs="宋体"/>
                <w:kern w:val="0"/>
                <w:sz w:val="21"/>
                <w:szCs w:val="21"/>
                <w:highlight w:val="none"/>
                <w:lang w:val="en-US" w:eastAsia="zh-CN"/>
              </w:rPr>
              <w:t>8</w:t>
            </w:r>
            <w:r>
              <w:rPr>
                <w:rFonts w:hint="eastAsia" w:ascii="宋体" w:hAnsi="宋体" w:eastAsia="宋体" w:cs="宋体"/>
                <w:kern w:val="0"/>
                <w:sz w:val="21"/>
                <w:szCs w:val="21"/>
                <w:highlight w:val="none"/>
              </w:rPr>
              <w:t>分）：在施工工艺、施工方法、材料选用、劳动力安排、技术等方面有保证工期的具体措施且措施得力。控制工期的施工进度计划科学合理，有施工总进度表或施工网络图，各项计划图表编制详尽周密，安排科学合理，符合本项目施工实际要求。</w:t>
            </w:r>
          </w:p>
          <w:p w14:paraId="12E38BD8">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良（</w:t>
            </w:r>
            <w:r>
              <w:rPr>
                <w:rFonts w:hint="eastAsia" w:ascii="宋体" w:hAnsi="宋体" w:eastAsia="宋体" w:cs="宋体"/>
                <w:kern w:val="0"/>
                <w:sz w:val="21"/>
                <w:szCs w:val="21"/>
                <w:highlight w:val="none"/>
                <w:lang w:val="en-US" w:eastAsia="zh-CN"/>
              </w:rPr>
              <w:t>6</w:t>
            </w:r>
            <w:r>
              <w:rPr>
                <w:rFonts w:hint="eastAsia" w:ascii="宋体" w:hAnsi="宋体" w:eastAsia="宋体" w:cs="宋体"/>
                <w:kern w:val="0"/>
                <w:sz w:val="21"/>
                <w:szCs w:val="21"/>
                <w:highlight w:val="none"/>
              </w:rPr>
              <w:t>分）：在施工工艺、施工方法、材料选用、劳动力安排、技术等方面有保证工期的具体措施且措施得当。控制工期的施工进度计划合理，有施工总进度表或施工网络图，各项计划图表编制完善，安排比较合理，符合本项目施工实际要求。</w:t>
            </w:r>
          </w:p>
          <w:p w14:paraId="42C45FD7">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中（</w:t>
            </w:r>
            <w:r>
              <w:rPr>
                <w:rFonts w:hint="eastAsia" w:ascii="宋体" w:hAnsi="宋体" w:eastAsia="宋体" w:cs="宋体"/>
                <w:kern w:val="0"/>
                <w:sz w:val="21"/>
                <w:szCs w:val="21"/>
                <w:highlight w:val="none"/>
                <w:lang w:val="en-US" w:eastAsia="zh-CN"/>
              </w:rPr>
              <w:t>4</w:t>
            </w:r>
            <w:r>
              <w:rPr>
                <w:rFonts w:hint="eastAsia" w:ascii="宋体" w:hAnsi="宋体" w:eastAsia="宋体" w:cs="宋体"/>
                <w:kern w:val="0"/>
                <w:sz w:val="21"/>
                <w:szCs w:val="21"/>
                <w:highlight w:val="none"/>
              </w:rPr>
              <w:t>分）：在施工工艺、施工方法、材料选用、劳动力安排、技术等方面有保证工期的具体措施，措施基本合理。控制工期的施工进度计划基本合理，有施工总进度表或施工网络图，各项计划图表编制基本齐全，安排基本合理，基本符合本项目施工实际要求。</w:t>
            </w:r>
          </w:p>
          <w:p w14:paraId="741AD691">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一般（</w:t>
            </w:r>
            <w:r>
              <w:rPr>
                <w:rFonts w:hint="eastAsia" w:ascii="宋体" w:hAnsi="宋体" w:eastAsia="宋体" w:cs="宋体"/>
                <w:kern w:val="0"/>
                <w:sz w:val="21"/>
                <w:szCs w:val="21"/>
                <w:highlight w:val="none"/>
                <w:lang w:val="en-US" w:eastAsia="zh-CN"/>
              </w:rPr>
              <w:t>2</w:t>
            </w:r>
            <w:r>
              <w:rPr>
                <w:rFonts w:hint="eastAsia" w:ascii="宋体" w:hAnsi="宋体" w:eastAsia="宋体" w:cs="宋体"/>
                <w:kern w:val="0"/>
                <w:sz w:val="21"/>
                <w:szCs w:val="21"/>
                <w:highlight w:val="none"/>
              </w:rPr>
              <w:t>分）：在施工工艺、施工方法、材料选用、劳动力安排、技术等方面有保证工期的具体措施但措施简单。控制工期的施工进度计划简单，有施工总进度表或施工网络图，各项计划图表编制简单，基本符合本项目施工要求。</w:t>
            </w:r>
          </w:p>
          <w:p w14:paraId="51F9CF55">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差（</w:t>
            </w:r>
            <w:r>
              <w:rPr>
                <w:rFonts w:hint="eastAsia" w:ascii="宋体" w:hAnsi="宋体" w:eastAsia="宋体" w:cs="宋体"/>
                <w:kern w:val="0"/>
                <w:sz w:val="21"/>
                <w:szCs w:val="21"/>
                <w:highlight w:val="none"/>
                <w:lang w:val="en-US" w:eastAsia="zh-CN"/>
              </w:rPr>
              <w:t>0</w:t>
            </w:r>
            <w:r>
              <w:rPr>
                <w:rFonts w:hint="eastAsia" w:ascii="宋体" w:hAnsi="宋体" w:eastAsia="宋体" w:cs="宋体"/>
                <w:kern w:val="0"/>
                <w:sz w:val="21"/>
                <w:szCs w:val="21"/>
                <w:highlight w:val="none"/>
              </w:rPr>
              <w:t>分）：在施工工艺、施工方法、材料选用、劳动力安排、技术等方面有保证工期的具体措施但措施较差，有控制工期的施工进度计划，有施工总进度表或施工网络图，各项计划图表编制不完善，安排不合理，不能满足本项目施工实际要求。</w:t>
            </w:r>
          </w:p>
        </w:tc>
        <w:tc>
          <w:tcPr>
            <w:tcW w:w="968" w:type="dxa"/>
            <w:noWrap w:val="0"/>
            <w:vAlign w:val="center"/>
          </w:tcPr>
          <w:p w14:paraId="43909020">
            <w:pPr>
              <w:keepNext w:val="0"/>
              <w:keepLines w:val="0"/>
              <w:pageBreakBefore w:val="0"/>
              <w:kinsoku/>
              <w:wordWrap/>
              <w:overflowPunct/>
              <w:topLinePunct w:val="0"/>
              <w:autoSpaceDE/>
              <w:autoSpaceDN/>
              <w:bidi w:val="0"/>
              <w:adjustRightInd/>
              <w:snapToGrid/>
              <w:spacing w:line="460" w:lineRule="exact"/>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8分</w:t>
            </w:r>
          </w:p>
        </w:tc>
      </w:tr>
      <w:tr w14:paraId="2E0D6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59" w:type="dxa"/>
            <w:noWrap w:val="0"/>
            <w:vAlign w:val="center"/>
          </w:tcPr>
          <w:p w14:paraId="377758A6">
            <w:pPr>
              <w:keepNext w:val="0"/>
              <w:keepLines w:val="0"/>
              <w:pageBreakBefore w:val="0"/>
              <w:kinsoku/>
              <w:wordWrap/>
              <w:overflowPunct/>
              <w:topLinePunct w:val="0"/>
              <w:autoSpaceDE/>
              <w:autoSpaceDN/>
              <w:bidi w:val="0"/>
              <w:adjustRightInd/>
              <w:snapToGrid/>
              <w:spacing w:line="460" w:lineRule="exact"/>
              <w:ind w:left="-105" w:leftChars="-50" w:right="-105" w:rightChars="-50"/>
              <w:jc w:val="center"/>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2.7</w:t>
            </w:r>
          </w:p>
        </w:tc>
        <w:tc>
          <w:tcPr>
            <w:tcW w:w="1453" w:type="dxa"/>
            <w:noWrap w:val="0"/>
            <w:vAlign w:val="center"/>
          </w:tcPr>
          <w:p w14:paraId="5D83A1E8">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kern w:val="0"/>
                <w:sz w:val="21"/>
                <w:szCs w:val="21"/>
                <w:highlight w:val="none"/>
              </w:rPr>
            </w:pPr>
            <w:r>
              <w:rPr>
                <w:rFonts w:hint="eastAsia" w:ascii="宋体" w:hAnsi="宋体" w:eastAsia="宋体" w:cs="宋体"/>
                <w:b/>
                <w:bCs/>
                <w:kern w:val="0"/>
                <w:sz w:val="21"/>
                <w:szCs w:val="21"/>
                <w:highlight w:val="none"/>
              </w:rPr>
              <w:t>确保文明施工的技术组织措施</w:t>
            </w:r>
          </w:p>
        </w:tc>
        <w:tc>
          <w:tcPr>
            <w:tcW w:w="6647" w:type="dxa"/>
            <w:noWrap w:val="0"/>
            <w:vAlign w:val="center"/>
          </w:tcPr>
          <w:p w14:paraId="5715A90D">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优（</w:t>
            </w:r>
            <w:r>
              <w:rPr>
                <w:rFonts w:hint="eastAsia" w:ascii="宋体" w:hAnsi="宋体" w:eastAsia="宋体" w:cs="宋体"/>
                <w:kern w:val="0"/>
                <w:sz w:val="21"/>
                <w:szCs w:val="21"/>
                <w:highlight w:val="none"/>
                <w:lang w:val="en-US" w:eastAsia="zh-CN"/>
              </w:rPr>
              <w:t>8</w:t>
            </w:r>
            <w:r>
              <w:rPr>
                <w:rFonts w:hint="eastAsia" w:ascii="宋体" w:hAnsi="宋体" w:eastAsia="宋体" w:cs="宋体"/>
                <w:kern w:val="0"/>
                <w:sz w:val="21"/>
                <w:szCs w:val="21"/>
                <w:highlight w:val="none"/>
              </w:rPr>
              <w:t>分）：针对本工程的特点，有现场文明施工、环境保护措施且措施内容达到《建筑施工安全生产检查标准》（JGJ59-2011）合格标准并符合《广西壮族自治区建筑工程文明施工导则》要求；各项措施周全、具体、有效，有具体实现现场文明施工目标的承诺。</w:t>
            </w:r>
          </w:p>
          <w:p w14:paraId="08333C8F">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良（</w:t>
            </w:r>
            <w:r>
              <w:rPr>
                <w:rFonts w:hint="eastAsia" w:ascii="宋体" w:hAnsi="宋体" w:eastAsia="宋体" w:cs="宋体"/>
                <w:kern w:val="0"/>
                <w:sz w:val="21"/>
                <w:szCs w:val="21"/>
                <w:highlight w:val="none"/>
                <w:lang w:val="en-US" w:eastAsia="zh-CN"/>
              </w:rPr>
              <w:t>6</w:t>
            </w:r>
            <w:r>
              <w:rPr>
                <w:rFonts w:hint="eastAsia" w:ascii="宋体" w:hAnsi="宋体" w:eastAsia="宋体" w:cs="宋体"/>
                <w:kern w:val="0"/>
                <w:sz w:val="21"/>
                <w:szCs w:val="21"/>
                <w:highlight w:val="none"/>
              </w:rPr>
              <w:t>分）：针对本工程的特点，有现场文明施工、环境保护措施且措施内容达到《建筑施工安全生产检查标准》（JGJ59-2011）合格标准并符合《广西壮族自治区建筑工程文明施工导则》要求；各项措施具体、有效，有具体实现现场文明施工目标的承诺。</w:t>
            </w:r>
          </w:p>
          <w:p w14:paraId="0C3D334C">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中（</w:t>
            </w:r>
            <w:r>
              <w:rPr>
                <w:rFonts w:hint="eastAsia" w:ascii="宋体" w:hAnsi="宋体" w:eastAsia="宋体" w:cs="宋体"/>
                <w:kern w:val="0"/>
                <w:sz w:val="21"/>
                <w:szCs w:val="21"/>
                <w:highlight w:val="none"/>
                <w:lang w:val="en-US" w:eastAsia="zh-CN"/>
              </w:rPr>
              <w:t>4</w:t>
            </w:r>
            <w:r>
              <w:rPr>
                <w:rFonts w:hint="eastAsia" w:ascii="宋体" w:hAnsi="宋体" w:eastAsia="宋体" w:cs="宋体"/>
                <w:kern w:val="0"/>
                <w:sz w:val="21"/>
                <w:szCs w:val="21"/>
                <w:highlight w:val="none"/>
              </w:rPr>
              <w:t>分）：针对本工程的特点，有现场文明施工、环境保护措施且措施内容达到《建筑施工安全生产检查标准》（JGJ59-2011）合格标准并符合《广西壮族自治区建筑工程文明施工导则》要求；各项措施基本合理，有具体实现现场文明施工目标的承诺。</w:t>
            </w:r>
          </w:p>
          <w:p w14:paraId="4C67F8CC">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一般（</w:t>
            </w:r>
            <w:r>
              <w:rPr>
                <w:rFonts w:hint="eastAsia" w:ascii="宋体" w:hAnsi="宋体" w:eastAsia="宋体" w:cs="宋体"/>
                <w:kern w:val="0"/>
                <w:sz w:val="21"/>
                <w:szCs w:val="21"/>
                <w:highlight w:val="none"/>
                <w:lang w:val="en-US" w:eastAsia="zh-CN"/>
              </w:rPr>
              <w:t>2</w:t>
            </w:r>
            <w:r>
              <w:rPr>
                <w:rFonts w:hint="eastAsia" w:ascii="宋体" w:hAnsi="宋体" w:eastAsia="宋体" w:cs="宋体"/>
                <w:kern w:val="0"/>
                <w:sz w:val="21"/>
                <w:szCs w:val="21"/>
                <w:highlight w:val="none"/>
              </w:rPr>
              <w:t>分）：针对本工程的特点，有现场文明施工、环境保护措施且措施内容达到《建筑施工安全生产检查标准》（JGJ59-2011）合格标准并符合《广西壮族自治区建筑工程文明施工导则》要求；各项措施简单，无具体实现现场文明施工目标的承诺。</w:t>
            </w:r>
          </w:p>
          <w:p w14:paraId="6386B0E4">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差（</w:t>
            </w:r>
            <w:r>
              <w:rPr>
                <w:rFonts w:hint="eastAsia" w:ascii="宋体" w:hAnsi="宋体" w:eastAsia="宋体" w:cs="宋体"/>
                <w:kern w:val="0"/>
                <w:sz w:val="21"/>
                <w:szCs w:val="21"/>
                <w:highlight w:val="none"/>
                <w:lang w:val="en-US" w:eastAsia="zh-CN"/>
              </w:rPr>
              <w:t>0</w:t>
            </w:r>
            <w:r>
              <w:rPr>
                <w:rFonts w:hint="eastAsia" w:ascii="宋体" w:hAnsi="宋体" w:eastAsia="宋体" w:cs="宋体"/>
                <w:kern w:val="0"/>
                <w:sz w:val="21"/>
                <w:szCs w:val="21"/>
                <w:highlight w:val="none"/>
              </w:rPr>
              <w:t>分）: 针对本工程的特点，有现场文明施工、环境保护措施且措施内容达到《建筑施工安全生产检查标准》（JGJ59-2011）合格标准并符合《广西壮族自治区建筑工程文明施工导则》要求；各项措施不合理，无具体实现现场文明施工目标的承诺。</w:t>
            </w:r>
          </w:p>
        </w:tc>
        <w:tc>
          <w:tcPr>
            <w:tcW w:w="968" w:type="dxa"/>
            <w:noWrap w:val="0"/>
            <w:vAlign w:val="center"/>
          </w:tcPr>
          <w:p w14:paraId="58E056C7">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8分</w:t>
            </w:r>
          </w:p>
        </w:tc>
      </w:tr>
      <w:tr w14:paraId="2CABA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59" w:type="dxa"/>
            <w:noWrap w:val="0"/>
            <w:vAlign w:val="center"/>
          </w:tcPr>
          <w:p w14:paraId="67E09601">
            <w:pPr>
              <w:keepNext w:val="0"/>
              <w:keepLines w:val="0"/>
              <w:pageBreakBefore w:val="0"/>
              <w:kinsoku/>
              <w:wordWrap/>
              <w:overflowPunct/>
              <w:topLinePunct w:val="0"/>
              <w:autoSpaceDE/>
              <w:autoSpaceDN/>
              <w:bidi w:val="0"/>
              <w:adjustRightInd/>
              <w:snapToGrid/>
              <w:spacing w:line="460" w:lineRule="exact"/>
              <w:ind w:left="-105" w:leftChars="-50" w:right="-105" w:rightChars="-50"/>
              <w:jc w:val="center"/>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2.8</w:t>
            </w:r>
          </w:p>
        </w:tc>
        <w:tc>
          <w:tcPr>
            <w:tcW w:w="1453" w:type="dxa"/>
            <w:noWrap w:val="0"/>
            <w:vAlign w:val="center"/>
          </w:tcPr>
          <w:p w14:paraId="578DF9B2">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工程施工的重点和难点及保证措施</w:t>
            </w:r>
          </w:p>
        </w:tc>
        <w:tc>
          <w:tcPr>
            <w:tcW w:w="6647" w:type="dxa"/>
            <w:noWrap w:val="0"/>
            <w:vAlign w:val="center"/>
          </w:tcPr>
          <w:p w14:paraId="6E8F762C">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优（</w:t>
            </w:r>
            <w:r>
              <w:rPr>
                <w:rFonts w:hint="eastAsia" w:ascii="宋体" w:hAnsi="宋体" w:eastAsia="宋体" w:cs="宋体"/>
                <w:kern w:val="0"/>
                <w:sz w:val="21"/>
                <w:szCs w:val="21"/>
                <w:highlight w:val="none"/>
                <w:lang w:val="en-US" w:eastAsia="zh-CN"/>
              </w:rPr>
              <w:t>8</w:t>
            </w:r>
            <w:r>
              <w:rPr>
                <w:rFonts w:hint="eastAsia" w:ascii="宋体" w:hAnsi="宋体" w:eastAsia="宋体" w:cs="宋体"/>
                <w:kern w:val="0"/>
                <w:sz w:val="21"/>
                <w:szCs w:val="21"/>
                <w:highlight w:val="none"/>
              </w:rPr>
              <w:t>分）：针对本工程的特点，阐述本工程的重点和难点，解决重点和难点问题的方法完整、合理、安全、切实可行，措施得力，完全满足要求。</w:t>
            </w:r>
          </w:p>
          <w:p w14:paraId="0000FD11">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良（</w:t>
            </w:r>
            <w:r>
              <w:rPr>
                <w:rFonts w:hint="eastAsia" w:ascii="宋体" w:hAnsi="宋体" w:eastAsia="宋体" w:cs="宋体"/>
                <w:kern w:val="0"/>
                <w:sz w:val="21"/>
                <w:szCs w:val="21"/>
                <w:highlight w:val="none"/>
                <w:lang w:val="en-US" w:eastAsia="zh-CN"/>
              </w:rPr>
              <w:t>6</w:t>
            </w:r>
            <w:r>
              <w:rPr>
                <w:rFonts w:hint="eastAsia" w:ascii="宋体" w:hAnsi="宋体" w:eastAsia="宋体" w:cs="宋体"/>
                <w:kern w:val="0"/>
                <w:sz w:val="21"/>
                <w:szCs w:val="21"/>
                <w:highlight w:val="none"/>
              </w:rPr>
              <w:t>分）：针对本工程的特点，阐述本工程的重点和难点，解决重点和难点问题的方法，合理、安全、可行，满足要求。</w:t>
            </w:r>
          </w:p>
          <w:p w14:paraId="4566B104">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中（</w:t>
            </w:r>
            <w:r>
              <w:rPr>
                <w:rFonts w:hint="eastAsia" w:ascii="宋体" w:hAnsi="宋体" w:eastAsia="宋体" w:cs="宋体"/>
                <w:kern w:val="0"/>
                <w:sz w:val="21"/>
                <w:szCs w:val="21"/>
                <w:highlight w:val="none"/>
                <w:lang w:val="en-US" w:eastAsia="zh-CN"/>
              </w:rPr>
              <w:t>4</w:t>
            </w:r>
            <w:r>
              <w:rPr>
                <w:rFonts w:hint="eastAsia" w:ascii="宋体" w:hAnsi="宋体" w:eastAsia="宋体" w:cs="宋体"/>
                <w:kern w:val="0"/>
                <w:sz w:val="21"/>
                <w:szCs w:val="21"/>
                <w:highlight w:val="none"/>
              </w:rPr>
              <w:t>分）：针对本工程的特点，阐述本工程的重点和难点，解决重点和难点问题的方法基本合理，基本满足要求。</w:t>
            </w:r>
          </w:p>
          <w:p w14:paraId="268AF7C0">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一般（</w:t>
            </w:r>
            <w:r>
              <w:rPr>
                <w:rFonts w:hint="eastAsia" w:ascii="宋体" w:hAnsi="宋体" w:eastAsia="宋体" w:cs="宋体"/>
                <w:kern w:val="0"/>
                <w:sz w:val="21"/>
                <w:szCs w:val="21"/>
                <w:highlight w:val="none"/>
                <w:lang w:val="en-US" w:eastAsia="zh-CN"/>
              </w:rPr>
              <w:t>2</w:t>
            </w:r>
            <w:r>
              <w:rPr>
                <w:rFonts w:hint="eastAsia" w:ascii="宋体" w:hAnsi="宋体" w:eastAsia="宋体" w:cs="宋体"/>
                <w:kern w:val="0"/>
                <w:sz w:val="21"/>
                <w:szCs w:val="21"/>
                <w:highlight w:val="none"/>
              </w:rPr>
              <w:t>分）：针对本工程的特点，简单阐述本工程的重点和难点，解决重点和难点问题的方法，方法简单，基本满足要求。</w:t>
            </w:r>
          </w:p>
          <w:p w14:paraId="4E7785B8">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差（</w:t>
            </w:r>
            <w:r>
              <w:rPr>
                <w:rFonts w:hint="eastAsia" w:ascii="宋体" w:hAnsi="宋体" w:eastAsia="宋体" w:cs="宋体"/>
                <w:kern w:val="0"/>
                <w:sz w:val="21"/>
                <w:szCs w:val="21"/>
                <w:highlight w:val="none"/>
                <w:lang w:val="en-US" w:eastAsia="zh-CN"/>
              </w:rPr>
              <w:t>0</w:t>
            </w:r>
            <w:r>
              <w:rPr>
                <w:rFonts w:hint="eastAsia" w:ascii="宋体" w:hAnsi="宋体" w:eastAsia="宋体" w:cs="宋体"/>
                <w:kern w:val="0"/>
                <w:sz w:val="21"/>
                <w:szCs w:val="21"/>
                <w:highlight w:val="none"/>
              </w:rPr>
              <w:t>分）：针对本工程的特点，阐述本工程的重点和难点，解决重点和难点问题的方法不合理，不满足要求。</w:t>
            </w:r>
          </w:p>
        </w:tc>
        <w:tc>
          <w:tcPr>
            <w:tcW w:w="968" w:type="dxa"/>
            <w:noWrap w:val="0"/>
            <w:vAlign w:val="center"/>
          </w:tcPr>
          <w:p w14:paraId="6864A9F7">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8分</w:t>
            </w:r>
          </w:p>
        </w:tc>
      </w:tr>
      <w:tr w14:paraId="7D3B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59" w:type="dxa"/>
            <w:noWrap w:val="0"/>
            <w:vAlign w:val="center"/>
          </w:tcPr>
          <w:p w14:paraId="24C9374A">
            <w:pPr>
              <w:keepNext w:val="0"/>
              <w:keepLines w:val="0"/>
              <w:pageBreakBefore w:val="0"/>
              <w:kinsoku/>
              <w:wordWrap/>
              <w:overflowPunct/>
              <w:topLinePunct w:val="0"/>
              <w:autoSpaceDE/>
              <w:autoSpaceDN/>
              <w:bidi w:val="0"/>
              <w:adjustRightInd/>
              <w:snapToGrid/>
              <w:spacing w:line="460" w:lineRule="exact"/>
              <w:ind w:left="-105" w:leftChars="-50" w:right="-105" w:rightChars="-50"/>
              <w:jc w:val="center"/>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2.9</w:t>
            </w:r>
          </w:p>
        </w:tc>
        <w:tc>
          <w:tcPr>
            <w:tcW w:w="1453" w:type="dxa"/>
            <w:noWrap w:val="0"/>
            <w:vAlign w:val="center"/>
          </w:tcPr>
          <w:p w14:paraId="2CAA969C">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施工总平面布置图</w:t>
            </w:r>
          </w:p>
        </w:tc>
        <w:tc>
          <w:tcPr>
            <w:tcW w:w="6647" w:type="dxa"/>
            <w:noWrap w:val="0"/>
            <w:vAlign w:val="center"/>
          </w:tcPr>
          <w:p w14:paraId="07782FE1">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优（</w:t>
            </w:r>
            <w:r>
              <w:rPr>
                <w:rFonts w:hint="eastAsia" w:ascii="宋体" w:hAnsi="宋体" w:eastAsia="宋体" w:cs="宋体"/>
                <w:kern w:val="0"/>
                <w:sz w:val="21"/>
                <w:szCs w:val="21"/>
                <w:highlight w:val="none"/>
                <w:lang w:val="en-US" w:eastAsia="zh-CN"/>
              </w:rPr>
              <w:t>7</w:t>
            </w:r>
            <w:r>
              <w:rPr>
                <w:rFonts w:hint="eastAsia" w:ascii="宋体" w:hAnsi="宋体" w:eastAsia="宋体" w:cs="宋体"/>
                <w:kern w:val="0"/>
                <w:sz w:val="21"/>
                <w:szCs w:val="21"/>
                <w:highlight w:val="none"/>
              </w:rPr>
              <w:t>分）：有施工总平面布置图，安排科学合理，总体布置有针对性、合理，完全符合本项目施工实际要求。</w:t>
            </w:r>
          </w:p>
          <w:p w14:paraId="47CBA6BF">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良（</w:t>
            </w:r>
            <w:r>
              <w:rPr>
                <w:rFonts w:hint="eastAsia" w:ascii="宋体" w:hAnsi="宋体" w:eastAsia="宋体" w:cs="宋体"/>
                <w:kern w:val="0"/>
                <w:sz w:val="21"/>
                <w:szCs w:val="21"/>
                <w:highlight w:val="none"/>
                <w:lang w:val="en-US" w:eastAsia="zh-CN"/>
              </w:rPr>
              <w:t>5</w:t>
            </w:r>
            <w:r>
              <w:rPr>
                <w:rFonts w:hint="eastAsia" w:ascii="宋体" w:hAnsi="宋体" w:eastAsia="宋体" w:cs="宋体"/>
                <w:kern w:val="0"/>
                <w:sz w:val="21"/>
                <w:szCs w:val="21"/>
                <w:highlight w:val="none"/>
              </w:rPr>
              <w:t>分）：有施工总平面布置图，安排合理，总体布置合理，符合本项目施工实际要求。</w:t>
            </w:r>
          </w:p>
          <w:p w14:paraId="59F3996A">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中（3分）：有施工总平面布置图，安排基本合理，总体布置基本合理，基本符合本项目施工实际要求。</w:t>
            </w:r>
          </w:p>
          <w:p w14:paraId="1C015B66">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一般（</w:t>
            </w:r>
            <w:r>
              <w:rPr>
                <w:rFonts w:hint="eastAsia" w:ascii="宋体" w:hAnsi="宋体" w:eastAsia="宋体" w:cs="宋体"/>
                <w:kern w:val="0"/>
                <w:sz w:val="21"/>
                <w:szCs w:val="21"/>
                <w:highlight w:val="none"/>
                <w:lang w:val="en-US" w:eastAsia="zh-CN"/>
              </w:rPr>
              <w:t>1</w:t>
            </w:r>
            <w:r>
              <w:rPr>
                <w:rFonts w:hint="eastAsia" w:ascii="宋体" w:hAnsi="宋体" w:eastAsia="宋体" w:cs="宋体"/>
                <w:kern w:val="0"/>
                <w:sz w:val="21"/>
                <w:szCs w:val="21"/>
                <w:highlight w:val="none"/>
              </w:rPr>
              <w:t>分）：有施工总平面布置图，施工总平面布置图总体布置简单，基本符合本项目施工要求。</w:t>
            </w:r>
          </w:p>
          <w:p w14:paraId="4AEBCF04">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差（</w:t>
            </w:r>
            <w:r>
              <w:rPr>
                <w:rFonts w:hint="eastAsia" w:ascii="宋体" w:hAnsi="宋体" w:eastAsia="宋体" w:cs="宋体"/>
                <w:kern w:val="0"/>
                <w:sz w:val="21"/>
                <w:szCs w:val="21"/>
                <w:highlight w:val="none"/>
                <w:lang w:val="en-US" w:eastAsia="zh-CN"/>
              </w:rPr>
              <w:t>0</w:t>
            </w:r>
            <w:r>
              <w:rPr>
                <w:rFonts w:hint="eastAsia" w:ascii="宋体" w:hAnsi="宋体" w:eastAsia="宋体" w:cs="宋体"/>
                <w:kern w:val="0"/>
                <w:sz w:val="21"/>
                <w:szCs w:val="21"/>
                <w:highlight w:val="none"/>
              </w:rPr>
              <w:t>分）：有施工总平面布置图，总体布置不合理，不符合本项目施工实际要求。</w:t>
            </w:r>
          </w:p>
        </w:tc>
        <w:tc>
          <w:tcPr>
            <w:tcW w:w="968" w:type="dxa"/>
            <w:noWrap w:val="0"/>
            <w:vAlign w:val="center"/>
          </w:tcPr>
          <w:p w14:paraId="2F14CE66">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7分</w:t>
            </w:r>
          </w:p>
        </w:tc>
      </w:tr>
      <w:tr w14:paraId="15BC2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59" w:type="dxa"/>
            <w:noWrap w:val="0"/>
            <w:vAlign w:val="center"/>
          </w:tcPr>
          <w:p w14:paraId="5EC380BF">
            <w:pPr>
              <w:keepNext w:val="0"/>
              <w:keepLines w:val="0"/>
              <w:pageBreakBefore w:val="0"/>
              <w:kinsoku/>
              <w:wordWrap/>
              <w:overflowPunct/>
              <w:topLinePunct w:val="0"/>
              <w:autoSpaceDE/>
              <w:autoSpaceDN/>
              <w:bidi w:val="0"/>
              <w:adjustRightInd/>
              <w:snapToGrid/>
              <w:spacing w:line="460" w:lineRule="exact"/>
              <w:ind w:left="-105" w:leftChars="-50" w:right="-105" w:rightChars="-50"/>
              <w:jc w:val="center"/>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rPr>
              <w:t>2.10</w:t>
            </w:r>
          </w:p>
        </w:tc>
        <w:tc>
          <w:tcPr>
            <w:tcW w:w="1453" w:type="dxa"/>
            <w:noWrap w:val="0"/>
            <w:vAlign w:val="center"/>
          </w:tcPr>
          <w:p w14:paraId="4D2B79C0">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拟投入的主要施工机械、设备计划</w:t>
            </w:r>
          </w:p>
          <w:p w14:paraId="117DA7A5">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kern w:val="0"/>
                <w:sz w:val="21"/>
                <w:szCs w:val="21"/>
                <w:highlight w:val="none"/>
              </w:rPr>
            </w:pPr>
          </w:p>
        </w:tc>
        <w:tc>
          <w:tcPr>
            <w:tcW w:w="6647" w:type="dxa"/>
            <w:noWrap w:val="0"/>
            <w:vAlign w:val="center"/>
          </w:tcPr>
          <w:p w14:paraId="0F9485E8">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优（</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分）：投入的施工机械、设备、机具有详细的组织计划且计划周密，设备数量、选型配置、进场时间安排合理，满足施工需要。</w:t>
            </w:r>
          </w:p>
          <w:p w14:paraId="6D5EEC9B">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良（</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分）：投入的施工机械、设备、机具有详细的组织计划，设备数量、选型配置、进场投入计划与进度计划呼应，基本满足施工需要。</w:t>
            </w:r>
          </w:p>
          <w:p w14:paraId="17E137BB">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中（3分）：投入的施工机械、设备、机具组织计划合理，设备数量、选型配置、进场投入计划与进度计划合理，基本满足施工需要。</w:t>
            </w:r>
          </w:p>
          <w:p w14:paraId="3E44FE73">
            <w:pPr>
              <w:keepNext w:val="0"/>
              <w:keepLines w:val="0"/>
              <w:pageBreakBefore w:val="0"/>
              <w:widowControl/>
              <w:kinsoku/>
              <w:wordWrap/>
              <w:overflowPunct/>
              <w:topLinePunct w:val="0"/>
              <w:autoSpaceDE/>
              <w:autoSpaceDN/>
              <w:bidi w:val="0"/>
              <w:adjustRightInd/>
              <w:snapToGrid/>
              <w:spacing w:line="46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一般（</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分）：投入的施工机械、设备、机具组织计划简单，设备数量、选型配置、进场投入计划与进度计划一般，基本满足要求。</w:t>
            </w:r>
          </w:p>
          <w:p w14:paraId="61E1927C">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sz w:val="21"/>
                <w:szCs w:val="21"/>
                <w:highlight w:val="none"/>
              </w:rPr>
              <w:t>差（</w:t>
            </w:r>
            <w:r>
              <w:rPr>
                <w:rFonts w:hint="eastAsia" w:ascii="宋体" w:hAnsi="宋体" w:eastAsia="宋体" w:cs="宋体"/>
                <w:sz w:val="21"/>
                <w:szCs w:val="21"/>
                <w:highlight w:val="none"/>
                <w:lang w:val="en-US" w:eastAsia="zh-CN"/>
              </w:rPr>
              <w:t>0</w:t>
            </w:r>
            <w:r>
              <w:rPr>
                <w:rFonts w:hint="eastAsia" w:ascii="宋体" w:hAnsi="宋体" w:eastAsia="宋体" w:cs="宋体"/>
                <w:sz w:val="21"/>
                <w:szCs w:val="21"/>
                <w:highlight w:val="none"/>
              </w:rPr>
              <w:t>分）：投入的施工机械、设备、机具组织计划差，投入计划与进度计划不呼应，不能满足施工需要。</w:t>
            </w:r>
          </w:p>
        </w:tc>
        <w:tc>
          <w:tcPr>
            <w:tcW w:w="968" w:type="dxa"/>
            <w:noWrap w:val="0"/>
            <w:vAlign w:val="center"/>
          </w:tcPr>
          <w:p w14:paraId="2E5358F0">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7分</w:t>
            </w:r>
          </w:p>
        </w:tc>
      </w:tr>
      <w:tr w14:paraId="5C20A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659" w:type="dxa"/>
            <w:noWrap w:val="0"/>
            <w:vAlign w:val="center"/>
          </w:tcPr>
          <w:p w14:paraId="3A256330">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3</w:t>
            </w:r>
          </w:p>
        </w:tc>
        <w:tc>
          <w:tcPr>
            <w:tcW w:w="1453" w:type="dxa"/>
            <w:noWrap w:val="0"/>
            <w:vAlign w:val="center"/>
          </w:tcPr>
          <w:p w14:paraId="1B50FE03">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商务分</w:t>
            </w:r>
          </w:p>
        </w:tc>
        <w:tc>
          <w:tcPr>
            <w:tcW w:w="6647" w:type="dxa"/>
            <w:noWrap w:val="0"/>
            <w:vAlign w:val="center"/>
          </w:tcPr>
          <w:p w14:paraId="735DCBB8">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kern w:val="2"/>
                <w:sz w:val="21"/>
                <w:szCs w:val="21"/>
                <w:highlight w:val="none"/>
                <w:lang w:val="en-US" w:eastAsia="zh-CN" w:bidi="ar-SA"/>
              </w:rPr>
              <w:t>评审因素具体内容</w:t>
            </w:r>
          </w:p>
        </w:tc>
        <w:tc>
          <w:tcPr>
            <w:tcW w:w="968" w:type="dxa"/>
            <w:noWrap w:val="0"/>
            <w:vAlign w:val="center"/>
          </w:tcPr>
          <w:p w14:paraId="17420D9A">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val="0"/>
                <w:color w:val="auto"/>
                <w:kern w:val="0"/>
                <w:sz w:val="21"/>
                <w:szCs w:val="21"/>
                <w:highlight w:val="none"/>
                <w:lang w:val="en-US" w:eastAsia="zh-CN"/>
              </w:rPr>
            </w:pPr>
            <w:r>
              <w:rPr>
                <w:rFonts w:hint="eastAsia" w:ascii="宋体" w:hAnsi="宋体" w:cs="宋体"/>
                <w:b/>
                <w:bCs w:val="0"/>
                <w:color w:val="auto"/>
                <w:kern w:val="0"/>
                <w:sz w:val="21"/>
                <w:szCs w:val="21"/>
                <w:highlight w:val="none"/>
                <w:lang w:val="en-US" w:eastAsia="zh-CN"/>
              </w:rPr>
              <w:t>10</w:t>
            </w:r>
            <w:r>
              <w:rPr>
                <w:rFonts w:hint="eastAsia" w:ascii="宋体" w:hAnsi="宋体" w:eastAsia="宋体" w:cs="宋体"/>
                <w:b/>
                <w:bCs w:val="0"/>
                <w:color w:val="auto"/>
                <w:kern w:val="0"/>
                <w:sz w:val="21"/>
                <w:szCs w:val="21"/>
                <w:highlight w:val="none"/>
                <w:lang w:val="en-US" w:eastAsia="zh-CN"/>
              </w:rPr>
              <w:t>分</w:t>
            </w:r>
          </w:p>
        </w:tc>
      </w:tr>
      <w:tr w14:paraId="7FD5C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59" w:type="dxa"/>
            <w:noWrap w:val="0"/>
            <w:vAlign w:val="center"/>
          </w:tcPr>
          <w:p w14:paraId="67356818">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w:t>
            </w:r>
            <w:r>
              <w:rPr>
                <w:rFonts w:hint="eastAsia" w:ascii="宋体" w:hAnsi="宋体" w:cs="宋体"/>
                <w:color w:val="auto"/>
                <w:kern w:val="0"/>
                <w:sz w:val="21"/>
                <w:szCs w:val="21"/>
                <w:highlight w:val="none"/>
                <w:lang w:val="en-US" w:eastAsia="zh-CN"/>
              </w:rPr>
              <w:t>1</w:t>
            </w:r>
          </w:p>
        </w:tc>
        <w:tc>
          <w:tcPr>
            <w:tcW w:w="1453" w:type="dxa"/>
            <w:noWrap w:val="0"/>
            <w:vAlign w:val="center"/>
          </w:tcPr>
          <w:p w14:paraId="7E68B8D5">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业绩分</w:t>
            </w:r>
          </w:p>
        </w:tc>
        <w:tc>
          <w:tcPr>
            <w:tcW w:w="6647" w:type="dxa"/>
            <w:noWrap w:val="0"/>
            <w:vAlign w:val="center"/>
          </w:tcPr>
          <w:p w14:paraId="57A9C7F5">
            <w:pPr>
              <w:pStyle w:val="9"/>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供应商在响应时间提交截止时间前三年内完成过类似</w:t>
            </w:r>
            <w:r>
              <w:rPr>
                <w:rFonts w:hint="eastAsia" w:hAnsi="宋体" w:cs="宋体"/>
                <w:bCs/>
                <w:color w:val="auto"/>
                <w:kern w:val="0"/>
                <w:sz w:val="21"/>
                <w:szCs w:val="21"/>
                <w:highlight w:val="none"/>
                <w:lang w:val="en-US" w:eastAsia="zh-CN" w:bidi="ar-SA"/>
              </w:rPr>
              <w:t>工程施工项目</w:t>
            </w:r>
            <w:r>
              <w:rPr>
                <w:rFonts w:hint="eastAsia" w:ascii="宋体" w:hAnsi="宋体" w:eastAsia="宋体" w:cs="宋体"/>
                <w:bCs/>
                <w:color w:val="auto"/>
                <w:kern w:val="0"/>
                <w:sz w:val="21"/>
                <w:szCs w:val="21"/>
                <w:highlight w:val="none"/>
                <w:lang w:val="en-US" w:eastAsia="zh-CN" w:bidi="ar-SA"/>
              </w:rPr>
              <w:t>业绩的，每项得5分，满分得10分。</w:t>
            </w:r>
          </w:p>
          <w:p w14:paraId="551E63BC">
            <w:pPr>
              <w:pStyle w:val="7"/>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10" w:firstLineChars="100"/>
              <w:textAlignment w:val="auto"/>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须附上：中标（成交）通知书</w:t>
            </w:r>
            <w:r>
              <w:rPr>
                <w:rFonts w:hint="eastAsia" w:ascii="宋体" w:hAnsi="宋体" w:cs="宋体"/>
                <w:bCs/>
                <w:color w:val="auto"/>
                <w:kern w:val="0"/>
                <w:sz w:val="21"/>
                <w:szCs w:val="21"/>
                <w:highlight w:val="none"/>
                <w:lang w:val="en-US" w:eastAsia="zh-CN" w:bidi="ar-SA"/>
              </w:rPr>
              <w:t>和</w:t>
            </w:r>
            <w:r>
              <w:rPr>
                <w:rFonts w:hint="eastAsia" w:ascii="宋体" w:hAnsi="宋体" w:eastAsia="宋体" w:cs="宋体"/>
                <w:bCs/>
                <w:color w:val="auto"/>
                <w:kern w:val="0"/>
                <w:sz w:val="21"/>
                <w:szCs w:val="21"/>
                <w:highlight w:val="none"/>
                <w:lang w:val="en-US" w:eastAsia="zh-CN" w:bidi="ar-SA"/>
              </w:rPr>
              <w:t>施工合同（可放合同主要内容，包含项目名称、项目规模和相关盖章页）或竣工验收合格的相关证明材料，否则不予得分。</w:t>
            </w:r>
          </w:p>
        </w:tc>
        <w:tc>
          <w:tcPr>
            <w:tcW w:w="968" w:type="dxa"/>
            <w:noWrap w:val="0"/>
            <w:vAlign w:val="center"/>
          </w:tcPr>
          <w:p w14:paraId="413626FE">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10分</w:t>
            </w:r>
          </w:p>
        </w:tc>
      </w:tr>
      <w:tr w14:paraId="55DDA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9727" w:type="dxa"/>
            <w:gridSpan w:val="4"/>
            <w:noWrap w:val="0"/>
            <w:vAlign w:val="center"/>
          </w:tcPr>
          <w:p w14:paraId="586B656B">
            <w:pPr>
              <w:keepNext w:val="0"/>
              <w:keepLines w:val="0"/>
              <w:pageBreakBefore w:val="0"/>
              <w:widowControl/>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Cs/>
                <w:color w:val="auto"/>
                <w:sz w:val="21"/>
                <w:szCs w:val="21"/>
                <w:highlight w:val="none"/>
              </w:rPr>
              <w:t>总得分＝1＋2＋3</w:t>
            </w:r>
          </w:p>
        </w:tc>
      </w:tr>
      <w:bookmarkEnd w:id="59"/>
    </w:tbl>
    <w:p w14:paraId="40351CE1">
      <w:pPr>
        <w:rPr>
          <w:rFonts w:hint="eastAsia" w:ascii="宋体" w:hAnsi="宋体"/>
          <w:bCs/>
          <w:color w:val="000000"/>
          <w:szCs w:val="21"/>
          <w:highlight w:val="none"/>
        </w:rPr>
      </w:pPr>
    </w:p>
    <w:p w14:paraId="1577F0B8">
      <w:pPr>
        <w:pStyle w:val="10"/>
        <w:rPr>
          <w:color w:val="000000"/>
          <w:highlight w:val="none"/>
        </w:rPr>
      </w:pPr>
    </w:p>
    <w:p w14:paraId="387BB0DF">
      <w:pPr>
        <w:spacing w:line="360" w:lineRule="auto"/>
        <w:ind w:firstLine="420" w:firstLineChars="200"/>
        <w:rPr>
          <w:rFonts w:ascii="宋体" w:hAnsi="宋体" w:cs="宋体"/>
          <w:color w:val="000000"/>
          <w:highlight w:val="none"/>
        </w:rPr>
      </w:pPr>
      <w:bookmarkStart w:id="60" w:name="_Toc80205935"/>
      <w:r>
        <w:rPr>
          <w:rFonts w:hint="eastAsia" w:ascii="宋体" w:hAnsi="宋体" w:cs="宋体"/>
          <w:color w:val="000000"/>
          <w:highlight w:val="none"/>
        </w:rPr>
        <w:t>8.2商务技术评审因素为客观评分项的，应在评分项目或评分标准中予以标注为“客观分”。对供应商的客观评分项目，各评审专家评分应当一致。</w:t>
      </w:r>
    </w:p>
    <w:p w14:paraId="027EC99F">
      <w:pPr>
        <w:spacing w:line="360" w:lineRule="auto"/>
        <w:ind w:firstLine="420" w:firstLineChars="200"/>
        <w:rPr>
          <w:rFonts w:ascii="宋体" w:hAnsi="宋体" w:cs="宋体"/>
          <w:color w:val="000000"/>
          <w:highlight w:val="none"/>
        </w:rPr>
      </w:pPr>
      <w:r>
        <w:rPr>
          <w:rFonts w:hint="eastAsia" w:ascii="宋体" w:hAnsi="宋体" w:cs="宋体"/>
          <w:color w:val="000000"/>
          <w:highlight w:val="none"/>
        </w:rPr>
        <w:t>8.3.终止竞争性磋商采购活动</w:t>
      </w:r>
    </w:p>
    <w:p w14:paraId="3CD32262">
      <w:pPr>
        <w:spacing w:line="360" w:lineRule="auto"/>
        <w:ind w:firstLine="420" w:firstLineChars="200"/>
        <w:rPr>
          <w:rFonts w:ascii="宋体" w:hAnsi="宋体"/>
          <w:bCs/>
          <w:color w:val="000000"/>
          <w:sz w:val="32"/>
          <w:szCs w:val="32"/>
          <w:highlight w:val="none"/>
        </w:rPr>
      </w:pPr>
      <w:r>
        <w:rPr>
          <w:rFonts w:hint="eastAsia" w:ascii="宋体" w:hAnsi="宋体" w:cs="宋体"/>
          <w:color w:val="000000"/>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14AFD6FD">
      <w:pPr>
        <w:keepNext/>
        <w:keepLines/>
        <w:spacing w:line="360" w:lineRule="auto"/>
        <w:ind w:firstLine="640" w:firstLineChars="200"/>
        <w:jc w:val="center"/>
        <w:outlineLvl w:val="1"/>
        <w:rPr>
          <w:rFonts w:ascii="宋体" w:hAnsi="宋体"/>
          <w:bCs/>
          <w:color w:val="000000"/>
          <w:sz w:val="32"/>
          <w:szCs w:val="32"/>
          <w:highlight w:val="none"/>
        </w:rPr>
      </w:pPr>
      <w:bookmarkStart w:id="61" w:name="_Toc10999"/>
      <w:r>
        <w:rPr>
          <w:rFonts w:hint="eastAsia" w:ascii="宋体" w:hAnsi="宋体"/>
          <w:bCs/>
          <w:color w:val="000000"/>
          <w:sz w:val="32"/>
          <w:szCs w:val="32"/>
          <w:highlight w:val="none"/>
        </w:rPr>
        <w:t>第二节 评标报告</w:t>
      </w:r>
      <w:bookmarkEnd w:id="60"/>
      <w:bookmarkEnd w:id="61"/>
    </w:p>
    <w:p w14:paraId="2E25C782">
      <w:pPr>
        <w:spacing w:line="360" w:lineRule="auto"/>
        <w:ind w:firstLine="480" w:firstLineChars="200"/>
        <w:rPr>
          <w:rFonts w:ascii="宋体" w:hAnsi="宋体" w:cs="宋体"/>
          <w:color w:val="000000"/>
          <w:sz w:val="24"/>
          <w:szCs w:val="32"/>
          <w:highlight w:val="none"/>
        </w:rPr>
      </w:pPr>
      <w:r>
        <w:rPr>
          <w:rFonts w:hint="eastAsia" w:ascii="宋体" w:hAnsi="宋体" w:cs="宋体"/>
          <w:color w:val="000000"/>
          <w:sz w:val="24"/>
          <w:szCs w:val="32"/>
          <w:highlight w:val="none"/>
        </w:rPr>
        <w:t>1.成交标准</w:t>
      </w:r>
    </w:p>
    <w:p w14:paraId="28E5FF7F">
      <w:pPr>
        <w:spacing w:line="360" w:lineRule="auto"/>
        <w:ind w:firstLine="420" w:firstLineChars="200"/>
        <w:rPr>
          <w:rFonts w:ascii="宋体" w:hAnsi="宋体" w:cs="宋体"/>
          <w:color w:val="000000"/>
          <w:sz w:val="24"/>
          <w:highlight w:val="none"/>
        </w:rPr>
      </w:pPr>
      <w:r>
        <w:rPr>
          <w:rFonts w:hint="eastAsia" w:ascii="宋体" w:hAnsi="宋体"/>
          <w:bCs/>
          <w:color w:val="000000"/>
          <w:szCs w:val="21"/>
          <w:highlight w:val="none"/>
        </w:rPr>
        <w:t>由磋商小组根据综合评分情况，按照评审得分由高到低顺序推荐3名以上成交候选供应商</w:t>
      </w:r>
      <w:r>
        <w:rPr>
          <w:rFonts w:hint="eastAsia" w:ascii="宋体" w:hAnsi="宋体" w:cs="宋体"/>
          <w:color w:val="000000"/>
          <w:highlight w:val="none"/>
        </w:rPr>
        <w:t>,并在线编写电子评审报告</w:t>
      </w:r>
      <w:r>
        <w:rPr>
          <w:rFonts w:hint="eastAsia" w:ascii="宋体" w:hAnsi="宋体"/>
          <w:bCs/>
          <w:color w:val="000000"/>
          <w:szCs w:val="21"/>
          <w:highlight w:val="none"/>
        </w:rPr>
        <w:t>。符合本章第一节第5</w:t>
      </w:r>
      <w:r>
        <w:rPr>
          <w:rFonts w:ascii="宋体" w:hAnsi="宋体"/>
          <w:bCs/>
          <w:color w:val="000000"/>
          <w:szCs w:val="21"/>
          <w:highlight w:val="none"/>
        </w:rPr>
        <w:t>.3</w:t>
      </w:r>
      <w:r>
        <w:rPr>
          <w:rFonts w:hint="eastAsia" w:ascii="宋体" w:hAnsi="宋体"/>
          <w:bCs/>
          <w:color w:val="000000"/>
          <w:szCs w:val="21"/>
          <w:highlight w:val="none"/>
        </w:rPr>
        <w:t>条情形的，可以推荐2家成交候选供应商。评审得分相同的，按照最后报价（不计算价格折扣）由低到高的顺序推荐。评审得分且最后报价（不计算价格折扣）相同的，按照技术指标优劣顺序推荐（按技术得分由高到低排序）。评审得分、最后报价（不计算价格折扣）、技术得分均相同的，由磋商小组随机抽取推荐。</w:t>
      </w:r>
    </w:p>
    <w:p w14:paraId="28A32E9C">
      <w:pPr>
        <w:spacing w:line="360" w:lineRule="auto"/>
        <w:ind w:firstLine="480" w:firstLineChars="200"/>
        <w:rPr>
          <w:rFonts w:ascii="宋体" w:hAnsi="宋体" w:cs="宋体"/>
          <w:color w:val="000000"/>
          <w:sz w:val="24"/>
          <w:szCs w:val="32"/>
          <w:highlight w:val="none"/>
        </w:rPr>
      </w:pPr>
      <w:r>
        <w:rPr>
          <w:rFonts w:hint="eastAsia" w:ascii="宋体" w:hAnsi="宋体" w:cs="宋体"/>
          <w:color w:val="000000"/>
          <w:sz w:val="24"/>
          <w:szCs w:val="32"/>
          <w:highlight w:val="none"/>
        </w:rPr>
        <w:t>2.评标争议</w:t>
      </w:r>
      <w:r>
        <w:rPr>
          <w:rFonts w:ascii="宋体" w:hAnsi="宋体" w:cs="宋体"/>
          <w:color w:val="000000"/>
          <w:sz w:val="24"/>
          <w:szCs w:val="32"/>
          <w:highlight w:val="none"/>
        </w:rPr>
        <w:t>事项</w:t>
      </w:r>
      <w:r>
        <w:rPr>
          <w:rFonts w:hint="eastAsia" w:ascii="宋体" w:hAnsi="宋体" w:cs="宋体"/>
          <w:color w:val="000000"/>
          <w:sz w:val="24"/>
          <w:szCs w:val="32"/>
          <w:highlight w:val="none"/>
        </w:rPr>
        <w:t>处理</w:t>
      </w:r>
    </w:p>
    <w:p w14:paraId="51249AC3">
      <w:pPr>
        <w:adjustRightInd w:val="0"/>
        <w:spacing w:line="360" w:lineRule="auto"/>
        <w:ind w:firstLine="420" w:firstLineChars="200"/>
        <w:rPr>
          <w:rFonts w:ascii="宋体" w:hAnsi="宋体" w:cs="宋体"/>
          <w:color w:val="000000"/>
          <w:highlight w:val="none"/>
        </w:rPr>
      </w:pPr>
      <w:r>
        <w:rPr>
          <w:rFonts w:hint="eastAsia" w:ascii="宋体" w:hAnsi="宋体" w:cs="宋体"/>
          <w:color w:val="000000"/>
          <w:highlight w:val="none"/>
        </w:rPr>
        <w:t>磋商小组</w:t>
      </w:r>
      <w:r>
        <w:rPr>
          <w:rFonts w:ascii="宋体" w:hAnsi="宋体" w:cs="宋体"/>
          <w:color w:val="000000"/>
          <w:highlight w:val="none"/>
        </w:rPr>
        <w:t>成员对需要共同认定的事项存在争议的，应当按照少数服从多数的原则作出结论。持不同意见的</w:t>
      </w:r>
      <w:r>
        <w:rPr>
          <w:rFonts w:hint="eastAsia" w:ascii="宋体" w:hAnsi="宋体" w:cs="宋体"/>
          <w:color w:val="000000"/>
          <w:highlight w:val="none"/>
        </w:rPr>
        <w:t>磋商小组</w:t>
      </w:r>
      <w:r>
        <w:rPr>
          <w:rFonts w:ascii="宋体" w:hAnsi="宋体" w:cs="宋体"/>
          <w:color w:val="000000"/>
          <w:highlight w:val="none"/>
        </w:rPr>
        <w:t>成员应当在评标报告上签署不同意见及理由，否则视为同意评标报告。</w:t>
      </w:r>
    </w:p>
    <w:p w14:paraId="0718AC29">
      <w:pPr>
        <w:keepNext/>
        <w:keepLines/>
        <w:spacing w:line="360" w:lineRule="auto"/>
        <w:ind w:firstLine="640" w:firstLineChars="200"/>
        <w:jc w:val="center"/>
        <w:outlineLvl w:val="1"/>
        <w:rPr>
          <w:rFonts w:ascii="宋体" w:hAnsi="宋体"/>
          <w:bCs/>
          <w:color w:val="000000"/>
          <w:sz w:val="32"/>
          <w:szCs w:val="32"/>
          <w:highlight w:val="none"/>
        </w:rPr>
      </w:pPr>
      <w:bookmarkStart w:id="62" w:name="_Toc80205936"/>
      <w:bookmarkStart w:id="63" w:name="_Toc4491"/>
      <w:r>
        <w:rPr>
          <w:rFonts w:hint="eastAsia" w:ascii="宋体" w:hAnsi="宋体"/>
          <w:bCs/>
          <w:color w:val="000000"/>
          <w:sz w:val="32"/>
          <w:szCs w:val="32"/>
          <w:highlight w:val="none"/>
        </w:rPr>
        <w:t>第三节 评审过程的保密与录像</w:t>
      </w:r>
      <w:bookmarkEnd w:id="62"/>
      <w:bookmarkEnd w:id="63"/>
    </w:p>
    <w:p w14:paraId="12F8CD09">
      <w:pPr>
        <w:spacing w:line="360" w:lineRule="auto"/>
        <w:ind w:firstLine="480" w:firstLineChars="200"/>
        <w:rPr>
          <w:rFonts w:ascii="宋体" w:hAnsi="宋体" w:cs="宋体"/>
          <w:color w:val="000000"/>
          <w:sz w:val="24"/>
          <w:szCs w:val="32"/>
          <w:highlight w:val="none"/>
        </w:rPr>
      </w:pPr>
      <w:r>
        <w:rPr>
          <w:rFonts w:hint="eastAsia" w:ascii="宋体" w:hAnsi="宋体" w:cs="宋体"/>
          <w:color w:val="000000"/>
          <w:sz w:val="24"/>
          <w:szCs w:val="32"/>
          <w:highlight w:val="none"/>
        </w:rPr>
        <w:t>1.保密。</w:t>
      </w:r>
    </w:p>
    <w:p w14:paraId="42B08C6D">
      <w:pPr>
        <w:widowControl/>
        <w:spacing w:line="360" w:lineRule="auto"/>
        <w:ind w:firstLine="420" w:firstLineChars="200"/>
        <w:rPr>
          <w:rFonts w:ascii="宋体" w:hAnsi="宋体" w:cs="宋体"/>
          <w:color w:val="000000"/>
          <w:highlight w:val="none"/>
        </w:rPr>
      </w:pPr>
      <w:r>
        <w:rPr>
          <w:rFonts w:ascii="宋体" w:hAnsi="宋体" w:cs="宋体"/>
          <w:color w:val="000000"/>
          <w:highlight w:val="none"/>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4A773B15">
      <w:pPr>
        <w:widowControl/>
        <w:spacing w:line="360" w:lineRule="auto"/>
        <w:ind w:firstLine="480" w:firstLineChars="200"/>
        <w:rPr>
          <w:rFonts w:ascii="宋体" w:hAnsi="宋体" w:cs="宋体"/>
          <w:color w:val="000000"/>
          <w:sz w:val="24"/>
          <w:szCs w:val="32"/>
          <w:highlight w:val="none"/>
        </w:rPr>
      </w:pPr>
      <w:r>
        <w:rPr>
          <w:rFonts w:hint="eastAsia" w:ascii="宋体" w:hAnsi="宋体" w:cs="宋体"/>
          <w:color w:val="000000"/>
          <w:sz w:val="24"/>
          <w:szCs w:val="32"/>
          <w:highlight w:val="none"/>
        </w:rPr>
        <w:t>2.录音录像。</w:t>
      </w:r>
    </w:p>
    <w:p w14:paraId="6EA721E1">
      <w:pPr>
        <w:spacing w:line="360" w:lineRule="auto"/>
        <w:ind w:firstLine="420" w:firstLineChars="200"/>
        <w:rPr>
          <w:rFonts w:ascii="宋体" w:hAnsi="宋体"/>
          <w:color w:val="000000"/>
          <w:highlight w:val="none"/>
        </w:rPr>
      </w:pPr>
      <w:r>
        <w:rPr>
          <w:rFonts w:hint="eastAsia" w:ascii="宋体" w:hAnsi="宋体" w:cs="宋体"/>
          <w:color w:val="000000"/>
          <w:highlight w:val="none"/>
        </w:rPr>
        <w:t>采购代理机构对评审工作现场及操作屏幕进行全过程录音录像，录音录像资料作为采购项目文件随其他文件一并存档。</w:t>
      </w:r>
    </w:p>
    <w:p w14:paraId="5E4E3E63">
      <w:pPr>
        <w:keepNext/>
        <w:keepLines/>
        <w:spacing w:before="260" w:after="260" w:line="416" w:lineRule="auto"/>
        <w:jc w:val="center"/>
        <w:outlineLvl w:val="1"/>
        <w:rPr>
          <w:rFonts w:ascii="宋体" w:hAnsi="宋体"/>
          <w:b/>
          <w:bCs/>
          <w:color w:val="000000"/>
          <w:sz w:val="32"/>
          <w:szCs w:val="32"/>
          <w:highlight w:val="none"/>
        </w:rPr>
      </w:pPr>
      <w:r>
        <w:rPr>
          <w:rFonts w:ascii="宋体" w:hAnsi="宋体"/>
          <w:b/>
          <w:bCs/>
          <w:color w:val="000000"/>
          <w:sz w:val="32"/>
          <w:szCs w:val="32"/>
          <w:highlight w:val="none"/>
        </w:rPr>
        <w:br w:type="page"/>
      </w:r>
    </w:p>
    <w:p w14:paraId="40F35904">
      <w:pPr>
        <w:keepNext/>
        <w:keepLines/>
        <w:spacing w:before="260" w:after="260" w:line="416" w:lineRule="auto"/>
        <w:jc w:val="center"/>
        <w:outlineLvl w:val="1"/>
        <w:rPr>
          <w:rFonts w:ascii="宋体" w:hAnsi="宋体"/>
          <w:b/>
          <w:bCs/>
          <w:color w:val="000000"/>
          <w:sz w:val="32"/>
          <w:szCs w:val="32"/>
          <w:highlight w:val="none"/>
        </w:rPr>
      </w:pPr>
    </w:p>
    <w:p w14:paraId="74EC4092">
      <w:pPr>
        <w:keepNext/>
        <w:keepLines/>
        <w:spacing w:before="260" w:after="260" w:line="416" w:lineRule="auto"/>
        <w:jc w:val="center"/>
        <w:outlineLvl w:val="1"/>
        <w:rPr>
          <w:rFonts w:ascii="宋体" w:hAnsi="宋体"/>
          <w:b/>
          <w:bCs/>
          <w:color w:val="000000"/>
          <w:sz w:val="32"/>
          <w:szCs w:val="32"/>
          <w:highlight w:val="none"/>
        </w:rPr>
      </w:pPr>
    </w:p>
    <w:p w14:paraId="290F6A7D">
      <w:pPr>
        <w:keepNext/>
        <w:keepLines/>
        <w:spacing w:before="260" w:after="260" w:line="416" w:lineRule="auto"/>
        <w:jc w:val="center"/>
        <w:outlineLvl w:val="1"/>
        <w:rPr>
          <w:rFonts w:ascii="宋体" w:hAnsi="宋体"/>
          <w:b/>
          <w:bCs/>
          <w:color w:val="000000"/>
          <w:sz w:val="32"/>
          <w:szCs w:val="32"/>
          <w:highlight w:val="none"/>
        </w:rPr>
      </w:pPr>
    </w:p>
    <w:p w14:paraId="17BBE943">
      <w:pPr>
        <w:keepNext/>
        <w:keepLines/>
        <w:spacing w:before="260" w:after="260" w:line="416" w:lineRule="auto"/>
        <w:jc w:val="center"/>
        <w:outlineLvl w:val="1"/>
        <w:rPr>
          <w:rFonts w:ascii="宋体" w:hAnsi="宋体"/>
          <w:b/>
          <w:bCs/>
          <w:color w:val="000000"/>
          <w:sz w:val="32"/>
          <w:szCs w:val="32"/>
          <w:highlight w:val="none"/>
        </w:rPr>
      </w:pPr>
    </w:p>
    <w:p w14:paraId="6065D39B">
      <w:pPr>
        <w:keepNext/>
        <w:keepLines/>
        <w:spacing w:before="260" w:after="260" w:line="416" w:lineRule="auto"/>
        <w:jc w:val="center"/>
        <w:outlineLvl w:val="1"/>
        <w:rPr>
          <w:rFonts w:ascii="宋体" w:hAnsi="宋体"/>
          <w:b/>
          <w:bCs/>
          <w:color w:val="000000"/>
          <w:sz w:val="32"/>
          <w:szCs w:val="32"/>
          <w:highlight w:val="none"/>
        </w:rPr>
      </w:pPr>
    </w:p>
    <w:p w14:paraId="0EA5F3C1">
      <w:pPr>
        <w:keepNext/>
        <w:keepLines/>
        <w:spacing w:before="340" w:after="330" w:line="578" w:lineRule="auto"/>
        <w:jc w:val="center"/>
        <w:outlineLvl w:val="0"/>
        <w:rPr>
          <w:rFonts w:ascii="宋体" w:hAnsi="宋体"/>
          <w:b/>
          <w:bCs/>
          <w:color w:val="000000"/>
          <w:kern w:val="44"/>
          <w:sz w:val="44"/>
          <w:szCs w:val="44"/>
          <w:highlight w:val="none"/>
        </w:rPr>
        <w:sectPr>
          <w:footerReference r:id="rId10" w:type="first"/>
          <w:footerReference r:id="rId9" w:type="default"/>
          <w:pgSz w:w="11910" w:h="16840"/>
          <w:pgMar w:top="1417" w:right="1417" w:bottom="1417" w:left="1417" w:header="720" w:footer="720" w:gutter="0"/>
          <w:pgNumType w:fmt="decimal"/>
          <w:cols w:space="720" w:num="1"/>
          <w:rtlGutter w:val="0"/>
        </w:sectPr>
      </w:pPr>
      <w:bookmarkStart w:id="64" w:name="_Toc20650"/>
      <w:r>
        <w:rPr>
          <w:rFonts w:hint="eastAsia" w:ascii="宋体" w:hAnsi="宋体"/>
          <w:b/>
          <w:bCs/>
          <w:color w:val="000000"/>
          <w:kern w:val="44"/>
          <w:sz w:val="44"/>
          <w:szCs w:val="44"/>
          <w:highlight w:val="none"/>
        </w:rPr>
        <w:t>第五章 响应文件格式</w:t>
      </w:r>
      <w:bookmarkEnd w:id="64"/>
    </w:p>
    <w:p w14:paraId="6E3744A7">
      <w:pPr>
        <w:keepNext/>
        <w:keepLines/>
        <w:spacing w:before="260" w:after="260" w:line="416" w:lineRule="auto"/>
        <w:jc w:val="center"/>
        <w:outlineLvl w:val="1"/>
        <w:rPr>
          <w:rFonts w:ascii="宋体" w:hAnsi="宋体"/>
          <w:bCs/>
          <w:color w:val="000000"/>
          <w:sz w:val="32"/>
          <w:szCs w:val="32"/>
          <w:highlight w:val="none"/>
        </w:rPr>
      </w:pPr>
      <w:bookmarkStart w:id="65" w:name="_Toc28327"/>
      <w:bookmarkStart w:id="66" w:name="_Toc80205938"/>
      <w:r>
        <w:rPr>
          <w:rFonts w:hint="eastAsia" w:ascii="宋体" w:hAnsi="宋体"/>
          <w:bCs/>
          <w:color w:val="000000"/>
          <w:sz w:val="32"/>
          <w:szCs w:val="32"/>
          <w:highlight w:val="none"/>
        </w:rPr>
        <w:t>第一节 封面格式</w:t>
      </w:r>
      <w:bookmarkEnd w:id="65"/>
      <w:bookmarkEnd w:id="66"/>
    </w:p>
    <w:p w14:paraId="46D0E004">
      <w:pPr>
        <w:snapToGrid w:val="0"/>
        <w:spacing w:before="120" w:beforeLines="50" w:after="50"/>
        <w:rPr>
          <w:rFonts w:ascii="宋体" w:hAnsi="宋体"/>
          <w:color w:val="000000"/>
          <w:sz w:val="24"/>
          <w:szCs w:val="20"/>
          <w:highlight w:val="none"/>
        </w:rPr>
      </w:pPr>
    </w:p>
    <w:p w14:paraId="62DA1751">
      <w:pPr>
        <w:snapToGrid w:val="0"/>
        <w:spacing w:before="120" w:beforeLines="50" w:after="50"/>
        <w:jc w:val="center"/>
        <w:rPr>
          <w:rFonts w:ascii="宋体" w:hAnsi="宋体"/>
          <w:bCs/>
          <w:color w:val="000000"/>
          <w:sz w:val="24"/>
          <w:szCs w:val="20"/>
          <w:highlight w:val="none"/>
        </w:rPr>
      </w:pPr>
    </w:p>
    <w:p w14:paraId="21110D08">
      <w:pPr>
        <w:snapToGrid w:val="0"/>
        <w:spacing w:before="120" w:beforeLines="50" w:after="50"/>
        <w:jc w:val="center"/>
        <w:rPr>
          <w:rFonts w:ascii="宋体" w:hAnsi="宋体" w:cs="方正小标宋简体"/>
          <w:bCs/>
          <w:color w:val="000000"/>
          <w:sz w:val="44"/>
          <w:szCs w:val="44"/>
          <w:highlight w:val="none"/>
        </w:rPr>
      </w:pPr>
      <w:r>
        <w:rPr>
          <w:rFonts w:hint="eastAsia" w:ascii="宋体" w:hAnsi="宋体" w:cs="方正小标宋简体"/>
          <w:bCs/>
          <w:color w:val="000000"/>
          <w:sz w:val="44"/>
          <w:szCs w:val="44"/>
          <w:highlight w:val="none"/>
        </w:rPr>
        <w:t>响  应  文  件</w:t>
      </w:r>
    </w:p>
    <w:p w14:paraId="0606C7F0">
      <w:pPr>
        <w:snapToGrid w:val="0"/>
        <w:spacing w:before="120" w:beforeLines="50" w:after="50"/>
        <w:rPr>
          <w:rFonts w:ascii="宋体" w:hAnsi="宋体"/>
          <w:bCs/>
          <w:color w:val="000000"/>
          <w:sz w:val="24"/>
          <w:szCs w:val="20"/>
          <w:highlight w:val="none"/>
        </w:rPr>
      </w:pPr>
    </w:p>
    <w:p w14:paraId="2B1B4D64">
      <w:pPr>
        <w:snapToGrid w:val="0"/>
        <w:spacing w:before="120" w:beforeLines="50" w:after="50"/>
        <w:rPr>
          <w:rFonts w:ascii="宋体" w:hAnsi="宋体"/>
          <w:bCs/>
          <w:color w:val="000000"/>
          <w:sz w:val="24"/>
          <w:szCs w:val="20"/>
          <w:highlight w:val="none"/>
        </w:rPr>
      </w:pPr>
    </w:p>
    <w:p w14:paraId="5074EA29">
      <w:pPr>
        <w:snapToGrid w:val="0"/>
        <w:spacing w:before="120" w:beforeLines="50" w:after="50"/>
        <w:rPr>
          <w:rFonts w:ascii="宋体" w:hAnsi="宋体" w:cs="仿宋_GB2312"/>
          <w:bCs/>
          <w:color w:val="000000"/>
          <w:sz w:val="32"/>
          <w:szCs w:val="32"/>
          <w:highlight w:val="none"/>
        </w:rPr>
      </w:pPr>
    </w:p>
    <w:p w14:paraId="58BB510F">
      <w:pPr>
        <w:snapToGrid w:val="0"/>
        <w:spacing w:before="120" w:beforeLines="50" w:after="50"/>
        <w:ind w:firstLine="640" w:firstLineChars="200"/>
        <w:rPr>
          <w:rFonts w:ascii="宋体" w:hAnsi="宋体" w:cs="仿宋_GB2312"/>
          <w:bCs/>
          <w:color w:val="000000"/>
          <w:sz w:val="32"/>
          <w:szCs w:val="32"/>
          <w:highlight w:val="none"/>
        </w:rPr>
      </w:pPr>
      <w:r>
        <w:rPr>
          <w:rFonts w:hint="eastAsia" w:ascii="宋体" w:hAnsi="宋体" w:cs="仿宋_GB2312"/>
          <w:bCs/>
          <w:color w:val="000000"/>
          <w:sz w:val="32"/>
          <w:szCs w:val="32"/>
          <w:highlight w:val="none"/>
        </w:rPr>
        <w:t>项目名称：</w:t>
      </w:r>
    </w:p>
    <w:p w14:paraId="363A6B9C">
      <w:pPr>
        <w:snapToGrid w:val="0"/>
        <w:spacing w:before="120" w:beforeLines="50" w:after="50"/>
        <w:ind w:firstLine="480" w:firstLineChars="150"/>
        <w:rPr>
          <w:rFonts w:ascii="宋体" w:hAnsi="宋体" w:cs="仿宋_GB2312"/>
          <w:bCs/>
          <w:color w:val="000000"/>
          <w:sz w:val="32"/>
          <w:szCs w:val="32"/>
          <w:highlight w:val="none"/>
        </w:rPr>
      </w:pPr>
    </w:p>
    <w:p w14:paraId="5462064E">
      <w:pPr>
        <w:snapToGrid w:val="0"/>
        <w:spacing w:before="120" w:beforeLines="50" w:after="50"/>
        <w:ind w:firstLine="640" w:firstLineChars="200"/>
        <w:rPr>
          <w:rFonts w:ascii="宋体" w:hAnsi="宋体" w:cs="仿宋_GB2312"/>
          <w:bCs/>
          <w:color w:val="000000"/>
          <w:sz w:val="32"/>
          <w:szCs w:val="32"/>
          <w:highlight w:val="none"/>
        </w:rPr>
      </w:pPr>
      <w:r>
        <w:rPr>
          <w:rFonts w:hint="eastAsia" w:ascii="宋体" w:hAnsi="宋体" w:cs="仿宋_GB2312"/>
          <w:bCs/>
          <w:color w:val="000000"/>
          <w:sz w:val="32"/>
          <w:szCs w:val="32"/>
          <w:highlight w:val="none"/>
        </w:rPr>
        <w:t>项目编号：</w:t>
      </w:r>
    </w:p>
    <w:p w14:paraId="091395DC">
      <w:pPr>
        <w:snapToGrid w:val="0"/>
        <w:spacing w:before="120" w:beforeLines="50" w:after="50"/>
        <w:ind w:firstLine="480" w:firstLineChars="150"/>
        <w:rPr>
          <w:rFonts w:ascii="宋体" w:hAnsi="宋体" w:cs="仿宋_GB2312"/>
          <w:bCs/>
          <w:color w:val="000000"/>
          <w:sz w:val="32"/>
          <w:szCs w:val="32"/>
          <w:highlight w:val="none"/>
        </w:rPr>
      </w:pPr>
    </w:p>
    <w:p w14:paraId="33EE1F68">
      <w:pPr>
        <w:snapToGrid w:val="0"/>
        <w:spacing w:before="120" w:beforeLines="50" w:after="50"/>
        <w:ind w:firstLine="640" w:firstLineChars="200"/>
        <w:rPr>
          <w:rFonts w:ascii="宋体" w:hAnsi="宋体" w:cs="仿宋_GB2312"/>
          <w:bCs/>
          <w:color w:val="000000"/>
          <w:sz w:val="32"/>
          <w:szCs w:val="32"/>
          <w:highlight w:val="none"/>
        </w:rPr>
      </w:pPr>
      <w:r>
        <w:rPr>
          <w:rFonts w:hint="eastAsia" w:ascii="宋体" w:hAnsi="宋体" w:cs="仿宋_GB2312"/>
          <w:bCs/>
          <w:color w:val="000000"/>
          <w:sz w:val="32"/>
          <w:szCs w:val="32"/>
          <w:highlight w:val="none"/>
        </w:rPr>
        <w:t>所竞分标（如有则填写，无分标时填写“无”或者留空）：</w:t>
      </w:r>
    </w:p>
    <w:p w14:paraId="5EED758D">
      <w:pPr>
        <w:snapToGrid w:val="0"/>
        <w:spacing w:before="120" w:beforeLines="50" w:after="50"/>
        <w:rPr>
          <w:rFonts w:ascii="宋体" w:hAnsi="宋体" w:cs="仿宋_GB2312"/>
          <w:bCs/>
          <w:color w:val="000000"/>
          <w:sz w:val="32"/>
          <w:szCs w:val="32"/>
          <w:highlight w:val="none"/>
        </w:rPr>
      </w:pPr>
    </w:p>
    <w:p w14:paraId="0E50F625">
      <w:pPr>
        <w:snapToGrid w:val="0"/>
        <w:spacing w:before="120" w:beforeLines="50" w:after="50"/>
        <w:ind w:firstLine="640" w:firstLineChars="200"/>
        <w:rPr>
          <w:rFonts w:ascii="宋体" w:hAnsi="宋体" w:cs="仿宋_GB2312"/>
          <w:bCs/>
          <w:color w:val="000000"/>
          <w:sz w:val="32"/>
          <w:szCs w:val="32"/>
          <w:highlight w:val="none"/>
        </w:rPr>
      </w:pPr>
      <w:r>
        <w:rPr>
          <w:rFonts w:hint="eastAsia" w:ascii="宋体" w:hAnsi="宋体" w:cs="仿宋_GB2312"/>
          <w:bCs/>
          <w:color w:val="000000"/>
          <w:sz w:val="32"/>
          <w:szCs w:val="32"/>
          <w:highlight w:val="none"/>
        </w:rPr>
        <w:t>供应商名称：</w:t>
      </w:r>
    </w:p>
    <w:p w14:paraId="09D7A7EA">
      <w:pPr>
        <w:snapToGrid w:val="0"/>
        <w:spacing w:before="120" w:beforeLines="50" w:after="50"/>
        <w:rPr>
          <w:rFonts w:ascii="宋体" w:hAnsi="宋体" w:cs="仿宋_GB2312"/>
          <w:bCs/>
          <w:color w:val="000000"/>
          <w:sz w:val="32"/>
          <w:szCs w:val="32"/>
          <w:highlight w:val="none"/>
        </w:rPr>
      </w:pPr>
    </w:p>
    <w:p w14:paraId="51201E68">
      <w:pPr>
        <w:snapToGrid w:val="0"/>
        <w:spacing w:before="120" w:beforeLines="50" w:after="50"/>
        <w:ind w:firstLine="480" w:firstLineChars="150"/>
        <w:jc w:val="center"/>
        <w:rPr>
          <w:rFonts w:ascii="宋体" w:hAnsi="宋体" w:cs="仿宋_GB2312"/>
          <w:bCs/>
          <w:color w:val="000000"/>
          <w:sz w:val="32"/>
          <w:szCs w:val="32"/>
          <w:highlight w:val="none"/>
        </w:rPr>
      </w:pPr>
      <w:r>
        <w:rPr>
          <w:rFonts w:hint="eastAsia" w:ascii="宋体" w:hAnsi="宋体" w:cs="仿宋_GB2312"/>
          <w:bCs/>
          <w:color w:val="000000"/>
          <w:sz w:val="32"/>
          <w:szCs w:val="32"/>
          <w:highlight w:val="none"/>
        </w:rPr>
        <w:t>首次响应文件提交截止时间前不得解密</w:t>
      </w:r>
    </w:p>
    <w:p w14:paraId="0764FCAB">
      <w:pPr>
        <w:snapToGrid w:val="0"/>
        <w:spacing w:before="120" w:beforeLines="50" w:after="50"/>
        <w:ind w:firstLine="5440" w:firstLineChars="1700"/>
        <w:jc w:val="center"/>
        <w:rPr>
          <w:rFonts w:ascii="宋体" w:hAnsi="宋体" w:cs="仿宋_GB2312"/>
          <w:bCs/>
          <w:color w:val="000000"/>
          <w:sz w:val="32"/>
          <w:szCs w:val="32"/>
          <w:highlight w:val="none"/>
        </w:rPr>
      </w:pPr>
    </w:p>
    <w:p w14:paraId="47C531F0">
      <w:pPr>
        <w:snapToGrid w:val="0"/>
        <w:spacing w:before="120" w:beforeLines="50" w:after="50"/>
        <w:ind w:firstLine="645"/>
        <w:jc w:val="center"/>
        <w:rPr>
          <w:rFonts w:ascii="宋体" w:hAnsi="宋体" w:cs="仿宋_GB2312"/>
          <w:bCs/>
          <w:color w:val="000000"/>
          <w:sz w:val="32"/>
          <w:szCs w:val="32"/>
          <w:highlight w:val="none"/>
        </w:rPr>
      </w:pPr>
      <w:r>
        <w:rPr>
          <w:rFonts w:hint="eastAsia" w:ascii="宋体" w:hAnsi="宋体" w:cs="仿宋_GB2312"/>
          <w:bCs/>
          <w:color w:val="000000"/>
          <w:sz w:val="32"/>
          <w:szCs w:val="32"/>
          <w:highlight w:val="none"/>
        </w:rPr>
        <w:t>年    月    日</w:t>
      </w:r>
    </w:p>
    <w:p w14:paraId="27238893">
      <w:pPr>
        <w:rPr>
          <w:rFonts w:ascii="宋体" w:hAnsi="宋体"/>
          <w:color w:val="000000"/>
          <w:highlight w:val="none"/>
        </w:rPr>
        <w:sectPr>
          <w:pgSz w:w="11910" w:h="16840"/>
          <w:pgMar w:top="1417" w:right="1417" w:bottom="1417" w:left="1417" w:header="720" w:footer="720" w:gutter="0"/>
          <w:pgNumType w:fmt="decimal"/>
          <w:cols w:space="720" w:num="1"/>
          <w:rtlGutter w:val="0"/>
        </w:sectPr>
      </w:pPr>
    </w:p>
    <w:p w14:paraId="2F141B7A">
      <w:pPr>
        <w:keepNext/>
        <w:keepLines/>
        <w:spacing w:before="260" w:after="260" w:line="416" w:lineRule="auto"/>
        <w:jc w:val="center"/>
        <w:outlineLvl w:val="1"/>
        <w:rPr>
          <w:rFonts w:ascii="宋体" w:hAnsi="宋体"/>
          <w:b/>
          <w:color w:val="000000"/>
          <w:sz w:val="32"/>
          <w:szCs w:val="32"/>
          <w:highlight w:val="none"/>
        </w:rPr>
      </w:pPr>
      <w:bookmarkStart w:id="67" w:name="_Toc80205939"/>
      <w:bookmarkStart w:id="68" w:name="_Toc9936"/>
      <w:r>
        <w:rPr>
          <w:rFonts w:hint="eastAsia" w:ascii="宋体" w:hAnsi="宋体"/>
          <w:b/>
          <w:color w:val="000000"/>
          <w:sz w:val="32"/>
          <w:szCs w:val="32"/>
          <w:highlight w:val="none"/>
        </w:rPr>
        <w:t>第二节 资格证明文件格式</w:t>
      </w:r>
      <w:bookmarkEnd w:id="67"/>
      <w:bookmarkEnd w:id="68"/>
    </w:p>
    <w:p w14:paraId="3115E0D7">
      <w:pPr>
        <w:snapToGrid w:val="0"/>
        <w:spacing w:before="120" w:beforeLines="50" w:after="50"/>
        <w:jc w:val="right"/>
        <w:rPr>
          <w:rFonts w:ascii="宋体" w:hAnsi="宋体"/>
          <w:bCs/>
          <w:color w:val="000000"/>
          <w:sz w:val="32"/>
          <w:szCs w:val="20"/>
          <w:highlight w:val="none"/>
        </w:rPr>
      </w:pPr>
      <w:r>
        <w:rPr>
          <w:rFonts w:hint="eastAsia" w:ascii="宋体" w:hAnsi="宋体"/>
          <w:bCs/>
          <w:color w:val="000000"/>
          <w:highlight w:val="none"/>
        </w:rPr>
        <w:t>全流程电子文件</w:t>
      </w:r>
    </w:p>
    <w:p w14:paraId="221579A6">
      <w:pPr>
        <w:snapToGrid w:val="0"/>
        <w:spacing w:before="120" w:beforeLines="50" w:after="50"/>
        <w:rPr>
          <w:rFonts w:ascii="宋体" w:hAnsi="宋体"/>
          <w:color w:val="000000"/>
          <w:sz w:val="24"/>
          <w:szCs w:val="20"/>
          <w:highlight w:val="none"/>
        </w:rPr>
      </w:pPr>
    </w:p>
    <w:p w14:paraId="2D26E9D8">
      <w:pPr>
        <w:snapToGrid w:val="0"/>
        <w:spacing w:before="120" w:beforeLines="50" w:after="50"/>
        <w:rPr>
          <w:rFonts w:ascii="宋体" w:hAnsi="宋体"/>
          <w:color w:val="000000"/>
          <w:sz w:val="24"/>
          <w:szCs w:val="20"/>
          <w:highlight w:val="none"/>
        </w:rPr>
      </w:pPr>
    </w:p>
    <w:p w14:paraId="5412577E">
      <w:pPr>
        <w:snapToGrid w:val="0"/>
        <w:spacing w:before="120" w:beforeLines="50" w:after="50"/>
        <w:jc w:val="center"/>
        <w:rPr>
          <w:rFonts w:ascii="宋体" w:hAnsi="宋体" w:cs="方正小标宋简体"/>
          <w:bCs/>
          <w:color w:val="000000"/>
          <w:sz w:val="44"/>
          <w:szCs w:val="44"/>
          <w:highlight w:val="none"/>
        </w:rPr>
      </w:pPr>
      <w:r>
        <w:rPr>
          <w:rFonts w:hint="eastAsia" w:ascii="宋体" w:hAnsi="宋体" w:cs="方正小标宋简体"/>
          <w:bCs/>
          <w:color w:val="000000"/>
          <w:sz w:val="44"/>
          <w:szCs w:val="44"/>
          <w:highlight w:val="none"/>
        </w:rPr>
        <w:t>资格证明文件（封面）</w:t>
      </w:r>
    </w:p>
    <w:p w14:paraId="11F0E3F4">
      <w:pPr>
        <w:snapToGrid w:val="0"/>
        <w:spacing w:before="120" w:beforeLines="50" w:after="50"/>
        <w:rPr>
          <w:rFonts w:ascii="宋体" w:hAnsi="宋体"/>
          <w:bCs/>
          <w:color w:val="000000"/>
          <w:sz w:val="24"/>
          <w:szCs w:val="20"/>
          <w:highlight w:val="none"/>
        </w:rPr>
      </w:pPr>
    </w:p>
    <w:p w14:paraId="4836FD16">
      <w:pPr>
        <w:snapToGrid w:val="0"/>
        <w:spacing w:before="120" w:beforeLines="50" w:after="50"/>
        <w:rPr>
          <w:rFonts w:ascii="宋体" w:hAnsi="宋体"/>
          <w:bCs/>
          <w:color w:val="000000"/>
          <w:sz w:val="24"/>
          <w:szCs w:val="20"/>
          <w:highlight w:val="none"/>
        </w:rPr>
      </w:pPr>
    </w:p>
    <w:p w14:paraId="7BB452A6">
      <w:pPr>
        <w:snapToGrid w:val="0"/>
        <w:spacing w:before="120" w:beforeLines="50" w:after="50"/>
        <w:rPr>
          <w:rFonts w:ascii="宋体" w:hAnsi="宋体"/>
          <w:bCs/>
          <w:color w:val="000000"/>
          <w:sz w:val="24"/>
          <w:szCs w:val="20"/>
          <w:highlight w:val="none"/>
        </w:rPr>
      </w:pPr>
    </w:p>
    <w:p w14:paraId="51C86772">
      <w:pPr>
        <w:snapToGrid w:val="0"/>
        <w:spacing w:before="120" w:beforeLines="50" w:after="50"/>
        <w:rPr>
          <w:rFonts w:ascii="宋体" w:hAnsi="宋体"/>
          <w:bCs/>
          <w:color w:val="000000"/>
          <w:sz w:val="24"/>
          <w:szCs w:val="20"/>
          <w:highlight w:val="none"/>
        </w:rPr>
      </w:pPr>
    </w:p>
    <w:p w14:paraId="3D0CBBC1">
      <w:pPr>
        <w:snapToGrid w:val="0"/>
        <w:spacing w:before="120" w:beforeLines="50" w:after="50"/>
        <w:rPr>
          <w:rFonts w:ascii="宋体" w:hAnsi="宋体"/>
          <w:bCs/>
          <w:color w:val="000000"/>
          <w:sz w:val="24"/>
          <w:szCs w:val="20"/>
          <w:highlight w:val="none"/>
        </w:rPr>
      </w:pPr>
    </w:p>
    <w:p w14:paraId="346F940C">
      <w:pPr>
        <w:snapToGrid w:val="0"/>
        <w:spacing w:before="120" w:beforeLines="50" w:after="50"/>
        <w:ind w:firstLine="640" w:firstLineChars="200"/>
        <w:rPr>
          <w:rFonts w:ascii="宋体" w:hAnsi="宋体" w:cs="仿宋_GB2312"/>
          <w:bCs/>
          <w:color w:val="000000"/>
          <w:sz w:val="32"/>
          <w:szCs w:val="32"/>
          <w:highlight w:val="none"/>
        </w:rPr>
      </w:pPr>
      <w:r>
        <w:rPr>
          <w:rFonts w:hint="eastAsia" w:ascii="宋体" w:hAnsi="宋体" w:cs="仿宋_GB2312"/>
          <w:bCs/>
          <w:color w:val="000000"/>
          <w:sz w:val="32"/>
          <w:szCs w:val="32"/>
          <w:highlight w:val="none"/>
        </w:rPr>
        <w:t>项目名称：</w:t>
      </w:r>
    </w:p>
    <w:p w14:paraId="22D76148">
      <w:pPr>
        <w:snapToGrid w:val="0"/>
        <w:spacing w:before="120" w:beforeLines="50" w:after="50"/>
        <w:ind w:firstLine="720" w:firstLineChars="225"/>
        <w:rPr>
          <w:rFonts w:ascii="宋体" w:hAnsi="宋体" w:cs="仿宋_GB2312"/>
          <w:bCs/>
          <w:color w:val="000000"/>
          <w:sz w:val="32"/>
          <w:szCs w:val="32"/>
          <w:highlight w:val="none"/>
        </w:rPr>
      </w:pPr>
    </w:p>
    <w:p w14:paraId="0102E6D3">
      <w:pPr>
        <w:snapToGrid w:val="0"/>
        <w:spacing w:before="120" w:beforeLines="50" w:after="50"/>
        <w:ind w:firstLine="720" w:firstLineChars="225"/>
        <w:rPr>
          <w:rFonts w:ascii="宋体" w:hAnsi="宋体" w:cs="仿宋_GB2312"/>
          <w:bCs/>
          <w:color w:val="000000"/>
          <w:sz w:val="32"/>
          <w:szCs w:val="32"/>
          <w:highlight w:val="none"/>
        </w:rPr>
      </w:pPr>
      <w:r>
        <w:rPr>
          <w:rFonts w:hint="eastAsia" w:ascii="宋体" w:hAnsi="宋体" w:cs="仿宋_GB2312"/>
          <w:bCs/>
          <w:color w:val="000000"/>
          <w:sz w:val="32"/>
          <w:szCs w:val="32"/>
          <w:highlight w:val="none"/>
        </w:rPr>
        <w:t>项目编号：</w:t>
      </w:r>
    </w:p>
    <w:p w14:paraId="6020BE43">
      <w:pPr>
        <w:snapToGrid w:val="0"/>
        <w:spacing w:before="120" w:beforeLines="50" w:after="50"/>
        <w:ind w:firstLine="720" w:firstLineChars="225"/>
        <w:rPr>
          <w:rFonts w:ascii="宋体" w:hAnsi="宋体" w:cs="仿宋_GB2312"/>
          <w:bCs/>
          <w:color w:val="000000"/>
          <w:sz w:val="32"/>
          <w:szCs w:val="32"/>
          <w:highlight w:val="none"/>
        </w:rPr>
      </w:pPr>
    </w:p>
    <w:p w14:paraId="3041FAFA">
      <w:pPr>
        <w:snapToGrid w:val="0"/>
        <w:spacing w:before="120" w:beforeLines="50" w:after="50"/>
        <w:ind w:firstLine="720" w:firstLineChars="225"/>
        <w:rPr>
          <w:rFonts w:ascii="宋体" w:hAnsi="宋体" w:cs="仿宋_GB2312"/>
          <w:bCs/>
          <w:color w:val="000000"/>
          <w:sz w:val="32"/>
          <w:szCs w:val="32"/>
          <w:highlight w:val="none"/>
        </w:rPr>
      </w:pPr>
      <w:r>
        <w:rPr>
          <w:rFonts w:hint="eastAsia" w:ascii="宋体" w:hAnsi="宋体" w:cs="仿宋_GB2312"/>
          <w:bCs/>
          <w:color w:val="000000"/>
          <w:sz w:val="32"/>
          <w:szCs w:val="32"/>
          <w:highlight w:val="none"/>
        </w:rPr>
        <w:t>所竞分标（如有则填写，无分标时填写“无”或者留空）：</w:t>
      </w:r>
    </w:p>
    <w:p w14:paraId="7825B4C1">
      <w:pPr>
        <w:snapToGrid w:val="0"/>
        <w:spacing w:before="120" w:beforeLines="50" w:after="50"/>
        <w:ind w:firstLine="720" w:firstLineChars="225"/>
        <w:rPr>
          <w:rFonts w:ascii="宋体" w:hAnsi="宋体" w:cs="仿宋_GB2312"/>
          <w:bCs/>
          <w:color w:val="000000"/>
          <w:sz w:val="32"/>
          <w:szCs w:val="32"/>
          <w:highlight w:val="none"/>
        </w:rPr>
      </w:pPr>
    </w:p>
    <w:p w14:paraId="3DABCD32">
      <w:pPr>
        <w:snapToGrid w:val="0"/>
        <w:spacing w:before="50" w:after="50"/>
        <w:ind w:firstLine="720" w:firstLineChars="225"/>
        <w:rPr>
          <w:rFonts w:ascii="宋体" w:hAnsi="宋体" w:cs="仿宋_GB2312"/>
          <w:bCs/>
          <w:color w:val="000000"/>
          <w:sz w:val="32"/>
          <w:szCs w:val="32"/>
          <w:highlight w:val="none"/>
        </w:rPr>
      </w:pPr>
      <w:r>
        <w:rPr>
          <w:rFonts w:hint="eastAsia" w:ascii="宋体" w:hAnsi="宋体" w:cs="仿宋_GB2312"/>
          <w:bCs/>
          <w:color w:val="000000"/>
          <w:sz w:val="32"/>
          <w:szCs w:val="32"/>
          <w:highlight w:val="none"/>
        </w:rPr>
        <w:t>供应商名称：</w:t>
      </w:r>
    </w:p>
    <w:p w14:paraId="18C088A9">
      <w:pPr>
        <w:snapToGrid w:val="0"/>
        <w:spacing w:before="50" w:after="50"/>
        <w:ind w:firstLine="720" w:firstLineChars="225"/>
        <w:rPr>
          <w:rFonts w:ascii="宋体" w:hAnsi="宋体" w:cs="仿宋_GB2312"/>
          <w:bCs/>
          <w:color w:val="000000"/>
          <w:sz w:val="32"/>
          <w:szCs w:val="32"/>
          <w:highlight w:val="none"/>
        </w:rPr>
      </w:pPr>
    </w:p>
    <w:p w14:paraId="586F30E1">
      <w:pPr>
        <w:snapToGrid w:val="0"/>
        <w:spacing w:before="50" w:after="50"/>
        <w:ind w:firstLine="720" w:firstLineChars="225"/>
        <w:rPr>
          <w:rFonts w:ascii="宋体" w:hAnsi="宋体" w:cs="仿宋_GB2312"/>
          <w:bCs/>
          <w:color w:val="000000"/>
          <w:sz w:val="32"/>
          <w:szCs w:val="32"/>
          <w:highlight w:val="none"/>
        </w:rPr>
      </w:pPr>
    </w:p>
    <w:p w14:paraId="7DCF1A55">
      <w:pPr>
        <w:snapToGrid w:val="0"/>
        <w:spacing w:before="50" w:after="50"/>
        <w:ind w:firstLine="720" w:firstLineChars="225"/>
        <w:rPr>
          <w:rFonts w:ascii="宋体" w:hAnsi="宋体" w:cs="仿宋_GB2312"/>
          <w:bCs/>
          <w:color w:val="000000"/>
          <w:sz w:val="32"/>
          <w:szCs w:val="32"/>
          <w:highlight w:val="none"/>
        </w:rPr>
      </w:pPr>
    </w:p>
    <w:p w14:paraId="224E91D5">
      <w:pPr>
        <w:snapToGrid w:val="0"/>
        <w:spacing w:before="50" w:after="50"/>
        <w:ind w:firstLine="1280" w:firstLineChars="400"/>
        <w:rPr>
          <w:rFonts w:ascii="宋体" w:hAnsi="宋体" w:cs="仿宋_GB2312"/>
          <w:bCs/>
          <w:color w:val="000000"/>
          <w:sz w:val="32"/>
          <w:szCs w:val="32"/>
          <w:highlight w:val="none"/>
        </w:rPr>
      </w:pPr>
    </w:p>
    <w:p w14:paraId="70A57DD7">
      <w:pPr>
        <w:snapToGrid w:val="0"/>
        <w:spacing w:before="120" w:beforeLines="50" w:after="50"/>
        <w:jc w:val="center"/>
        <w:rPr>
          <w:rFonts w:ascii="宋体" w:hAnsi="宋体" w:cs="仿宋_GB2312"/>
          <w:color w:val="000000"/>
          <w:sz w:val="32"/>
          <w:szCs w:val="32"/>
          <w:highlight w:val="none"/>
        </w:rPr>
      </w:pPr>
      <w:r>
        <w:rPr>
          <w:rFonts w:hint="eastAsia" w:ascii="宋体" w:hAnsi="宋体" w:cs="仿宋_GB2312"/>
          <w:color w:val="000000"/>
          <w:sz w:val="32"/>
          <w:szCs w:val="32"/>
          <w:highlight w:val="none"/>
        </w:rPr>
        <w:t>年    月    日</w:t>
      </w:r>
    </w:p>
    <w:p w14:paraId="2B1D2D04">
      <w:pPr>
        <w:snapToGrid w:val="0"/>
        <w:spacing w:before="120" w:beforeLines="50" w:after="50" w:line="360" w:lineRule="auto"/>
        <w:jc w:val="left"/>
        <w:rPr>
          <w:rFonts w:ascii="宋体" w:hAnsi="宋体"/>
          <w:b/>
          <w:bCs/>
          <w:color w:val="000000"/>
          <w:sz w:val="32"/>
          <w:szCs w:val="32"/>
          <w:highlight w:val="none"/>
        </w:rPr>
      </w:pPr>
      <w:r>
        <w:rPr>
          <w:rFonts w:ascii="宋体" w:hAnsi="宋体"/>
          <w:color w:val="000000"/>
          <w:sz w:val="24"/>
          <w:highlight w:val="none"/>
        </w:rPr>
        <w:br w:type="page"/>
      </w:r>
    </w:p>
    <w:p w14:paraId="6FEF0E17">
      <w:pPr>
        <w:jc w:val="center"/>
        <w:rPr>
          <w:rFonts w:ascii="宋体" w:hAnsi="宋体" w:cs="仿宋_GB2312"/>
          <w:b/>
          <w:color w:val="000000"/>
          <w:kern w:val="0"/>
          <w:sz w:val="36"/>
          <w:szCs w:val="36"/>
          <w:highlight w:val="none"/>
        </w:rPr>
      </w:pPr>
      <w:r>
        <w:rPr>
          <w:rFonts w:hint="eastAsia" w:ascii="宋体" w:hAnsi="宋体" w:cs="仿宋_GB2312"/>
          <w:b/>
          <w:color w:val="000000"/>
          <w:kern w:val="0"/>
          <w:sz w:val="36"/>
          <w:szCs w:val="36"/>
          <w:highlight w:val="none"/>
        </w:rPr>
        <w:t>资格证明文件目录</w:t>
      </w:r>
    </w:p>
    <w:p w14:paraId="1DEB9855">
      <w:pPr>
        <w:snapToGrid w:val="0"/>
        <w:spacing w:line="360" w:lineRule="auto"/>
        <w:rPr>
          <w:rFonts w:ascii="宋体" w:hAnsi="宋体" w:cs="仿宋_GB2312"/>
          <w:color w:val="000000"/>
          <w:kern w:val="0"/>
          <w:sz w:val="24"/>
          <w:highlight w:val="none"/>
        </w:rPr>
      </w:pPr>
    </w:p>
    <w:p w14:paraId="2275ED24">
      <w:pPr>
        <w:spacing w:line="360" w:lineRule="auto"/>
        <w:jc w:val="center"/>
        <w:rPr>
          <w:rFonts w:hAnsi="宋体"/>
          <w:color w:val="auto"/>
          <w:sz w:val="30"/>
          <w:highlight w:val="none"/>
        </w:rPr>
      </w:pPr>
      <w:r>
        <w:rPr>
          <w:rFonts w:hint="eastAsia" w:ascii="宋体" w:hAnsi="宋体"/>
          <w:color w:val="auto"/>
          <w:sz w:val="28"/>
          <w:szCs w:val="28"/>
          <w:highlight w:val="none"/>
        </w:rPr>
        <w:t>根据</w:t>
      </w:r>
      <w:r>
        <w:rPr>
          <w:rFonts w:hint="eastAsia" w:ascii="宋体" w:hAnsi="宋体"/>
          <w:color w:val="auto"/>
          <w:sz w:val="28"/>
          <w:szCs w:val="28"/>
          <w:highlight w:val="none"/>
          <w:lang w:eastAsia="zh-CN"/>
        </w:rPr>
        <w:t>采购文件“</w:t>
      </w:r>
      <w:r>
        <w:rPr>
          <w:rFonts w:hint="eastAsia" w:ascii="宋体" w:hAnsi="宋体"/>
          <w:color w:val="auto"/>
          <w:sz w:val="28"/>
          <w:szCs w:val="28"/>
          <w:highlight w:val="none"/>
        </w:rPr>
        <w:t xml:space="preserve">第三章  </w:t>
      </w:r>
      <w:r>
        <w:rPr>
          <w:rFonts w:hint="eastAsia" w:ascii="宋体" w:hAnsi="宋体"/>
          <w:color w:val="auto"/>
          <w:sz w:val="28"/>
          <w:szCs w:val="28"/>
          <w:highlight w:val="none"/>
          <w:lang w:eastAsia="zh-CN"/>
        </w:rPr>
        <w:t>供应商</w:t>
      </w:r>
      <w:r>
        <w:rPr>
          <w:rFonts w:hint="eastAsia" w:ascii="宋体" w:hAnsi="宋体"/>
          <w:color w:val="auto"/>
          <w:sz w:val="28"/>
          <w:szCs w:val="28"/>
          <w:highlight w:val="none"/>
        </w:rPr>
        <w:t xml:space="preserve">须知 </w:t>
      </w:r>
      <w:r>
        <w:rPr>
          <w:rFonts w:hint="eastAsia" w:ascii="宋体" w:hAnsi="宋体"/>
          <w:color w:val="auto"/>
          <w:sz w:val="28"/>
          <w:szCs w:val="28"/>
          <w:highlight w:val="none"/>
          <w:lang w:val="en-US" w:eastAsia="zh-CN"/>
        </w:rPr>
        <w:t>12.1</w:t>
      </w:r>
      <w:r>
        <w:rPr>
          <w:rFonts w:hint="eastAsia" w:ascii="宋体" w:hAnsi="宋体"/>
          <w:color w:val="auto"/>
          <w:sz w:val="28"/>
          <w:szCs w:val="28"/>
          <w:highlight w:val="none"/>
        </w:rPr>
        <w:t>.1</w:t>
      </w: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rPr>
        <w:t>资格证明文件组成</w:t>
      </w:r>
      <w:r>
        <w:rPr>
          <w:rFonts w:hint="eastAsia" w:ascii="宋体" w:hAnsi="宋体"/>
          <w:color w:val="auto"/>
          <w:sz w:val="28"/>
          <w:szCs w:val="28"/>
          <w:highlight w:val="none"/>
          <w:lang w:val="en-US" w:eastAsia="zh-CN"/>
        </w:rPr>
        <w:t xml:space="preserve"> ”的规定</w:t>
      </w:r>
      <w:r>
        <w:rPr>
          <w:rFonts w:hint="eastAsia" w:ascii="宋体" w:hAnsi="宋体"/>
          <w:color w:val="auto"/>
          <w:sz w:val="28"/>
          <w:szCs w:val="28"/>
          <w:highlight w:val="none"/>
        </w:rPr>
        <w:t>及</w:t>
      </w:r>
      <w:r>
        <w:rPr>
          <w:rFonts w:hint="eastAsia" w:ascii="宋体" w:hAnsi="宋体"/>
          <w:color w:val="auto"/>
          <w:sz w:val="28"/>
          <w:szCs w:val="28"/>
          <w:highlight w:val="none"/>
          <w:lang w:eastAsia="zh-CN"/>
        </w:rPr>
        <w:t>供应商</w:t>
      </w:r>
      <w:r>
        <w:rPr>
          <w:rFonts w:hint="eastAsia" w:ascii="宋体" w:hAnsi="宋体"/>
          <w:color w:val="auto"/>
          <w:sz w:val="28"/>
          <w:szCs w:val="28"/>
          <w:highlight w:val="none"/>
        </w:rPr>
        <w:t>提供的材料自行编写目录。</w:t>
      </w:r>
    </w:p>
    <w:p w14:paraId="1123992A">
      <w:pPr>
        <w:snapToGrid w:val="0"/>
        <w:spacing w:before="120" w:beforeLines="50" w:after="50" w:line="360" w:lineRule="auto"/>
        <w:ind w:left="142" w:firstLine="420" w:firstLineChars="200"/>
        <w:jc w:val="left"/>
        <w:rPr>
          <w:rFonts w:ascii="宋体" w:hAnsi="宋体"/>
          <w:color w:val="000000"/>
          <w:szCs w:val="21"/>
          <w:highlight w:val="none"/>
        </w:rPr>
      </w:pPr>
    </w:p>
    <w:p w14:paraId="583FCA3D">
      <w:pPr>
        <w:spacing w:line="300" w:lineRule="auto"/>
        <w:rPr>
          <w:rFonts w:ascii="宋体" w:hAnsi="宋体"/>
          <w:color w:val="000000"/>
          <w:szCs w:val="21"/>
          <w:highlight w:val="none"/>
        </w:rPr>
      </w:pPr>
    </w:p>
    <w:p w14:paraId="56741002">
      <w:pPr>
        <w:spacing w:line="300" w:lineRule="auto"/>
        <w:rPr>
          <w:rFonts w:ascii="宋体" w:hAnsi="宋体"/>
          <w:color w:val="000000"/>
          <w:szCs w:val="21"/>
          <w:highlight w:val="none"/>
        </w:rPr>
      </w:pPr>
    </w:p>
    <w:p w14:paraId="1C2D37A3">
      <w:pPr>
        <w:spacing w:line="300" w:lineRule="auto"/>
        <w:rPr>
          <w:rFonts w:ascii="宋体" w:hAnsi="宋体"/>
          <w:color w:val="000000"/>
          <w:szCs w:val="21"/>
          <w:highlight w:val="none"/>
        </w:rPr>
      </w:pPr>
    </w:p>
    <w:p w14:paraId="3E992318">
      <w:pPr>
        <w:spacing w:line="300" w:lineRule="auto"/>
        <w:rPr>
          <w:rFonts w:ascii="宋体" w:hAnsi="宋体"/>
          <w:color w:val="000000"/>
          <w:szCs w:val="21"/>
          <w:highlight w:val="none"/>
        </w:rPr>
      </w:pPr>
    </w:p>
    <w:p w14:paraId="66A5D6EC">
      <w:pPr>
        <w:spacing w:line="300" w:lineRule="auto"/>
        <w:rPr>
          <w:rFonts w:ascii="宋体" w:hAnsi="宋体"/>
          <w:color w:val="000000"/>
          <w:szCs w:val="21"/>
          <w:highlight w:val="none"/>
        </w:rPr>
      </w:pPr>
    </w:p>
    <w:p w14:paraId="21A38876">
      <w:pPr>
        <w:spacing w:line="300" w:lineRule="auto"/>
        <w:rPr>
          <w:rFonts w:ascii="宋体" w:hAnsi="宋体"/>
          <w:color w:val="000000"/>
          <w:szCs w:val="21"/>
          <w:highlight w:val="none"/>
        </w:rPr>
      </w:pPr>
    </w:p>
    <w:p w14:paraId="668012BA">
      <w:pPr>
        <w:spacing w:line="300" w:lineRule="auto"/>
        <w:rPr>
          <w:rFonts w:ascii="宋体" w:hAnsi="宋体"/>
          <w:color w:val="000000"/>
          <w:szCs w:val="21"/>
          <w:highlight w:val="none"/>
        </w:rPr>
      </w:pPr>
    </w:p>
    <w:p w14:paraId="09FD00BB">
      <w:pPr>
        <w:spacing w:line="300" w:lineRule="auto"/>
        <w:rPr>
          <w:rFonts w:ascii="宋体" w:hAnsi="宋体"/>
          <w:color w:val="000000"/>
          <w:szCs w:val="21"/>
          <w:highlight w:val="none"/>
        </w:rPr>
      </w:pPr>
    </w:p>
    <w:p w14:paraId="2ECA3541">
      <w:pPr>
        <w:spacing w:line="300" w:lineRule="auto"/>
        <w:rPr>
          <w:rFonts w:ascii="宋体" w:hAnsi="宋体"/>
          <w:color w:val="000000"/>
          <w:szCs w:val="21"/>
          <w:highlight w:val="none"/>
        </w:rPr>
      </w:pPr>
    </w:p>
    <w:p w14:paraId="19D0DCF7">
      <w:pPr>
        <w:spacing w:before="41" w:line="364" w:lineRule="auto"/>
        <w:ind w:left="298" w:right="310"/>
        <w:jc w:val="center"/>
        <w:outlineLvl w:val="0"/>
        <w:rPr>
          <w:rFonts w:ascii="宋体" w:hAnsi="宋体"/>
          <w:color w:val="000000"/>
          <w:kern w:val="0"/>
          <w:sz w:val="20"/>
          <w:szCs w:val="21"/>
          <w:highlight w:val="none"/>
        </w:rPr>
      </w:pPr>
      <w:r>
        <w:rPr>
          <w:rFonts w:ascii="宋体" w:hAnsi="宋体"/>
          <w:color w:val="000000"/>
          <w:kern w:val="0"/>
          <w:sz w:val="20"/>
          <w:szCs w:val="21"/>
          <w:highlight w:val="none"/>
        </w:rPr>
        <w:br w:type="page"/>
      </w:r>
      <w:bookmarkStart w:id="69" w:name="_Toc7018"/>
      <w:bookmarkStart w:id="70" w:name="_Toc25499"/>
    </w:p>
    <w:p w14:paraId="7C46CD44">
      <w:pPr>
        <w:autoSpaceDE w:val="0"/>
        <w:autoSpaceDN w:val="0"/>
        <w:spacing w:line="360" w:lineRule="auto"/>
        <w:jc w:val="center"/>
        <w:rPr>
          <w:rFonts w:ascii="方正小标宋简体" w:hAnsi="仿宋" w:eastAsia="方正小标宋简体"/>
          <w:color w:val="auto"/>
          <w:sz w:val="36"/>
          <w:szCs w:val="36"/>
          <w:highlight w:val="none"/>
        </w:rPr>
      </w:pPr>
      <w:r>
        <w:rPr>
          <w:rFonts w:hint="eastAsia" w:ascii="宋体" w:hAnsi="宋体" w:eastAsia="宋体" w:cs="宋体"/>
          <w:b/>
          <w:bCs/>
          <w:color w:val="auto"/>
          <w:sz w:val="36"/>
          <w:szCs w:val="36"/>
          <w:highlight w:val="none"/>
          <w:lang w:eastAsia="zh-CN"/>
        </w:rPr>
        <w:t>防城港</w:t>
      </w:r>
      <w:r>
        <w:rPr>
          <w:rFonts w:hint="eastAsia" w:ascii="宋体" w:hAnsi="宋体" w:eastAsia="宋体" w:cs="宋体"/>
          <w:b/>
          <w:bCs/>
          <w:color w:val="auto"/>
          <w:sz w:val="36"/>
          <w:szCs w:val="36"/>
          <w:highlight w:val="none"/>
        </w:rPr>
        <w:t>市政府采购供应商信用承诺函</w:t>
      </w:r>
    </w:p>
    <w:p w14:paraId="09A2B39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color w:val="auto"/>
          <w:sz w:val="32"/>
          <w:szCs w:val="32"/>
          <w:highlight w:val="none"/>
        </w:rPr>
      </w:pPr>
    </w:p>
    <w:p w14:paraId="0DC0952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致（采购人或采购代理机构） ：</w:t>
      </w:r>
    </w:p>
    <w:p w14:paraId="3C9D72F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我方自愿参加</w:t>
      </w:r>
      <w:r>
        <w:rPr>
          <w:rFonts w:hint="eastAsia" w:ascii="宋体" w:hAnsi="宋体" w:eastAsia="宋体" w:cs="宋体"/>
          <w:color w:val="auto"/>
          <w:sz w:val="28"/>
          <w:szCs w:val="28"/>
          <w:highlight w:val="none"/>
          <w:u w:val="single"/>
          <w:lang w:val="en-US" w:eastAsia="zh-CN"/>
        </w:rPr>
        <w:t xml:space="preserve"> </w:t>
      </w: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lang w:val="en-US" w:eastAsia="zh-CN"/>
        </w:rPr>
        <w:t xml:space="preserve">（项目名称） </w:t>
      </w:r>
      <w:r>
        <w:rPr>
          <w:rFonts w:hint="eastAsia" w:ascii="宋体" w:hAnsi="宋体" w:eastAsia="宋体" w:cs="宋体"/>
          <w:color w:val="auto"/>
          <w:sz w:val="28"/>
          <w:szCs w:val="28"/>
          <w:highlight w:val="none"/>
          <w:lang w:val="en-US" w:eastAsia="zh-CN"/>
        </w:rPr>
        <w:t>项目</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项目编号：       </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 xml:space="preserve">的政府采购活动，严格遵守《中华人民共和国政府采购法》及相关法律法规，依法诚信经营，无条件遵守本次政府采购活动的各项规定，并郑重承诺： </w:t>
      </w:r>
    </w:p>
    <w:p w14:paraId="400445FF">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 xml:space="preserve">1.我方具有符合采购文件资格要求的财务状况报告。 </w:t>
      </w:r>
    </w:p>
    <w:p w14:paraId="4B14A062">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 xml:space="preserve">2.我方具有符合采购文件资格要求的依法缴纳税收和社会保障资金的良好记录。 </w:t>
      </w:r>
    </w:p>
    <w:p w14:paraId="022DA6D5">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 xml:space="preserve">3.我方参加政府采购活动前三年内在经营活动中没有重大违法记录。 </w:t>
      </w:r>
    </w:p>
    <w:p w14:paraId="4A00CFA9">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我方对以上承诺内容的真实性负责。如有虚假，将依法承担相应责任。</w:t>
      </w:r>
    </w:p>
    <w:p w14:paraId="72CAF68E">
      <w:pPr>
        <w:keepNext w:val="0"/>
        <w:keepLines w:val="0"/>
        <w:pageBreakBefore w:val="0"/>
        <w:widowControl w:val="0"/>
        <w:kinsoku/>
        <w:wordWrap/>
        <w:overflowPunct/>
        <w:topLinePunct w:val="0"/>
        <w:autoSpaceDE/>
        <w:autoSpaceDN/>
        <w:bidi w:val="0"/>
        <w:adjustRightInd/>
        <w:snapToGrid/>
        <w:spacing w:line="520" w:lineRule="exact"/>
        <w:ind w:firstLine="3220" w:firstLineChars="1150"/>
        <w:textAlignment w:val="auto"/>
        <w:rPr>
          <w:rFonts w:hint="eastAsia" w:ascii="宋体" w:hAnsi="宋体" w:eastAsia="宋体" w:cs="宋体"/>
          <w:color w:val="auto"/>
          <w:sz w:val="28"/>
          <w:szCs w:val="28"/>
          <w:highlight w:val="none"/>
        </w:rPr>
      </w:pPr>
    </w:p>
    <w:p w14:paraId="5F398F62">
      <w:pPr>
        <w:keepNext w:val="0"/>
        <w:keepLines w:val="0"/>
        <w:pageBreakBefore w:val="0"/>
        <w:widowControl w:val="0"/>
        <w:kinsoku/>
        <w:wordWrap/>
        <w:overflowPunct/>
        <w:topLinePunct w:val="0"/>
        <w:autoSpaceDE/>
        <w:autoSpaceDN/>
        <w:bidi w:val="0"/>
        <w:adjustRightInd/>
        <w:snapToGrid/>
        <w:spacing w:line="520" w:lineRule="exact"/>
        <w:ind w:firstLine="3220" w:firstLineChars="1150"/>
        <w:textAlignment w:val="auto"/>
        <w:rPr>
          <w:rFonts w:hint="eastAsia" w:ascii="宋体" w:hAnsi="宋体" w:eastAsia="宋体" w:cs="宋体"/>
          <w:color w:val="auto"/>
          <w:sz w:val="28"/>
          <w:szCs w:val="28"/>
          <w:highlight w:val="none"/>
        </w:rPr>
      </w:pPr>
    </w:p>
    <w:p w14:paraId="63145BCE">
      <w:pPr>
        <w:keepNext w:val="0"/>
        <w:keepLines w:val="0"/>
        <w:pageBreakBefore w:val="0"/>
        <w:widowControl w:val="0"/>
        <w:kinsoku/>
        <w:wordWrap/>
        <w:overflowPunct/>
        <w:topLinePunct w:val="0"/>
        <w:autoSpaceDE/>
        <w:autoSpaceDN/>
        <w:bidi w:val="0"/>
        <w:adjustRightInd/>
        <w:snapToGrid/>
        <w:spacing w:line="520" w:lineRule="exact"/>
        <w:ind w:firstLine="3220" w:firstLineChars="115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供应商名称（公章）：</w:t>
      </w:r>
    </w:p>
    <w:p w14:paraId="003A7396">
      <w:pPr>
        <w:keepNext w:val="0"/>
        <w:keepLines w:val="0"/>
        <w:pageBreakBefore w:val="0"/>
        <w:widowControl w:val="0"/>
        <w:kinsoku/>
        <w:wordWrap/>
        <w:overflowPunct/>
        <w:topLinePunct w:val="0"/>
        <w:autoSpaceDE/>
        <w:autoSpaceDN/>
        <w:bidi w:val="0"/>
        <w:adjustRightInd/>
        <w:snapToGrid/>
        <w:spacing w:line="600" w:lineRule="exact"/>
        <w:ind w:firstLine="3080" w:firstLineChars="11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统一社会信用代码：</w:t>
      </w:r>
    </w:p>
    <w:p w14:paraId="060D7E88">
      <w:pPr>
        <w:keepNext w:val="0"/>
        <w:keepLines w:val="0"/>
        <w:pageBreakBefore w:val="0"/>
        <w:widowControl w:val="0"/>
        <w:kinsoku/>
        <w:wordWrap/>
        <w:overflowPunct/>
        <w:topLinePunct w:val="0"/>
        <w:autoSpaceDE/>
        <w:autoSpaceDN/>
        <w:bidi w:val="0"/>
        <w:adjustRightInd/>
        <w:snapToGrid/>
        <w:spacing w:line="520" w:lineRule="exact"/>
        <w:ind w:firstLine="1960" w:firstLineChars="7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法定代表人或授权代表(签名)：</w:t>
      </w:r>
    </w:p>
    <w:p w14:paraId="02ABA86B">
      <w:pPr>
        <w:keepNext w:val="0"/>
        <w:keepLines w:val="0"/>
        <w:pageBreakBefore w:val="0"/>
        <w:widowControl w:val="0"/>
        <w:kinsoku/>
        <w:wordWrap/>
        <w:overflowPunct/>
        <w:topLinePunct w:val="0"/>
        <w:autoSpaceDE/>
        <w:autoSpaceDN/>
        <w:bidi w:val="0"/>
        <w:adjustRightInd/>
        <w:snapToGrid/>
        <w:spacing w:line="520" w:lineRule="exact"/>
        <w:ind w:firstLine="3640" w:firstLineChars="13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日期： 年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 xml:space="preserve"> 日</w:t>
      </w:r>
    </w:p>
    <w:p w14:paraId="459F6074">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 w:val="28"/>
          <w:szCs w:val="28"/>
          <w:highlight w:val="none"/>
        </w:rPr>
      </w:pPr>
    </w:p>
    <w:p w14:paraId="0DBEACD5">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注：1.供应商须在响应文件中按此模板提供承诺函，未提供视为未实质性响应采购文件要求，按无效响应处理。</w:t>
      </w:r>
    </w:p>
    <w:p w14:paraId="66C5F876">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2.供应商的法定代表人（其他组织的为负责人）或者授权代表的签名或盖章应真实、有效，如由授权代表签名或盖章的，应提供“法定代表人授权书”。</w:t>
      </w:r>
    </w:p>
    <w:p w14:paraId="40DA1722">
      <w:pPr>
        <w:jc w:val="center"/>
        <w:rPr>
          <w:rFonts w:ascii="宋体" w:hAnsi="宋体" w:cs="仿宋_GB2312"/>
          <w:b/>
          <w:color w:val="000000"/>
          <w:kern w:val="0"/>
          <w:sz w:val="30"/>
          <w:szCs w:val="30"/>
          <w:highlight w:val="none"/>
        </w:rPr>
      </w:pPr>
      <w:r>
        <w:rPr>
          <w:rFonts w:hint="eastAsia" w:ascii="宋体" w:hAnsi="宋体" w:eastAsia="宋体" w:cs="宋体"/>
          <w:b/>
          <w:color w:val="auto"/>
          <w:kern w:val="0"/>
          <w:sz w:val="30"/>
          <w:szCs w:val="30"/>
          <w:highlight w:val="none"/>
        </w:rPr>
        <w:br w:type="page"/>
      </w:r>
      <w:r>
        <w:rPr>
          <w:rFonts w:hint="eastAsia" w:ascii="宋体" w:hAnsi="宋体" w:cs="仿宋_GB2312"/>
          <w:b/>
          <w:color w:val="000000"/>
          <w:kern w:val="0"/>
          <w:sz w:val="36"/>
          <w:szCs w:val="36"/>
          <w:highlight w:val="none"/>
        </w:rPr>
        <w:t>供应商直接控股股东信息</w:t>
      </w:r>
    </w:p>
    <w:p w14:paraId="200FD821">
      <w:pPr>
        <w:spacing w:line="360" w:lineRule="auto"/>
        <w:contextualSpacing/>
        <w:jc w:val="center"/>
        <w:rPr>
          <w:rFonts w:ascii="宋体" w:hAnsi="宋体"/>
          <w:b/>
          <w:color w:val="000000"/>
          <w:sz w:val="24"/>
          <w:highlight w:val="none"/>
        </w:rPr>
      </w:pPr>
    </w:p>
    <w:tbl>
      <w:tblPr>
        <w:tblStyle w:val="15"/>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529ED296">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551C84F3">
            <w:pPr>
              <w:widowControl/>
              <w:spacing w:line="360" w:lineRule="auto"/>
              <w:contextualSpacing/>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2652ED87">
            <w:pPr>
              <w:widowControl/>
              <w:spacing w:line="360" w:lineRule="auto"/>
              <w:contextualSpacing/>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157DDD83">
            <w:pPr>
              <w:widowControl/>
              <w:spacing w:line="360" w:lineRule="auto"/>
              <w:contextualSpacing/>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5951ACF4">
            <w:pPr>
              <w:widowControl/>
              <w:spacing w:line="360" w:lineRule="auto"/>
              <w:contextualSpacing/>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0362B45">
            <w:pPr>
              <w:widowControl/>
              <w:spacing w:line="360" w:lineRule="auto"/>
              <w:contextualSpacing/>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备注</w:t>
            </w:r>
          </w:p>
        </w:tc>
      </w:tr>
      <w:tr w14:paraId="1F314905">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788705C">
            <w:pPr>
              <w:widowControl/>
              <w:spacing w:line="360" w:lineRule="auto"/>
              <w:contextualSpacing/>
              <w:jc w:val="center"/>
              <w:rPr>
                <w:rFonts w:ascii="宋体" w:hAnsi="宋体" w:cs="宋体"/>
                <w:color w:val="000000"/>
                <w:kern w:val="0"/>
                <w:sz w:val="24"/>
                <w:highlight w:val="none"/>
              </w:rPr>
            </w:pPr>
            <w:r>
              <w:rPr>
                <w:rFonts w:hint="eastAsia" w:ascii="宋体" w:hAnsi="宋体" w:cs="宋体"/>
                <w:color w:val="000000"/>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1A67F987">
            <w:pPr>
              <w:widowControl/>
              <w:spacing w:line="360" w:lineRule="auto"/>
              <w:contextualSpacing/>
              <w:jc w:val="center"/>
              <w:rPr>
                <w:rFonts w:ascii="宋体" w:hAnsi="宋体" w:cs="宋体"/>
                <w:color w:val="000000"/>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E4688A1">
            <w:pPr>
              <w:widowControl/>
              <w:spacing w:line="360" w:lineRule="auto"/>
              <w:contextualSpacing/>
              <w:jc w:val="center"/>
              <w:rPr>
                <w:rFonts w:ascii="宋体" w:hAnsi="宋体" w:cs="宋体"/>
                <w:color w:val="000000"/>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670D385A">
            <w:pPr>
              <w:widowControl/>
              <w:spacing w:line="360" w:lineRule="auto"/>
              <w:contextualSpacing/>
              <w:jc w:val="center"/>
              <w:rPr>
                <w:rFonts w:ascii="宋体" w:hAnsi="宋体" w:cs="宋体"/>
                <w:color w:val="000000"/>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103A4ECF">
            <w:pPr>
              <w:widowControl/>
              <w:spacing w:line="360" w:lineRule="auto"/>
              <w:contextualSpacing/>
              <w:jc w:val="center"/>
              <w:rPr>
                <w:rFonts w:ascii="宋体" w:hAnsi="宋体" w:cs="宋体"/>
                <w:color w:val="000000"/>
                <w:kern w:val="0"/>
                <w:sz w:val="24"/>
                <w:highlight w:val="none"/>
              </w:rPr>
            </w:pPr>
          </w:p>
        </w:tc>
      </w:tr>
      <w:tr w14:paraId="702D82CB">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388C09B0">
            <w:pPr>
              <w:widowControl/>
              <w:spacing w:line="360" w:lineRule="auto"/>
              <w:contextualSpacing/>
              <w:jc w:val="center"/>
              <w:rPr>
                <w:rFonts w:ascii="宋体" w:hAnsi="宋体" w:cs="宋体"/>
                <w:color w:val="000000"/>
                <w:kern w:val="0"/>
                <w:sz w:val="24"/>
                <w:highlight w:val="none"/>
              </w:rPr>
            </w:pPr>
            <w:r>
              <w:rPr>
                <w:rFonts w:hint="eastAsia" w:ascii="宋体" w:hAnsi="宋体" w:cs="宋体"/>
                <w:color w:val="000000"/>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11A09EB">
            <w:pPr>
              <w:widowControl/>
              <w:spacing w:line="360" w:lineRule="auto"/>
              <w:contextualSpacing/>
              <w:jc w:val="center"/>
              <w:rPr>
                <w:rFonts w:ascii="宋体" w:hAnsi="宋体" w:cs="宋体"/>
                <w:color w:val="000000"/>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479E6B26">
            <w:pPr>
              <w:widowControl/>
              <w:spacing w:line="360" w:lineRule="auto"/>
              <w:contextualSpacing/>
              <w:jc w:val="center"/>
              <w:rPr>
                <w:rFonts w:ascii="宋体" w:hAnsi="宋体" w:cs="宋体"/>
                <w:color w:val="000000"/>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5DA1EE23">
            <w:pPr>
              <w:widowControl/>
              <w:spacing w:line="360" w:lineRule="auto"/>
              <w:contextualSpacing/>
              <w:jc w:val="center"/>
              <w:rPr>
                <w:rFonts w:ascii="宋体" w:hAnsi="宋体" w:cs="宋体"/>
                <w:color w:val="000000"/>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659C319F">
            <w:pPr>
              <w:widowControl/>
              <w:spacing w:line="360" w:lineRule="auto"/>
              <w:contextualSpacing/>
              <w:jc w:val="center"/>
              <w:rPr>
                <w:rFonts w:ascii="宋体" w:hAnsi="宋体" w:cs="宋体"/>
                <w:color w:val="000000"/>
                <w:kern w:val="0"/>
                <w:sz w:val="24"/>
                <w:highlight w:val="none"/>
              </w:rPr>
            </w:pPr>
          </w:p>
        </w:tc>
      </w:tr>
      <w:tr w14:paraId="1544C495">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6FA70F27">
            <w:pPr>
              <w:widowControl/>
              <w:spacing w:line="360" w:lineRule="auto"/>
              <w:contextualSpacing/>
              <w:jc w:val="center"/>
              <w:rPr>
                <w:rFonts w:ascii="宋体" w:hAnsi="宋体" w:cs="宋体"/>
                <w:color w:val="000000"/>
                <w:kern w:val="0"/>
                <w:sz w:val="24"/>
                <w:highlight w:val="none"/>
              </w:rPr>
            </w:pPr>
            <w:r>
              <w:rPr>
                <w:rFonts w:hint="eastAsia" w:ascii="宋体" w:hAnsi="宋体" w:cs="宋体"/>
                <w:color w:val="000000"/>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23F7287F">
            <w:pPr>
              <w:widowControl/>
              <w:spacing w:line="360" w:lineRule="auto"/>
              <w:contextualSpacing/>
              <w:jc w:val="center"/>
              <w:rPr>
                <w:rFonts w:ascii="宋体" w:hAnsi="宋体" w:cs="宋体"/>
                <w:color w:val="000000"/>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2C3AADB">
            <w:pPr>
              <w:widowControl/>
              <w:spacing w:line="360" w:lineRule="auto"/>
              <w:contextualSpacing/>
              <w:jc w:val="center"/>
              <w:rPr>
                <w:rFonts w:ascii="宋体" w:hAnsi="宋体" w:cs="宋体"/>
                <w:color w:val="000000"/>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5B5EA1A8">
            <w:pPr>
              <w:widowControl/>
              <w:spacing w:line="360" w:lineRule="auto"/>
              <w:contextualSpacing/>
              <w:jc w:val="center"/>
              <w:rPr>
                <w:rFonts w:ascii="宋体" w:hAnsi="宋体" w:cs="宋体"/>
                <w:color w:val="000000"/>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528E75C6">
            <w:pPr>
              <w:widowControl/>
              <w:spacing w:line="360" w:lineRule="auto"/>
              <w:contextualSpacing/>
              <w:jc w:val="center"/>
              <w:rPr>
                <w:rFonts w:ascii="宋体" w:hAnsi="宋体" w:cs="宋体"/>
                <w:color w:val="000000"/>
                <w:kern w:val="0"/>
                <w:sz w:val="24"/>
                <w:highlight w:val="none"/>
              </w:rPr>
            </w:pPr>
          </w:p>
        </w:tc>
      </w:tr>
      <w:tr w14:paraId="7E7EA272">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290CB391">
            <w:pPr>
              <w:widowControl/>
              <w:spacing w:line="360" w:lineRule="auto"/>
              <w:contextualSpacing/>
              <w:jc w:val="center"/>
              <w:rPr>
                <w:rFonts w:ascii="宋体" w:hAnsi="宋体" w:cs="宋体"/>
                <w:color w:val="000000"/>
                <w:kern w:val="0"/>
                <w:sz w:val="24"/>
                <w:highlight w:val="none"/>
              </w:rPr>
            </w:pPr>
            <w:r>
              <w:rPr>
                <w:rFonts w:hint="eastAsia" w:ascii="宋体" w:hAnsi="宋体" w:cs="宋体"/>
                <w:color w:val="000000"/>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5B99EA8C">
            <w:pPr>
              <w:widowControl/>
              <w:spacing w:line="360" w:lineRule="auto"/>
              <w:contextualSpacing/>
              <w:jc w:val="center"/>
              <w:rPr>
                <w:rFonts w:ascii="宋体" w:hAnsi="宋体" w:cs="宋体"/>
                <w:color w:val="000000"/>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152E15EA">
            <w:pPr>
              <w:widowControl/>
              <w:spacing w:line="360" w:lineRule="auto"/>
              <w:contextualSpacing/>
              <w:jc w:val="center"/>
              <w:rPr>
                <w:rFonts w:ascii="宋体" w:hAnsi="宋体" w:cs="宋体"/>
                <w:color w:val="000000"/>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2BBCEC9F">
            <w:pPr>
              <w:widowControl/>
              <w:spacing w:line="360" w:lineRule="auto"/>
              <w:contextualSpacing/>
              <w:jc w:val="center"/>
              <w:rPr>
                <w:rFonts w:ascii="宋体" w:hAnsi="宋体" w:cs="宋体"/>
                <w:color w:val="000000"/>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0F212AB">
            <w:pPr>
              <w:widowControl/>
              <w:spacing w:line="360" w:lineRule="auto"/>
              <w:contextualSpacing/>
              <w:jc w:val="center"/>
              <w:rPr>
                <w:rFonts w:ascii="宋体" w:hAnsi="宋体" w:cs="宋体"/>
                <w:color w:val="000000"/>
                <w:kern w:val="0"/>
                <w:sz w:val="24"/>
                <w:highlight w:val="none"/>
              </w:rPr>
            </w:pPr>
          </w:p>
        </w:tc>
      </w:tr>
    </w:tbl>
    <w:p w14:paraId="549068B7">
      <w:pPr>
        <w:spacing w:line="360" w:lineRule="auto"/>
        <w:contextualSpacing/>
        <w:jc w:val="left"/>
        <w:rPr>
          <w:rFonts w:ascii="宋体" w:hAnsi="宋体" w:cs="仿宋_GB2312"/>
          <w:color w:val="000000"/>
          <w:kern w:val="0"/>
          <w:sz w:val="24"/>
          <w:highlight w:val="none"/>
        </w:rPr>
      </w:pPr>
      <w:r>
        <w:rPr>
          <w:rFonts w:hint="eastAsia" w:ascii="宋体" w:hAnsi="宋体" w:cs="仿宋_GB2312"/>
          <w:color w:val="000000"/>
          <w:kern w:val="0"/>
          <w:sz w:val="24"/>
          <w:highlight w:val="none"/>
        </w:rPr>
        <w:t>注：</w:t>
      </w:r>
    </w:p>
    <w:p w14:paraId="0E06E020">
      <w:pPr>
        <w:spacing w:line="360" w:lineRule="auto"/>
        <w:ind w:firstLine="480" w:firstLineChars="200"/>
        <w:contextualSpacing/>
        <w:jc w:val="left"/>
        <w:rPr>
          <w:rFonts w:ascii="宋体" w:hAnsi="宋体" w:cs="仿宋_GB2312"/>
          <w:color w:val="000000"/>
          <w:kern w:val="0"/>
          <w:sz w:val="24"/>
          <w:highlight w:val="none"/>
        </w:rPr>
      </w:pPr>
      <w:r>
        <w:rPr>
          <w:rFonts w:hint="eastAsia" w:ascii="宋体" w:hAnsi="宋体" w:cs="仿宋_GB2312"/>
          <w:color w:val="000000"/>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5D2D83B">
      <w:pPr>
        <w:spacing w:line="360" w:lineRule="auto"/>
        <w:ind w:firstLine="480" w:firstLineChars="200"/>
        <w:contextualSpacing/>
        <w:jc w:val="left"/>
        <w:rPr>
          <w:rFonts w:ascii="宋体" w:hAnsi="宋体" w:cs="仿宋_GB2312"/>
          <w:color w:val="000000"/>
          <w:kern w:val="0"/>
          <w:sz w:val="24"/>
          <w:highlight w:val="none"/>
        </w:rPr>
      </w:pPr>
      <w:r>
        <w:rPr>
          <w:rFonts w:hint="eastAsia" w:ascii="宋体" w:hAnsi="宋体" w:cs="仿宋_GB2312"/>
          <w:color w:val="000000"/>
          <w:kern w:val="0"/>
          <w:sz w:val="24"/>
          <w:highlight w:val="none"/>
        </w:rPr>
        <w:t>2.本表所指的控股关系仅限于直接控股关系，不包括间接的控股关系。公司实际控制人与公司之间的关系不属于本表所指的直接控股关系。</w:t>
      </w:r>
    </w:p>
    <w:p w14:paraId="75AEC965">
      <w:pPr>
        <w:spacing w:line="360" w:lineRule="auto"/>
        <w:ind w:firstLine="480" w:firstLineChars="200"/>
        <w:contextualSpacing/>
        <w:jc w:val="left"/>
        <w:rPr>
          <w:rFonts w:ascii="宋体" w:hAnsi="宋体" w:cs="仿宋_GB2312"/>
          <w:color w:val="000000"/>
          <w:kern w:val="0"/>
          <w:sz w:val="24"/>
          <w:highlight w:val="none"/>
        </w:rPr>
      </w:pPr>
      <w:r>
        <w:rPr>
          <w:rFonts w:hint="eastAsia" w:ascii="宋体" w:hAnsi="宋体" w:cs="仿宋_GB2312"/>
          <w:color w:val="000000"/>
          <w:kern w:val="0"/>
          <w:sz w:val="24"/>
          <w:highlight w:val="none"/>
        </w:rPr>
        <w:t>3.供应商不存在直接控股股东的，则填“无”。</w:t>
      </w:r>
    </w:p>
    <w:p w14:paraId="3B138253">
      <w:pPr>
        <w:snapToGrid w:val="0"/>
        <w:spacing w:line="360" w:lineRule="auto"/>
        <w:jc w:val="left"/>
        <w:rPr>
          <w:rFonts w:ascii="宋体" w:hAnsi="宋体" w:cs="宋体"/>
          <w:color w:val="000000"/>
          <w:sz w:val="24"/>
          <w:highlight w:val="none"/>
        </w:rPr>
      </w:pPr>
    </w:p>
    <w:p w14:paraId="2F26C81A">
      <w:pPr>
        <w:snapToGrid w:val="0"/>
        <w:spacing w:line="360" w:lineRule="auto"/>
        <w:jc w:val="left"/>
        <w:rPr>
          <w:rFonts w:ascii="宋体" w:hAnsi="宋体" w:cs="宋体"/>
          <w:color w:val="000000"/>
          <w:sz w:val="24"/>
          <w:highlight w:val="none"/>
        </w:rPr>
      </w:pPr>
    </w:p>
    <w:p w14:paraId="0F08E899">
      <w:pPr>
        <w:snapToGrid w:val="0"/>
        <w:spacing w:line="360" w:lineRule="auto"/>
        <w:jc w:val="left"/>
        <w:rPr>
          <w:rFonts w:ascii="宋体" w:hAnsi="宋体" w:cs="宋体"/>
          <w:color w:val="000000"/>
          <w:sz w:val="24"/>
          <w:highlight w:val="none"/>
        </w:rPr>
      </w:pPr>
    </w:p>
    <w:p w14:paraId="2A700989">
      <w:pPr>
        <w:autoSpaceDE w:val="0"/>
        <w:autoSpaceDN w:val="0"/>
        <w:spacing w:line="360" w:lineRule="auto"/>
        <w:ind w:left="4365" w:leftChars="1850" w:hanging="480" w:hangingChars="200"/>
        <w:rPr>
          <w:rFonts w:ascii="宋体" w:hAnsi="宋体" w:cs="仿宋_GB2312"/>
          <w:color w:val="000000"/>
          <w:kern w:val="0"/>
          <w:sz w:val="24"/>
          <w:highlight w:val="none"/>
        </w:rPr>
      </w:pPr>
      <w:r>
        <w:rPr>
          <w:rFonts w:hint="eastAsia" w:ascii="宋体" w:hAnsi="宋体" w:cs="仿宋_GB2312"/>
          <w:color w:val="000000"/>
          <w:kern w:val="0"/>
          <w:sz w:val="24"/>
          <w:highlight w:val="none"/>
        </w:rPr>
        <w:t>供应商名称（电子签章）：</w:t>
      </w:r>
    </w:p>
    <w:p w14:paraId="16C0BAFC">
      <w:pPr>
        <w:autoSpaceDE w:val="0"/>
        <w:autoSpaceDN w:val="0"/>
        <w:spacing w:line="360" w:lineRule="auto"/>
        <w:ind w:firstLine="6120" w:firstLineChars="2550"/>
        <w:rPr>
          <w:rFonts w:ascii="宋体" w:hAnsi="宋体" w:cs="仿宋_GB2312"/>
          <w:b/>
          <w:bCs/>
          <w:color w:val="000000"/>
          <w:sz w:val="24"/>
          <w:highlight w:val="none"/>
        </w:rPr>
      </w:pPr>
      <w:r>
        <w:rPr>
          <w:rFonts w:hint="eastAsia" w:ascii="宋体" w:hAnsi="宋体" w:cs="仿宋_GB2312"/>
          <w:color w:val="000000"/>
          <w:kern w:val="0"/>
          <w:sz w:val="24"/>
          <w:highlight w:val="none"/>
          <w:lang w:val="zh-CN"/>
        </w:rPr>
        <w:t>日期：  年  月   日</w:t>
      </w:r>
    </w:p>
    <w:p w14:paraId="2CE5DA24">
      <w:pPr>
        <w:snapToGrid w:val="0"/>
        <w:rPr>
          <w:rFonts w:ascii="宋体" w:hAnsi="宋体" w:cs="仿宋_GB2312"/>
          <w:b/>
          <w:color w:val="000000"/>
          <w:kern w:val="0"/>
          <w:sz w:val="30"/>
          <w:szCs w:val="30"/>
          <w:highlight w:val="none"/>
        </w:rPr>
      </w:pPr>
    </w:p>
    <w:p w14:paraId="495EC60E">
      <w:pPr>
        <w:rPr>
          <w:rFonts w:ascii="Calibri" w:hAnsi="Calibri"/>
          <w:color w:val="000000"/>
          <w:highlight w:val="none"/>
        </w:rPr>
      </w:pPr>
    </w:p>
    <w:p w14:paraId="2C976B95">
      <w:pPr>
        <w:rPr>
          <w:rFonts w:ascii="Calibri" w:hAnsi="Calibri"/>
          <w:color w:val="000000"/>
          <w:highlight w:val="none"/>
        </w:rPr>
      </w:pPr>
    </w:p>
    <w:p w14:paraId="235BCAD1">
      <w:pPr>
        <w:rPr>
          <w:rFonts w:ascii="Calibri" w:hAnsi="Calibri"/>
          <w:color w:val="000000"/>
          <w:highlight w:val="none"/>
        </w:rPr>
      </w:pPr>
    </w:p>
    <w:p w14:paraId="25BBC014">
      <w:pPr>
        <w:rPr>
          <w:rFonts w:ascii="Calibri" w:hAnsi="Calibri"/>
          <w:color w:val="000000"/>
          <w:highlight w:val="none"/>
        </w:rPr>
      </w:pPr>
    </w:p>
    <w:p w14:paraId="69669EBB">
      <w:pPr>
        <w:rPr>
          <w:rFonts w:ascii="Calibri" w:hAnsi="Calibri"/>
          <w:color w:val="000000"/>
          <w:highlight w:val="none"/>
        </w:rPr>
      </w:pPr>
    </w:p>
    <w:p w14:paraId="3D9F4CCA">
      <w:pPr>
        <w:rPr>
          <w:rFonts w:ascii="Calibri" w:hAnsi="Calibri"/>
          <w:color w:val="000000"/>
          <w:highlight w:val="none"/>
        </w:rPr>
      </w:pPr>
    </w:p>
    <w:p w14:paraId="55A73B83">
      <w:pPr>
        <w:rPr>
          <w:rFonts w:ascii="Calibri" w:hAnsi="Calibri"/>
          <w:color w:val="000000"/>
          <w:highlight w:val="none"/>
        </w:rPr>
      </w:pPr>
    </w:p>
    <w:p w14:paraId="7EE3A35D">
      <w:pPr>
        <w:rPr>
          <w:rFonts w:ascii="Calibri" w:hAnsi="Calibri"/>
          <w:color w:val="000000"/>
          <w:highlight w:val="none"/>
        </w:rPr>
      </w:pPr>
    </w:p>
    <w:p w14:paraId="51B99AE5">
      <w:pPr>
        <w:rPr>
          <w:rFonts w:ascii="Calibri" w:hAnsi="Calibri"/>
          <w:color w:val="000000"/>
          <w:highlight w:val="none"/>
        </w:rPr>
      </w:pPr>
    </w:p>
    <w:p w14:paraId="39B72639">
      <w:pPr>
        <w:pStyle w:val="7"/>
        <w:rPr>
          <w:color w:val="000000"/>
          <w:highlight w:val="none"/>
        </w:rPr>
      </w:pPr>
    </w:p>
    <w:p w14:paraId="4E4CE44E">
      <w:pPr>
        <w:rPr>
          <w:rFonts w:ascii="Calibri" w:hAnsi="Calibri"/>
          <w:color w:val="000000"/>
          <w:highlight w:val="none"/>
        </w:rPr>
      </w:pPr>
    </w:p>
    <w:p w14:paraId="3DE38FED">
      <w:pPr>
        <w:rPr>
          <w:rFonts w:ascii="Calibri" w:hAnsi="Calibri"/>
          <w:color w:val="000000"/>
          <w:highlight w:val="none"/>
        </w:rPr>
      </w:pPr>
    </w:p>
    <w:p w14:paraId="2E11DF89">
      <w:pPr>
        <w:snapToGrid w:val="0"/>
        <w:jc w:val="center"/>
        <w:rPr>
          <w:rFonts w:ascii="宋体" w:hAnsi="宋体" w:cs="仿宋_GB2312"/>
          <w:b/>
          <w:color w:val="000000"/>
          <w:kern w:val="0"/>
          <w:sz w:val="36"/>
          <w:szCs w:val="36"/>
          <w:highlight w:val="none"/>
        </w:rPr>
      </w:pPr>
      <w:r>
        <w:rPr>
          <w:rFonts w:hint="eastAsia" w:ascii="宋体" w:hAnsi="宋体" w:cs="仿宋_GB2312"/>
          <w:b/>
          <w:color w:val="000000"/>
          <w:kern w:val="0"/>
          <w:sz w:val="36"/>
          <w:szCs w:val="36"/>
          <w:highlight w:val="none"/>
        </w:rPr>
        <w:t>供应商直接管理关系信息表</w:t>
      </w:r>
    </w:p>
    <w:p w14:paraId="021A1948">
      <w:pPr>
        <w:snapToGrid w:val="0"/>
        <w:spacing w:line="360" w:lineRule="auto"/>
        <w:jc w:val="center"/>
        <w:rPr>
          <w:rFonts w:ascii="宋体" w:hAnsi="宋体"/>
          <w:b/>
          <w:color w:val="000000"/>
          <w:sz w:val="24"/>
          <w:highlight w:val="none"/>
        </w:rPr>
      </w:pPr>
    </w:p>
    <w:tbl>
      <w:tblPr>
        <w:tblStyle w:val="15"/>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0FC97D13">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35590990">
            <w:pPr>
              <w:widowControl/>
              <w:spacing w:line="360" w:lineRule="auto"/>
              <w:contextualSpacing/>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1C70785D">
            <w:pPr>
              <w:widowControl/>
              <w:spacing w:line="360" w:lineRule="auto"/>
              <w:contextualSpacing/>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303393BD">
            <w:pPr>
              <w:widowControl/>
              <w:spacing w:line="360" w:lineRule="auto"/>
              <w:contextualSpacing/>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2B66F798">
            <w:pPr>
              <w:widowControl/>
              <w:spacing w:line="360" w:lineRule="auto"/>
              <w:contextualSpacing/>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备注</w:t>
            </w:r>
          </w:p>
        </w:tc>
      </w:tr>
      <w:tr w14:paraId="00EB883B">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60202242">
            <w:pPr>
              <w:widowControl/>
              <w:spacing w:line="360" w:lineRule="auto"/>
              <w:contextualSpacing/>
              <w:jc w:val="center"/>
              <w:rPr>
                <w:rFonts w:ascii="宋体" w:hAnsi="宋体" w:cs="宋体"/>
                <w:color w:val="000000"/>
                <w:kern w:val="0"/>
                <w:sz w:val="24"/>
                <w:highlight w:val="none"/>
              </w:rPr>
            </w:pPr>
            <w:r>
              <w:rPr>
                <w:rFonts w:hint="eastAsia" w:ascii="宋体" w:hAnsi="宋体" w:cs="宋体"/>
                <w:color w:val="000000"/>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3C56B89C">
            <w:pPr>
              <w:widowControl/>
              <w:spacing w:line="360" w:lineRule="auto"/>
              <w:contextualSpacing/>
              <w:jc w:val="center"/>
              <w:rPr>
                <w:rFonts w:ascii="宋体" w:hAnsi="宋体" w:cs="宋体"/>
                <w:color w:val="000000"/>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4B5B973F">
            <w:pPr>
              <w:widowControl/>
              <w:spacing w:line="360" w:lineRule="auto"/>
              <w:contextualSpacing/>
              <w:jc w:val="center"/>
              <w:rPr>
                <w:rFonts w:ascii="宋体" w:hAnsi="宋体" w:cs="宋体"/>
                <w:color w:val="000000"/>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1473E81B">
            <w:pPr>
              <w:widowControl/>
              <w:spacing w:line="360" w:lineRule="auto"/>
              <w:contextualSpacing/>
              <w:jc w:val="center"/>
              <w:rPr>
                <w:rFonts w:ascii="宋体" w:hAnsi="宋体" w:cs="宋体"/>
                <w:color w:val="000000"/>
                <w:kern w:val="0"/>
                <w:sz w:val="24"/>
                <w:highlight w:val="none"/>
              </w:rPr>
            </w:pPr>
          </w:p>
        </w:tc>
      </w:tr>
      <w:tr w14:paraId="244513E0">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4F5FE4C2">
            <w:pPr>
              <w:widowControl/>
              <w:spacing w:line="360" w:lineRule="auto"/>
              <w:contextualSpacing/>
              <w:jc w:val="center"/>
              <w:rPr>
                <w:rFonts w:ascii="宋体" w:hAnsi="宋体" w:cs="宋体"/>
                <w:color w:val="000000"/>
                <w:kern w:val="0"/>
                <w:sz w:val="24"/>
                <w:highlight w:val="none"/>
              </w:rPr>
            </w:pPr>
            <w:r>
              <w:rPr>
                <w:rFonts w:hint="eastAsia" w:ascii="宋体" w:hAnsi="宋体" w:cs="宋体"/>
                <w:color w:val="000000"/>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438CEC39">
            <w:pPr>
              <w:widowControl/>
              <w:spacing w:line="360" w:lineRule="auto"/>
              <w:contextualSpacing/>
              <w:jc w:val="center"/>
              <w:rPr>
                <w:rFonts w:ascii="宋体" w:hAnsi="宋体" w:cs="宋体"/>
                <w:color w:val="000000"/>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56D6AE9C">
            <w:pPr>
              <w:widowControl/>
              <w:spacing w:line="360" w:lineRule="auto"/>
              <w:contextualSpacing/>
              <w:jc w:val="center"/>
              <w:rPr>
                <w:rFonts w:ascii="宋体" w:hAnsi="宋体" w:cs="宋体"/>
                <w:color w:val="000000"/>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41FC4C1C">
            <w:pPr>
              <w:widowControl/>
              <w:spacing w:line="360" w:lineRule="auto"/>
              <w:contextualSpacing/>
              <w:jc w:val="center"/>
              <w:rPr>
                <w:rFonts w:ascii="宋体" w:hAnsi="宋体" w:cs="宋体"/>
                <w:color w:val="000000"/>
                <w:kern w:val="0"/>
                <w:sz w:val="24"/>
                <w:highlight w:val="none"/>
              </w:rPr>
            </w:pPr>
          </w:p>
        </w:tc>
      </w:tr>
      <w:tr w14:paraId="0495B45B">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6F4CA646">
            <w:pPr>
              <w:widowControl/>
              <w:spacing w:line="360" w:lineRule="auto"/>
              <w:contextualSpacing/>
              <w:jc w:val="center"/>
              <w:rPr>
                <w:rFonts w:ascii="宋体" w:hAnsi="宋体" w:cs="宋体"/>
                <w:color w:val="000000"/>
                <w:kern w:val="0"/>
                <w:sz w:val="24"/>
                <w:highlight w:val="none"/>
              </w:rPr>
            </w:pPr>
            <w:r>
              <w:rPr>
                <w:rFonts w:hint="eastAsia" w:ascii="宋体" w:hAnsi="宋体" w:cs="宋体"/>
                <w:color w:val="000000"/>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2487C9E3">
            <w:pPr>
              <w:widowControl/>
              <w:spacing w:line="360" w:lineRule="auto"/>
              <w:contextualSpacing/>
              <w:jc w:val="center"/>
              <w:rPr>
                <w:rFonts w:ascii="宋体" w:hAnsi="宋体" w:cs="宋体"/>
                <w:color w:val="000000"/>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6AA7AD54">
            <w:pPr>
              <w:widowControl/>
              <w:spacing w:line="360" w:lineRule="auto"/>
              <w:contextualSpacing/>
              <w:jc w:val="center"/>
              <w:rPr>
                <w:rFonts w:ascii="宋体" w:hAnsi="宋体" w:cs="宋体"/>
                <w:color w:val="000000"/>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8FC605B">
            <w:pPr>
              <w:widowControl/>
              <w:spacing w:line="360" w:lineRule="auto"/>
              <w:contextualSpacing/>
              <w:jc w:val="center"/>
              <w:rPr>
                <w:rFonts w:ascii="宋体" w:hAnsi="宋体" w:cs="宋体"/>
                <w:color w:val="000000"/>
                <w:kern w:val="0"/>
                <w:sz w:val="24"/>
                <w:highlight w:val="none"/>
              </w:rPr>
            </w:pPr>
          </w:p>
        </w:tc>
      </w:tr>
      <w:tr w14:paraId="3287A75A">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4B8BE738">
            <w:pPr>
              <w:widowControl/>
              <w:spacing w:line="360" w:lineRule="auto"/>
              <w:contextualSpacing/>
              <w:jc w:val="center"/>
              <w:rPr>
                <w:rFonts w:ascii="宋体" w:hAnsi="宋体" w:cs="宋体"/>
                <w:color w:val="000000"/>
                <w:kern w:val="0"/>
                <w:sz w:val="24"/>
                <w:highlight w:val="none"/>
              </w:rPr>
            </w:pPr>
            <w:r>
              <w:rPr>
                <w:rFonts w:hint="eastAsia" w:ascii="宋体" w:hAnsi="宋体" w:cs="宋体"/>
                <w:color w:val="000000"/>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627A5662">
            <w:pPr>
              <w:widowControl/>
              <w:spacing w:line="360" w:lineRule="auto"/>
              <w:contextualSpacing/>
              <w:jc w:val="center"/>
              <w:rPr>
                <w:rFonts w:ascii="宋体" w:hAnsi="宋体" w:cs="宋体"/>
                <w:color w:val="000000"/>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5D91F57A">
            <w:pPr>
              <w:widowControl/>
              <w:spacing w:line="360" w:lineRule="auto"/>
              <w:contextualSpacing/>
              <w:jc w:val="center"/>
              <w:rPr>
                <w:rFonts w:ascii="宋体" w:hAnsi="宋体" w:cs="宋体"/>
                <w:color w:val="000000"/>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CF7AA62">
            <w:pPr>
              <w:widowControl/>
              <w:spacing w:line="360" w:lineRule="auto"/>
              <w:contextualSpacing/>
              <w:jc w:val="center"/>
              <w:rPr>
                <w:rFonts w:ascii="宋体" w:hAnsi="宋体" w:cs="宋体"/>
                <w:color w:val="000000"/>
                <w:kern w:val="0"/>
                <w:sz w:val="24"/>
                <w:highlight w:val="none"/>
              </w:rPr>
            </w:pPr>
          </w:p>
        </w:tc>
      </w:tr>
    </w:tbl>
    <w:p w14:paraId="3EF21D9B">
      <w:pPr>
        <w:spacing w:line="360" w:lineRule="auto"/>
        <w:ind w:firstLine="480" w:firstLineChars="200"/>
        <w:contextualSpacing/>
        <w:jc w:val="left"/>
        <w:rPr>
          <w:rFonts w:ascii="宋体" w:hAnsi="宋体" w:cs="仿宋_GB2312"/>
          <w:color w:val="000000"/>
          <w:kern w:val="0"/>
          <w:sz w:val="24"/>
          <w:highlight w:val="none"/>
        </w:rPr>
      </w:pPr>
      <w:r>
        <w:rPr>
          <w:rFonts w:hint="eastAsia" w:ascii="宋体" w:hAnsi="宋体" w:cs="仿宋_GB2312"/>
          <w:color w:val="000000"/>
          <w:kern w:val="0"/>
          <w:sz w:val="24"/>
          <w:highlight w:val="none"/>
        </w:rPr>
        <w:t>注：</w:t>
      </w:r>
    </w:p>
    <w:p w14:paraId="1D4BA300">
      <w:pPr>
        <w:spacing w:line="360" w:lineRule="auto"/>
        <w:ind w:firstLine="480" w:firstLineChars="200"/>
        <w:contextualSpacing/>
        <w:jc w:val="left"/>
        <w:rPr>
          <w:rFonts w:ascii="宋体" w:hAnsi="宋体" w:cs="仿宋_GB2312"/>
          <w:color w:val="000000"/>
          <w:kern w:val="0"/>
          <w:sz w:val="24"/>
          <w:highlight w:val="none"/>
        </w:rPr>
      </w:pPr>
      <w:r>
        <w:rPr>
          <w:rFonts w:hint="eastAsia" w:ascii="宋体" w:hAnsi="宋体" w:cs="仿宋_GB2312"/>
          <w:color w:val="000000"/>
          <w:kern w:val="0"/>
          <w:sz w:val="24"/>
          <w:highlight w:val="none"/>
        </w:rPr>
        <w:t>1.管理关系：是指不具有出资持股关系的其他单位之间存在的管理与被管理关系，如一些上下级关系的事业单位和团体组织。</w:t>
      </w:r>
    </w:p>
    <w:p w14:paraId="1EBA7BB0">
      <w:pPr>
        <w:spacing w:line="360" w:lineRule="auto"/>
        <w:ind w:firstLine="480" w:firstLineChars="200"/>
        <w:contextualSpacing/>
        <w:jc w:val="left"/>
        <w:rPr>
          <w:rFonts w:ascii="宋体" w:hAnsi="宋体" w:cs="仿宋_GB2312"/>
          <w:color w:val="000000"/>
          <w:kern w:val="0"/>
          <w:sz w:val="24"/>
          <w:highlight w:val="none"/>
        </w:rPr>
      </w:pPr>
      <w:r>
        <w:rPr>
          <w:rFonts w:hint="eastAsia" w:ascii="宋体" w:hAnsi="宋体" w:cs="仿宋_GB2312"/>
          <w:color w:val="000000"/>
          <w:kern w:val="0"/>
          <w:sz w:val="24"/>
          <w:highlight w:val="none"/>
        </w:rPr>
        <w:t>2.本表所指的管理关系仅限于直接管理关系，不包括间接的管理关系。</w:t>
      </w:r>
    </w:p>
    <w:p w14:paraId="461B08EC">
      <w:pPr>
        <w:spacing w:line="360" w:lineRule="auto"/>
        <w:ind w:firstLine="480" w:firstLineChars="200"/>
        <w:contextualSpacing/>
        <w:jc w:val="left"/>
        <w:rPr>
          <w:rFonts w:ascii="宋体" w:hAnsi="宋体" w:cs="仿宋_GB2312"/>
          <w:color w:val="000000"/>
          <w:kern w:val="0"/>
          <w:sz w:val="24"/>
          <w:highlight w:val="none"/>
        </w:rPr>
      </w:pPr>
      <w:r>
        <w:rPr>
          <w:rFonts w:hint="eastAsia" w:ascii="宋体" w:hAnsi="宋体" w:cs="仿宋_GB2312"/>
          <w:color w:val="000000"/>
          <w:kern w:val="0"/>
          <w:sz w:val="24"/>
          <w:highlight w:val="none"/>
        </w:rPr>
        <w:t>3.供应商不存在直接管理关系的，则填“无”。</w:t>
      </w:r>
    </w:p>
    <w:p w14:paraId="38B52BA3">
      <w:pPr>
        <w:spacing w:line="360" w:lineRule="auto"/>
        <w:contextualSpacing/>
        <w:jc w:val="left"/>
        <w:rPr>
          <w:rFonts w:ascii="宋体" w:hAnsi="宋体"/>
          <w:color w:val="000000"/>
          <w:sz w:val="24"/>
          <w:highlight w:val="none"/>
        </w:rPr>
      </w:pPr>
    </w:p>
    <w:p w14:paraId="344E802A">
      <w:pPr>
        <w:autoSpaceDE w:val="0"/>
        <w:autoSpaceDN w:val="0"/>
        <w:spacing w:line="360" w:lineRule="auto"/>
        <w:ind w:left="4365" w:leftChars="1850" w:hanging="480" w:hangingChars="200"/>
        <w:rPr>
          <w:rFonts w:ascii="宋体" w:hAnsi="宋体" w:cs="仿宋_GB2312"/>
          <w:color w:val="000000"/>
          <w:kern w:val="0"/>
          <w:sz w:val="24"/>
          <w:highlight w:val="none"/>
        </w:rPr>
      </w:pPr>
      <w:r>
        <w:rPr>
          <w:rFonts w:hint="eastAsia" w:ascii="宋体" w:hAnsi="宋体" w:cs="仿宋_GB2312"/>
          <w:color w:val="000000"/>
          <w:kern w:val="0"/>
          <w:sz w:val="24"/>
          <w:highlight w:val="none"/>
        </w:rPr>
        <w:t>供应商名称（电子签章）：</w:t>
      </w:r>
    </w:p>
    <w:p w14:paraId="5DDCF182">
      <w:pPr>
        <w:autoSpaceDE w:val="0"/>
        <w:autoSpaceDN w:val="0"/>
        <w:spacing w:line="360" w:lineRule="auto"/>
        <w:ind w:firstLine="6120" w:firstLineChars="2550"/>
        <w:rPr>
          <w:rFonts w:ascii="宋体" w:hAnsi="宋体" w:cs="仿宋_GB2312"/>
          <w:b/>
          <w:bCs/>
          <w:color w:val="000000"/>
          <w:sz w:val="24"/>
          <w:highlight w:val="none"/>
        </w:rPr>
      </w:pPr>
      <w:r>
        <w:rPr>
          <w:rFonts w:hint="eastAsia" w:ascii="宋体" w:hAnsi="宋体" w:cs="仿宋_GB2312"/>
          <w:color w:val="000000"/>
          <w:kern w:val="0"/>
          <w:sz w:val="24"/>
          <w:highlight w:val="none"/>
          <w:lang w:val="zh-CN"/>
        </w:rPr>
        <w:t>日期：  年  月   日</w:t>
      </w:r>
    </w:p>
    <w:p w14:paraId="4C971395">
      <w:pPr>
        <w:spacing w:line="360" w:lineRule="auto"/>
        <w:ind w:right="480" w:firstLine="280" w:firstLineChars="100"/>
        <w:contextualSpacing/>
        <w:jc w:val="center"/>
        <w:rPr>
          <w:rFonts w:ascii="宋体" w:hAnsi="宋体"/>
          <w:color w:val="000000"/>
          <w:sz w:val="28"/>
          <w:szCs w:val="28"/>
          <w:highlight w:val="none"/>
        </w:rPr>
      </w:pPr>
    </w:p>
    <w:p w14:paraId="01B5429B">
      <w:pPr>
        <w:numPr>
          <w:ilvl w:val="0"/>
          <w:numId w:val="0"/>
        </w:numPr>
        <w:jc w:val="center"/>
        <w:rPr>
          <w:rFonts w:ascii="宋体" w:hAnsi="宋体"/>
          <w:b/>
          <w:color w:val="000000"/>
          <w:sz w:val="36"/>
          <w:szCs w:val="36"/>
          <w:highlight w:val="none"/>
        </w:rPr>
      </w:pPr>
      <w:r>
        <w:rPr>
          <w:rFonts w:ascii="宋体" w:hAnsi="宋体"/>
          <w:color w:val="000000"/>
          <w:sz w:val="28"/>
          <w:szCs w:val="28"/>
          <w:highlight w:val="none"/>
        </w:rPr>
        <w:br w:type="page"/>
      </w:r>
      <w:r>
        <w:rPr>
          <w:rFonts w:hint="eastAsia" w:ascii="宋体" w:hAnsi="宋体"/>
          <w:b/>
          <w:color w:val="000000"/>
          <w:sz w:val="36"/>
          <w:szCs w:val="36"/>
          <w:highlight w:val="none"/>
        </w:rPr>
        <w:t>资格声明函</w:t>
      </w:r>
    </w:p>
    <w:p w14:paraId="5BBC40A7">
      <w:pPr>
        <w:spacing w:line="320" w:lineRule="exact"/>
        <w:jc w:val="center"/>
        <w:rPr>
          <w:rFonts w:ascii="宋体" w:hAnsi="宋体"/>
          <w:color w:val="000000"/>
          <w:sz w:val="24"/>
          <w:szCs w:val="20"/>
          <w:highlight w:val="none"/>
        </w:rPr>
      </w:pPr>
    </w:p>
    <w:p w14:paraId="68166015">
      <w:pPr>
        <w:spacing w:line="360" w:lineRule="auto"/>
        <w:contextualSpacing/>
        <w:rPr>
          <w:rFonts w:ascii="宋体" w:hAnsi="宋体" w:cs="宋体"/>
          <w:color w:val="000000"/>
          <w:sz w:val="24"/>
          <w:highlight w:val="none"/>
        </w:rPr>
      </w:pPr>
      <w:r>
        <w:rPr>
          <w:rFonts w:hint="eastAsia" w:ascii="宋体" w:hAnsi="宋体" w:cs="宋体"/>
          <w:color w:val="000000"/>
          <w:sz w:val="24"/>
          <w:highlight w:val="none"/>
        </w:rPr>
        <w:t>致：</w:t>
      </w:r>
      <w:r>
        <w:rPr>
          <w:rFonts w:hint="eastAsia" w:ascii="宋体" w:hAnsi="宋体" w:eastAsia="宋体" w:cs="宋体"/>
          <w:color w:val="000000"/>
          <w:sz w:val="24"/>
          <w:highlight w:val="none"/>
          <w:u w:val="single"/>
        </w:rPr>
        <w:t>（采购代理机构名称）</w:t>
      </w:r>
      <w:r>
        <w:rPr>
          <w:rFonts w:hint="eastAsia" w:ascii="宋体" w:hAnsi="宋体" w:cs="宋体"/>
          <w:color w:val="000000"/>
          <w:sz w:val="24"/>
          <w:highlight w:val="none"/>
        </w:rPr>
        <w:t>：</w:t>
      </w:r>
    </w:p>
    <w:p w14:paraId="1ED55927">
      <w:pPr>
        <w:spacing w:line="360" w:lineRule="auto"/>
        <w:ind w:firstLine="480" w:firstLineChars="200"/>
        <w:contextualSpacing/>
        <w:rPr>
          <w:rFonts w:ascii="宋体" w:hAnsi="宋体" w:cs="宋体"/>
          <w:color w:val="000000"/>
          <w:sz w:val="24"/>
          <w:highlight w:val="none"/>
        </w:rPr>
      </w:pPr>
      <w:r>
        <w:rPr>
          <w:rFonts w:hint="eastAsia" w:ascii="宋体" w:hAnsi="宋体" w:cs="宋体"/>
          <w:color w:val="000000"/>
          <w:sz w:val="24"/>
          <w:highlight w:val="none"/>
          <w:u w:val="single"/>
        </w:rPr>
        <w:t>（供应商名称）</w:t>
      </w:r>
      <w:r>
        <w:rPr>
          <w:rFonts w:hint="eastAsia" w:ascii="宋体" w:hAnsi="宋体" w:cs="宋体"/>
          <w:color w:val="000000"/>
          <w:sz w:val="24"/>
          <w:highlight w:val="none"/>
        </w:rPr>
        <w:t>系中华人民共和国合法供应商，经营地址</w:t>
      </w:r>
      <w:r>
        <w:rPr>
          <w:rFonts w:hint="eastAsia" w:ascii="宋体" w:hAnsi="宋体" w:cs="宋体"/>
          <w:color w:val="000000"/>
          <w:sz w:val="24"/>
          <w:highlight w:val="none"/>
          <w:u w:val="single"/>
          <w:lang w:val="en-US" w:eastAsia="zh-CN"/>
        </w:rPr>
        <w:t xml:space="preserve">                      </w:t>
      </w:r>
      <w:r>
        <w:rPr>
          <w:rFonts w:hint="eastAsia" w:ascii="宋体" w:hAnsi="宋体" w:cs="宋体"/>
          <w:color w:val="000000"/>
          <w:sz w:val="24"/>
          <w:highlight w:val="none"/>
        </w:rPr>
        <w:t>。</w:t>
      </w:r>
    </w:p>
    <w:p w14:paraId="1F42731F">
      <w:pPr>
        <w:spacing w:line="360" w:lineRule="auto"/>
        <w:ind w:firstLine="480" w:firstLineChars="200"/>
        <w:contextualSpacing/>
        <w:rPr>
          <w:rFonts w:ascii="宋体" w:hAnsi="宋体" w:cs="宋体"/>
          <w:color w:val="000000"/>
          <w:sz w:val="24"/>
          <w:highlight w:val="none"/>
        </w:rPr>
      </w:pPr>
      <w:r>
        <w:rPr>
          <w:rFonts w:hint="eastAsia" w:ascii="宋体" w:hAnsi="宋体" w:cs="宋体"/>
          <w:color w:val="000000"/>
          <w:sz w:val="24"/>
          <w:highlight w:val="none"/>
        </w:rPr>
        <w:t>我方愿意参加贵方组织的</w:t>
      </w:r>
      <w:r>
        <w:rPr>
          <w:rFonts w:hint="eastAsia" w:ascii="宋体" w:hAnsi="宋体" w:cs="宋体"/>
          <w:color w:val="000000"/>
          <w:sz w:val="24"/>
          <w:highlight w:val="none"/>
          <w:u w:val="single"/>
          <w:lang w:val="en-US" w:eastAsia="zh-CN"/>
        </w:rPr>
        <w:t xml:space="preserve">       </w:t>
      </w:r>
      <w:r>
        <w:rPr>
          <w:rFonts w:hint="eastAsia" w:ascii="宋体" w:hAnsi="宋体" w:eastAsia="宋体" w:cs="宋体"/>
          <w:color w:val="000000"/>
          <w:sz w:val="24"/>
          <w:highlight w:val="none"/>
          <w:u w:val="single"/>
        </w:rPr>
        <w:t>（项目名称</w:t>
      </w:r>
      <w:r>
        <w:rPr>
          <w:rFonts w:hint="eastAsia" w:ascii="宋体" w:hAnsi="宋体" w:cs="宋体"/>
          <w:color w:val="000000"/>
          <w:sz w:val="24"/>
          <w:highlight w:val="none"/>
          <w:u w:val="single"/>
        </w:rPr>
        <w:t>）</w:t>
      </w:r>
      <w:r>
        <w:rPr>
          <w:rFonts w:hint="eastAsia" w:ascii="宋体" w:hAnsi="宋体" w:cs="宋体"/>
          <w:color w:val="000000"/>
          <w:sz w:val="24"/>
          <w:highlight w:val="none"/>
        </w:rPr>
        <w:t>项目的竞标，为便于贵方公正、择优地确定成交供应商及其竞标产品和服务，我方就本次竞标有关事项郑重声明如下：</w:t>
      </w:r>
    </w:p>
    <w:p w14:paraId="532F49EE">
      <w:pPr>
        <w:spacing w:line="360" w:lineRule="auto"/>
        <w:ind w:firstLine="480" w:firstLineChars="200"/>
        <w:contextualSpacing/>
        <w:rPr>
          <w:rFonts w:ascii="宋体" w:hAnsi="宋体" w:cs="宋体"/>
          <w:color w:val="000000"/>
          <w:sz w:val="24"/>
          <w:highlight w:val="none"/>
        </w:rPr>
      </w:pPr>
      <w:r>
        <w:rPr>
          <w:rFonts w:hint="eastAsia" w:ascii="宋体" w:hAnsi="宋体" w:cs="宋体"/>
          <w:color w:val="000000"/>
          <w:sz w:val="24"/>
          <w:highlight w:val="none"/>
        </w:rPr>
        <w:t>1.我方向贵方提交的所有响应文件、资料都是准确的和真实的。</w:t>
      </w:r>
    </w:p>
    <w:p w14:paraId="1AD92895">
      <w:pPr>
        <w:spacing w:line="360" w:lineRule="auto"/>
        <w:ind w:firstLine="480" w:firstLineChars="200"/>
        <w:contextualSpacing/>
        <w:rPr>
          <w:rFonts w:ascii="宋体" w:hAnsi="宋体" w:cs="宋体"/>
          <w:color w:val="000000"/>
          <w:sz w:val="24"/>
          <w:highlight w:val="none"/>
        </w:rPr>
      </w:pPr>
      <w:r>
        <w:rPr>
          <w:rFonts w:hint="eastAsia" w:ascii="宋体" w:hAnsi="宋体" w:cs="宋体"/>
          <w:color w:val="000000"/>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496BE4D0">
      <w:pPr>
        <w:spacing w:line="360" w:lineRule="auto"/>
        <w:ind w:firstLine="480" w:firstLineChars="200"/>
        <w:contextualSpacing/>
        <w:rPr>
          <w:rFonts w:ascii="宋体" w:hAnsi="宋体" w:cs="宋体"/>
          <w:color w:val="000000"/>
          <w:sz w:val="24"/>
          <w:highlight w:val="none"/>
        </w:rPr>
      </w:pPr>
      <w:r>
        <w:rPr>
          <w:rFonts w:hint="eastAsia" w:ascii="宋体" w:hAnsi="宋体" w:cs="宋体"/>
          <w:color w:val="000000"/>
          <w:sz w:val="24"/>
          <w:highlight w:val="none"/>
        </w:rPr>
        <w:t>3.在此，我方宣布同意如下：</w:t>
      </w:r>
    </w:p>
    <w:p w14:paraId="4F848A19">
      <w:pPr>
        <w:spacing w:line="360" w:lineRule="auto"/>
        <w:ind w:firstLine="480" w:firstLineChars="200"/>
        <w:contextualSpacing/>
        <w:rPr>
          <w:rFonts w:ascii="宋体" w:hAnsi="宋体" w:cs="宋体"/>
          <w:color w:val="000000"/>
          <w:sz w:val="24"/>
          <w:highlight w:val="none"/>
        </w:rPr>
      </w:pPr>
      <w:r>
        <w:rPr>
          <w:rFonts w:hint="eastAsia" w:ascii="宋体" w:hAnsi="宋体" w:cs="宋体"/>
          <w:color w:val="000000"/>
          <w:sz w:val="24"/>
          <w:highlight w:val="none"/>
        </w:rPr>
        <w:t>（1）将按磋商文件的约定履行合同责任和义务；</w:t>
      </w:r>
    </w:p>
    <w:p w14:paraId="200A7E98">
      <w:pPr>
        <w:spacing w:line="360" w:lineRule="auto"/>
        <w:ind w:firstLine="480" w:firstLineChars="200"/>
        <w:contextualSpacing/>
        <w:rPr>
          <w:rFonts w:ascii="宋体" w:hAnsi="宋体" w:cs="宋体"/>
          <w:color w:val="000000"/>
          <w:sz w:val="24"/>
          <w:highlight w:val="none"/>
        </w:rPr>
      </w:pPr>
      <w:r>
        <w:rPr>
          <w:rFonts w:hint="eastAsia" w:ascii="宋体" w:hAnsi="宋体" w:cs="宋体"/>
          <w:color w:val="000000"/>
          <w:sz w:val="24"/>
          <w:highlight w:val="none"/>
        </w:rPr>
        <w:t>（2）已详细审查全部磋商文件，包括澄清或者更正公告（如有）；</w:t>
      </w:r>
    </w:p>
    <w:p w14:paraId="398013D5">
      <w:pPr>
        <w:spacing w:line="360" w:lineRule="auto"/>
        <w:ind w:firstLine="480" w:firstLineChars="200"/>
        <w:contextualSpacing/>
        <w:rPr>
          <w:rFonts w:ascii="宋体" w:hAnsi="宋体" w:cs="宋体"/>
          <w:color w:val="000000"/>
          <w:sz w:val="24"/>
          <w:highlight w:val="none"/>
        </w:rPr>
      </w:pPr>
      <w:r>
        <w:rPr>
          <w:rFonts w:hint="eastAsia" w:ascii="宋体" w:hAnsi="宋体" w:cs="宋体"/>
          <w:color w:val="000000"/>
          <w:sz w:val="24"/>
          <w:highlight w:val="none"/>
        </w:rPr>
        <w:t>（3）同意提供按照贵方可能要求的与谈判有关的一切数据或者资料；</w:t>
      </w:r>
    </w:p>
    <w:p w14:paraId="00FA658D">
      <w:pPr>
        <w:spacing w:line="360" w:lineRule="auto"/>
        <w:ind w:firstLine="480" w:firstLineChars="200"/>
        <w:contextualSpacing/>
        <w:rPr>
          <w:rFonts w:ascii="宋体" w:hAnsi="宋体" w:cs="宋体"/>
          <w:color w:val="000000"/>
          <w:sz w:val="24"/>
          <w:highlight w:val="none"/>
        </w:rPr>
      </w:pPr>
      <w:r>
        <w:rPr>
          <w:rFonts w:hint="eastAsia" w:ascii="宋体" w:hAnsi="宋体" w:cs="宋体"/>
          <w:color w:val="000000"/>
          <w:sz w:val="24"/>
          <w:highlight w:val="none"/>
        </w:rPr>
        <w:t>（4）响应磋商文件规定的竞标有效期。</w:t>
      </w:r>
    </w:p>
    <w:p w14:paraId="32CDED8C">
      <w:pPr>
        <w:spacing w:line="360" w:lineRule="auto"/>
        <w:ind w:firstLine="480" w:firstLineChars="200"/>
        <w:contextualSpacing/>
        <w:rPr>
          <w:rFonts w:ascii="宋体" w:hAnsi="宋体" w:cs="宋体"/>
          <w:color w:val="000000"/>
          <w:sz w:val="24"/>
          <w:highlight w:val="none"/>
        </w:rPr>
      </w:pPr>
      <w:r>
        <w:rPr>
          <w:rFonts w:hint="eastAsia" w:ascii="宋体" w:hAnsi="宋体" w:cs="宋体"/>
          <w:color w:val="000000"/>
          <w:sz w:val="24"/>
          <w:highlight w:val="none"/>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14:paraId="2D8284C0">
      <w:pPr>
        <w:spacing w:line="360" w:lineRule="auto"/>
        <w:ind w:firstLine="480" w:firstLineChars="200"/>
        <w:contextualSpacing/>
        <w:rPr>
          <w:rFonts w:ascii="宋体" w:hAnsi="宋体" w:cs="宋体"/>
          <w:color w:val="000000"/>
          <w:sz w:val="24"/>
          <w:highlight w:val="none"/>
        </w:rPr>
      </w:pPr>
      <w:r>
        <w:rPr>
          <w:rFonts w:hint="eastAsia" w:ascii="宋体" w:hAnsi="宋体" w:cs="宋体"/>
          <w:color w:val="000000"/>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7F8DF362">
      <w:pPr>
        <w:spacing w:line="360" w:lineRule="auto"/>
        <w:ind w:firstLine="480" w:firstLineChars="200"/>
        <w:contextualSpacing/>
        <w:rPr>
          <w:rFonts w:ascii="宋体" w:hAnsi="宋体" w:cs="宋体"/>
          <w:color w:val="000000"/>
          <w:sz w:val="24"/>
          <w:highlight w:val="none"/>
        </w:rPr>
      </w:pPr>
      <w:r>
        <w:rPr>
          <w:rFonts w:hint="eastAsia" w:ascii="宋体" w:hAnsi="宋体" w:cs="宋体"/>
          <w:color w:val="000000"/>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4148EAFD">
      <w:pPr>
        <w:spacing w:line="360" w:lineRule="auto"/>
        <w:ind w:firstLine="480" w:firstLineChars="200"/>
        <w:contextualSpacing/>
        <w:rPr>
          <w:rFonts w:ascii="宋体" w:hAnsi="宋体" w:cs="宋体"/>
          <w:color w:val="000000"/>
          <w:sz w:val="24"/>
          <w:highlight w:val="none"/>
        </w:rPr>
      </w:pPr>
      <w:r>
        <w:rPr>
          <w:rFonts w:hint="eastAsia" w:ascii="宋体" w:hAnsi="宋体" w:cs="宋体"/>
          <w:color w:val="000000"/>
          <w:sz w:val="24"/>
          <w:highlight w:val="none"/>
        </w:rPr>
        <w:t>□我方本次响应文件</w:t>
      </w:r>
      <w:r>
        <w:rPr>
          <w:rFonts w:hint="eastAsia" w:ascii="宋体" w:hAnsi="宋体" w:cs="宋体"/>
          <w:color w:val="000000"/>
          <w:kern w:val="0"/>
          <w:sz w:val="24"/>
          <w:highlight w:val="none"/>
        </w:rPr>
        <w:t>内容中</w:t>
      </w:r>
      <w:r>
        <w:rPr>
          <w:rFonts w:hint="eastAsia" w:ascii="宋体" w:hAnsi="宋体" w:cs="宋体"/>
          <w:color w:val="000000"/>
          <w:sz w:val="24"/>
          <w:highlight w:val="none"/>
        </w:rPr>
        <w:t>未</w:t>
      </w:r>
      <w:r>
        <w:rPr>
          <w:rFonts w:hint="eastAsia" w:ascii="宋体" w:hAnsi="宋体" w:cs="宋体"/>
          <w:color w:val="000000"/>
          <w:kern w:val="0"/>
          <w:sz w:val="24"/>
          <w:highlight w:val="none"/>
        </w:rPr>
        <w:t>涉及商业秘密；</w:t>
      </w:r>
    </w:p>
    <w:p w14:paraId="4A8A420A">
      <w:pPr>
        <w:spacing w:line="360" w:lineRule="auto"/>
        <w:ind w:firstLine="480" w:firstLineChars="200"/>
        <w:contextualSpacing/>
        <w:rPr>
          <w:rFonts w:ascii="宋体" w:hAnsi="宋体" w:cs="宋体"/>
          <w:color w:val="000000"/>
          <w:sz w:val="24"/>
          <w:highlight w:val="none"/>
        </w:rPr>
      </w:pPr>
      <w:r>
        <w:rPr>
          <w:rFonts w:hint="eastAsia" w:ascii="宋体" w:hAnsi="宋体" w:cs="宋体"/>
          <w:color w:val="000000"/>
          <w:sz w:val="24"/>
          <w:highlight w:val="none"/>
        </w:rPr>
        <w:t>□我方本次响应文件</w:t>
      </w:r>
      <w:r>
        <w:rPr>
          <w:rFonts w:hint="eastAsia" w:ascii="宋体" w:hAnsi="宋体" w:cs="宋体"/>
          <w:color w:val="000000"/>
          <w:kern w:val="0"/>
          <w:sz w:val="24"/>
          <w:highlight w:val="none"/>
        </w:rPr>
        <w:t>涉及商业秘密的内容有：；</w:t>
      </w:r>
    </w:p>
    <w:p w14:paraId="18E2AC3C">
      <w:pPr>
        <w:spacing w:line="360" w:lineRule="auto"/>
        <w:ind w:firstLine="480" w:firstLineChars="200"/>
        <w:contextualSpacing/>
        <w:rPr>
          <w:rFonts w:ascii="宋体" w:hAnsi="宋体" w:cs="宋体"/>
          <w:color w:val="000000"/>
          <w:kern w:val="0"/>
          <w:sz w:val="24"/>
          <w:highlight w:val="none"/>
          <w:u w:val="single"/>
        </w:rPr>
      </w:pPr>
      <w:r>
        <w:rPr>
          <w:rFonts w:hint="eastAsia" w:ascii="宋体" w:hAnsi="宋体" w:cs="宋体"/>
          <w:color w:val="000000"/>
          <w:kern w:val="0"/>
          <w:sz w:val="24"/>
          <w:highlight w:val="none"/>
        </w:rPr>
        <w:t>7.与本磋商有关的一切正式往来信函请寄：邮政编号：</w:t>
      </w:r>
    </w:p>
    <w:p w14:paraId="308B8C90">
      <w:pPr>
        <w:spacing w:line="360" w:lineRule="auto"/>
        <w:ind w:firstLine="480" w:firstLineChars="200"/>
        <w:contextualSpacing/>
        <w:rPr>
          <w:rFonts w:ascii="宋体" w:hAnsi="宋体" w:cs="宋体"/>
          <w:color w:val="000000"/>
          <w:kern w:val="0"/>
          <w:sz w:val="24"/>
          <w:highlight w:val="none"/>
        </w:rPr>
      </w:pPr>
      <w:r>
        <w:rPr>
          <w:rFonts w:hint="eastAsia" w:ascii="宋体" w:hAnsi="宋体" w:cs="宋体"/>
          <w:color w:val="000000"/>
          <w:kern w:val="0"/>
          <w:sz w:val="24"/>
          <w:highlight w:val="none"/>
        </w:rPr>
        <w:t>电话/传真： 电子函件：</w:t>
      </w:r>
    </w:p>
    <w:p w14:paraId="3B2D22DF">
      <w:pPr>
        <w:tabs>
          <w:tab w:val="left" w:pos="939"/>
        </w:tabs>
        <w:spacing w:line="360" w:lineRule="auto"/>
        <w:ind w:left="141" w:leftChars="67" w:firstLine="360" w:firstLineChars="150"/>
        <w:contextualSpacing/>
        <w:rPr>
          <w:rFonts w:ascii="宋体" w:hAnsi="宋体" w:cs="宋体"/>
          <w:color w:val="000000"/>
          <w:sz w:val="24"/>
          <w:highlight w:val="none"/>
        </w:rPr>
      </w:pPr>
      <w:r>
        <w:rPr>
          <w:rFonts w:hint="eastAsia" w:ascii="宋体" w:hAnsi="宋体" w:cs="宋体"/>
          <w:color w:val="000000"/>
          <w:sz w:val="24"/>
          <w:highlight w:val="none"/>
        </w:rPr>
        <w:t xml:space="preserve">开户银行：  </w:t>
      </w:r>
      <w:r>
        <w:rPr>
          <w:rFonts w:hint="eastAsia" w:ascii="宋体" w:hAnsi="宋体" w:cs="宋体"/>
          <w:color w:val="000000"/>
          <w:sz w:val="24"/>
          <w:highlight w:val="none"/>
          <w:lang w:val="en-US" w:eastAsia="zh-CN"/>
        </w:rPr>
        <w:t>账</w:t>
      </w:r>
      <w:r>
        <w:rPr>
          <w:rFonts w:hint="eastAsia" w:ascii="宋体" w:hAnsi="宋体" w:cs="宋体"/>
          <w:color w:val="000000"/>
          <w:sz w:val="24"/>
          <w:highlight w:val="none"/>
        </w:rPr>
        <w:t>号：</w:t>
      </w:r>
    </w:p>
    <w:p w14:paraId="1995686A">
      <w:pPr>
        <w:tabs>
          <w:tab w:val="left" w:pos="939"/>
        </w:tabs>
        <w:spacing w:line="360" w:lineRule="auto"/>
        <w:ind w:firstLine="480" w:firstLineChars="200"/>
        <w:contextualSpacing/>
        <w:rPr>
          <w:rFonts w:ascii="宋体" w:hAnsi="宋体" w:cs="宋体"/>
          <w:color w:val="000000"/>
          <w:sz w:val="24"/>
          <w:highlight w:val="none"/>
        </w:rPr>
      </w:pPr>
      <w:r>
        <w:rPr>
          <w:rFonts w:hint="eastAsia" w:ascii="宋体" w:hAnsi="宋体" w:cs="宋体"/>
          <w:color w:val="000000"/>
          <w:sz w:val="24"/>
          <w:highlight w:val="none"/>
        </w:rPr>
        <w:t>8.以上事项如有虚假或者隐瞒，我方愿意承担一切后果，并不再寻求任何旨在减轻或者免除法律责任的辩解。</w:t>
      </w:r>
    </w:p>
    <w:p w14:paraId="673D912F">
      <w:pPr>
        <w:tabs>
          <w:tab w:val="left" w:pos="939"/>
        </w:tabs>
        <w:spacing w:line="360" w:lineRule="auto"/>
        <w:ind w:left="141" w:leftChars="67" w:firstLine="360" w:firstLineChars="150"/>
        <w:contextualSpacing/>
        <w:rPr>
          <w:rFonts w:ascii="宋体" w:hAnsi="宋体" w:cs="宋体"/>
          <w:color w:val="000000"/>
          <w:sz w:val="24"/>
          <w:highlight w:val="none"/>
        </w:rPr>
      </w:pPr>
      <w:r>
        <w:rPr>
          <w:rFonts w:hint="eastAsia" w:ascii="宋体" w:hAnsi="宋体" w:cs="宋体"/>
          <w:color w:val="000000"/>
          <w:sz w:val="24"/>
          <w:highlight w:val="none"/>
        </w:rPr>
        <w:t>特此承诺。</w:t>
      </w:r>
    </w:p>
    <w:p w14:paraId="2A2A4E3A">
      <w:pPr>
        <w:tabs>
          <w:tab w:val="left" w:pos="939"/>
        </w:tabs>
        <w:spacing w:line="360" w:lineRule="auto"/>
        <w:ind w:firstLine="480" w:firstLineChars="200"/>
        <w:contextualSpacing/>
        <w:rPr>
          <w:rFonts w:ascii="宋体" w:hAnsi="宋体" w:cs="宋体"/>
          <w:color w:val="000000"/>
          <w:sz w:val="24"/>
          <w:highlight w:val="none"/>
        </w:rPr>
      </w:pPr>
    </w:p>
    <w:p w14:paraId="2E4E3D77">
      <w:pPr>
        <w:tabs>
          <w:tab w:val="left" w:pos="939"/>
        </w:tabs>
        <w:spacing w:line="360" w:lineRule="auto"/>
        <w:ind w:firstLine="480" w:firstLineChars="200"/>
        <w:contextualSpacing/>
        <w:rPr>
          <w:rFonts w:ascii="宋体" w:hAnsi="宋体" w:cs="宋体"/>
          <w:color w:val="000000"/>
          <w:sz w:val="24"/>
          <w:highlight w:val="none"/>
        </w:rPr>
      </w:pPr>
    </w:p>
    <w:p w14:paraId="604804A5">
      <w:pPr>
        <w:autoSpaceDE w:val="0"/>
        <w:autoSpaceDN w:val="0"/>
        <w:spacing w:line="360" w:lineRule="auto"/>
        <w:ind w:left="4365" w:leftChars="1850" w:hanging="480" w:hangingChars="200"/>
        <w:rPr>
          <w:rFonts w:ascii="宋体" w:hAnsi="宋体" w:cs="仿宋_GB2312"/>
          <w:color w:val="000000"/>
          <w:kern w:val="0"/>
          <w:sz w:val="24"/>
          <w:highlight w:val="none"/>
        </w:rPr>
      </w:pPr>
      <w:r>
        <w:rPr>
          <w:rFonts w:hint="eastAsia" w:ascii="宋体" w:hAnsi="宋体" w:cs="仿宋_GB2312"/>
          <w:color w:val="000000"/>
          <w:kern w:val="0"/>
          <w:sz w:val="24"/>
          <w:highlight w:val="none"/>
        </w:rPr>
        <w:t>供应商名称（电子签章）：</w:t>
      </w:r>
    </w:p>
    <w:p w14:paraId="51329BDC">
      <w:pPr>
        <w:autoSpaceDE w:val="0"/>
        <w:autoSpaceDN w:val="0"/>
        <w:spacing w:line="360" w:lineRule="auto"/>
        <w:ind w:firstLine="6120" w:firstLineChars="2550"/>
        <w:rPr>
          <w:rFonts w:ascii="宋体" w:hAnsi="宋体" w:cs="仿宋_GB2312"/>
          <w:color w:val="000000"/>
          <w:kern w:val="0"/>
          <w:sz w:val="24"/>
          <w:highlight w:val="none"/>
          <w:lang w:val="zh-CN"/>
        </w:rPr>
        <w:sectPr>
          <w:pgSz w:w="11910" w:h="16840"/>
          <w:pgMar w:top="1417" w:right="1417" w:bottom="1417" w:left="1417" w:header="720" w:footer="720" w:gutter="0"/>
          <w:pgNumType w:fmt="decimal"/>
          <w:cols w:space="720" w:num="1"/>
          <w:rtlGutter w:val="0"/>
        </w:sectPr>
      </w:pPr>
      <w:r>
        <w:rPr>
          <w:rFonts w:hint="eastAsia" w:ascii="宋体" w:hAnsi="宋体" w:cs="仿宋_GB2312"/>
          <w:color w:val="000000"/>
          <w:kern w:val="0"/>
          <w:sz w:val="24"/>
          <w:highlight w:val="none"/>
          <w:lang w:val="zh-CN"/>
        </w:rPr>
        <w:t>日期：  年  月   日</w:t>
      </w:r>
    </w:p>
    <w:p w14:paraId="6C897DF8">
      <w:pPr>
        <w:rPr>
          <w:rFonts w:ascii="Calibri" w:hAnsi="Calibri"/>
          <w:color w:val="000000"/>
          <w:highlight w:val="none"/>
          <w:lang w:val="zh-CN"/>
        </w:rPr>
      </w:pPr>
    </w:p>
    <w:p w14:paraId="22867E30">
      <w:pPr>
        <w:rPr>
          <w:rFonts w:ascii="Calibri" w:hAnsi="Calibri"/>
          <w:color w:val="000000"/>
          <w:highlight w:val="none"/>
          <w:lang w:val="zh-CN"/>
        </w:rPr>
      </w:pPr>
    </w:p>
    <w:p w14:paraId="5D0AB9B0">
      <w:pPr>
        <w:keepNext w:val="0"/>
        <w:keepLines w:val="0"/>
        <w:pageBreakBefore w:val="0"/>
        <w:widowControl w:val="0"/>
        <w:kinsoku/>
        <w:wordWrap/>
        <w:overflowPunct/>
        <w:topLinePunct w:val="0"/>
        <w:autoSpaceDE/>
        <w:autoSpaceDN/>
        <w:bidi w:val="0"/>
        <w:adjustRightInd/>
        <w:snapToGrid/>
        <w:spacing w:line="500" w:lineRule="exact"/>
        <w:ind w:firstLine="723" w:firstLineChars="200"/>
        <w:jc w:val="center"/>
        <w:textAlignment w:val="auto"/>
        <w:rPr>
          <w:rFonts w:hint="eastAsia" w:ascii="宋体" w:hAnsi="宋体" w:eastAsia="宋体" w:cs="Times New Roman"/>
          <w:b/>
          <w:color w:val="000000"/>
          <w:sz w:val="36"/>
          <w:szCs w:val="36"/>
          <w:highlight w:val="none"/>
        </w:rPr>
      </w:pPr>
      <w:r>
        <w:rPr>
          <w:rFonts w:hint="eastAsia" w:ascii="宋体" w:hAnsi="宋体" w:eastAsia="宋体" w:cs="Times New Roman"/>
          <w:b/>
          <w:color w:val="000000"/>
          <w:sz w:val="36"/>
          <w:szCs w:val="36"/>
          <w:highlight w:val="none"/>
        </w:rPr>
        <w:t>中小企业声明函（工程）</w:t>
      </w:r>
    </w:p>
    <w:p w14:paraId="33389A8B">
      <w:pPr>
        <w:spacing w:line="360" w:lineRule="auto"/>
        <w:ind w:firstLine="420"/>
        <w:rPr>
          <w:rFonts w:hint="eastAsia" w:ascii="宋体" w:hAnsi="宋体"/>
          <w:bCs/>
          <w:color w:val="000000"/>
          <w:szCs w:val="21"/>
          <w:highlight w:val="none"/>
        </w:rPr>
      </w:pPr>
    </w:p>
    <w:p w14:paraId="56CDF772">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ascii="宋体" w:hAnsi="宋体"/>
          <w:bCs/>
          <w:color w:val="000000"/>
          <w:sz w:val="24"/>
          <w:szCs w:val="24"/>
          <w:highlight w:val="none"/>
        </w:rPr>
      </w:pPr>
      <w:r>
        <w:rPr>
          <w:rFonts w:hint="eastAsia" w:ascii="宋体" w:hAnsi="宋体"/>
          <w:bCs/>
          <w:color w:val="000000"/>
          <w:sz w:val="24"/>
          <w:szCs w:val="24"/>
          <w:highlight w:val="none"/>
        </w:rPr>
        <w:t>本公司（联合体）郑重声明，根据《政府采购促进中小企业发展管理办法》（财库﹝2020﹞46 号）的规定，本公司（联合体）参加</w:t>
      </w:r>
      <w:r>
        <w:rPr>
          <w:rFonts w:hint="eastAsia" w:ascii="宋体" w:hAnsi="宋体"/>
          <w:bCs/>
          <w:color w:val="000000"/>
          <w:sz w:val="24"/>
          <w:szCs w:val="24"/>
          <w:highlight w:val="none"/>
          <w:u w:val="single"/>
          <w:lang w:val="en-US" w:eastAsia="zh-CN"/>
        </w:rPr>
        <w:t xml:space="preserve">        </w:t>
      </w:r>
      <w:r>
        <w:rPr>
          <w:rFonts w:hint="eastAsia" w:ascii="宋体" w:hAnsi="宋体"/>
          <w:bCs/>
          <w:color w:val="000000"/>
          <w:sz w:val="24"/>
          <w:szCs w:val="24"/>
          <w:highlight w:val="none"/>
          <w:u w:val="single"/>
        </w:rPr>
        <w:t>（单位名称）</w:t>
      </w:r>
      <w:r>
        <w:rPr>
          <w:rFonts w:hint="eastAsia" w:ascii="宋体" w:hAnsi="宋体"/>
          <w:bCs/>
          <w:color w:val="000000"/>
          <w:sz w:val="24"/>
          <w:szCs w:val="24"/>
          <w:highlight w:val="none"/>
        </w:rPr>
        <w:t>的</w:t>
      </w:r>
      <w:r>
        <w:rPr>
          <w:rFonts w:hint="eastAsia" w:ascii="宋体" w:hAnsi="宋体"/>
          <w:bCs/>
          <w:color w:val="000000"/>
          <w:sz w:val="24"/>
          <w:szCs w:val="24"/>
          <w:highlight w:val="none"/>
          <w:u w:val="single"/>
          <w:lang w:val="en-US" w:eastAsia="zh-CN"/>
        </w:rPr>
        <w:t xml:space="preserve">        </w:t>
      </w:r>
      <w:r>
        <w:rPr>
          <w:rFonts w:hint="eastAsia" w:ascii="宋体" w:hAnsi="宋体"/>
          <w:bCs/>
          <w:color w:val="000000"/>
          <w:sz w:val="24"/>
          <w:szCs w:val="24"/>
          <w:highlight w:val="none"/>
          <w:u w:val="single"/>
        </w:rPr>
        <w:t>（项目名称）</w:t>
      </w:r>
      <w:r>
        <w:rPr>
          <w:rFonts w:hint="eastAsia" w:ascii="宋体" w:hAnsi="宋体"/>
          <w:bCs/>
          <w:color w:val="000000"/>
          <w:sz w:val="24"/>
          <w:szCs w:val="24"/>
          <w:highlight w:val="none"/>
        </w:rPr>
        <w:t>采购活动，工程的施工单位全部为符合政策要求的中小企业。相关企业（含联合体中的中小企业、签订分包意向协议的中小企业）的具体情况如下：</w:t>
      </w:r>
    </w:p>
    <w:p w14:paraId="7AA72DA4">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ascii="宋体" w:hAnsi="宋体"/>
          <w:bCs/>
          <w:color w:val="000000"/>
          <w:sz w:val="24"/>
          <w:szCs w:val="24"/>
          <w:highlight w:val="none"/>
        </w:rPr>
      </w:pPr>
      <w:r>
        <w:rPr>
          <w:rFonts w:hint="eastAsia" w:ascii="宋体" w:hAnsi="宋体"/>
          <w:bCs/>
          <w:color w:val="000000"/>
          <w:sz w:val="24"/>
          <w:szCs w:val="24"/>
          <w:highlight w:val="none"/>
        </w:rPr>
        <w:t>1.</w:t>
      </w:r>
      <w:r>
        <w:rPr>
          <w:rFonts w:hint="eastAsia" w:ascii="宋体" w:hAnsi="宋体"/>
          <w:bCs/>
          <w:color w:val="000000"/>
          <w:sz w:val="24"/>
          <w:szCs w:val="24"/>
          <w:highlight w:val="none"/>
          <w:u w:val="single"/>
        </w:rPr>
        <w:t>（标的名称）</w:t>
      </w:r>
      <w:r>
        <w:rPr>
          <w:rFonts w:hint="eastAsia" w:ascii="宋体" w:hAnsi="宋体"/>
          <w:bCs/>
          <w:color w:val="000000"/>
          <w:sz w:val="24"/>
          <w:szCs w:val="24"/>
          <w:highlight w:val="none"/>
        </w:rPr>
        <w:t>，属于</w:t>
      </w:r>
      <w:r>
        <w:rPr>
          <w:rFonts w:hint="eastAsia" w:ascii="宋体" w:hAnsi="宋体"/>
          <w:bCs/>
          <w:color w:val="000000"/>
          <w:sz w:val="24"/>
          <w:szCs w:val="24"/>
          <w:highlight w:val="none"/>
          <w:u w:val="single"/>
        </w:rPr>
        <w:t>（所属行业）</w:t>
      </w:r>
      <w:r>
        <w:rPr>
          <w:rFonts w:hint="eastAsia" w:ascii="宋体" w:hAnsi="宋体"/>
          <w:bCs/>
          <w:color w:val="000000"/>
          <w:sz w:val="24"/>
          <w:szCs w:val="24"/>
          <w:highlight w:val="none"/>
        </w:rPr>
        <w:t>行业；承建企业为</w:t>
      </w:r>
      <w:r>
        <w:rPr>
          <w:rFonts w:hint="eastAsia" w:ascii="宋体" w:hAnsi="宋体"/>
          <w:bCs/>
          <w:color w:val="000000"/>
          <w:sz w:val="24"/>
          <w:szCs w:val="24"/>
          <w:highlight w:val="none"/>
          <w:u w:val="single"/>
        </w:rPr>
        <w:t>（企业名称）</w:t>
      </w:r>
      <w:r>
        <w:rPr>
          <w:rFonts w:hint="eastAsia" w:ascii="宋体" w:hAnsi="宋体"/>
          <w:bCs/>
          <w:color w:val="000000"/>
          <w:sz w:val="24"/>
          <w:szCs w:val="24"/>
          <w:highlight w:val="none"/>
        </w:rPr>
        <w:t>，从业人员</w:t>
      </w:r>
      <w:r>
        <w:rPr>
          <w:rFonts w:hint="eastAsia" w:ascii="宋体" w:hAnsi="宋体"/>
          <w:bCs/>
          <w:color w:val="000000"/>
          <w:sz w:val="24"/>
          <w:szCs w:val="24"/>
          <w:highlight w:val="none"/>
          <w:u w:val="single"/>
          <w:lang w:val="en-US" w:eastAsia="zh-CN"/>
        </w:rPr>
        <w:t xml:space="preserve">    </w:t>
      </w:r>
      <w:r>
        <w:rPr>
          <w:rFonts w:hint="eastAsia" w:ascii="宋体" w:hAnsi="宋体"/>
          <w:bCs/>
          <w:color w:val="000000"/>
          <w:sz w:val="24"/>
          <w:szCs w:val="24"/>
          <w:highlight w:val="none"/>
        </w:rPr>
        <w:t>人，营业收入为</w:t>
      </w:r>
      <w:r>
        <w:rPr>
          <w:rFonts w:hint="eastAsia" w:ascii="宋体" w:hAnsi="宋体"/>
          <w:bCs/>
          <w:color w:val="000000"/>
          <w:sz w:val="24"/>
          <w:szCs w:val="24"/>
          <w:highlight w:val="none"/>
          <w:u w:val="single"/>
          <w:lang w:val="en-US" w:eastAsia="zh-CN"/>
        </w:rPr>
        <w:t xml:space="preserve">    </w:t>
      </w:r>
      <w:r>
        <w:rPr>
          <w:rFonts w:hint="eastAsia" w:ascii="宋体" w:hAnsi="宋体"/>
          <w:bCs/>
          <w:color w:val="000000"/>
          <w:sz w:val="24"/>
          <w:szCs w:val="24"/>
          <w:highlight w:val="none"/>
        </w:rPr>
        <w:t>万元，资产总额为</w:t>
      </w:r>
      <w:r>
        <w:rPr>
          <w:rFonts w:hint="eastAsia" w:ascii="宋体" w:hAnsi="宋体"/>
          <w:bCs/>
          <w:color w:val="000000"/>
          <w:sz w:val="24"/>
          <w:szCs w:val="24"/>
          <w:highlight w:val="none"/>
          <w:u w:val="single"/>
          <w:lang w:val="en-US" w:eastAsia="zh-CN"/>
        </w:rPr>
        <w:t xml:space="preserve">    </w:t>
      </w:r>
      <w:r>
        <w:rPr>
          <w:rFonts w:hint="eastAsia" w:ascii="宋体" w:hAnsi="宋体"/>
          <w:bCs/>
          <w:color w:val="000000"/>
          <w:sz w:val="24"/>
          <w:szCs w:val="24"/>
          <w:highlight w:val="none"/>
        </w:rPr>
        <w:t>万元，属于</w:t>
      </w:r>
      <w:r>
        <w:rPr>
          <w:rFonts w:hint="eastAsia" w:ascii="宋体" w:hAnsi="宋体"/>
          <w:bCs/>
          <w:color w:val="000000"/>
          <w:sz w:val="24"/>
          <w:szCs w:val="24"/>
          <w:highlight w:val="none"/>
          <w:u w:val="single"/>
        </w:rPr>
        <w:t>（中型企业、小型企业、微型企业）</w:t>
      </w:r>
      <w:r>
        <w:rPr>
          <w:rFonts w:hint="eastAsia" w:ascii="宋体" w:hAnsi="宋体"/>
          <w:bCs/>
          <w:color w:val="000000"/>
          <w:sz w:val="24"/>
          <w:szCs w:val="24"/>
          <w:highlight w:val="none"/>
        </w:rPr>
        <w:t>；</w:t>
      </w:r>
    </w:p>
    <w:p w14:paraId="082CE579">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ascii="宋体" w:hAnsi="宋体"/>
          <w:bCs/>
          <w:color w:val="000000"/>
          <w:sz w:val="24"/>
          <w:szCs w:val="24"/>
          <w:highlight w:val="none"/>
        </w:rPr>
      </w:pPr>
      <w:r>
        <w:rPr>
          <w:rFonts w:hint="eastAsia" w:ascii="宋体" w:hAnsi="宋体"/>
          <w:bCs/>
          <w:color w:val="000000"/>
          <w:sz w:val="24"/>
          <w:szCs w:val="24"/>
          <w:highlight w:val="none"/>
        </w:rPr>
        <w:t>2.</w:t>
      </w:r>
      <w:r>
        <w:rPr>
          <w:rFonts w:hint="eastAsia" w:ascii="宋体" w:hAnsi="宋体"/>
          <w:bCs/>
          <w:color w:val="000000"/>
          <w:sz w:val="24"/>
          <w:szCs w:val="24"/>
          <w:highlight w:val="none"/>
          <w:u w:val="single"/>
        </w:rPr>
        <w:t>（标的名称）</w:t>
      </w:r>
      <w:r>
        <w:rPr>
          <w:rFonts w:hint="eastAsia" w:ascii="宋体" w:hAnsi="宋体"/>
          <w:bCs/>
          <w:color w:val="000000"/>
          <w:sz w:val="24"/>
          <w:szCs w:val="24"/>
          <w:highlight w:val="none"/>
        </w:rPr>
        <w:t>，属于</w:t>
      </w:r>
      <w:r>
        <w:rPr>
          <w:rFonts w:hint="eastAsia" w:ascii="宋体" w:hAnsi="宋体"/>
          <w:bCs/>
          <w:color w:val="000000"/>
          <w:sz w:val="24"/>
          <w:szCs w:val="24"/>
          <w:highlight w:val="none"/>
          <w:u w:val="single"/>
        </w:rPr>
        <w:t>（所属行业）</w:t>
      </w:r>
      <w:r>
        <w:rPr>
          <w:rFonts w:hint="eastAsia" w:ascii="宋体" w:hAnsi="宋体"/>
          <w:bCs/>
          <w:color w:val="000000"/>
          <w:sz w:val="24"/>
          <w:szCs w:val="24"/>
          <w:highlight w:val="none"/>
        </w:rPr>
        <w:t>行业；承建企业为</w:t>
      </w:r>
      <w:r>
        <w:rPr>
          <w:rFonts w:hint="eastAsia" w:ascii="宋体" w:hAnsi="宋体"/>
          <w:bCs/>
          <w:color w:val="000000"/>
          <w:sz w:val="24"/>
          <w:szCs w:val="24"/>
          <w:highlight w:val="none"/>
          <w:u w:val="single"/>
        </w:rPr>
        <w:t>（企业名称）</w:t>
      </w:r>
      <w:r>
        <w:rPr>
          <w:rFonts w:hint="eastAsia" w:ascii="宋体" w:hAnsi="宋体"/>
          <w:bCs/>
          <w:color w:val="000000"/>
          <w:sz w:val="24"/>
          <w:szCs w:val="24"/>
          <w:highlight w:val="none"/>
        </w:rPr>
        <w:t>，从业人员</w:t>
      </w:r>
      <w:r>
        <w:rPr>
          <w:rFonts w:hint="eastAsia" w:ascii="宋体" w:hAnsi="宋体"/>
          <w:bCs/>
          <w:color w:val="000000"/>
          <w:sz w:val="24"/>
          <w:szCs w:val="24"/>
          <w:highlight w:val="none"/>
          <w:u w:val="single"/>
          <w:lang w:val="en-US" w:eastAsia="zh-CN"/>
        </w:rPr>
        <w:t xml:space="preserve">    </w:t>
      </w:r>
      <w:r>
        <w:rPr>
          <w:rFonts w:hint="eastAsia" w:ascii="宋体" w:hAnsi="宋体"/>
          <w:bCs/>
          <w:color w:val="000000"/>
          <w:sz w:val="24"/>
          <w:szCs w:val="24"/>
          <w:highlight w:val="none"/>
        </w:rPr>
        <w:t>人，营业收入为</w:t>
      </w:r>
      <w:r>
        <w:rPr>
          <w:rFonts w:hint="eastAsia" w:ascii="宋体" w:hAnsi="宋体"/>
          <w:bCs/>
          <w:color w:val="000000"/>
          <w:sz w:val="24"/>
          <w:szCs w:val="24"/>
          <w:highlight w:val="none"/>
          <w:u w:val="single"/>
          <w:lang w:val="en-US" w:eastAsia="zh-CN"/>
        </w:rPr>
        <w:t xml:space="preserve">    </w:t>
      </w:r>
      <w:r>
        <w:rPr>
          <w:rFonts w:hint="eastAsia" w:ascii="宋体" w:hAnsi="宋体"/>
          <w:bCs/>
          <w:color w:val="000000"/>
          <w:sz w:val="24"/>
          <w:szCs w:val="24"/>
          <w:highlight w:val="none"/>
        </w:rPr>
        <w:t>万元，资产总额为</w:t>
      </w:r>
      <w:r>
        <w:rPr>
          <w:rFonts w:hint="eastAsia" w:ascii="宋体" w:hAnsi="宋体"/>
          <w:bCs/>
          <w:color w:val="000000"/>
          <w:sz w:val="24"/>
          <w:szCs w:val="24"/>
          <w:highlight w:val="none"/>
          <w:u w:val="single"/>
          <w:lang w:val="en-US" w:eastAsia="zh-CN"/>
        </w:rPr>
        <w:t xml:space="preserve">    </w:t>
      </w:r>
      <w:r>
        <w:rPr>
          <w:rFonts w:hint="eastAsia" w:ascii="宋体" w:hAnsi="宋体"/>
          <w:bCs/>
          <w:color w:val="000000"/>
          <w:sz w:val="24"/>
          <w:szCs w:val="24"/>
          <w:highlight w:val="none"/>
        </w:rPr>
        <w:t>万元，属于</w:t>
      </w:r>
      <w:r>
        <w:rPr>
          <w:rFonts w:hint="eastAsia" w:ascii="宋体" w:hAnsi="宋体"/>
          <w:bCs/>
          <w:color w:val="000000"/>
          <w:sz w:val="24"/>
          <w:szCs w:val="24"/>
          <w:highlight w:val="none"/>
          <w:u w:val="single"/>
        </w:rPr>
        <w:t>（中型企业、小型企业、微型企业）</w:t>
      </w:r>
      <w:r>
        <w:rPr>
          <w:rFonts w:hint="eastAsia" w:ascii="宋体" w:hAnsi="宋体"/>
          <w:bCs/>
          <w:color w:val="000000"/>
          <w:sz w:val="24"/>
          <w:szCs w:val="24"/>
          <w:highlight w:val="none"/>
        </w:rPr>
        <w:t>；</w:t>
      </w:r>
    </w:p>
    <w:p w14:paraId="24D21AB2">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ascii="宋体" w:hAnsi="宋体"/>
          <w:bCs/>
          <w:color w:val="000000"/>
          <w:sz w:val="24"/>
          <w:szCs w:val="24"/>
          <w:highlight w:val="none"/>
        </w:rPr>
      </w:pPr>
      <w:r>
        <w:rPr>
          <w:rFonts w:hint="eastAsia" w:ascii="宋体" w:hAnsi="宋体"/>
          <w:bCs/>
          <w:color w:val="000000"/>
          <w:sz w:val="24"/>
          <w:szCs w:val="24"/>
          <w:highlight w:val="none"/>
        </w:rPr>
        <w:t>……</w:t>
      </w:r>
    </w:p>
    <w:p w14:paraId="3A4BD309">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ascii="宋体" w:hAnsi="宋体"/>
          <w:bCs/>
          <w:color w:val="000000"/>
          <w:sz w:val="24"/>
          <w:szCs w:val="24"/>
          <w:highlight w:val="none"/>
        </w:rPr>
      </w:pPr>
      <w:r>
        <w:rPr>
          <w:rFonts w:hint="eastAsia" w:ascii="宋体" w:hAnsi="宋体"/>
          <w:bCs/>
          <w:color w:val="000000"/>
          <w:sz w:val="24"/>
          <w:szCs w:val="24"/>
          <w:highlight w:val="none"/>
        </w:rPr>
        <w:t>以上企业，不属于大企业的分支机构，不存在控股股东为大企业的情形，也不存在与大企业的负责人为同一人的情形。</w:t>
      </w:r>
    </w:p>
    <w:p w14:paraId="284CFD4D">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ascii="宋体" w:hAnsi="宋体"/>
          <w:bCs/>
          <w:color w:val="000000"/>
          <w:sz w:val="24"/>
          <w:szCs w:val="24"/>
          <w:highlight w:val="none"/>
        </w:rPr>
      </w:pPr>
      <w:r>
        <w:rPr>
          <w:rFonts w:hint="eastAsia" w:ascii="宋体" w:hAnsi="宋体"/>
          <w:bCs/>
          <w:color w:val="000000"/>
          <w:sz w:val="24"/>
          <w:szCs w:val="24"/>
          <w:highlight w:val="none"/>
        </w:rPr>
        <w:t>本企业对上述声明内容的真实性负责。如有虚假，将依法承担相应责任。</w:t>
      </w:r>
    </w:p>
    <w:p w14:paraId="0CD18EFF">
      <w:pPr>
        <w:keepNext w:val="0"/>
        <w:keepLines w:val="0"/>
        <w:pageBreakBefore w:val="0"/>
        <w:widowControl w:val="0"/>
        <w:kinsoku/>
        <w:wordWrap/>
        <w:overflowPunct/>
        <w:topLinePunct w:val="0"/>
        <w:autoSpaceDE/>
        <w:autoSpaceDN/>
        <w:bidi w:val="0"/>
        <w:adjustRightInd/>
        <w:snapToGrid/>
        <w:spacing w:line="560" w:lineRule="exact"/>
        <w:ind w:firstLine="3600" w:firstLineChars="1500"/>
        <w:textAlignment w:val="auto"/>
        <w:rPr>
          <w:rFonts w:ascii="宋体" w:hAnsi="宋体"/>
          <w:bCs/>
          <w:color w:val="000000"/>
          <w:sz w:val="24"/>
          <w:szCs w:val="24"/>
          <w:highlight w:val="none"/>
        </w:rPr>
      </w:pPr>
      <w:r>
        <w:rPr>
          <w:rFonts w:hint="eastAsia" w:ascii="宋体" w:hAnsi="宋体"/>
          <w:bCs/>
          <w:color w:val="000000"/>
          <w:sz w:val="24"/>
          <w:szCs w:val="24"/>
          <w:highlight w:val="none"/>
        </w:rPr>
        <w:t>企业名称（盖章）：</w:t>
      </w:r>
    </w:p>
    <w:p w14:paraId="09DF616C">
      <w:pPr>
        <w:keepNext w:val="0"/>
        <w:keepLines w:val="0"/>
        <w:pageBreakBefore w:val="0"/>
        <w:widowControl w:val="0"/>
        <w:kinsoku/>
        <w:wordWrap/>
        <w:overflowPunct/>
        <w:topLinePunct w:val="0"/>
        <w:autoSpaceDE/>
        <w:autoSpaceDN/>
        <w:bidi w:val="0"/>
        <w:adjustRightInd/>
        <w:snapToGrid/>
        <w:spacing w:line="560" w:lineRule="exact"/>
        <w:ind w:firstLine="3600" w:firstLineChars="1500"/>
        <w:textAlignment w:val="auto"/>
        <w:rPr>
          <w:rFonts w:ascii="宋体" w:hAnsi="宋体"/>
          <w:bCs/>
          <w:color w:val="000000"/>
          <w:sz w:val="24"/>
          <w:szCs w:val="24"/>
          <w:highlight w:val="none"/>
        </w:rPr>
      </w:pPr>
      <w:r>
        <w:rPr>
          <w:rFonts w:hint="eastAsia" w:ascii="宋体" w:hAnsi="宋体"/>
          <w:bCs/>
          <w:color w:val="000000"/>
          <w:sz w:val="24"/>
          <w:szCs w:val="24"/>
          <w:highlight w:val="none"/>
        </w:rPr>
        <w:t>日期：</w:t>
      </w:r>
    </w:p>
    <w:p w14:paraId="3AAD1691">
      <w:pPr>
        <w:spacing w:line="360" w:lineRule="auto"/>
        <w:jc w:val="left"/>
        <w:rPr>
          <w:rFonts w:ascii="宋体" w:hAnsi="宋体"/>
          <w:bCs/>
          <w:color w:val="000000"/>
          <w:szCs w:val="21"/>
          <w:highlight w:val="none"/>
        </w:rPr>
      </w:pPr>
    </w:p>
    <w:p w14:paraId="0C3199A7">
      <w:pPr>
        <w:pageBreakBefore w:val="0"/>
        <w:kinsoku/>
        <w:overflowPunct/>
        <w:topLinePunct w:val="0"/>
        <w:bidi w:val="0"/>
        <w:spacing w:line="360" w:lineRule="auto"/>
        <w:contextualSpacing/>
        <w:jc w:val="left"/>
        <w:rPr>
          <w:rFonts w:hint="eastAsia" w:ascii="宋体" w:hAnsi="宋体" w:eastAsia="宋体" w:cs="宋体"/>
          <w:color w:val="auto"/>
          <w:kern w:val="0"/>
          <w:sz w:val="21"/>
          <w:szCs w:val="21"/>
          <w:highlight w:val="none"/>
        </w:rPr>
      </w:pPr>
      <w:r>
        <w:rPr>
          <w:rFonts w:hint="eastAsia" w:ascii="宋体" w:hAnsi="宋体"/>
          <w:bCs/>
          <w:color w:val="000000"/>
          <w:szCs w:val="21"/>
          <w:highlight w:val="none"/>
        </w:rPr>
        <w:t>注：</w:t>
      </w:r>
      <w:r>
        <w:rPr>
          <w:rFonts w:hint="eastAsia" w:ascii="宋体" w:hAnsi="宋体" w:eastAsia="宋体" w:cs="宋体"/>
          <w:color w:val="auto"/>
          <w:sz w:val="21"/>
          <w:szCs w:val="21"/>
          <w:highlight w:val="none"/>
        </w:rPr>
        <w:t>享受《政府采购促进中小企业发展管理办法》（财库〔2020〕46号）规定的中小企业扶持政策的，</w:t>
      </w:r>
      <w:r>
        <w:rPr>
          <w:rFonts w:hint="eastAsia" w:ascii="宋体" w:hAnsi="宋体" w:eastAsia="宋体" w:cs="宋体"/>
          <w:b/>
          <w:bCs/>
          <w:color w:val="auto"/>
          <w:sz w:val="21"/>
          <w:szCs w:val="21"/>
          <w:highlight w:val="none"/>
        </w:rPr>
        <w:t>采购人、采购代理机构应当随成交结果公开成交供应商的《中小企业声明函》。</w:t>
      </w:r>
      <w:r>
        <w:rPr>
          <w:rFonts w:hint="eastAsia" w:ascii="宋体" w:hAnsi="宋体" w:eastAsia="宋体" w:cs="宋体"/>
          <w:color w:val="auto"/>
          <w:sz w:val="21"/>
          <w:szCs w:val="21"/>
          <w:highlight w:val="none"/>
        </w:rPr>
        <w:t>从业人员、营业收入、资产总额填报上一年度数据，无上一年度数据的新成立企业可不填报。</w:t>
      </w:r>
    </w:p>
    <w:p w14:paraId="4357C5F9">
      <w:pPr>
        <w:pageBreakBefore w:val="0"/>
        <w:kinsoku/>
        <w:overflowPunct/>
        <w:topLinePunct w:val="0"/>
        <w:bidi w:val="0"/>
        <w:snapToGrid w:val="0"/>
        <w:spacing w:line="360" w:lineRule="auto"/>
        <w:outlineLvl w:val="1"/>
        <w:rPr>
          <w:rFonts w:hint="eastAsia" w:ascii="宋体" w:hAnsi="宋体" w:eastAsia="宋体" w:cs="宋体"/>
          <w:b/>
          <w:bCs/>
          <w:color w:val="auto"/>
          <w:sz w:val="32"/>
          <w:szCs w:val="32"/>
          <w:highlight w:val="none"/>
        </w:rPr>
        <w:sectPr>
          <w:pgSz w:w="11910" w:h="16840"/>
          <w:pgMar w:top="1304" w:right="1304" w:bottom="1304" w:left="1304" w:header="720" w:footer="720" w:gutter="0"/>
          <w:pgNumType w:fmt="decimal"/>
          <w:cols w:space="720" w:num="1"/>
          <w:rtlGutter w:val="0"/>
        </w:sectPr>
      </w:pPr>
    </w:p>
    <w:p w14:paraId="109C719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32"/>
          <w:szCs w:val="32"/>
          <w:highlight w:val="none"/>
        </w:rPr>
      </w:pPr>
      <w:r>
        <w:rPr>
          <w:rFonts w:hint="eastAsia" w:ascii="宋体" w:hAnsi="宋体" w:eastAsia="宋体" w:cs="Times New Roman"/>
          <w:b/>
          <w:color w:val="000000"/>
          <w:sz w:val="36"/>
          <w:szCs w:val="36"/>
          <w:highlight w:val="none"/>
        </w:rPr>
        <w:t>残疾人福利性单位声明函</w:t>
      </w:r>
    </w:p>
    <w:p w14:paraId="2F7EAD86">
      <w:pPr>
        <w:spacing w:line="520" w:lineRule="exact"/>
        <w:rPr>
          <w:rFonts w:hint="eastAsia" w:ascii="宋体" w:hAnsi="宋体" w:eastAsia="宋体" w:cs="宋体"/>
          <w:color w:val="auto"/>
          <w:sz w:val="32"/>
          <w:szCs w:val="32"/>
          <w:highlight w:val="none"/>
        </w:rPr>
      </w:pPr>
    </w:p>
    <w:p w14:paraId="60085EA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highlight w:val="none"/>
          <w:u w:val="single"/>
          <w:lang w:val="en-US" w:eastAsia="zh-CN"/>
        </w:rPr>
        <w:t xml:space="preserve">     （采购人名称）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单位的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（项目名称）     </w:t>
      </w:r>
      <w:r>
        <w:rPr>
          <w:rFonts w:hint="eastAsia" w:ascii="宋体" w:hAnsi="宋体" w:eastAsia="宋体" w:cs="宋体"/>
          <w:color w:val="auto"/>
          <w:sz w:val="24"/>
          <w:highlight w:val="none"/>
        </w:rPr>
        <w:t>项目采购活动由本单位提供服务。</w:t>
      </w:r>
    </w:p>
    <w:p w14:paraId="675847D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2E74B89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highlight w:val="none"/>
        </w:rPr>
      </w:pPr>
    </w:p>
    <w:p w14:paraId="45A8912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highlight w:val="none"/>
        </w:rPr>
      </w:pPr>
    </w:p>
    <w:p w14:paraId="3AB8BF0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highlight w:val="none"/>
        </w:rPr>
      </w:pPr>
    </w:p>
    <w:p w14:paraId="6F599EAD">
      <w:pPr>
        <w:keepNext w:val="0"/>
        <w:keepLines w:val="0"/>
        <w:pageBreakBefore w:val="0"/>
        <w:widowControl w:val="0"/>
        <w:kinsoku/>
        <w:wordWrap/>
        <w:overflowPunct/>
        <w:topLinePunct w:val="0"/>
        <w:autoSpaceDE/>
        <w:autoSpaceDN/>
        <w:bidi w:val="0"/>
        <w:adjustRightInd/>
        <w:snapToGrid/>
        <w:spacing w:line="500" w:lineRule="exact"/>
        <w:ind w:firstLine="2400" w:firstLineChars="10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供应商名称（电子签章）：</w:t>
      </w:r>
    </w:p>
    <w:p w14:paraId="748FB66C">
      <w:pPr>
        <w:keepNext w:val="0"/>
        <w:keepLines w:val="0"/>
        <w:pageBreakBefore w:val="0"/>
        <w:widowControl w:val="0"/>
        <w:kinsoku/>
        <w:wordWrap/>
        <w:overflowPunct/>
        <w:topLinePunct w:val="0"/>
        <w:autoSpaceDE/>
        <w:autoSpaceDN/>
        <w:bidi w:val="0"/>
        <w:adjustRightInd/>
        <w:snapToGrid/>
        <w:spacing w:line="500" w:lineRule="exact"/>
        <w:ind w:firstLine="4320" w:firstLineChars="18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     年   月   日</w:t>
      </w:r>
    </w:p>
    <w:p w14:paraId="28015A9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highlight w:val="none"/>
        </w:rPr>
      </w:pPr>
    </w:p>
    <w:p w14:paraId="55CA2B2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highlight w:val="none"/>
        </w:rPr>
      </w:pPr>
    </w:p>
    <w:p w14:paraId="5512A95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highlight w:val="none"/>
        </w:rPr>
      </w:pPr>
    </w:p>
    <w:p w14:paraId="1DA031CD">
      <w:pPr>
        <w:keepNext w:val="0"/>
        <w:keepLines w:val="0"/>
        <w:pageBreakBefore w:val="0"/>
        <w:widowControl w:val="0"/>
        <w:kinsoku/>
        <w:wordWrap/>
        <w:overflowPunct/>
        <w:topLinePunct w:val="0"/>
        <w:autoSpaceDE/>
        <w:autoSpaceDN/>
        <w:bidi w:val="0"/>
        <w:adjustRightInd/>
        <w:snapToGrid/>
        <w:spacing w:line="500" w:lineRule="exact"/>
        <w:ind w:right="42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w:t>
      </w:r>
      <w:r>
        <w:rPr>
          <w:rFonts w:hint="eastAsia" w:ascii="宋体" w:hAnsi="宋体" w:eastAsia="宋体" w:cs="宋体"/>
          <w:color w:val="auto"/>
          <w:sz w:val="24"/>
          <w:highlight w:val="none"/>
          <w:lang w:val="en-US" w:eastAsia="zh-CN"/>
        </w:rPr>
        <w:t>供应商</w:t>
      </w:r>
      <w:r>
        <w:rPr>
          <w:rFonts w:hint="eastAsia" w:ascii="宋体" w:hAnsi="宋体" w:eastAsia="宋体" w:cs="宋体"/>
          <w:color w:val="auto"/>
          <w:sz w:val="24"/>
          <w:highlight w:val="none"/>
        </w:rPr>
        <w:t>提供由省级以上监狱管理局、戒毒管理局（含新疆生产建设兵团）出具的属于监狱企业证明文件的，视同为小型和微型企业</w:t>
      </w:r>
      <w:r>
        <w:rPr>
          <w:rFonts w:hint="eastAsia" w:ascii="宋体" w:hAnsi="宋体" w:cs="宋体"/>
          <w:color w:val="auto"/>
          <w:sz w:val="24"/>
          <w:highlight w:val="none"/>
          <w:lang w:eastAsia="zh-CN"/>
        </w:rPr>
        <w:t>。</w:t>
      </w:r>
    </w:p>
    <w:p w14:paraId="0D8D8821">
      <w:pPr>
        <w:rPr>
          <w:rFonts w:ascii="Calibri" w:hAnsi="Calibri"/>
          <w:color w:val="000000"/>
          <w:highlight w:val="none"/>
          <w:lang w:val="zh-CN"/>
        </w:rPr>
        <w:sectPr>
          <w:pgSz w:w="11910" w:h="16840"/>
          <w:pgMar w:top="1417" w:right="1417" w:bottom="1417" w:left="1417" w:header="720" w:footer="720" w:gutter="0"/>
          <w:pgNumType w:fmt="decimal"/>
          <w:cols w:space="720" w:num="1"/>
          <w:rtlGutter w:val="0"/>
        </w:sectPr>
      </w:pPr>
    </w:p>
    <w:bookmarkEnd w:id="69"/>
    <w:bookmarkEnd w:id="70"/>
    <w:p w14:paraId="6559D406">
      <w:pPr>
        <w:keepNext/>
        <w:keepLines/>
        <w:spacing w:before="260" w:after="260" w:line="416" w:lineRule="auto"/>
        <w:jc w:val="center"/>
        <w:outlineLvl w:val="1"/>
        <w:rPr>
          <w:rFonts w:ascii="宋体" w:hAnsi="宋体"/>
          <w:bCs/>
          <w:color w:val="000000"/>
          <w:sz w:val="32"/>
          <w:szCs w:val="32"/>
          <w:highlight w:val="none"/>
        </w:rPr>
      </w:pPr>
      <w:bookmarkStart w:id="71" w:name="_Toc80205940"/>
      <w:bookmarkStart w:id="72" w:name="_Toc11274"/>
      <w:r>
        <w:rPr>
          <w:rFonts w:hint="eastAsia" w:ascii="宋体" w:hAnsi="宋体"/>
          <w:color w:val="000000"/>
          <w:sz w:val="32"/>
          <w:szCs w:val="32"/>
          <w:highlight w:val="none"/>
        </w:rPr>
        <w:t xml:space="preserve">第三节 </w:t>
      </w:r>
      <w:r>
        <w:rPr>
          <w:rFonts w:hint="eastAsia" w:ascii="宋体" w:hAnsi="宋体"/>
          <w:bCs/>
          <w:color w:val="000000"/>
          <w:sz w:val="32"/>
          <w:szCs w:val="32"/>
          <w:highlight w:val="none"/>
        </w:rPr>
        <w:t>商务技术文件格式</w:t>
      </w:r>
      <w:bookmarkEnd w:id="71"/>
      <w:bookmarkEnd w:id="72"/>
    </w:p>
    <w:p w14:paraId="05A0E4E3">
      <w:pPr>
        <w:snapToGrid w:val="0"/>
        <w:spacing w:before="120" w:beforeLines="50" w:after="50"/>
        <w:jc w:val="right"/>
        <w:rPr>
          <w:rFonts w:ascii="宋体" w:hAnsi="宋体"/>
          <w:bCs/>
          <w:color w:val="000000"/>
          <w:sz w:val="32"/>
          <w:szCs w:val="20"/>
          <w:highlight w:val="none"/>
        </w:rPr>
      </w:pPr>
      <w:r>
        <w:rPr>
          <w:rFonts w:hint="eastAsia" w:ascii="宋体" w:hAnsi="宋体"/>
          <w:bCs/>
          <w:color w:val="000000"/>
          <w:highlight w:val="none"/>
        </w:rPr>
        <w:t>全流程电子文件</w:t>
      </w:r>
    </w:p>
    <w:p w14:paraId="5D74DFD4">
      <w:pPr>
        <w:snapToGrid w:val="0"/>
        <w:spacing w:before="120" w:beforeLines="50" w:after="50"/>
        <w:rPr>
          <w:rFonts w:ascii="宋体" w:hAnsi="宋体"/>
          <w:color w:val="000000"/>
          <w:sz w:val="24"/>
          <w:szCs w:val="20"/>
          <w:highlight w:val="none"/>
        </w:rPr>
      </w:pPr>
    </w:p>
    <w:p w14:paraId="778E3847">
      <w:pPr>
        <w:snapToGrid w:val="0"/>
        <w:spacing w:before="120" w:beforeLines="50" w:after="50"/>
        <w:rPr>
          <w:rFonts w:ascii="宋体" w:hAnsi="宋体"/>
          <w:color w:val="000000"/>
          <w:sz w:val="24"/>
          <w:szCs w:val="20"/>
          <w:highlight w:val="none"/>
        </w:rPr>
      </w:pPr>
    </w:p>
    <w:p w14:paraId="54B0FF0A">
      <w:pPr>
        <w:snapToGrid w:val="0"/>
        <w:spacing w:before="120" w:beforeLines="50" w:after="50"/>
        <w:rPr>
          <w:rFonts w:ascii="宋体" w:hAnsi="宋体"/>
          <w:color w:val="000000"/>
          <w:sz w:val="24"/>
          <w:szCs w:val="20"/>
          <w:highlight w:val="none"/>
        </w:rPr>
      </w:pPr>
    </w:p>
    <w:p w14:paraId="35484A35">
      <w:pPr>
        <w:snapToGrid w:val="0"/>
        <w:spacing w:before="120" w:beforeLines="50" w:after="50"/>
        <w:jc w:val="center"/>
        <w:rPr>
          <w:rFonts w:ascii="宋体" w:hAnsi="宋体" w:cs="方正小标宋简体"/>
          <w:bCs/>
          <w:color w:val="000000"/>
          <w:sz w:val="44"/>
          <w:szCs w:val="44"/>
          <w:highlight w:val="none"/>
        </w:rPr>
      </w:pPr>
      <w:r>
        <w:rPr>
          <w:rFonts w:hint="eastAsia" w:ascii="宋体" w:hAnsi="宋体" w:cs="方正小标宋简体"/>
          <w:bCs/>
          <w:color w:val="000000"/>
          <w:sz w:val="44"/>
          <w:szCs w:val="44"/>
          <w:highlight w:val="none"/>
        </w:rPr>
        <w:t>商务技术文件（封面）</w:t>
      </w:r>
    </w:p>
    <w:p w14:paraId="04C1ADD9">
      <w:pPr>
        <w:snapToGrid w:val="0"/>
        <w:spacing w:before="120" w:beforeLines="50" w:after="50"/>
        <w:rPr>
          <w:rFonts w:ascii="宋体" w:hAnsi="宋体"/>
          <w:bCs/>
          <w:color w:val="000000"/>
          <w:sz w:val="24"/>
          <w:szCs w:val="20"/>
          <w:highlight w:val="none"/>
        </w:rPr>
      </w:pPr>
    </w:p>
    <w:p w14:paraId="5CD44733">
      <w:pPr>
        <w:snapToGrid w:val="0"/>
        <w:spacing w:before="120" w:beforeLines="50" w:after="50"/>
        <w:rPr>
          <w:rFonts w:ascii="宋体" w:hAnsi="宋体"/>
          <w:bCs/>
          <w:color w:val="000000"/>
          <w:sz w:val="24"/>
          <w:szCs w:val="20"/>
          <w:highlight w:val="none"/>
        </w:rPr>
      </w:pPr>
    </w:p>
    <w:p w14:paraId="5108FA5B">
      <w:pPr>
        <w:snapToGrid w:val="0"/>
        <w:spacing w:before="120" w:beforeLines="50" w:after="50"/>
        <w:rPr>
          <w:rFonts w:ascii="宋体" w:hAnsi="宋体"/>
          <w:bCs/>
          <w:color w:val="000000"/>
          <w:sz w:val="24"/>
          <w:szCs w:val="20"/>
          <w:highlight w:val="none"/>
        </w:rPr>
      </w:pPr>
    </w:p>
    <w:p w14:paraId="13711112">
      <w:pPr>
        <w:snapToGrid w:val="0"/>
        <w:spacing w:before="120" w:beforeLines="50" w:after="50"/>
        <w:rPr>
          <w:rFonts w:ascii="宋体" w:hAnsi="宋体"/>
          <w:bCs/>
          <w:color w:val="000000"/>
          <w:sz w:val="24"/>
          <w:szCs w:val="20"/>
          <w:highlight w:val="none"/>
        </w:rPr>
      </w:pPr>
    </w:p>
    <w:p w14:paraId="2D0CC8F8">
      <w:pPr>
        <w:snapToGrid w:val="0"/>
        <w:spacing w:before="120" w:beforeLines="50" w:after="50"/>
        <w:rPr>
          <w:rFonts w:ascii="宋体" w:hAnsi="宋体"/>
          <w:bCs/>
          <w:color w:val="000000"/>
          <w:sz w:val="24"/>
          <w:szCs w:val="20"/>
          <w:highlight w:val="none"/>
        </w:rPr>
      </w:pPr>
    </w:p>
    <w:p w14:paraId="4B082728">
      <w:pPr>
        <w:snapToGrid w:val="0"/>
        <w:spacing w:before="120" w:beforeLines="50" w:after="50"/>
        <w:ind w:firstLine="640" w:firstLineChars="200"/>
        <w:rPr>
          <w:rFonts w:hint="eastAsia" w:ascii="宋体" w:hAnsi="宋体" w:eastAsia="宋体" w:cs="仿宋_GB2312"/>
          <w:bCs/>
          <w:color w:val="000000"/>
          <w:sz w:val="32"/>
          <w:szCs w:val="32"/>
          <w:highlight w:val="none"/>
          <w:lang w:eastAsia="zh-CN"/>
        </w:rPr>
      </w:pPr>
      <w:r>
        <w:rPr>
          <w:rFonts w:hint="eastAsia" w:ascii="宋体" w:hAnsi="宋体" w:cs="仿宋_GB2312"/>
          <w:bCs/>
          <w:color w:val="000000"/>
          <w:sz w:val="32"/>
          <w:szCs w:val="32"/>
          <w:highlight w:val="none"/>
        </w:rPr>
        <w:t>项目名称：</w:t>
      </w:r>
      <w:r>
        <w:rPr>
          <w:rFonts w:hint="eastAsia" w:ascii="宋体" w:hAnsi="宋体" w:cs="仿宋_GB2312"/>
          <w:bCs/>
          <w:color w:val="000000"/>
          <w:sz w:val="32"/>
          <w:szCs w:val="32"/>
          <w:highlight w:val="none"/>
          <w:lang w:val="en-US" w:eastAsia="zh-CN"/>
        </w:rPr>
        <w:t xml:space="preserve"> </w:t>
      </w:r>
    </w:p>
    <w:p w14:paraId="162B4B62">
      <w:pPr>
        <w:snapToGrid w:val="0"/>
        <w:spacing w:before="120" w:beforeLines="50" w:after="50"/>
        <w:ind w:firstLine="720" w:firstLineChars="225"/>
        <w:rPr>
          <w:rFonts w:ascii="宋体" w:hAnsi="宋体" w:cs="仿宋_GB2312"/>
          <w:bCs/>
          <w:color w:val="000000"/>
          <w:sz w:val="32"/>
          <w:szCs w:val="32"/>
          <w:highlight w:val="none"/>
        </w:rPr>
      </w:pPr>
    </w:p>
    <w:p w14:paraId="2FDAFADD">
      <w:pPr>
        <w:snapToGrid w:val="0"/>
        <w:spacing w:before="120" w:beforeLines="50" w:after="50"/>
        <w:ind w:firstLine="640" w:firstLineChars="200"/>
        <w:rPr>
          <w:rFonts w:hint="eastAsia" w:ascii="宋体" w:hAnsi="宋体" w:eastAsia="宋体" w:cs="仿宋_GB2312"/>
          <w:bCs/>
          <w:color w:val="000000"/>
          <w:sz w:val="32"/>
          <w:szCs w:val="32"/>
          <w:highlight w:val="none"/>
          <w:lang w:eastAsia="zh-CN"/>
        </w:rPr>
      </w:pPr>
      <w:r>
        <w:rPr>
          <w:rFonts w:hint="eastAsia" w:ascii="宋体" w:hAnsi="宋体" w:cs="仿宋_GB2312"/>
          <w:bCs/>
          <w:color w:val="000000"/>
          <w:sz w:val="32"/>
          <w:szCs w:val="32"/>
          <w:highlight w:val="none"/>
        </w:rPr>
        <w:t>项目编号：</w:t>
      </w:r>
      <w:r>
        <w:rPr>
          <w:rFonts w:hint="eastAsia" w:ascii="宋体" w:hAnsi="宋体" w:cs="仿宋_GB2312"/>
          <w:bCs/>
          <w:color w:val="000000"/>
          <w:sz w:val="32"/>
          <w:szCs w:val="32"/>
          <w:highlight w:val="none"/>
          <w:lang w:val="en-US" w:eastAsia="zh-CN"/>
        </w:rPr>
        <w:t xml:space="preserve"> </w:t>
      </w:r>
    </w:p>
    <w:p w14:paraId="6577360F">
      <w:pPr>
        <w:snapToGrid w:val="0"/>
        <w:spacing w:before="120" w:beforeLines="50" w:after="50"/>
        <w:ind w:firstLine="720" w:firstLineChars="225"/>
        <w:rPr>
          <w:rFonts w:ascii="宋体" w:hAnsi="宋体" w:cs="仿宋_GB2312"/>
          <w:bCs/>
          <w:color w:val="000000"/>
          <w:sz w:val="32"/>
          <w:szCs w:val="32"/>
          <w:highlight w:val="none"/>
        </w:rPr>
      </w:pPr>
    </w:p>
    <w:p w14:paraId="025D7909">
      <w:pPr>
        <w:snapToGrid w:val="0"/>
        <w:spacing w:before="120" w:beforeLines="50" w:after="50"/>
        <w:ind w:firstLine="640" w:firstLineChars="200"/>
        <w:rPr>
          <w:rFonts w:ascii="宋体" w:hAnsi="宋体" w:cs="仿宋_GB2312"/>
          <w:bCs/>
          <w:color w:val="000000"/>
          <w:sz w:val="32"/>
          <w:szCs w:val="32"/>
          <w:highlight w:val="none"/>
        </w:rPr>
      </w:pPr>
      <w:r>
        <w:rPr>
          <w:rFonts w:hint="eastAsia" w:ascii="宋体" w:hAnsi="宋体" w:cs="仿宋_GB2312"/>
          <w:bCs/>
          <w:color w:val="000000"/>
          <w:sz w:val="32"/>
          <w:szCs w:val="32"/>
          <w:highlight w:val="none"/>
        </w:rPr>
        <w:t>所竞分标（如有则填写，无分标时填写“无”或者留空）：</w:t>
      </w:r>
    </w:p>
    <w:p w14:paraId="68617FD7">
      <w:pPr>
        <w:snapToGrid w:val="0"/>
        <w:spacing w:before="120" w:beforeLines="50" w:after="50"/>
        <w:ind w:firstLine="720" w:firstLineChars="225"/>
        <w:rPr>
          <w:rFonts w:ascii="宋体" w:hAnsi="宋体" w:cs="仿宋_GB2312"/>
          <w:bCs/>
          <w:color w:val="000000"/>
          <w:sz w:val="32"/>
          <w:szCs w:val="32"/>
          <w:highlight w:val="none"/>
        </w:rPr>
      </w:pPr>
    </w:p>
    <w:p w14:paraId="6AFF7C60">
      <w:pPr>
        <w:snapToGrid w:val="0"/>
        <w:spacing w:before="50" w:after="50"/>
        <w:ind w:firstLine="640" w:firstLineChars="200"/>
        <w:rPr>
          <w:rFonts w:ascii="宋体" w:hAnsi="宋体" w:cs="仿宋_GB2312"/>
          <w:bCs/>
          <w:color w:val="000000"/>
          <w:sz w:val="32"/>
          <w:szCs w:val="32"/>
          <w:highlight w:val="none"/>
        </w:rPr>
      </w:pPr>
      <w:r>
        <w:rPr>
          <w:rFonts w:hint="eastAsia" w:ascii="宋体" w:hAnsi="宋体" w:cs="仿宋_GB2312"/>
          <w:bCs/>
          <w:color w:val="000000"/>
          <w:sz w:val="32"/>
          <w:szCs w:val="32"/>
          <w:highlight w:val="none"/>
        </w:rPr>
        <w:t>供应商名称：</w:t>
      </w:r>
    </w:p>
    <w:p w14:paraId="71709340">
      <w:pPr>
        <w:snapToGrid w:val="0"/>
        <w:spacing w:before="50" w:after="50"/>
        <w:ind w:firstLine="720" w:firstLineChars="225"/>
        <w:rPr>
          <w:rFonts w:ascii="宋体" w:hAnsi="宋体" w:cs="仿宋_GB2312"/>
          <w:bCs/>
          <w:color w:val="000000"/>
          <w:sz w:val="32"/>
          <w:szCs w:val="32"/>
          <w:highlight w:val="none"/>
        </w:rPr>
      </w:pPr>
    </w:p>
    <w:p w14:paraId="6D0DE19A">
      <w:pPr>
        <w:snapToGrid w:val="0"/>
        <w:spacing w:before="50" w:after="50"/>
        <w:ind w:firstLine="720" w:firstLineChars="225"/>
        <w:rPr>
          <w:rFonts w:ascii="宋体" w:hAnsi="宋体" w:cs="仿宋_GB2312"/>
          <w:bCs/>
          <w:color w:val="000000"/>
          <w:sz w:val="32"/>
          <w:szCs w:val="32"/>
          <w:highlight w:val="none"/>
        </w:rPr>
      </w:pPr>
    </w:p>
    <w:p w14:paraId="353C6367">
      <w:pPr>
        <w:snapToGrid w:val="0"/>
        <w:spacing w:before="50" w:after="50"/>
        <w:ind w:firstLine="1280" w:firstLineChars="400"/>
        <w:rPr>
          <w:rFonts w:ascii="宋体" w:hAnsi="宋体" w:cs="仿宋_GB2312"/>
          <w:bCs/>
          <w:color w:val="000000"/>
          <w:sz w:val="32"/>
          <w:szCs w:val="32"/>
          <w:highlight w:val="none"/>
        </w:rPr>
      </w:pPr>
    </w:p>
    <w:p w14:paraId="14F9D9A3">
      <w:pPr>
        <w:snapToGrid w:val="0"/>
        <w:spacing w:before="120" w:beforeLines="50" w:after="50"/>
        <w:jc w:val="center"/>
        <w:rPr>
          <w:rFonts w:ascii="宋体" w:hAnsi="宋体" w:cs="仿宋_GB2312"/>
          <w:color w:val="000000"/>
          <w:sz w:val="32"/>
          <w:szCs w:val="32"/>
          <w:highlight w:val="none"/>
        </w:rPr>
      </w:pPr>
      <w:r>
        <w:rPr>
          <w:rFonts w:hint="eastAsia" w:ascii="宋体" w:hAnsi="宋体" w:cs="仿宋_GB2312"/>
          <w:color w:val="000000"/>
          <w:sz w:val="32"/>
          <w:szCs w:val="32"/>
          <w:highlight w:val="none"/>
        </w:rPr>
        <w:t>年    月    日</w:t>
      </w:r>
    </w:p>
    <w:p w14:paraId="07F9A262">
      <w:pPr>
        <w:snapToGrid w:val="0"/>
        <w:spacing w:before="120" w:beforeLines="50" w:after="50" w:line="360" w:lineRule="auto"/>
        <w:ind w:left="142" w:firstLine="643" w:firstLineChars="200"/>
        <w:jc w:val="left"/>
        <w:rPr>
          <w:rFonts w:ascii="宋体" w:hAnsi="宋体"/>
          <w:b/>
          <w:bCs/>
          <w:color w:val="000000"/>
          <w:sz w:val="32"/>
          <w:szCs w:val="32"/>
          <w:highlight w:val="none"/>
        </w:rPr>
        <w:sectPr>
          <w:pgSz w:w="11910" w:h="16840"/>
          <w:pgMar w:top="1417" w:right="1417" w:bottom="1417" w:left="1417" w:header="720" w:footer="720" w:gutter="0"/>
          <w:pgNumType w:fmt="decimal"/>
          <w:cols w:space="720" w:num="1"/>
          <w:rtlGutter w:val="0"/>
        </w:sectPr>
      </w:pPr>
    </w:p>
    <w:p w14:paraId="39A6F970">
      <w:pPr>
        <w:jc w:val="center"/>
        <w:rPr>
          <w:rFonts w:ascii="宋体" w:hAnsi="宋体" w:cs="仿宋_GB2312"/>
          <w:b/>
          <w:color w:val="000000"/>
          <w:kern w:val="0"/>
          <w:sz w:val="28"/>
          <w:szCs w:val="28"/>
          <w:highlight w:val="none"/>
        </w:rPr>
      </w:pPr>
      <w:r>
        <w:rPr>
          <w:rFonts w:hint="eastAsia" w:ascii="宋体" w:hAnsi="宋体" w:cs="仿宋_GB2312"/>
          <w:b/>
          <w:color w:val="000000"/>
          <w:kern w:val="0"/>
          <w:sz w:val="28"/>
          <w:szCs w:val="28"/>
          <w:highlight w:val="none"/>
        </w:rPr>
        <w:t>商务技术文件目录</w:t>
      </w:r>
    </w:p>
    <w:p w14:paraId="5D20D047">
      <w:pPr>
        <w:jc w:val="center"/>
        <w:rPr>
          <w:rFonts w:ascii="宋体" w:hAnsi="宋体" w:cs="仿宋_GB2312"/>
          <w:b/>
          <w:color w:val="000000"/>
          <w:kern w:val="0"/>
          <w:sz w:val="28"/>
          <w:szCs w:val="28"/>
          <w:highlight w:val="none"/>
        </w:rPr>
      </w:pPr>
    </w:p>
    <w:p w14:paraId="54EE8A90">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ascii="宋体" w:hAnsi="宋体" w:cs="仿宋_GB2312"/>
          <w:color w:val="000000"/>
          <w:sz w:val="32"/>
          <w:szCs w:val="32"/>
          <w:highlight w:val="none"/>
        </w:rPr>
      </w:pPr>
      <w:r>
        <w:rPr>
          <w:rFonts w:hint="eastAsia" w:ascii="宋体" w:hAnsi="宋体"/>
          <w:color w:val="auto"/>
          <w:sz w:val="28"/>
          <w:szCs w:val="28"/>
          <w:highlight w:val="none"/>
        </w:rPr>
        <w:t>根据</w:t>
      </w:r>
      <w:r>
        <w:rPr>
          <w:rFonts w:hint="eastAsia" w:ascii="宋体" w:hAnsi="宋体"/>
          <w:color w:val="auto"/>
          <w:sz w:val="28"/>
          <w:szCs w:val="28"/>
          <w:highlight w:val="none"/>
          <w:lang w:eastAsia="zh-CN"/>
        </w:rPr>
        <w:t>采购文件“</w:t>
      </w:r>
      <w:r>
        <w:rPr>
          <w:rFonts w:hint="eastAsia" w:ascii="宋体" w:hAnsi="宋体"/>
          <w:color w:val="auto"/>
          <w:sz w:val="28"/>
          <w:szCs w:val="28"/>
          <w:highlight w:val="none"/>
        </w:rPr>
        <w:t xml:space="preserve">第三章  </w:t>
      </w:r>
      <w:r>
        <w:rPr>
          <w:rFonts w:hint="eastAsia" w:ascii="宋体" w:hAnsi="宋体"/>
          <w:color w:val="auto"/>
          <w:sz w:val="28"/>
          <w:szCs w:val="28"/>
          <w:highlight w:val="none"/>
          <w:lang w:eastAsia="zh-CN"/>
        </w:rPr>
        <w:t>供应商</w:t>
      </w:r>
      <w:r>
        <w:rPr>
          <w:rFonts w:hint="eastAsia" w:ascii="宋体" w:hAnsi="宋体" w:eastAsia="宋体" w:cs="Times New Roman"/>
          <w:color w:val="auto"/>
          <w:sz w:val="28"/>
          <w:szCs w:val="28"/>
          <w:highlight w:val="none"/>
        </w:rPr>
        <w:t xml:space="preserve">须知 </w:t>
      </w:r>
      <w:r>
        <w:rPr>
          <w:rFonts w:hint="eastAsia" w:ascii="宋体" w:hAnsi="宋体" w:eastAsia="宋体" w:cs="Times New Roman"/>
          <w:color w:val="auto"/>
          <w:sz w:val="28"/>
          <w:szCs w:val="28"/>
          <w:highlight w:val="none"/>
          <w:lang w:val="en-US" w:eastAsia="zh-CN"/>
        </w:rPr>
        <w:t>12.1</w:t>
      </w:r>
      <w:r>
        <w:rPr>
          <w:rFonts w:hint="eastAsia" w:ascii="宋体" w:hAnsi="宋体" w:eastAsia="宋体" w:cs="Times New Roman"/>
          <w:color w:val="auto"/>
          <w:sz w:val="28"/>
          <w:szCs w:val="28"/>
          <w:highlight w:val="none"/>
        </w:rPr>
        <w:t>.</w:t>
      </w:r>
      <w:r>
        <w:rPr>
          <w:rFonts w:hint="eastAsia" w:ascii="宋体" w:hAnsi="宋体" w:eastAsia="宋体" w:cs="Times New Roman"/>
          <w:color w:val="auto"/>
          <w:sz w:val="28"/>
          <w:szCs w:val="28"/>
          <w:highlight w:val="none"/>
          <w:lang w:val="en-US" w:eastAsia="zh-CN"/>
        </w:rPr>
        <w:t xml:space="preserve">2 </w:t>
      </w:r>
      <w:r>
        <w:rPr>
          <w:rFonts w:hint="eastAsia" w:ascii="宋体" w:hAnsi="宋体" w:eastAsia="宋体" w:cs="Times New Roman"/>
          <w:color w:val="auto"/>
          <w:sz w:val="28"/>
          <w:szCs w:val="28"/>
          <w:highlight w:val="none"/>
          <w:lang w:eastAsia="zh-CN"/>
        </w:rPr>
        <w:t>商务</w:t>
      </w:r>
      <w:r>
        <w:rPr>
          <w:rFonts w:hint="eastAsia" w:ascii="宋体" w:hAnsi="宋体" w:eastAsia="宋体" w:cs="Times New Roman"/>
          <w:color w:val="auto"/>
          <w:sz w:val="28"/>
          <w:szCs w:val="28"/>
          <w:highlight w:val="none"/>
        </w:rPr>
        <w:t>文件组成</w:t>
      </w:r>
      <w:r>
        <w:rPr>
          <w:rFonts w:hint="eastAsia" w:ascii="宋体" w:hAnsi="宋体" w:eastAsia="宋体" w:cs="Times New Roman"/>
          <w:color w:val="auto"/>
          <w:sz w:val="28"/>
          <w:szCs w:val="28"/>
          <w:highlight w:val="none"/>
          <w:lang w:eastAsia="zh-CN"/>
        </w:rPr>
        <w:t>、</w:t>
      </w:r>
      <w:r>
        <w:rPr>
          <w:rFonts w:hint="eastAsia" w:ascii="宋体" w:hAnsi="宋体" w:eastAsia="宋体" w:cs="Times New Roman"/>
          <w:color w:val="auto"/>
          <w:sz w:val="28"/>
          <w:szCs w:val="28"/>
          <w:highlight w:val="none"/>
        </w:rPr>
        <w:t>技术文件组成</w:t>
      </w:r>
      <w:r>
        <w:rPr>
          <w:rFonts w:hint="eastAsia" w:ascii="宋体" w:hAnsi="宋体" w:eastAsia="宋体" w:cs="Times New Roman"/>
          <w:color w:val="auto"/>
          <w:sz w:val="28"/>
          <w:szCs w:val="28"/>
          <w:highlight w:val="none"/>
          <w:lang w:val="en-US" w:eastAsia="zh-CN"/>
        </w:rPr>
        <w:t xml:space="preserve"> ”</w:t>
      </w:r>
      <w:r>
        <w:rPr>
          <w:rFonts w:hint="eastAsia" w:ascii="宋体" w:hAnsi="宋体"/>
          <w:color w:val="auto"/>
          <w:sz w:val="28"/>
          <w:szCs w:val="28"/>
          <w:highlight w:val="none"/>
          <w:lang w:val="en-US" w:eastAsia="zh-CN"/>
        </w:rPr>
        <w:t>的规定</w:t>
      </w:r>
      <w:r>
        <w:rPr>
          <w:rFonts w:hint="eastAsia" w:ascii="宋体" w:hAnsi="宋体"/>
          <w:color w:val="auto"/>
          <w:sz w:val="28"/>
          <w:szCs w:val="28"/>
          <w:highlight w:val="none"/>
        </w:rPr>
        <w:t>及</w:t>
      </w:r>
      <w:r>
        <w:rPr>
          <w:rFonts w:hint="eastAsia" w:ascii="宋体" w:hAnsi="宋体"/>
          <w:color w:val="auto"/>
          <w:sz w:val="28"/>
          <w:szCs w:val="28"/>
          <w:highlight w:val="none"/>
          <w:lang w:eastAsia="zh-CN"/>
        </w:rPr>
        <w:t>供应商</w:t>
      </w:r>
      <w:r>
        <w:rPr>
          <w:rFonts w:hint="eastAsia" w:ascii="宋体" w:hAnsi="宋体"/>
          <w:color w:val="auto"/>
          <w:sz w:val="28"/>
          <w:szCs w:val="28"/>
          <w:highlight w:val="none"/>
        </w:rPr>
        <w:t>提供的材料自行编写目录。</w:t>
      </w:r>
    </w:p>
    <w:p w14:paraId="41DEC630">
      <w:pPr>
        <w:spacing w:line="520" w:lineRule="exact"/>
        <w:ind w:firstLine="880" w:firstLineChars="200"/>
        <w:rPr>
          <w:rFonts w:hint="eastAsia" w:ascii="宋体" w:hAnsi="宋体" w:cs="方正小标宋简体"/>
          <w:color w:val="000000"/>
          <w:sz w:val="44"/>
          <w:szCs w:val="44"/>
          <w:highlight w:val="none"/>
        </w:rPr>
      </w:pPr>
    </w:p>
    <w:p w14:paraId="0E26D6D6">
      <w:pPr>
        <w:pStyle w:val="5"/>
        <w:keepNext/>
        <w:keepLines/>
        <w:pageBreakBefore w:val="0"/>
        <w:widowControl w:val="0"/>
        <w:tabs>
          <w:tab w:val="left" w:pos="2155"/>
        </w:tabs>
        <w:kinsoku/>
        <w:wordWrap/>
        <w:overflowPunct/>
        <w:topLinePunct w:val="0"/>
        <w:autoSpaceDE/>
        <w:autoSpaceDN/>
        <w:bidi w:val="0"/>
        <w:adjustRightInd/>
        <w:snapToGrid/>
        <w:spacing w:before="0" w:after="0" w:line="377" w:lineRule="auto"/>
        <w:ind w:left="0" w:leftChars="0" w:firstLine="0" w:firstLineChars="0"/>
        <w:jc w:val="center"/>
        <w:textAlignment w:val="auto"/>
        <w:rPr>
          <w:rFonts w:hint="eastAsia" w:ascii="宋体" w:hAnsi="宋体" w:eastAsia="宋体" w:cs="宋体"/>
          <w:b/>
          <w:bCs/>
          <w:color w:val="auto"/>
          <w:sz w:val="30"/>
          <w:highlight w:val="none"/>
          <w:lang w:eastAsia="zh-CN"/>
        </w:rPr>
      </w:pPr>
    </w:p>
    <w:p w14:paraId="330F4BAC">
      <w:pPr>
        <w:spacing w:line="520" w:lineRule="exact"/>
        <w:ind w:firstLine="880" w:firstLineChars="200"/>
        <w:rPr>
          <w:rFonts w:ascii="宋体" w:hAnsi="宋体" w:cs="方正小标宋简体"/>
          <w:color w:val="000000"/>
          <w:sz w:val="44"/>
          <w:szCs w:val="44"/>
          <w:highlight w:val="none"/>
        </w:rPr>
      </w:pPr>
      <w:r>
        <w:rPr>
          <w:rFonts w:hint="eastAsia" w:ascii="宋体" w:hAnsi="宋体" w:cs="方正小标宋简体"/>
          <w:color w:val="000000"/>
          <w:sz w:val="44"/>
          <w:szCs w:val="44"/>
          <w:highlight w:val="none"/>
        </w:rPr>
        <w:br w:type="page"/>
      </w:r>
    </w:p>
    <w:p w14:paraId="7CA6C31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Times New Roman"/>
          <w:b/>
          <w:color w:val="000000"/>
          <w:sz w:val="36"/>
          <w:szCs w:val="36"/>
          <w:highlight w:val="none"/>
        </w:rPr>
      </w:pPr>
      <w:r>
        <w:rPr>
          <w:rFonts w:hint="eastAsia" w:ascii="宋体" w:hAnsi="宋体" w:eastAsia="宋体" w:cs="Times New Roman"/>
          <w:b/>
          <w:color w:val="000000"/>
          <w:sz w:val="36"/>
          <w:szCs w:val="36"/>
          <w:highlight w:val="none"/>
        </w:rPr>
        <w:t>无串通竞标行为的承诺函</w:t>
      </w:r>
    </w:p>
    <w:p w14:paraId="03F21331">
      <w:pPr>
        <w:spacing w:line="520" w:lineRule="exact"/>
        <w:ind w:firstLine="640" w:firstLineChars="200"/>
        <w:rPr>
          <w:rFonts w:ascii="宋体" w:hAnsi="宋体" w:cs="仿宋_GB2312"/>
          <w:color w:val="000000"/>
          <w:sz w:val="32"/>
          <w:szCs w:val="32"/>
          <w:highlight w:val="none"/>
        </w:rPr>
      </w:pPr>
    </w:p>
    <w:p w14:paraId="26989463">
      <w:pPr>
        <w:spacing w:line="360" w:lineRule="auto"/>
        <w:ind w:firstLine="482" w:firstLineChars="200"/>
        <w:contextualSpacing/>
        <w:rPr>
          <w:rFonts w:ascii="宋体" w:hAnsi="宋体" w:cs="仿宋_GB2312"/>
          <w:b/>
          <w:bCs/>
          <w:color w:val="000000"/>
          <w:sz w:val="24"/>
          <w:highlight w:val="none"/>
        </w:rPr>
      </w:pPr>
      <w:r>
        <w:rPr>
          <w:rFonts w:hint="eastAsia" w:ascii="宋体" w:hAnsi="宋体" w:cs="仿宋_GB2312"/>
          <w:b/>
          <w:bCs/>
          <w:color w:val="000000"/>
          <w:sz w:val="24"/>
          <w:highlight w:val="none"/>
        </w:rPr>
        <w:t>一、我方承诺无下列相互串通竞标的情形：</w:t>
      </w:r>
    </w:p>
    <w:p w14:paraId="720A69BA">
      <w:pPr>
        <w:spacing w:line="360" w:lineRule="auto"/>
        <w:ind w:firstLine="480" w:firstLineChars="200"/>
        <w:contextualSpacing/>
        <w:rPr>
          <w:rFonts w:ascii="宋体" w:hAnsi="宋体" w:cs="仿宋_GB2312"/>
          <w:color w:val="000000"/>
          <w:sz w:val="24"/>
          <w:highlight w:val="none"/>
        </w:rPr>
      </w:pPr>
      <w:r>
        <w:rPr>
          <w:rFonts w:hint="eastAsia" w:ascii="宋体" w:hAnsi="宋体" w:cs="仿宋_GB2312"/>
          <w:color w:val="000000"/>
          <w:sz w:val="24"/>
          <w:highlight w:val="none"/>
        </w:rPr>
        <w:t>1.不同供应商的响应文件由同一单位或者个人编制；</w:t>
      </w:r>
      <w:r>
        <w:rPr>
          <w:rFonts w:hint="eastAsia" w:ascii="宋体" w:hAnsi="宋体"/>
          <w:color w:val="000000"/>
          <w:sz w:val="24"/>
          <w:highlight w:val="none"/>
        </w:rPr>
        <w:t>或者不同供应商报名的IP地址一致的；或者编制响应文件硬件设备CPU编号、硬盘编号、网卡地址一致的情况。</w:t>
      </w:r>
    </w:p>
    <w:p w14:paraId="63830871">
      <w:pPr>
        <w:spacing w:line="360" w:lineRule="auto"/>
        <w:ind w:firstLine="480" w:firstLineChars="200"/>
        <w:contextualSpacing/>
        <w:rPr>
          <w:rFonts w:ascii="宋体" w:hAnsi="宋体" w:cs="仿宋_GB2312"/>
          <w:color w:val="000000"/>
          <w:sz w:val="24"/>
          <w:highlight w:val="none"/>
        </w:rPr>
      </w:pPr>
      <w:r>
        <w:rPr>
          <w:rFonts w:hint="eastAsia" w:ascii="宋体" w:hAnsi="宋体" w:cs="仿宋_GB2312"/>
          <w:color w:val="000000"/>
          <w:sz w:val="24"/>
          <w:highlight w:val="none"/>
        </w:rPr>
        <w:t>2.不同供应商委托同一单位或者个人办理竞标事宜；</w:t>
      </w:r>
    </w:p>
    <w:p w14:paraId="42131129">
      <w:pPr>
        <w:spacing w:line="360" w:lineRule="auto"/>
        <w:ind w:firstLine="480" w:firstLineChars="200"/>
        <w:contextualSpacing/>
        <w:rPr>
          <w:rFonts w:ascii="宋体" w:hAnsi="宋体" w:cs="仿宋_GB2312"/>
          <w:color w:val="000000"/>
          <w:sz w:val="24"/>
          <w:highlight w:val="none"/>
        </w:rPr>
      </w:pPr>
      <w:r>
        <w:rPr>
          <w:rFonts w:hint="eastAsia" w:ascii="宋体" w:hAnsi="宋体" w:cs="仿宋_GB2312"/>
          <w:color w:val="000000"/>
          <w:sz w:val="24"/>
          <w:highlight w:val="none"/>
        </w:rPr>
        <w:t>3.不同供应商的响应文件载明的项目管理员为同一个人；</w:t>
      </w:r>
    </w:p>
    <w:p w14:paraId="1C0BB491">
      <w:pPr>
        <w:spacing w:line="360" w:lineRule="auto"/>
        <w:ind w:firstLine="480" w:firstLineChars="200"/>
        <w:contextualSpacing/>
        <w:rPr>
          <w:rFonts w:ascii="宋体" w:hAnsi="宋体" w:cs="仿宋_GB2312"/>
          <w:color w:val="000000"/>
          <w:sz w:val="24"/>
          <w:highlight w:val="none"/>
        </w:rPr>
      </w:pPr>
      <w:r>
        <w:rPr>
          <w:rFonts w:hint="eastAsia" w:ascii="宋体" w:hAnsi="宋体" w:cs="仿宋_GB2312"/>
          <w:color w:val="000000"/>
          <w:sz w:val="24"/>
          <w:highlight w:val="none"/>
        </w:rPr>
        <w:t>4.不</w:t>
      </w:r>
      <w:r>
        <w:rPr>
          <w:rFonts w:hint="eastAsia" w:ascii="宋体" w:hAnsi="宋体" w:cs="仿宋_GB2312"/>
          <w:color w:val="000000"/>
          <w:spacing w:val="-6"/>
          <w:sz w:val="24"/>
          <w:highlight w:val="none"/>
        </w:rPr>
        <w:t>同供应商的响应文件异常一致或者响应报价呈规律性差异；</w:t>
      </w:r>
    </w:p>
    <w:p w14:paraId="0AF6217B">
      <w:pPr>
        <w:spacing w:line="360" w:lineRule="auto"/>
        <w:ind w:firstLine="480" w:firstLineChars="200"/>
        <w:contextualSpacing/>
        <w:rPr>
          <w:rFonts w:ascii="宋体" w:hAnsi="宋体" w:cs="仿宋_GB2312"/>
          <w:color w:val="000000"/>
          <w:sz w:val="24"/>
          <w:highlight w:val="none"/>
        </w:rPr>
      </w:pPr>
      <w:r>
        <w:rPr>
          <w:rFonts w:hint="eastAsia" w:ascii="宋体" w:hAnsi="宋体" w:cs="仿宋_GB2312"/>
          <w:color w:val="000000"/>
          <w:sz w:val="24"/>
          <w:highlight w:val="none"/>
        </w:rPr>
        <w:t>5.不同供应商的响应文件相互混装；</w:t>
      </w:r>
    </w:p>
    <w:p w14:paraId="73632C89">
      <w:pPr>
        <w:spacing w:line="360" w:lineRule="auto"/>
        <w:ind w:firstLine="480" w:firstLineChars="200"/>
        <w:contextualSpacing/>
        <w:rPr>
          <w:rFonts w:ascii="宋体" w:hAnsi="宋体" w:cs="仿宋_GB2312"/>
          <w:color w:val="000000"/>
          <w:sz w:val="24"/>
          <w:highlight w:val="none"/>
        </w:rPr>
      </w:pPr>
      <w:r>
        <w:rPr>
          <w:rFonts w:hint="eastAsia" w:ascii="宋体" w:hAnsi="宋体" w:cs="仿宋_GB2312"/>
          <w:color w:val="000000"/>
          <w:sz w:val="24"/>
          <w:highlight w:val="none"/>
        </w:rPr>
        <w:t>6.不同供应商的磋商保证金从同一单位或者个人账户转出。</w:t>
      </w:r>
    </w:p>
    <w:p w14:paraId="27B07098">
      <w:pPr>
        <w:spacing w:line="360" w:lineRule="auto"/>
        <w:ind w:firstLine="482" w:firstLineChars="200"/>
        <w:contextualSpacing/>
        <w:rPr>
          <w:rFonts w:ascii="宋体" w:hAnsi="宋体" w:cs="仿宋_GB2312"/>
          <w:b/>
          <w:bCs/>
          <w:color w:val="000000"/>
          <w:sz w:val="24"/>
          <w:highlight w:val="none"/>
        </w:rPr>
      </w:pPr>
      <w:r>
        <w:rPr>
          <w:rFonts w:hint="eastAsia" w:ascii="宋体" w:hAnsi="宋体" w:cs="仿宋_GB2312"/>
          <w:b/>
          <w:bCs/>
          <w:color w:val="000000"/>
          <w:sz w:val="24"/>
          <w:highlight w:val="none"/>
        </w:rPr>
        <w:t>二、我方承诺无下列恶意串通的情形：</w:t>
      </w:r>
    </w:p>
    <w:p w14:paraId="74AA2132">
      <w:pPr>
        <w:spacing w:line="360" w:lineRule="auto"/>
        <w:ind w:firstLine="480" w:firstLineChars="200"/>
        <w:contextualSpacing/>
        <w:rPr>
          <w:rFonts w:ascii="宋体" w:hAnsi="宋体" w:cs="仿宋_GB2312"/>
          <w:color w:val="000000"/>
          <w:sz w:val="24"/>
          <w:highlight w:val="none"/>
        </w:rPr>
      </w:pPr>
      <w:r>
        <w:rPr>
          <w:rFonts w:hint="eastAsia" w:ascii="宋体" w:hAnsi="宋体" w:cs="仿宋_GB2312"/>
          <w:color w:val="000000"/>
          <w:sz w:val="24"/>
          <w:highlight w:val="none"/>
        </w:rPr>
        <w:t>1.供应商直接或者间接从采购人或者采购代理机构处获得其他供应商的相关信息并修改其响应文件；</w:t>
      </w:r>
    </w:p>
    <w:p w14:paraId="5F81D96B">
      <w:pPr>
        <w:spacing w:line="360" w:lineRule="auto"/>
        <w:ind w:firstLine="480" w:firstLineChars="200"/>
        <w:contextualSpacing/>
        <w:rPr>
          <w:rFonts w:ascii="宋体" w:hAnsi="宋体" w:cs="仿宋_GB2312"/>
          <w:color w:val="000000"/>
          <w:sz w:val="24"/>
          <w:highlight w:val="none"/>
        </w:rPr>
      </w:pPr>
      <w:r>
        <w:rPr>
          <w:rFonts w:hint="eastAsia" w:ascii="宋体" w:hAnsi="宋体" w:cs="仿宋_GB2312"/>
          <w:color w:val="000000"/>
          <w:sz w:val="24"/>
          <w:highlight w:val="none"/>
        </w:rPr>
        <w:t>2.供应商按照采购人或者采购代理机构的授意撤换、修改响应文件；</w:t>
      </w:r>
    </w:p>
    <w:p w14:paraId="76D73948">
      <w:pPr>
        <w:spacing w:line="360" w:lineRule="auto"/>
        <w:ind w:firstLine="480" w:firstLineChars="200"/>
        <w:contextualSpacing/>
        <w:rPr>
          <w:rFonts w:ascii="宋体" w:hAnsi="宋体" w:cs="仿宋_GB2312"/>
          <w:color w:val="000000"/>
          <w:sz w:val="24"/>
          <w:highlight w:val="none"/>
        </w:rPr>
      </w:pPr>
      <w:r>
        <w:rPr>
          <w:rFonts w:hint="eastAsia" w:ascii="宋体" w:hAnsi="宋体" w:cs="仿宋_GB2312"/>
          <w:color w:val="000000"/>
          <w:sz w:val="24"/>
          <w:highlight w:val="none"/>
        </w:rPr>
        <w:t>3.供</w:t>
      </w:r>
      <w:r>
        <w:rPr>
          <w:rFonts w:hint="eastAsia" w:ascii="宋体" w:hAnsi="宋体" w:cs="仿宋_GB2312"/>
          <w:color w:val="000000"/>
          <w:spacing w:val="-6"/>
          <w:sz w:val="24"/>
          <w:highlight w:val="none"/>
        </w:rPr>
        <w:t>应商之间协商报价、技术方案等响应文件的实质性内容；</w:t>
      </w:r>
    </w:p>
    <w:p w14:paraId="1A5DDEC1">
      <w:pPr>
        <w:spacing w:line="360" w:lineRule="auto"/>
        <w:ind w:firstLine="480" w:firstLineChars="200"/>
        <w:contextualSpacing/>
        <w:rPr>
          <w:rFonts w:ascii="宋体" w:hAnsi="宋体" w:cs="仿宋_GB2312"/>
          <w:color w:val="000000"/>
          <w:sz w:val="24"/>
          <w:highlight w:val="none"/>
        </w:rPr>
      </w:pPr>
      <w:r>
        <w:rPr>
          <w:rFonts w:hint="eastAsia" w:ascii="宋体" w:hAnsi="宋体" w:cs="仿宋_GB2312"/>
          <w:color w:val="000000"/>
          <w:sz w:val="24"/>
          <w:highlight w:val="none"/>
        </w:rPr>
        <w:t>4.属于同一集团、协会、商会等组织成员的供应商按照该组织要求协同参加政府采购活动；</w:t>
      </w:r>
    </w:p>
    <w:p w14:paraId="1BA6E25D">
      <w:pPr>
        <w:spacing w:line="360" w:lineRule="auto"/>
        <w:ind w:firstLine="480" w:firstLineChars="200"/>
        <w:contextualSpacing/>
        <w:rPr>
          <w:rFonts w:ascii="宋体" w:hAnsi="宋体" w:cs="仿宋_GB2312"/>
          <w:color w:val="000000"/>
          <w:sz w:val="24"/>
          <w:highlight w:val="none"/>
        </w:rPr>
      </w:pPr>
      <w:r>
        <w:rPr>
          <w:rFonts w:hint="eastAsia" w:ascii="宋体" w:hAnsi="宋体" w:cs="仿宋_GB2312"/>
          <w:color w:val="000000"/>
          <w:sz w:val="24"/>
          <w:highlight w:val="none"/>
        </w:rPr>
        <w:t>5.供应商之间事先约定一致抬高或者压低响应报价，或者在竞争性磋商项目中事先约定轮流以高价位或者低价位成交，或者事先约定由某一特定供应商成交，然后再参加竞标；</w:t>
      </w:r>
    </w:p>
    <w:p w14:paraId="053B1950">
      <w:pPr>
        <w:spacing w:line="360" w:lineRule="auto"/>
        <w:ind w:firstLine="480" w:firstLineChars="200"/>
        <w:contextualSpacing/>
        <w:rPr>
          <w:rFonts w:ascii="宋体" w:hAnsi="宋体" w:cs="仿宋_GB2312"/>
          <w:color w:val="000000"/>
          <w:sz w:val="24"/>
          <w:highlight w:val="none"/>
        </w:rPr>
      </w:pPr>
      <w:r>
        <w:rPr>
          <w:rFonts w:hint="eastAsia" w:ascii="宋体" w:hAnsi="宋体" w:cs="仿宋_GB2312"/>
          <w:color w:val="000000"/>
          <w:sz w:val="24"/>
          <w:highlight w:val="none"/>
        </w:rPr>
        <w:t>6.供应商之间商定部分供应商放弃参加政府采购活动或者放弃成交；</w:t>
      </w:r>
    </w:p>
    <w:p w14:paraId="6FABC5CB">
      <w:pPr>
        <w:spacing w:line="360" w:lineRule="auto"/>
        <w:ind w:firstLine="480" w:firstLineChars="200"/>
        <w:contextualSpacing/>
        <w:rPr>
          <w:rFonts w:ascii="宋体" w:hAnsi="宋体" w:cs="仿宋_GB2312"/>
          <w:color w:val="000000"/>
          <w:sz w:val="24"/>
          <w:highlight w:val="none"/>
        </w:rPr>
      </w:pPr>
      <w:r>
        <w:rPr>
          <w:rFonts w:hint="eastAsia" w:ascii="宋体" w:hAnsi="宋体" w:cs="仿宋_GB2312"/>
          <w:color w:val="000000"/>
          <w:sz w:val="24"/>
          <w:highlight w:val="none"/>
        </w:rPr>
        <w:t>7.供应商与采购人或者采购代理机构之间、供应商相互之间，为</w:t>
      </w:r>
      <w:r>
        <w:rPr>
          <w:rFonts w:hint="eastAsia" w:ascii="宋体" w:hAnsi="宋体" w:cs="仿宋_GB2312"/>
          <w:color w:val="000000"/>
          <w:spacing w:val="-6"/>
          <w:sz w:val="24"/>
          <w:highlight w:val="none"/>
        </w:rPr>
        <w:t>谋求特定供应商成交或者排斥其他供应商的其他串通行为。</w:t>
      </w:r>
    </w:p>
    <w:p w14:paraId="57D0EBD6">
      <w:pPr>
        <w:spacing w:line="360" w:lineRule="auto"/>
        <w:ind w:firstLine="482" w:firstLineChars="200"/>
        <w:contextualSpacing/>
        <w:rPr>
          <w:rFonts w:ascii="宋体" w:hAnsi="宋体" w:cs="仿宋_GB2312"/>
          <w:b/>
          <w:bCs/>
          <w:color w:val="000000"/>
          <w:sz w:val="24"/>
          <w:highlight w:val="none"/>
        </w:rPr>
      </w:pPr>
      <w:r>
        <w:rPr>
          <w:rFonts w:hint="eastAsia" w:ascii="宋体" w:hAnsi="宋体" w:cs="仿宋_GB2312"/>
          <w:b/>
          <w:bCs/>
          <w:color w:val="000000"/>
          <w:sz w:val="24"/>
          <w:highlight w:val="none"/>
        </w:rPr>
        <w:t>以上情形一经核查属实，接受政府采购监管部门对我方认定存在围标串标行为，我方愿意承担一切后果，并不再寻求任何旨在减轻或者免除法律责任的辩解。</w:t>
      </w:r>
    </w:p>
    <w:p w14:paraId="33BAE83C">
      <w:pPr>
        <w:autoSpaceDE w:val="0"/>
        <w:autoSpaceDN w:val="0"/>
        <w:spacing w:line="360" w:lineRule="auto"/>
        <w:ind w:left="4335" w:leftChars="1950" w:hanging="240" w:hangingChars="100"/>
        <w:rPr>
          <w:rFonts w:ascii="宋体" w:hAnsi="宋体" w:cs="仿宋_GB2312"/>
          <w:color w:val="000000"/>
          <w:kern w:val="0"/>
          <w:sz w:val="24"/>
          <w:highlight w:val="none"/>
        </w:rPr>
      </w:pPr>
      <w:r>
        <w:rPr>
          <w:rFonts w:hint="eastAsia" w:ascii="宋体" w:hAnsi="宋体" w:cs="仿宋_GB2312"/>
          <w:color w:val="000000"/>
          <w:kern w:val="0"/>
          <w:sz w:val="24"/>
          <w:highlight w:val="none"/>
        </w:rPr>
        <w:t>供应商名称（电子签章）：</w:t>
      </w:r>
    </w:p>
    <w:p w14:paraId="06701F97">
      <w:pPr>
        <w:spacing w:line="520" w:lineRule="exact"/>
        <w:ind w:left="239" w:leftChars="114" w:firstLine="6120" w:firstLineChars="2550"/>
        <w:jc w:val="center"/>
        <w:rPr>
          <w:rFonts w:hint="eastAsia" w:ascii="宋体" w:hAnsi="宋体" w:eastAsia="宋体" w:cs="Times New Roman"/>
          <w:b/>
          <w:color w:val="000000"/>
          <w:sz w:val="36"/>
          <w:szCs w:val="36"/>
          <w:highlight w:val="none"/>
        </w:rPr>
      </w:pPr>
      <w:r>
        <w:rPr>
          <w:rFonts w:hint="eastAsia" w:ascii="宋体" w:hAnsi="宋体" w:cs="仿宋_GB2312"/>
          <w:color w:val="000000"/>
          <w:kern w:val="0"/>
          <w:sz w:val="24"/>
          <w:highlight w:val="none"/>
          <w:lang w:val="zh-CN"/>
        </w:rPr>
        <w:t xml:space="preserve">日期：  年  月   日    </w:t>
      </w:r>
      <w:r>
        <w:rPr>
          <w:rFonts w:ascii="宋体" w:hAnsi="宋体"/>
          <w:b/>
          <w:bCs/>
          <w:color w:val="000000"/>
          <w:sz w:val="32"/>
          <w:szCs w:val="32"/>
          <w:highlight w:val="none"/>
        </w:rPr>
        <w:br w:type="page"/>
      </w:r>
      <w:r>
        <w:rPr>
          <w:rFonts w:hint="eastAsia" w:ascii="宋体" w:hAnsi="宋体" w:eastAsia="宋体" w:cs="Times New Roman"/>
          <w:b/>
          <w:color w:val="000000"/>
          <w:sz w:val="36"/>
          <w:szCs w:val="36"/>
          <w:highlight w:val="none"/>
        </w:rPr>
        <w:t>法定代表人证明书</w:t>
      </w:r>
    </w:p>
    <w:p w14:paraId="7CF70956">
      <w:pPr>
        <w:spacing w:line="360" w:lineRule="auto"/>
        <w:ind w:left="540"/>
        <w:contextualSpacing/>
        <w:rPr>
          <w:rFonts w:ascii="宋体" w:hAnsi="宋体" w:cs="仿宋_GB2312"/>
          <w:color w:val="000000"/>
          <w:sz w:val="32"/>
          <w:szCs w:val="32"/>
          <w:highlight w:val="none"/>
        </w:rPr>
      </w:pPr>
    </w:p>
    <w:p w14:paraId="5DCE3D68">
      <w:pPr>
        <w:spacing w:line="360" w:lineRule="auto"/>
        <w:ind w:left="54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p>
    <w:p w14:paraId="5DF03522">
      <w:pPr>
        <w:spacing w:line="360" w:lineRule="auto"/>
        <w:ind w:left="54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 xml:space="preserve">                                                        </w:t>
      </w:r>
    </w:p>
    <w:p w14:paraId="002FAB22">
      <w:pPr>
        <w:spacing w:line="360" w:lineRule="auto"/>
        <w:ind w:left="54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     别：</w:t>
      </w:r>
      <w:r>
        <w:rPr>
          <w:rFonts w:hint="eastAsia" w:ascii="宋体" w:hAnsi="宋体" w:eastAsia="宋体" w:cs="宋体"/>
          <w:color w:val="auto"/>
          <w:sz w:val="24"/>
          <w:szCs w:val="24"/>
          <w:highlight w:val="none"/>
          <w:u w:val="single"/>
        </w:rPr>
        <w:t xml:space="preserve">                </w:t>
      </w:r>
    </w:p>
    <w:p w14:paraId="44B85153">
      <w:pPr>
        <w:spacing w:line="360" w:lineRule="auto"/>
        <w:ind w:left="540"/>
        <w:contextualSpacing/>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年    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     务：</w:t>
      </w:r>
      <w:r>
        <w:rPr>
          <w:rFonts w:hint="eastAsia" w:ascii="宋体" w:hAnsi="宋体" w:eastAsia="宋体" w:cs="宋体"/>
          <w:color w:val="auto"/>
          <w:sz w:val="24"/>
          <w:szCs w:val="24"/>
          <w:highlight w:val="none"/>
          <w:u w:val="single"/>
        </w:rPr>
        <w:t xml:space="preserve">                </w:t>
      </w:r>
    </w:p>
    <w:p w14:paraId="0464112C">
      <w:pPr>
        <w:spacing w:line="360" w:lineRule="auto"/>
        <w:ind w:left="54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身份证号码：</w:t>
      </w:r>
      <w:r>
        <w:rPr>
          <w:rFonts w:hint="eastAsia" w:ascii="宋体" w:hAnsi="宋体" w:eastAsia="宋体" w:cs="宋体"/>
          <w:color w:val="auto"/>
          <w:sz w:val="24"/>
          <w:szCs w:val="24"/>
          <w:highlight w:val="none"/>
          <w:u w:val="single"/>
        </w:rPr>
        <w:t xml:space="preserve">                                        </w:t>
      </w:r>
    </w:p>
    <w:p w14:paraId="1B0E9BA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系</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（供应商名称）</w:t>
      </w:r>
      <w:r>
        <w:rPr>
          <w:rFonts w:hint="eastAsia" w:ascii="宋体" w:hAnsi="宋体" w:eastAsia="宋体" w:cs="宋体"/>
          <w:color w:val="auto"/>
          <w:sz w:val="24"/>
          <w:szCs w:val="24"/>
          <w:highlight w:val="none"/>
        </w:rPr>
        <w:t>的法定代表人。</w:t>
      </w:r>
    </w:p>
    <w:p w14:paraId="2712D815">
      <w:pPr>
        <w:spacing w:line="360" w:lineRule="auto"/>
        <w:ind w:left="54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特此证明。</w:t>
      </w:r>
    </w:p>
    <w:p w14:paraId="74116F32">
      <w:pPr>
        <w:spacing w:line="360" w:lineRule="auto"/>
        <w:ind w:left="540"/>
        <w:contextualSpacing/>
        <w:rPr>
          <w:rFonts w:hint="eastAsia" w:ascii="宋体" w:hAnsi="宋体" w:eastAsia="宋体" w:cs="宋体"/>
          <w:color w:val="auto"/>
          <w:sz w:val="24"/>
          <w:szCs w:val="24"/>
          <w:highlight w:val="none"/>
        </w:rPr>
      </w:pPr>
    </w:p>
    <w:p w14:paraId="1029670D">
      <w:pPr>
        <w:spacing w:line="360" w:lineRule="auto"/>
        <w:ind w:left="540"/>
        <w:contextualSpacing/>
        <w:rPr>
          <w:rFonts w:hint="eastAsia" w:ascii="宋体" w:hAnsi="宋体" w:eastAsia="宋体" w:cs="宋体"/>
          <w:color w:val="auto"/>
          <w:sz w:val="24"/>
          <w:szCs w:val="24"/>
          <w:highlight w:val="none"/>
        </w:rPr>
      </w:pPr>
    </w:p>
    <w:p w14:paraId="28E1813C">
      <w:pPr>
        <w:spacing w:line="360" w:lineRule="auto"/>
        <w:ind w:left="540"/>
        <w:contextualSpacing/>
        <w:rPr>
          <w:rFonts w:hint="eastAsia" w:ascii="宋体" w:hAnsi="宋体" w:eastAsia="宋体" w:cs="宋体"/>
          <w:color w:val="auto"/>
          <w:sz w:val="24"/>
          <w:szCs w:val="24"/>
          <w:highlight w:val="none"/>
        </w:rPr>
      </w:pPr>
    </w:p>
    <w:p w14:paraId="088E93B2">
      <w:pPr>
        <w:spacing w:line="360" w:lineRule="auto"/>
        <w:ind w:left="54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附件：法定代表人有效身份证正反面复印件</w:t>
      </w:r>
    </w:p>
    <w:p w14:paraId="2B25B1F0">
      <w:pPr>
        <w:spacing w:line="360" w:lineRule="auto"/>
        <w:ind w:left="540"/>
        <w:contextualSpacing/>
        <w:rPr>
          <w:rFonts w:hint="eastAsia" w:ascii="宋体" w:hAnsi="宋体" w:eastAsia="宋体" w:cs="宋体"/>
          <w:color w:val="auto"/>
          <w:sz w:val="24"/>
          <w:szCs w:val="24"/>
          <w:highlight w:val="none"/>
        </w:rPr>
      </w:pPr>
    </w:p>
    <w:p w14:paraId="5529A1DC">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供应商名称（电子签章）：</w:t>
      </w:r>
    </w:p>
    <w:p w14:paraId="4DF71606">
      <w:pPr>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val="zh-CN"/>
        </w:rPr>
        <w:t xml:space="preserve">                                                   日期：  年  月   日</w:t>
      </w:r>
    </w:p>
    <w:p w14:paraId="79CF41C8">
      <w:pPr>
        <w:spacing w:line="360" w:lineRule="auto"/>
        <w:jc w:val="left"/>
        <w:rPr>
          <w:rFonts w:hint="eastAsia" w:ascii="宋体" w:hAnsi="宋体" w:eastAsia="宋体" w:cs="宋体"/>
          <w:color w:val="auto"/>
          <w:sz w:val="24"/>
          <w:szCs w:val="24"/>
          <w:highlight w:val="none"/>
        </w:rPr>
      </w:pPr>
    </w:p>
    <w:p w14:paraId="70968D1F">
      <w:pPr>
        <w:spacing w:line="360" w:lineRule="auto"/>
        <w:contextualSpacing/>
        <w:jc w:val="left"/>
        <w:rPr>
          <w:rFonts w:ascii="宋体" w:hAnsi="宋体" w:cs="仿宋_GB2312"/>
          <w:color w:val="000000"/>
          <w:sz w:val="24"/>
          <w:highlight w:val="none"/>
        </w:rPr>
      </w:pPr>
    </w:p>
    <w:p w14:paraId="07C73F4E">
      <w:pPr>
        <w:spacing w:line="360" w:lineRule="auto"/>
        <w:contextualSpacing/>
        <w:jc w:val="left"/>
        <w:rPr>
          <w:rFonts w:ascii="宋体" w:hAnsi="宋体" w:cs="仿宋_GB2312"/>
          <w:color w:val="000000"/>
          <w:sz w:val="24"/>
          <w:highlight w:val="none"/>
        </w:rPr>
      </w:pPr>
      <w:r>
        <w:rPr>
          <w:rFonts w:hint="eastAsia" w:ascii="宋体" w:hAnsi="宋体" w:cs="仿宋_GB2312"/>
          <w:color w:val="000000"/>
          <w:sz w:val="24"/>
          <w:highlight w:val="none"/>
        </w:rPr>
        <w:t>注：1</w:t>
      </w:r>
      <w:r>
        <w:rPr>
          <w:rFonts w:ascii="宋体" w:hAnsi="宋体" w:cs="仿宋_GB2312"/>
          <w:color w:val="000000"/>
          <w:sz w:val="24"/>
          <w:highlight w:val="none"/>
        </w:rPr>
        <w:t>.</w:t>
      </w:r>
      <w:r>
        <w:rPr>
          <w:rFonts w:hint="eastAsia" w:ascii="宋体" w:hAnsi="宋体" w:cs="仿宋_GB2312"/>
          <w:color w:val="000000"/>
          <w:sz w:val="24"/>
          <w:highlight w:val="none"/>
        </w:rPr>
        <w:t>自然人竞标的无需提供，联合体竞标的只需牵头人出具。</w:t>
      </w:r>
    </w:p>
    <w:p w14:paraId="4401023B">
      <w:pPr>
        <w:spacing w:line="360" w:lineRule="auto"/>
        <w:ind w:firstLine="480" w:firstLineChars="200"/>
        <w:contextualSpacing/>
        <w:jc w:val="left"/>
        <w:rPr>
          <w:rFonts w:ascii="宋体" w:hAnsi="宋体" w:cs="仿宋_GB2312"/>
          <w:color w:val="000000"/>
          <w:sz w:val="24"/>
          <w:highlight w:val="none"/>
        </w:rPr>
        <w:sectPr>
          <w:pgSz w:w="11910" w:h="16840"/>
          <w:pgMar w:top="1417" w:right="1417" w:bottom="1417" w:left="1417" w:header="720" w:footer="720" w:gutter="0"/>
          <w:pgNumType w:fmt="decimal"/>
          <w:cols w:space="720" w:num="1"/>
          <w:rtlGutter w:val="0"/>
        </w:sectPr>
      </w:pPr>
      <w:r>
        <w:rPr>
          <w:rFonts w:hint="eastAsia" w:ascii="宋体" w:hAnsi="宋体" w:cs="仿宋_GB2312"/>
          <w:color w:val="000000"/>
          <w:sz w:val="24"/>
          <w:highlight w:val="none"/>
        </w:rPr>
        <w:t>2</w:t>
      </w:r>
      <w:r>
        <w:rPr>
          <w:rFonts w:ascii="宋体" w:hAnsi="宋体" w:cs="仿宋_GB2312"/>
          <w:color w:val="000000"/>
          <w:sz w:val="24"/>
          <w:highlight w:val="none"/>
        </w:rPr>
        <w:t>.</w:t>
      </w:r>
      <w:r>
        <w:rPr>
          <w:rFonts w:hint="eastAsia" w:ascii="宋体" w:hAnsi="宋体" w:cs="仿宋_GB2312"/>
          <w:color w:val="000000"/>
          <w:sz w:val="24"/>
          <w:highlight w:val="none"/>
        </w:rPr>
        <w:t>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15"/>
        <w:tblpPr w:leftFromText="180" w:rightFromText="180" w:vertAnchor="text" w:horzAnchor="margin" w:tblpXSpec="center" w:tblpY="116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3F6CC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jc w:val="center"/>
        </w:trPr>
        <w:tc>
          <w:tcPr>
            <w:tcW w:w="8461" w:type="dxa"/>
            <w:noWrap w:val="0"/>
            <w:vAlign w:val="top"/>
          </w:tcPr>
          <w:p w14:paraId="0519A61B">
            <w:pPr>
              <w:spacing w:line="360" w:lineRule="auto"/>
              <w:rPr>
                <w:rFonts w:ascii="宋体" w:hAnsi="宋体"/>
                <w:b/>
                <w:color w:val="000000"/>
                <w:sz w:val="24"/>
                <w:highlight w:val="none"/>
              </w:rPr>
            </w:pPr>
          </w:p>
          <w:p w14:paraId="2330BBC3">
            <w:pPr>
              <w:spacing w:line="360" w:lineRule="auto"/>
              <w:rPr>
                <w:rFonts w:ascii="宋体" w:hAnsi="宋体"/>
                <w:b/>
                <w:color w:val="000000"/>
                <w:sz w:val="24"/>
                <w:highlight w:val="none"/>
              </w:rPr>
            </w:pPr>
            <w:r>
              <w:rPr>
                <w:rFonts w:hint="eastAsia" w:ascii="宋体" w:hAnsi="宋体"/>
                <w:b/>
                <w:color w:val="000000"/>
                <w:sz w:val="24"/>
                <w:highlight w:val="none"/>
              </w:rPr>
              <w:t>法定代表身份证复印件粘帖处（正、反面）</w:t>
            </w:r>
          </w:p>
        </w:tc>
      </w:tr>
    </w:tbl>
    <w:p w14:paraId="30FFEBF1">
      <w:pPr>
        <w:spacing w:line="360" w:lineRule="auto"/>
        <w:ind w:firstLine="482" w:firstLineChars="200"/>
        <w:contextualSpacing/>
        <w:jc w:val="left"/>
        <w:rPr>
          <w:rFonts w:ascii="宋体" w:hAnsi="宋体"/>
          <w:b/>
          <w:color w:val="000000"/>
          <w:szCs w:val="21"/>
          <w:highlight w:val="none"/>
        </w:rPr>
      </w:pPr>
      <w:r>
        <w:rPr>
          <w:rFonts w:hint="eastAsia" w:ascii="宋体" w:hAnsi="宋体"/>
          <w:b/>
          <w:color w:val="000000"/>
          <w:sz w:val="24"/>
          <w:highlight w:val="none"/>
        </w:rPr>
        <w:t>附件：</w:t>
      </w:r>
    </w:p>
    <w:p w14:paraId="798C8CD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Times New Roman"/>
          <w:b/>
          <w:color w:val="000000"/>
          <w:sz w:val="36"/>
          <w:szCs w:val="36"/>
          <w:highlight w:val="none"/>
        </w:rPr>
      </w:pPr>
      <w:r>
        <w:rPr>
          <w:rFonts w:hint="eastAsia" w:ascii="宋体" w:hAnsi="宋体" w:cs="方正小标宋简体"/>
          <w:color w:val="000000"/>
          <w:sz w:val="44"/>
          <w:szCs w:val="44"/>
          <w:highlight w:val="none"/>
        </w:rPr>
        <w:br w:type="page"/>
      </w:r>
      <w:r>
        <w:rPr>
          <w:rFonts w:hint="eastAsia" w:ascii="宋体" w:hAnsi="宋体" w:eastAsia="宋体" w:cs="Times New Roman"/>
          <w:b/>
          <w:color w:val="000000"/>
          <w:sz w:val="36"/>
          <w:szCs w:val="36"/>
          <w:highlight w:val="none"/>
        </w:rPr>
        <w:t>授权委托书</w:t>
      </w:r>
    </w:p>
    <w:p w14:paraId="33FE6F1B">
      <w:pPr>
        <w:spacing w:line="520" w:lineRule="exact"/>
        <w:rPr>
          <w:rFonts w:ascii="宋体" w:hAnsi="宋体" w:cs="仿宋_GB2312"/>
          <w:color w:val="000000"/>
          <w:sz w:val="32"/>
          <w:szCs w:val="32"/>
          <w:highlight w:val="none"/>
        </w:rPr>
      </w:pPr>
    </w:p>
    <w:p w14:paraId="474E3B22">
      <w:pPr>
        <w:spacing w:line="360" w:lineRule="auto"/>
        <w:rPr>
          <w:rFonts w:ascii="宋体" w:hAnsi="宋体" w:cs="仿宋_GB2312"/>
          <w:color w:val="000000"/>
          <w:sz w:val="24"/>
          <w:highlight w:val="none"/>
        </w:rPr>
      </w:pPr>
      <w:r>
        <w:rPr>
          <w:rFonts w:hint="eastAsia" w:ascii="宋体" w:hAnsi="宋体" w:cs="仿宋_GB2312"/>
          <w:color w:val="000000"/>
          <w:sz w:val="24"/>
          <w:highlight w:val="none"/>
        </w:rPr>
        <w:t>致：</w:t>
      </w:r>
      <w:r>
        <w:rPr>
          <w:rFonts w:hint="eastAsia" w:ascii="宋体" w:hAnsi="宋体" w:eastAsia="宋体" w:cs="宋体"/>
          <w:color w:val="000000"/>
          <w:sz w:val="24"/>
          <w:highlight w:val="none"/>
          <w:u w:val="single"/>
        </w:rPr>
        <w:t>（采购人名称）</w:t>
      </w:r>
      <w:r>
        <w:rPr>
          <w:rFonts w:hint="eastAsia" w:ascii="宋体" w:hAnsi="宋体" w:cs="仿宋_GB2312"/>
          <w:color w:val="000000"/>
          <w:sz w:val="24"/>
          <w:highlight w:val="none"/>
        </w:rPr>
        <w:t>：</w:t>
      </w:r>
    </w:p>
    <w:p w14:paraId="409ADC95">
      <w:pPr>
        <w:spacing w:line="360" w:lineRule="auto"/>
        <w:ind w:firstLine="480" w:firstLineChars="200"/>
        <w:rPr>
          <w:rFonts w:ascii="宋体" w:hAnsi="宋体" w:cs="仿宋_GB2312"/>
          <w:color w:val="000000"/>
          <w:sz w:val="24"/>
          <w:highlight w:val="none"/>
        </w:rPr>
      </w:pPr>
      <w:r>
        <w:rPr>
          <w:rFonts w:hint="eastAsia" w:ascii="宋体" w:hAnsi="宋体" w:cs="仿宋_GB2312"/>
          <w:color w:val="000000"/>
          <w:sz w:val="24"/>
          <w:highlight w:val="none"/>
        </w:rPr>
        <w:t>我</w:t>
      </w:r>
      <w:r>
        <w:rPr>
          <w:rFonts w:hint="eastAsia" w:ascii="宋体" w:hAnsi="宋体" w:cs="仿宋_GB2312"/>
          <w:color w:val="000000"/>
          <w:sz w:val="24"/>
          <w:highlight w:val="none"/>
          <w:u w:val="single"/>
        </w:rPr>
        <w:t xml:space="preserve">  （姓名）  </w:t>
      </w:r>
      <w:r>
        <w:rPr>
          <w:rFonts w:hint="eastAsia" w:ascii="宋体" w:hAnsi="宋体" w:cs="仿宋_GB2312"/>
          <w:color w:val="000000"/>
          <w:sz w:val="24"/>
          <w:highlight w:val="none"/>
        </w:rPr>
        <w:t>系</w:t>
      </w:r>
      <w:r>
        <w:rPr>
          <w:rFonts w:hint="eastAsia" w:ascii="宋体" w:hAnsi="宋体" w:cs="仿宋_GB2312"/>
          <w:color w:val="000000"/>
          <w:sz w:val="24"/>
          <w:highlight w:val="none"/>
          <w:u w:val="single"/>
        </w:rPr>
        <w:t xml:space="preserve">  （供应商名称）  </w:t>
      </w:r>
      <w:r>
        <w:rPr>
          <w:rFonts w:hint="eastAsia" w:ascii="宋体" w:hAnsi="宋体" w:cs="仿宋_GB2312"/>
          <w:color w:val="000000"/>
          <w:sz w:val="24"/>
          <w:highlight w:val="none"/>
        </w:rPr>
        <w:t>的（</w:t>
      </w:r>
      <w:r>
        <w:rPr>
          <w:rFonts w:hint="eastAsia" w:ascii="宋体" w:hAnsi="宋体" w:cs="仿宋_GB2312"/>
          <w:color w:val="000000"/>
          <w:sz w:val="24"/>
          <w:highlight w:val="none"/>
          <w:u w:val="single"/>
        </w:rPr>
        <w:t>□法定代表人/□负责人/□自然人本人</w:t>
      </w:r>
      <w:r>
        <w:rPr>
          <w:rFonts w:hint="eastAsia" w:ascii="宋体" w:hAnsi="宋体" w:cs="仿宋_GB2312"/>
          <w:color w:val="000000"/>
          <w:sz w:val="24"/>
          <w:highlight w:val="none"/>
        </w:rPr>
        <w:t>），现授权</w:t>
      </w:r>
      <w:r>
        <w:rPr>
          <w:rFonts w:hint="eastAsia" w:ascii="宋体" w:hAnsi="宋体" w:cs="仿宋_GB2312"/>
          <w:color w:val="000000"/>
          <w:sz w:val="24"/>
          <w:highlight w:val="none"/>
          <w:u w:val="single"/>
        </w:rPr>
        <w:t xml:space="preserve"> （姓名） </w:t>
      </w:r>
      <w:r>
        <w:rPr>
          <w:rFonts w:hint="eastAsia" w:ascii="宋体" w:hAnsi="宋体" w:cs="仿宋_GB2312"/>
          <w:color w:val="000000"/>
          <w:sz w:val="24"/>
          <w:highlight w:val="none"/>
        </w:rPr>
        <w:t>以我方的名义参加</w:t>
      </w:r>
      <w:r>
        <w:rPr>
          <w:rFonts w:hint="eastAsia" w:ascii="宋体" w:hAnsi="宋体" w:cs="仿宋_GB2312"/>
          <w:color w:val="000000"/>
          <w:sz w:val="24"/>
          <w:highlight w:val="none"/>
          <w:u w:val="single"/>
          <w:lang w:val="en-US" w:eastAsia="zh-CN"/>
        </w:rPr>
        <w:t xml:space="preserve">   </w:t>
      </w:r>
      <w:r>
        <w:rPr>
          <w:rFonts w:hint="eastAsia" w:ascii="宋体" w:hAnsi="宋体" w:eastAsia="宋体" w:cs="宋体"/>
          <w:color w:val="000000"/>
          <w:sz w:val="24"/>
          <w:highlight w:val="none"/>
          <w:u w:val="single"/>
        </w:rPr>
        <w:t>（项目名称</w:t>
      </w:r>
      <w:r>
        <w:rPr>
          <w:rFonts w:hint="eastAsia" w:ascii="宋体" w:hAnsi="宋体" w:cs="宋体"/>
          <w:color w:val="000000"/>
          <w:sz w:val="24"/>
          <w:highlight w:val="none"/>
          <w:u w:val="single"/>
        </w:rPr>
        <w:t>）</w:t>
      </w:r>
      <w:r>
        <w:rPr>
          <w:rFonts w:hint="eastAsia" w:ascii="宋体" w:hAnsi="宋体" w:cs="仿宋_GB2312"/>
          <w:color w:val="000000"/>
          <w:sz w:val="24"/>
          <w:highlight w:val="none"/>
        </w:rPr>
        <w:t>项目的竞标活动，并代表我方全权办理针对上述项目的所有采购程序和环节的具体事务和签署相关文件。</w:t>
      </w:r>
    </w:p>
    <w:p w14:paraId="3892ED4F">
      <w:pPr>
        <w:spacing w:line="360" w:lineRule="auto"/>
        <w:rPr>
          <w:rFonts w:ascii="宋体" w:hAnsi="宋体" w:cs="仿宋_GB2312"/>
          <w:color w:val="000000"/>
          <w:sz w:val="24"/>
          <w:highlight w:val="none"/>
        </w:rPr>
      </w:pPr>
      <w:r>
        <w:rPr>
          <w:rFonts w:hint="eastAsia" w:ascii="宋体" w:hAnsi="宋体" w:cs="仿宋_GB2312"/>
          <w:color w:val="000000"/>
          <w:sz w:val="24"/>
          <w:highlight w:val="none"/>
        </w:rPr>
        <w:t xml:space="preserve">    我方对委托代理人的签字事项负全部责任。</w:t>
      </w:r>
    </w:p>
    <w:p w14:paraId="0BA3C44D">
      <w:pPr>
        <w:spacing w:line="360" w:lineRule="auto"/>
        <w:ind w:firstLine="480" w:firstLineChars="200"/>
        <w:rPr>
          <w:rFonts w:ascii="宋体" w:hAnsi="宋体" w:cs="仿宋_GB2312"/>
          <w:color w:val="000000"/>
          <w:sz w:val="24"/>
          <w:highlight w:val="none"/>
        </w:rPr>
      </w:pPr>
      <w:r>
        <w:rPr>
          <w:rFonts w:hint="eastAsia" w:ascii="宋体" w:hAnsi="宋体" w:cs="仿宋_GB2312"/>
          <w:color w:val="000000"/>
          <w:sz w:val="24"/>
          <w:highlight w:val="none"/>
        </w:rPr>
        <w:t>本授权书自签署之日起生效，在撤销授权的书面通知以前，本授权书一直有效。委托代理人在授权书有效期内签署的所有文件不因授权的撤销而失效。</w:t>
      </w:r>
    </w:p>
    <w:p w14:paraId="6CD19061">
      <w:pPr>
        <w:spacing w:line="360" w:lineRule="auto"/>
        <w:ind w:firstLine="480" w:firstLineChars="200"/>
        <w:rPr>
          <w:rFonts w:ascii="宋体" w:hAnsi="宋体" w:cs="仿宋_GB2312"/>
          <w:color w:val="000000"/>
          <w:sz w:val="24"/>
          <w:highlight w:val="none"/>
        </w:rPr>
      </w:pPr>
      <w:r>
        <w:rPr>
          <w:rFonts w:hint="eastAsia" w:ascii="宋体" w:hAnsi="宋体" w:cs="仿宋_GB2312"/>
          <w:color w:val="000000"/>
          <w:sz w:val="24"/>
          <w:highlight w:val="none"/>
        </w:rPr>
        <w:t>委托代理人无转委托权，特此委托。</w:t>
      </w:r>
    </w:p>
    <w:p w14:paraId="6667D133">
      <w:pPr>
        <w:spacing w:line="360" w:lineRule="auto"/>
        <w:ind w:firstLine="480" w:firstLineChars="200"/>
        <w:rPr>
          <w:rFonts w:ascii="宋体" w:hAnsi="宋体" w:cs="仿宋_GB2312"/>
          <w:color w:val="000000"/>
          <w:sz w:val="24"/>
          <w:highlight w:val="none"/>
        </w:rPr>
      </w:pPr>
      <w:r>
        <w:rPr>
          <w:rFonts w:hint="eastAsia" w:ascii="宋体" w:hAnsi="宋体" w:cs="仿宋_GB2312"/>
          <w:color w:val="000000"/>
          <w:sz w:val="24"/>
          <w:highlight w:val="none"/>
        </w:rPr>
        <w:t>附：法定代表人身份证明书及委托代理人有效身份证正反面复印件</w:t>
      </w:r>
    </w:p>
    <w:p w14:paraId="6483B009">
      <w:pPr>
        <w:spacing w:line="360" w:lineRule="auto"/>
        <w:rPr>
          <w:rFonts w:ascii="宋体" w:hAnsi="宋体" w:cs="仿宋_GB2312"/>
          <w:color w:val="000000"/>
          <w:sz w:val="24"/>
          <w:highlight w:val="none"/>
        </w:rPr>
      </w:pPr>
    </w:p>
    <w:p w14:paraId="308DFCDA">
      <w:pPr>
        <w:spacing w:line="360" w:lineRule="auto"/>
        <w:rPr>
          <w:rFonts w:ascii="宋体" w:hAnsi="宋体" w:cs="仿宋_GB2312"/>
          <w:color w:val="000000"/>
          <w:sz w:val="24"/>
          <w:highlight w:val="none"/>
        </w:rPr>
      </w:pPr>
      <w:r>
        <w:rPr>
          <w:rFonts w:hint="eastAsia" w:ascii="宋体" w:hAnsi="宋体" w:cs="仿宋_GB2312"/>
          <w:color w:val="000000"/>
          <w:sz w:val="24"/>
          <w:highlight w:val="none"/>
        </w:rPr>
        <w:t xml:space="preserve">委托代理人（签字）：         法定代表人（签字或盖章）：                    </w:t>
      </w:r>
    </w:p>
    <w:p w14:paraId="0367C2FB">
      <w:pPr>
        <w:spacing w:line="360" w:lineRule="auto"/>
        <w:rPr>
          <w:rFonts w:ascii="宋体" w:hAnsi="宋体" w:cs="仿宋_GB2312"/>
          <w:color w:val="000000"/>
          <w:sz w:val="24"/>
          <w:highlight w:val="none"/>
        </w:rPr>
      </w:pPr>
      <w:r>
        <w:rPr>
          <w:rFonts w:hint="eastAsia" w:ascii="宋体" w:hAnsi="宋体" w:cs="仿宋_GB2312"/>
          <w:color w:val="000000"/>
          <w:sz w:val="24"/>
          <w:highlight w:val="none"/>
        </w:rPr>
        <w:t xml:space="preserve">委托代理人身份证号码：                              </w:t>
      </w:r>
    </w:p>
    <w:p w14:paraId="26C4E552">
      <w:pPr>
        <w:spacing w:line="360" w:lineRule="auto"/>
        <w:rPr>
          <w:rFonts w:ascii="宋体" w:hAnsi="宋体" w:cs="仿宋_GB2312"/>
          <w:color w:val="000000"/>
          <w:sz w:val="24"/>
          <w:highlight w:val="none"/>
        </w:rPr>
      </w:pPr>
    </w:p>
    <w:p w14:paraId="70DA6455">
      <w:pPr>
        <w:spacing w:line="360" w:lineRule="auto"/>
        <w:rPr>
          <w:rFonts w:ascii="宋体" w:hAnsi="宋体" w:cs="仿宋_GB2312"/>
          <w:color w:val="000000"/>
          <w:sz w:val="24"/>
          <w:highlight w:val="none"/>
        </w:rPr>
      </w:pPr>
      <w:r>
        <w:rPr>
          <w:rFonts w:hint="eastAsia" w:ascii="宋体" w:hAnsi="宋体" w:cs="仿宋_GB2312"/>
          <w:color w:val="000000"/>
          <w:kern w:val="0"/>
          <w:sz w:val="24"/>
          <w:highlight w:val="none"/>
        </w:rPr>
        <w:t>供应商名称（电子签章）：</w:t>
      </w:r>
    </w:p>
    <w:p w14:paraId="6857224A">
      <w:pPr>
        <w:spacing w:line="360" w:lineRule="auto"/>
        <w:contextualSpacing/>
        <w:jc w:val="center"/>
        <w:rPr>
          <w:rFonts w:ascii="宋体" w:hAnsi="宋体" w:cs="仿宋_GB2312"/>
          <w:b/>
          <w:color w:val="000000"/>
          <w:sz w:val="24"/>
          <w:highlight w:val="none"/>
        </w:rPr>
      </w:pPr>
      <w:r>
        <w:rPr>
          <w:rFonts w:hint="eastAsia" w:ascii="宋体" w:hAnsi="宋体" w:cs="仿宋_GB2312"/>
          <w:color w:val="000000"/>
          <w:kern w:val="0"/>
          <w:sz w:val="24"/>
          <w:highlight w:val="none"/>
          <w:lang w:val="zh-CN"/>
        </w:rPr>
        <w:t xml:space="preserve">                                                   日期：  年  月   日</w:t>
      </w:r>
    </w:p>
    <w:p w14:paraId="16A8AC9C">
      <w:pPr>
        <w:spacing w:line="360" w:lineRule="auto"/>
        <w:rPr>
          <w:rFonts w:ascii="宋体" w:hAnsi="宋体" w:cs="仿宋_GB2312"/>
          <w:color w:val="000000"/>
          <w:sz w:val="24"/>
          <w:highlight w:val="none"/>
        </w:rPr>
      </w:pPr>
    </w:p>
    <w:p w14:paraId="670B2A5B">
      <w:pPr>
        <w:spacing w:line="360" w:lineRule="auto"/>
        <w:rPr>
          <w:rFonts w:ascii="宋体" w:hAnsi="宋体" w:cs="仿宋_GB2312"/>
          <w:color w:val="000000"/>
          <w:sz w:val="24"/>
          <w:highlight w:val="none"/>
        </w:rPr>
      </w:pPr>
      <w:r>
        <w:rPr>
          <w:rFonts w:hint="eastAsia" w:ascii="宋体" w:hAnsi="宋体" w:cs="仿宋_GB2312"/>
          <w:color w:val="000000"/>
          <w:sz w:val="24"/>
          <w:highlight w:val="none"/>
        </w:rPr>
        <w:t>注：1. 法定代表人必须在授权委托书上亲笔签字或盖章，委托代理人必须在授权委托书上亲笔签字，</w:t>
      </w:r>
      <w:r>
        <w:rPr>
          <w:rFonts w:hint="eastAsia" w:ascii="宋体" w:hAnsi="宋体" w:cs="仿宋_GB2312"/>
          <w:b/>
          <w:color w:val="000000"/>
          <w:sz w:val="24"/>
          <w:highlight w:val="none"/>
        </w:rPr>
        <w:t>否则其响应文件按无效响应处理。</w:t>
      </w:r>
    </w:p>
    <w:p w14:paraId="5AE9F551">
      <w:pPr>
        <w:spacing w:line="360" w:lineRule="auto"/>
        <w:ind w:firstLine="480" w:firstLineChars="200"/>
        <w:jc w:val="left"/>
        <w:rPr>
          <w:rFonts w:ascii="宋体" w:hAnsi="宋体" w:cs="仿宋_GB2312"/>
          <w:color w:val="000000"/>
          <w:sz w:val="24"/>
          <w:highlight w:val="none"/>
        </w:rPr>
      </w:pPr>
      <w:r>
        <w:rPr>
          <w:rFonts w:ascii="宋体" w:hAnsi="宋体" w:cs="仿宋_GB2312"/>
          <w:color w:val="000000"/>
          <w:sz w:val="24"/>
          <w:highlight w:val="none"/>
        </w:rPr>
        <w:t>2.</w:t>
      </w:r>
      <w:r>
        <w:rPr>
          <w:rFonts w:hint="eastAsia" w:ascii="宋体" w:hAnsi="宋体" w:cs="仿宋_GB2312"/>
          <w:color w:val="000000"/>
          <w:sz w:val="24"/>
          <w:highlight w:val="none"/>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193EE7C4">
      <w:pPr>
        <w:spacing w:line="360" w:lineRule="auto"/>
        <w:ind w:firstLine="480" w:firstLineChars="200"/>
        <w:jc w:val="left"/>
        <w:rPr>
          <w:rFonts w:ascii="宋体" w:hAnsi="宋体" w:cs="仿宋_GB2312"/>
          <w:color w:val="000000"/>
          <w:szCs w:val="21"/>
          <w:highlight w:val="none"/>
        </w:rPr>
      </w:pPr>
      <w:r>
        <w:rPr>
          <w:rFonts w:hint="eastAsia" w:ascii="宋体" w:hAnsi="宋体" w:cs="仿宋_GB2312"/>
          <w:color w:val="000000"/>
          <w:sz w:val="24"/>
          <w:highlight w:val="none"/>
        </w:rPr>
        <w:t>3</w:t>
      </w:r>
      <w:r>
        <w:rPr>
          <w:rFonts w:ascii="宋体" w:hAnsi="宋体" w:cs="仿宋_GB2312"/>
          <w:color w:val="000000"/>
          <w:sz w:val="24"/>
          <w:highlight w:val="none"/>
        </w:rPr>
        <w:t>.</w:t>
      </w:r>
      <w:r>
        <w:rPr>
          <w:rFonts w:hint="eastAsia" w:ascii="宋体" w:hAnsi="宋体" w:cs="仿宋_GB2312"/>
          <w:color w:val="000000"/>
          <w:sz w:val="24"/>
          <w:highlight w:val="none"/>
        </w:rPr>
        <w:t xml:space="preserve"> 法人、其他组织竞标时“我方”是指“我单位”，自然人竞标时“我方”是指“本人”。</w:t>
      </w:r>
    </w:p>
    <w:p w14:paraId="21EA60EB">
      <w:pPr>
        <w:spacing w:line="520" w:lineRule="exact"/>
        <w:ind w:firstLine="420" w:firstLineChars="200"/>
        <w:jc w:val="center"/>
        <w:rPr>
          <w:rFonts w:hint="eastAsia" w:ascii="宋体" w:hAnsi="宋体" w:eastAsia="宋体" w:cs="Times New Roman"/>
          <w:b/>
          <w:color w:val="000000"/>
          <w:sz w:val="36"/>
          <w:szCs w:val="36"/>
          <w:highlight w:val="none"/>
        </w:rPr>
      </w:pPr>
      <w:r>
        <w:rPr>
          <w:rFonts w:ascii="宋体" w:hAnsi="宋体" w:cs="仿宋_GB2312"/>
          <w:color w:val="000000"/>
          <w:szCs w:val="21"/>
          <w:highlight w:val="none"/>
        </w:rPr>
        <w:br w:type="page"/>
      </w:r>
      <w:r>
        <w:rPr>
          <w:rFonts w:hint="eastAsia" w:ascii="宋体" w:hAnsi="宋体" w:eastAsia="宋体" w:cs="Times New Roman"/>
          <w:b/>
          <w:color w:val="000000"/>
          <w:sz w:val="36"/>
          <w:szCs w:val="36"/>
          <w:highlight w:val="none"/>
        </w:rPr>
        <w:t>商务条款偏离表</w:t>
      </w:r>
    </w:p>
    <w:p w14:paraId="7612AA89">
      <w:pPr>
        <w:spacing w:line="520" w:lineRule="exact"/>
        <w:rPr>
          <w:rFonts w:ascii="宋体" w:hAnsi="宋体" w:cs="仿宋_GB2312"/>
          <w:color w:val="000000"/>
          <w:sz w:val="32"/>
          <w:szCs w:val="32"/>
          <w:highlight w:val="none"/>
        </w:rPr>
      </w:pPr>
    </w:p>
    <w:p w14:paraId="67179362">
      <w:pPr>
        <w:spacing w:line="360" w:lineRule="auto"/>
        <w:contextualSpacing/>
        <w:rPr>
          <w:rFonts w:ascii="宋体" w:hAnsi="宋体" w:cs="仿宋_GB2312"/>
          <w:color w:val="000000"/>
          <w:sz w:val="24"/>
          <w:highlight w:val="none"/>
          <w:u w:val="single"/>
        </w:rPr>
      </w:pPr>
      <w:r>
        <w:rPr>
          <w:rFonts w:hint="eastAsia" w:ascii="宋体" w:hAnsi="宋体" w:cs="仿宋_GB2312"/>
          <w:color w:val="000000"/>
          <w:sz w:val="24"/>
          <w:highlight w:val="none"/>
        </w:rPr>
        <w:t>项目</w:t>
      </w:r>
      <w:r>
        <w:rPr>
          <w:rFonts w:hint="eastAsia" w:ascii="宋体" w:hAnsi="宋体" w:cs="仿宋_GB2312"/>
          <w:color w:val="000000"/>
          <w:sz w:val="24"/>
          <w:highlight w:val="none"/>
          <w:lang w:val="en-US" w:eastAsia="zh-CN"/>
        </w:rPr>
        <w:t>名称</w:t>
      </w:r>
      <w:r>
        <w:rPr>
          <w:rFonts w:hint="eastAsia" w:ascii="宋体" w:hAnsi="宋体" w:cs="仿宋_GB2312"/>
          <w:color w:val="000000"/>
          <w:sz w:val="24"/>
          <w:highlight w:val="none"/>
        </w:rPr>
        <w:t>：</w:t>
      </w:r>
    </w:p>
    <w:p w14:paraId="36799317">
      <w:pPr>
        <w:spacing w:line="360" w:lineRule="auto"/>
        <w:contextualSpacing/>
        <w:rPr>
          <w:rFonts w:ascii="宋体" w:hAnsi="宋体" w:cs="仿宋_GB2312"/>
          <w:color w:val="000000"/>
          <w:sz w:val="24"/>
          <w:highlight w:val="none"/>
        </w:rPr>
      </w:pPr>
      <w:r>
        <w:rPr>
          <w:rFonts w:hint="eastAsia" w:ascii="宋体" w:hAnsi="宋体" w:cs="仿宋_GB2312"/>
          <w:color w:val="000000"/>
          <w:sz w:val="24"/>
          <w:highlight w:val="none"/>
        </w:rPr>
        <w:t>项目</w:t>
      </w:r>
      <w:r>
        <w:rPr>
          <w:rFonts w:hint="eastAsia" w:ascii="宋体" w:hAnsi="宋体" w:cs="仿宋_GB2312"/>
          <w:color w:val="000000"/>
          <w:sz w:val="24"/>
          <w:highlight w:val="none"/>
          <w:lang w:val="en-US" w:eastAsia="zh-CN"/>
        </w:rPr>
        <w:t>编号</w:t>
      </w:r>
      <w:r>
        <w:rPr>
          <w:rFonts w:hint="eastAsia" w:ascii="宋体" w:hAnsi="宋体" w:cs="仿宋_GB2312"/>
          <w:color w:val="000000"/>
          <w:sz w:val="24"/>
          <w:highlight w:val="none"/>
        </w:rPr>
        <w:t>：</w:t>
      </w:r>
    </w:p>
    <w:tbl>
      <w:tblPr>
        <w:tblStyle w:val="15"/>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2607C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1839C85C">
            <w:pPr>
              <w:spacing w:line="340" w:lineRule="exact"/>
              <w:jc w:val="center"/>
              <w:rPr>
                <w:rFonts w:ascii="宋体" w:hAnsi="宋体"/>
                <w:color w:val="000000"/>
                <w:szCs w:val="21"/>
                <w:highlight w:val="none"/>
              </w:rPr>
            </w:pPr>
            <w:r>
              <w:rPr>
                <w:rFonts w:hint="eastAsia" w:ascii="宋体" w:hAnsi="宋体"/>
                <w:color w:val="000000"/>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279781B3">
            <w:pPr>
              <w:spacing w:line="340" w:lineRule="exact"/>
              <w:jc w:val="center"/>
              <w:rPr>
                <w:rFonts w:ascii="宋体" w:hAnsi="宋体"/>
                <w:color w:val="000000"/>
                <w:szCs w:val="21"/>
                <w:highlight w:val="none"/>
              </w:rPr>
            </w:pPr>
            <w:r>
              <w:rPr>
                <w:rFonts w:hint="eastAsia" w:ascii="宋体" w:hAnsi="宋体"/>
                <w:color w:val="000000"/>
                <w:szCs w:val="21"/>
                <w:highlight w:val="none"/>
              </w:rPr>
              <w:t>竞争性磋商采购文件的商务需求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2145D349">
            <w:pPr>
              <w:spacing w:line="340" w:lineRule="exact"/>
              <w:jc w:val="center"/>
              <w:rPr>
                <w:rFonts w:ascii="宋体" w:hAnsi="宋体"/>
                <w:color w:val="000000"/>
                <w:szCs w:val="21"/>
                <w:highlight w:val="none"/>
              </w:rPr>
            </w:pPr>
            <w:r>
              <w:rPr>
                <w:rFonts w:hint="eastAsia" w:ascii="宋体" w:hAnsi="宋体"/>
                <w:color w:val="000000"/>
                <w:szCs w:val="21"/>
                <w:highlight w:val="none"/>
              </w:rPr>
              <w:t>响应文件承诺的商务条款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12BF7C24">
            <w:pPr>
              <w:spacing w:line="340" w:lineRule="exact"/>
              <w:jc w:val="center"/>
              <w:rPr>
                <w:rFonts w:ascii="宋体" w:hAnsi="宋体"/>
                <w:color w:val="000000"/>
                <w:szCs w:val="21"/>
                <w:highlight w:val="none"/>
              </w:rPr>
            </w:pPr>
            <w:r>
              <w:rPr>
                <w:rFonts w:hint="eastAsia" w:ascii="宋体" w:hAnsi="宋体"/>
                <w:color w:val="000000"/>
                <w:szCs w:val="21"/>
                <w:highlight w:val="none"/>
              </w:rPr>
              <w:t>偏离说明</w:t>
            </w:r>
          </w:p>
        </w:tc>
      </w:tr>
      <w:tr w14:paraId="75C1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833BDE3">
            <w:pPr>
              <w:spacing w:line="340" w:lineRule="exact"/>
              <w:rPr>
                <w:rFonts w:ascii="宋体" w:hAnsi="宋体"/>
                <w:color w:val="000000"/>
                <w:szCs w:val="21"/>
                <w:highlight w:val="none"/>
              </w:rPr>
            </w:pPr>
            <w:r>
              <w:rPr>
                <w:rFonts w:hint="eastAsia" w:ascii="宋体" w:hAnsi="宋体"/>
                <w:color w:val="000000"/>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5E8F7699">
            <w:pPr>
              <w:spacing w:line="340" w:lineRule="exact"/>
              <w:rPr>
                <w:rFonts w:ascii="宋体" w:hAnsi="宋体"/>
                <w:color w:val="000000"/>
                <w:szCs w:val="21"/>
                <w:highlight w:val="none"/>
              </w:rPr>
            </w:pPr>
            <w:r>
              <w:rPr>
                <w:rFonts w:hint="eastAsia" w:ascii="宋体" w:hAnsi="宋体"/>
                <w:color w:val="000000"/>
                <w:szCs w:val="21"/>
                <w:highlight w:val="none"/>
              </w:rPr>
              <w:t>1  ……</w:t>
            </w:r>
          </w:p>
          <w:p w14:paraId="33427905">
            <w:pPr>
              <w:spacing w:line="340" w:lineRule="exact"/>
              <w:rPr>
                <w:rFonts w:ascii="宋体" w:hAnsi="宋体"/>
                <w:color w:val="000000"/>
                <w:szCs w:val="21"/>
                <w:highlight w:val="none"/>
              </w:rPr>
            </w:pPr>
            <w:r>
              <w:rPr>
                <w:rFonts w:hint="eastAsia" w:ascii="宋体" w:hAnsi="宋体"/>
                <w:color w:val="000000"/>
                <w:szCs w:val="21"/>
                <w:highlight w:val="none"/>
              </w:rPr>
              <w:t>2  ……</w:t>
            </w:r>
          </w:p>
          <w:p w14:paraId="5927C275">
            <w:pPr>
              <w:spacing w:line="340" w:lineRule="exact"/>
              <w:rPr>
                <w:rFonts w:ascii="宋体" w:hAnsi="宋体"/>
                <w:color w:val="000000"/>
                <w:szCs w:val="21"/>
                <w:highlight w:val="none"/>
              </w:rPr>
            </w:pPr>
            <w:r>
              <w:rPr>
                <w:rFonts w:hint="eastAsia" w:ascii="宋体" w:hAnsi="宋体"/>
                <w:color w:val="000000"/>
                <w:szCs w:val="21"/>
                <w:highlight w:val="none"/>
              </w:rPr>
              <w:t>3  ……</w:t>
            </w:r>
          </w:p>
          <w:p w14:paraId="05A52463">
            <w:pPr>
              <w:spacing w:line="340" w:lineRule="exact"/>
              <w:rPr>
                <w:rFonts w:ascii="宋体" w:hAnsi="宋体"/>
                <w:color w:val="000000"/>
                <w:szCs w:val="21"/>
                <w:highlight w:val="none"/>
              </w:rPr>
            </w:pPr>
            <w:r>
              <w:rPr>
                <w:rFonts w:hint="eastAsia" w:ascii="宋体" w:hAnsi="宋体"/>
                <w:color w:val="000000"/>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4E41FC57">
            <w:pPr>
              <w:spacing w:line="340" w:lineRule="exact"/>
              <w:rPr>
                <w:rFonts w:ascii="宋体" w:hAnsi="宋体"/>
                <w:color w:val="000000"/>
                <w:szCs w:val="21"/>
                <w:highlight w:val="none"/>
              </w:rPr>
            </w:pPr>
            <w:r>
              <w:rPr>
                <w:rFonts w:hint="eastAsia" w:ascii="宋体" w:hAnsi="宋体"/>
                <w:color w:val="000000"/>
                <w:szCs w:val="21"/>
                <w:highlight w:val="none"/>
              </w:rPr>
              <w:t>1  ……</w:t>
            </w:r>
          </w:p>
          <w:p w14:paraId="3A15B50E">
            <w:pPr>
              <w:spacing w:line="340" w:lineRule="exact"/>
              <w:rPr>
                <w:rFonts w:ascii="宋体" w:hAnsi="宋体"/>
                <w:color w:val="000000"/>
                <w:szCs w:val="21"/>
                <w:highlight w:val="none"/>
              </w:rPr>
            </w:pPr>
            <w:r>
              <w:rPr>
                <w:rFonts w:hint="eastAsia" w:ascii="宋体" w:hAnsi="宋体"/>
                <w:color w:val="000000"/>
                <w:szCs w:val="21"/>
                <w:highlight w:val="none"/>
              </w:rPr>
              <w:t>2  ……</w:t>
            </w:r>
          </w:p>
          <w:p w14:paraId="0F354549">
            <w:pPr>
              <w:spacing w:line="340" w:lineRule="exact"/>
              <w:rPr>
                <w:rFonts w:ascii="宋体" w:hAnsi="宋体"/>
                <w:color w:val="000000"/>
                <w:szCs w:val="21"/>
                <w:highlight w:val="none"/>
              </w:rPr>
            </w:pPr>
            <w:r>
              <w:rPr>
                <w:rFonts w:hint="eastAsia" w:ascii="宋体" w:hAnsi="宋体"/>
                <w:color w:val="000000"/>
                <w:szCs w:val="21"/>
                <w:highlight w:val="none"/>
              </w:rPr>
              <w:t>3  ……</w:t>
            </w:r>
          </w:p>
          <w:p w14:paraId="009E365A">
            <w:pPr>
              <w:spacing w:line="340" w:lineRule="exact"/>
              <w:rPr>
                <w:rFonts w:ascii="宋体" w:hAnsi="宋体"/>
                <w:color w:val="000000"/>
                <w:szCs w:val="21"/>
                <w:highlight w:val="none"/>
              </w:rPr>
            </w:pPr>
            <w:r>
              <w:rPr>
                <w:rFonts w:hint="eastAsia" w:ascii="宋体" w:hAnsi="宋体"/>
                <w:color w:val="000000"/>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2E221035">
            <w:pPr>
              <w:spacing w:line="360" w:lineRule="atLeast"/>
              <w:rPr>
                <w:rFonts w:ascii="宋体" w:hAnsi="宋体"/>
                <w:color w:val="000000"/>
                <w:sz w:val="22"/>
                <w:szCs w:val="22"/>
                <w:highlight w:val="none"/>
              </w:rPr>
            </w:pPr>
            <w:r>
              <w:rPr>
                <w:rFonts w:hint="eastAsia" w:ascii="宋体" w:hAnsi="宋体"/>
                <w:color w:val="000000"/>
                <w:sz w:val="22"/>
                <w:szCs w:val="22"/>
                <w:highlight w:val="none"/>
              </w:rPr>
              <w:t>正偏离（负偏离或无偏离）</w:t>
            </w:r>
          </w:p>
        </w:tc>
      </w:tr>
      <w:tr w14:paraId="49974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7B3EE229">
            <w:pPr>
              <w:spacing w:line="340" w:lineRule="exact"/>
              <w:rPr>
                <w:rFonts w:ascii="宋体" w:hAnsi="宋体"/>
                <w:color w:val="000000"/>
                <w:szCs w:val="21"/>
                <w:highlight w:val="none"/>
              </w:rPr>
            </w:pPr>
            <w:r>
              <w:rPr>
                <w:rFonts w:hint="eastAsia" w:ascii="宋体" w:hAnsi="宋体"/>
                <w:color w:val="000000"/>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3033ED04">
            <w:pPr>
              <w:spacing w:line="340" w:lineRule="exact"/>
              <w:rPr>
                <w:rFonts w:ascii="宋体" w:hAnsi="宋体"/>
                <w:color w:val="000000"/>
                <w:szCs w:val="21"/>
                <w:highlight w:val="none"/>
              </w:rPr>
            </w:pPr>
            <w:r>
              <w:rPr>
                <w:rFonts w:hint="eastAsia" w:ascii="宋体" w:hAnsi="宋体"/>
                <w:color w:val="000000"/>
                <w:szCs w:val="21"/>
                <w:highlight w:val="none"/>
              </w:rPr>
              <w:t>1  ……</w:t>
            </w:r>
          </w:p>
          <w:p w14:paraId="3D1DA9B8">
            <w:pPr>
              <w:spacing w:line="340" w:lineRule="exact"/>
              <w:rPr>
                <w:rFonts w:ascii="宋体" w:hAnsi="宋体"/>
                <w:color w:val="000000"/>
                <w:szCs w:val="21"/>
                <w:highlight w:val="none"/>
              </w:rPr>
            </w:pPr>
            <w:r>
              <w:rPr>
                <w:rFonts w:hint="eastAsia" w:ascii="宋体" w:hAnsi="宋体"/>
                <w:color w:val="000000"/>
                <w:szCs w:val="21"/>
                <w:highlight w:val="none"/>
              </w:rPr>
              <w:t>2  ……</w:t>
            </w:r>
          </w:p>
          <w:p w14:paraId="1B70CC47">
            <w:pPr>
              <w:spacing w:line="340" w:lineRule="exact"/>
              <w:rPr>
                <w:rFonts w:ascii="宋体" w:hAnsi="宋体"/>
                <w:color w:val="000000"/>
                <w:szCs w:val="21"/>
                <w:highlight w:val="none"/>
              </w:rPr>
            </w:pPr>
            <w:r>
              <w:rPr>
                <w:rFonts w:hint="eastAsia" w:ascii="宋体" w:hAnsi="宋体"/>
                <w:color w:val="000000"/>
                <w:szCs w:val="21"/>
                <w:highlight w:val="none"/>
              </w:rPr>
              <w:t>3  ……</w:t>
            </w:r>
          </w:p>
          <w:p w14:paraId="1241CF5E">
            <w:pPr>
              <w:spacing w:line="340" w:lineRule="exact"/>
              <w:rPr>
                <w:rFonts w:ascii="宋体" w:hAnsi="宋体"/>
                <w:color w:val="000000"/>
                <w:szCs w:val="21"/>
                <w:highlight w:val="none"/>
              </w:rPr>
            </w:pPr>
            <w:r>
              <w:rPr>
                <w:rFonts w:hint="eastAsia" w:ascii="宋体" w:hAnsi="宋体"/>
                <w:color w:val="000000"/>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2FB35910">
            <w:pPr>
              <w:spacing w:line="340" w:lineRule="exact"/>
              <w:rPr>
                <w:rFonts w:ascii="宋体" w:hAnsi="宋体"/>
                <w:color w:val="000000"/>
                <w:szCs w:val="21"/>
                <w:highlight w:val="none"/>
              </w:rPr>
            </w:pPr>
            <w:r>
              <w:rPr>
                <w:rFonts w:hint="eastAsia" w:ascii="宋体" w:hAnsi="宋体"/>
                <w:color w:val="000000"/>
                <w:szCs w:val="21"/>
                <w:highlight w:val="none"/>
              </w:rPr>
              <w:t>1  ……</w:t>
            </w:r>
          </w:p>
          <w:p w14:paraId="50F33E40">
            <w:pPr>
              <w:spacing w:line="340" w:lineRule="exact"/>
              <w:rPr>
                <w:rFonts w:ascii="宋体" w:hAnsi="宋体"/>
                <w:color w:val="000000"/>
                <w:szCs w:val="21"/>
                <w:highlight w:val="none"/>
              </w:rPr>
            </w:pPr>
            <w:r>
              <w:rPr>
                <w:rFonts w:hint="eastAsia" w:ascii="宋体" w:hAnsi="宋体"/>
                <w:color w:val="000000"/>
                <w:szCs w:val="21"/>
                <w:highlight w:val="none"/>
              </w:rPr>
              <w:t>2  ……</w:t>
            </w:r>
          </w:p>
          <w:p w14:paraId="1494904B">
            <w:pPr>
              <w:spacing w:line="340" w:lineRule="exact"/>
              <w:rPr>
                <w:rFonts w:ascii="宋体" w:hAnsi="宋体"/>
                <w:color w:val="000000"/>
                <w:szCs w:val="21"/>
                <w:highlight w:val="none"/>
              </w:rPr>
            </w:pPr>
            <w:r>
              <w:rPr>
                <w:rFonts w:hint="eastAsia" w:ascii="宋体" w:hAnsi="宋体"/>
                <w:color w:val="000000"/>
                <w:szCs w:val="21"/>
                <w:highlight w:val="none"/>
              </w:rPr>
              <w:t>3  ……</w:t>
            </w:r>
          </w:p>
          <w:p w14:paraId="7D201304">
            <w:pPr>
              <w:spacing w:line="340" w:lineRule="exact"/>
              <w:rPr>
                <w:rFonts w:ascii="宋体" w:hAnsi="宋体"/>
                <w:color w:val="000000"/>
                <w:szCs w:val="21"/>
                <w:highlight w:val="none"/>
              </w:rPr>
            </w:pPr>
            <w:r>
              <w:rPr>
                <w:rFonts w:hint="eastAsia" w:ascii="宋体" w:hAnsi="宋体"/>
                <w:color w:val="000000"/>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16BC363C">
            <w:pPr>
              <w:spacing w:line="360" w:lineRule="atLeast"/>
              <w:rPr>
                <w:rFonts w:ascii="宋体" w:hAnsi="宋体"/>
                <w:color w:val="000000"/>
                <w:sz w:val="22"/>
                <w:szCs w:val="22"/>
                <w:highlight w:val="none"/>
              </w:rPr>
            </w:pPr>
            <w:r>
              <w:rPr>
                <w:rFonts w:hint="eastAsia" w:ascii="宋体" w:hAnsi="宋体"/>
                <w:color w:val="000000"/>
                <w:sz w:val="22"/>
                <w:szCs w:val="22"/>
                <w:highlight w:val="none"/>
              </w:rPr>
              <w:t>正偏离（负偏离或无偏离）</w:t>
            </w:r>
          </w:p>
        </w:tc>
      </w:tr>
      <w:tr w14:paraId="43D16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3785AF5F">
            <w:pPr>
              <w:spacing w:line="340" w:lineRule="exact"/>
              <w:rPr>
                <w:rFonts w:ascii="宋体" w:hAnsi="宋体"/>
                <w:color w:val="000000"/>
                <w:szCs w:val="21"/>
                <w:highlight w:val="none"/>
              </w:rPr>
            </w:pPr>
            <w:r>
              <w:rPr>
                <w:rFonts w:hint="eastAsia" w:ascii="宋体" w:hAnsi="宋体"/>
                <w:color w:val="000000"/>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3CC95AC3">
            <w:pPr>
              <w:spacing w:line="340" w:lineRule="exact"/>
              <w:rPr>
                <w:rFonts w:ascii="宋体" w:hAnsi="宋体"/>
                <w:color w:val="000000"/>
                <w:szCs w:val="21"/>
                <w:highlight w:val="none"/>
              </w:rPr>
            </w:pPr>
            <w:r>
              <w:rPr>
                <w:rFonts w:hint="eastAsia" w:ascii="宋体" w:hAnsi="宋体"/>
                <w:color w:val="000000"/>
                <w:szCs w:val="21"/>
                <w:highlight w:val="none"/>
              </w:rPr>
              <w:t>1  ……</w:t>
            </w:r>
          </w:p>
          <w:p w14:paraId="10B13E95">
            <w:pPr>
              <w:spacing w:line="340" w:lineRule="exact"/>
              <w:rPr>
                <w:rFonts w:ascii="宋体" w:hAnsi="宋体"/>
                <w:color w:val="000000"/>
                <w:szCs w:val="21"/>
                <w:highlight w:val="none"/>
              </w:rPr>
            </w:pPr>
            <w:r>
              <w:rPr>
                <w:rFonts w:hint="eastAsia" w:ascii="宋体" w:hAnsi="宋体"/>
                <w:color w:val="000000"/>
                <w:szCs w:val="21"/>
                <w:highlight w:val="none"/>
              </w:rPr>
              <w:t>2  ……</w:t>
            </w:r>
          </w:p>
          <w:p w14:paraId="269FB979">
            <w:pPr>
              <w:spacing w:line="340" w:lineRule="exact"/>
              <w:rPr>
                <w:rFonts w:ascii="宋体" w:hAnsi="宋体"/>
                <w:color w:val="000000"/>
                <w:szCs w:val="21"/>
                <w:highlight w:val="none"/>
              </w:rPr>
            </w:pPr>
            <w:r>
              <w:rPr>
                <w:rFonts w:hint="eastAsia" w:ascii="宋体" w:hAnsi="宋体"/>
                <w:color w:val="000000"/>
                <w:szCs w:val="21"/>
                <w:highlight w:val="none"/>
              </w:rPr>
              <w:t>3  ……</w:t>
            </w:r>
          </w:p>
          <w:p w14:paraId="41C00E39">
            <w:pPr>
              <w:spacing w:line="340" w:lineRule="exact"/>
              <w:rPr>
                <w:rFonts w:ascii="宋体" w:hAnsi="宋体"/>
                <w:color w:val="000000"/>
                <w:szCs w:val="21"/>
                <w:highlight w:val="none"/>
              </w:rPr>
            </w:pPr>
            <w:r>
              <w:rPr>
                <w:rFonts w:hint="eastAsia" w:ascii="宋体" w:hAnsi="宋体"/>
                <w:color w:val="000000"/>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6F75B644">
            <w:pPr>
              <w:spacing w:line="340" w:lineRule="exact"/>
              <w:rPr>
                <w:rFonts w:ascii="宋体" w:hAnsi="宋体"/>
                <w:color w:val="000000"/>
                <w:szCs w:val="21"/>
                <w:highlight w:val="none"/>
              </w:rPr>
            </w:pPr>
            <w:r>
              <w:rPr>
                <w:rFonts w:hint="eastAsia" w:ascii="宋体" w:hAnsi="宋体"/>
                <w:color w:val="000000"/>
                <w:szCs w:val="21"/>
                <w:highlight w:val="none"/>
              </w:rPr>
              <w:t>1  ……</w:t>
            </w:r>
          </w:p>
          <w:p w14:paraId="19161B3D">
            <w:pPr>
              <w:spacing w:line="340" w:lineRule="exact"/>
              <w:rPr>
                <w:rFonts w:ascii="宋体" w:hAnsi="宋体"/>
                <w:color w:val="000000"/>
                <w:szCs w:val="21"/>
                <w:highlight w:val="none"/>
              </w:rPr>
            </w:pPr>
            <w:r>
              <w:rPr>
                <w:rFonts w:hint="eastAsia" w:ascii="宋体" w:hAnsi="宋体"/>
                <w:color w:val="000000"/>
                <w:szCs w:val="21"/>
                <w:highlight w:val="none"/>
              </w:rPr>
              <w:t>2  ……</w:t>
            </w:r>
          </w:p>
          <w:p w14:paraId="4AA1B594">
            <w:pPr>
              <w:spacing w:line="340" w:lineRule="exact"/>
              <w:rPr>
                <w:rFonts w:ascii="宋体" w:hAnsi="宋体"/>
                <w:color w:val="000000"/>
                <w:szCs w:val="21"/>
                <w:highlight w:val="none"/>
              </w:rPr>
            </w:pPr>
            <w:r>
              <w:rPr>
                <w:rFonts w:hint="eastAsia" w:ascii="宋体" w:hAnsi="宋体"/>
                <w:color w:val="000000"/>
                <w:szCs w:val="21"/>
                <w:highlight w:val="none"/>
              </w:rPr>
              <w:t>3  ……</w:t>
            </w:r>
          </w:p>
          <w:p w14:paraId="6BEEDED1">
            <w:pPr>
              <w:spacing w:line="340" w:lineRule="exact"/>
              <w:rPr>
                <w:rFonts w:ascii="宋体" w:hAnsi="宋体"/>
                <w:color w:val="000000"/>
                <w:szCs w:val="21"/>
                <w:highlight w:val="none"/>
              </w:rPr>
            </w:pPr>
            <w:r>
              <w:rPr>
                <w:rFonts w:hint="eastAsia" w:ascii="宋体" w:hAnsi="宋体"/>
                <w:color w:val="000000"/>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4DF27569">
            <w:pPr>
              <w:spacing w:line="360" w:lineRule="atLeast"/>
              <w:rPr>
                <w:rFonts w:ascii="宋体" w:hAnsi="宋体"/>
                <w:color w:val="000000"/>
                <w:sz w:val="22"/>
                <w:szCs w:val="22"/>
                <w:highlight w:val="none"/>
              </w:rPr>
            </w:pPr>
            <w:r>
              <w:rPr>
                <w:rFonts w:hint="eastAsia" w:ascii="宋体" w:hAnsi="宋体"/>
                <w:color w:val="000000"/>
                <w:sz w:val="22"/>
                <w:szCs w:val="22"/>
                <w:highlight w:val="none"/>
              </w:rPr>
              <w:t>正偏离（负偏离或无偏离）</w:t>
            </w:r>
          </w:p>
        </w:tc>
      </w:tr>
    </w:tbl>
    <w:p w14:paraId="5A003E7D">
      <w:pPr>
        <w:spacing w:line="400" w:lineRule="exact"/>
        <w:contextualSpacing/>
        <w:rPr>
          <w:rFonts w:ascii="宋体" w:hAnsi="宋体" w:cs="仿宋_GB2312"/>
          <w:color w:val="000000"/>
          <w:kern w:val="0"/>
          <w:szCs w:val="21"/>
          <w:highlight w:val="none"/>
        </w:rPr>
      </w:pPr>
      <w:r>
        <w:rPr>
          <w:rFonts w:hint="eastAsia" w:ascii="宋体" w:hAnsi="宋体" w:cs="仿宋_GB2312"/>
          <w:color w:val="000000"/>
          <w:kern w:val="0"/>
          <w:szCs w:val="21"/>
          <w:highlight w:val="none"/>
        </w:rPr>
        <w:t>注：</w:t>
      </w:r>
    </w:p>
    <w:p w14:paraId="0E35AB42">
      <w:pPr>
        <w:spacing w:line="400" w:lineRule="exact"/>
        <w:contextualSpacing/>
        <w:rPr>
          <w:rFonts w:ascii="宋体" w:hAnsi="宋体" w:cs="仿宋_GB2312"/>
          <w:color w:val="000000"/>
          <w:kern w:val="0"/>
          <w:szCs w:val="21"/>
          <w:highlight w:val="none"/>
        </w:rPr>
      </w:pPr>
      <w:r>
        <w:rPr>
          <w:rFonts w:hint="eastAsia" w:ascii="宋体" w:hAnsi="宋体" w:cs="仿宋_GB2312"/>
          <w:color w:val="000000"/>
          <w:kern w:val="0"/>
          <w:szCs w:val="21"/>
          <w:highlight w:val="none"/>
        </w:rPr>
        <w:t>1.说明：应对照磋商文件“第二章 采购需求”中的商务条款逐条作出明确响应，并作出偏离说明。</w:t>
      </w:r>
    </w:p>
    <w:p w14:paraId="489DA0DF">
      <w:pPr>
        <w:spacing w:line="400" w:lineRule="exact"/>
        <w:contextualSpacing/>
        <w:rPr>
          <w:rFonts w:hint="eastAsia" w:ascii="宋体" w:hAnsi="宋体" w:eastAsia="宋体" w:cs="仿宋_GB2312"/>
          <w:color w:val="000000"/>
          <w:kern w:val="0"/>
          <w:szCs w:val="21"/>
          <w:highlight w:val="none"/>
          <w:lang w:eastAsia="zh-CN"/>
        </w:rPr>
      </w:pPr>
      <w:r>
        <w:rPr>
          <w:rFonts w:hint="eastAsia" w:ascii="宋体" w:hAnsi="宋体" w:cs="仿宋_GB2312"/>
          <w:color w:val="000000"/>
          <w:kern w:val="0"/>
          <w:szCs w:val="21"/>
          <w:highlight w:val="none"/>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r>
        <w:rPr>
          <w:rFonts w:hint="eastAsia" w:ascii="宋体" w:hAnsi="宋体" w:cs="仿宋_GB2312"/>
          <w:color w:val="000000"/>
          <w:kern w:val="0"/>
          <w:szCs w:val="21"/>
          <w:highlight w:val="none"/>
          <w:lang w:eastAsia="zh-CN"/>
        </w:rPr>
        <w:t>。</w:t>
      </w:r>
    </w:p>
    <w:p w14:paraId="1608E8FC">
      <w:pPr>
        <w:spacing w:line="400" w:lineRule="exact"/>
        <w:rPr>
          <w:rFonts w:ascii="宋体" w:hAnsi="宋体" w:cs="仿宋_GB2312"/>
          <w:color w:val="000000"/>
          <w:kern w:val="0"/>
          <w:szCs w:val="21"/>
          <w:highlight w:val="none"/>
        </w:rPr>
      </w:pPr>
      <w:r>
        <w:rPr>
          <w:rFonts w:hint="eastAsia" w:ascii="宋体" w:hAnsi="宋体" w:cs="仿宋_GB2312"/>
          <w:color w:val="000000"/>
          <w:kern w:val="0"/>
          <w:szCs w:val="21"/>
          <w:highlight w:val="none"/>
        </w:rPr>
        <w:t>3</w:t>
      </w:r>
      <w:r>
        <w:rPr>
          <w:rFonts w:ascii="宋体" w:hAnsi="宋体" w:cs="仿宋_GB2312"/>
          <w:color w:val="000000"/>
          <w:kern w:val="0"/>
          <w:szCs w:val="21"/>
          <w:highlight w:val="none"/>
        </w:rPr>
        <w:t>.</w:t>
      </w:r>
      <w:r>
        <w:rPr>
          <w:rFonts w:hint="eastAsia" w:ascii="宋体" w:hAnsi="宋体" w:cs="仿宋_GB2312"/>
          <w:color w:val="000000"/>
          <w:kern w:val="0"/>
          <w:szCs w:val="21"/>
          <w:highlight w:val="none"/>
        </w:rPr>
        <w:t>表格内容均需按要求填写，不得留空，否则按竞标无效处理。</w:t>
      </w:r>
    </w:p>
    <w:p w14:paraId="3AA76DD4">
      <w:pPr>
        <w:spacing w:line="400" w:lineRule="exact"/>
        <w:contextualSpacing/>
        <w:rPr>
          <w:rFonts w:ascii="宋体" w:hAnsi="宋体" w:cs="仿宋_GB2312"/>
          <w:color w:val="000000"/>
          <w:kern w:val="0"/>
          <w:szCs w:val="21"/>
          <w:highlight w:val="none"/>
        </w:rPr>
      </w:pPr>
    </w:p>
    <w:p w14:paraId="1F9D1DF4">
      <w:pPr>
        <w:spacing w:line="360" w:lineRule="auto"/>
        <w:ind w:firstLine="3840" w:firstLineChars="1600"/>
        <w:rPr>
          <w:rFonts w:hint="eastAsia" w:ascii="宋体" w:hAnsi="宋体" w:cs="仿宋_GB2312"/>
          <w:color w:val="000000"/>
          <w:kern w:val="0"/>
          <w:sz w:val="24"/>
          <w:highlight w:val="none"/>
        </w:rPr>
      </w:pPr>
    </w:p>
    <w:p w14:paraId="76C16CBC">
      <w:pPr>
        <w:spacing w:line="360" w:lineRule="auto"/>
        <w:ind w:firstLine="3840" w:firstLineChars="1600"/>
        <w:rPr>
          <w:rFonts w:hint="eastAsia" w:ascii="宋体" w:hAnsi="宋体" w:cs="仿宋_GB2312"/>
          <w:color w:val="000000"/>
          <w:kern w:val="0"/>
          <w:sz w:val="24"/>
          <w:highlight w:val="none"/>
        </w:rPr>
      </w:pPr>
    </w:p>
    <w:p w14:paraId="2A868EE4">
      <w:pPr>
        <w:spacing w:line="360" w:lineRule="auto"/>
        <w:ind w:firstLine="3840" w:firstLineChars="1600"/>
        <w:rPr>
          <w:rFonts w:ascii="宋体" w:hAnsi="宋体" w:cs="仿宋_GB2312"/>
          <w:color w:val="000000"/>
          <w:sz w:val="24"/>
          <w:highlight w:val="none"/>
        </w:rPr>
      </w:pPr>
      <w:r>
        <w:rPr>
          <w:rFonts w:hint="eastAsia" w:ascii="宋体" w:hAnsi="宋体" w:cs="仿宋_GB2312"/>
          <w:color w:val="000000"/>
          <w:kern w:val="0"/>
          <w:sz w:val="24"/>
          <w:highlight w:val="none"/>
        </w:rPr>
        <w:t>供应商名称（电子签章）：</w:t>
      </w:r>
    </w:p>
    <w:p w14:paraId="4BD595C0">
      <w:pPr>
        <w:spacing w:line="360" w:lineRule="auto"/>
        <w:contextualSpacing/>
        <w:jc w:val="center"/>
        <w:rPr>
          <w:rFonts w:ascii="宋体" w:hAnsi="宋体" w:cs="仿宋_GB2312"/>
          <w:color w:val="000000"/>
          <w:kern w:val="0"/>
          <w:sz w:val="24"/>
          <w:highlight w:val="none"/>
          <w:lang w:val="zh-CN"/>
        </w:rPr>
      </w:pPr>
      <w:r>
        <w:rPr>
          <w:rFonts w:hint="eastAsia" w:ascii="宋体" w:hAnsi="宋体" w:cs="仿宋_GB2312"/>
          <w:color w:val="000000"/>
          <w:kern w:val="0"/>
          <w:sz w:val="24"/>
          <w:highlight w:val="none"/>
          <w:lang w:val="zh-CN"/>
        </w:rPr>
        <w:t xml:space="preserve">                                                   日期：  年  月   日</w:t>
      </w:r>
    </w:p>
    <w:p w14:paraId="2528EC42">
      <w:pPr>
        <w:spacing w:line="360" w:lineRule="auto"/>
        <w:contextualSpacing/>
        <w:jc w:val="center"/>
        <w:rPr>
          <w:rFonts w:ascii="宋体" w:hAnsi="宋体" w:cs="仿宋_GB2312"/>
          <w:b/>
          <w:color w:val="000000"/>
          <w:sz w:val="24"/>
          <w:highlight w:val="none"/>
        </w:rPr>
      </w:pPr>
    </w:p>
    <w:p w14:paraId="25A43C10">
      <w:pPr>
        <w:pStyle w:val="7"/>
        <w:rPr>
          <w:color w:val="000000"/>
          <w:highlight w:val="none"/>
        </w:rPr>
      </w:pPr>
    </w:p>
    <w:p w14:paraId="3C93CAD7">
      <w:pPr>
        <w:spacing w:before="41" w:line="364" w:lineRule="auto"/>
        <w:ind w:left="298" w:right="310"/>
        <w:jc w:val="center"/>
        <w:outlineLvl w:val="0"/>
        <w:rPr>
          <w:b/>
          <w:color w:val="auto"/>
          <w:spacing w:val="-11"/>
          <w:w w:val="95"/>
          <w:sz w:val="32"/>
        </w:rPr>
      </w:pPr>
      <w:r>
        <w:rPr>
          <w:rFonts w:hint="eastAsia" w:ascii="宋体" w:hAnsi="宋体" w:cs="仿宋_GB2312"/>
          <w:b/>
          <w:color w:val="000000"/>
          <w:sz w:val="30"/>
          <w:szCs w:val="30"/>
          <w:highlight w:val="none"/>
          <w:lang w:val="en-US" w:eastAsia="zh-CN"/>
        </w:rPr>
        <w:br w:type="page"/>
      </w:r>
      <w:r>
        <w:rPr>
          <w:rFonts w:hint="eastAsia"/>
          <w:b/>
          <w:color w:val="auto"/>
          <w:spacing w:val="-11"/>
          <w:w w:val="95"/>
          <w:sz w:val="32"/>
        </w:rPr>
        <w:t>供应商</w:t>
      </w:r>
      <w:r>
        <w:rPr>
          <w:b/>
          <w:color w:val="auto"/>
          <w:spacing w:val="-11"/>
          <w:w w:val="95"/>
          <w:sz w:val="32"/>
        </w:rPr>
        <w:t>基本情况表</w:t>
      </w:r>
    </w:p>
    <w:tbl>
      <w:tblPr>
        <w:tblStyle w:val="15"/>
        <w:tblW w:w="8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897"/>
        <w:gridCol w:w="1021"/>
        <w:gridCol w:w="1160"/>
        <w:gridCol w:w="311"/>
        <w:gridCol w:w="1246"/>
        <w:gridCol w:w="63"/>
        <w:gridCol w:w="720"/>
        <w:gridCol w:w="1923"/>
      </w:tblGrid>
      <w:tr w14:paraId="076C9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noWrap w:val="0"/>
            <w:vAlign w:val="center"/>
          </w:tcPr>
          <w:p w14:paraId="741AACA8">
            <w:pPr>
              <w:pStyle w:val="21"/>
              <w:jc w:val="center"/>
              <w:rPr>
                <w:color w:val="auto"/>
                <w:szCs w:val="21"/>
              </w:rPr>
            </w:pPr>
            <w:r>
              <w:rPr>
                <w:rFonts w:hint="eastAsia"/>
                <w:color w:val="auto"/>
                <w:szCs w:val="21"/>
              </w:rPr>
              <w:t>申请人</w:t>
            </w:r>
            <w:r>
              <w:rPr>
                <w:color w:val="auto"/>
                <w:szCs w:val="21"/>
              </w:rPr>
              <w:t>名称</w:t>
            </w:r>
          </w:p>
        </w:tc>
        <w:tc>
          <w:tcPr>
            <w:tcW w:w="7341" w:type="dxa"/>
            <w:gridSpan w:val="8"/>
            <w:noWrap w:val="0"/>
            <w:vAlign w:val="center"/>
          </w:tcPr>
          <w:p w14:paraId="10F7BCAC">
            <w:pPr>
              <w:pStyle w:val="21"/>
              <w:jc w:val="center"/>
              <w:rPr>
                <w:color w:val="auto"/>
                <w:szCs w:val="21"/>
              </w:rPr>
            </w:pPr>
          </w:p>
        </w:tc>
      </w:tr>
      <w:tr w14:paraId="58744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noWrap w:val="0"/>
            <w:vAlign w:val="center"/>
          </w:tcPr>
          <w:p w14:paraId="326B8057">
            <w:pPr>
              <w:pStyle w:val="21"/>
              <w:jc w:val="center"/>
              <w:rPr>
                <w:color w:val="auto"/>
                <w:szCs w:val="21"/>
              </w:rPr>
            </w:pPr>
            <w:r>
              <w:rPr>
                <w:color w:val="auto"/>
                <w:szCs w:val="21"/>
              </w:rPr>
              <w:t>注册地址</w:t>
            </w:r>
          </w:p>
        </w:tc>
        <w:tc>
          <w:tcPr>
            <w:tcW w:w="3389" w:type="dxa"/>
            <w:gridSpan w:val="4"/>
            <w:noWrap w:val="0"/>
            <w:vAlign w:val="center"/>
          </w:tcPr>
          <w:p w14:paraId="77BA1460">
            <w:pPr>
              <w:pStyle w:val="21"/>
              <w:jc w:val="center"/>
              <w:rPr>
                <w:color w:val="auto"/>
                <w:szCs w:val="21"/>
              </w:rPr>
            </w:pPr>
          </w:p>
        </w:tc>
        <w:tc>
          <w:tcPr>
            <w:tcW w:w="1246" w:type="dxa"/>
            <w:noWrap w:val="0"/>
            <w:vAlign w:val="center"/>
          </w:tcPr>
          <w:p w14:paraId="61DDCD88">
            <w:pPr>
              <w:pStyle w:val="21"/>
              <w:jc w:val="center"/>
              <w:rPr>
                <w:color w:val="auto"/>
                <w:szCs w:val="21"/>
              </w:rPr>
            </w:pPr>
            <w:r>
              <w:rPr>
                <w:color w:val="auto"/>
                <w:szCs w:val="21"/>
              </w:rPr>
              <w:t>邮政编码</w:t>
            </w:r>
          </w:p>
        </w:tc>
        <w:tc>
          <w:tcPr>
            <w:tcW w:w="2706" w:type="dxa"/>
            <w:gridSpan w:val="3"/>
            <w:noWrap w:val="0"/>
            <w:vAlign w:val="center"/>
          </w:tcPr>
          <w:p w14:paraId="6F3627B3">
            <w:pPr>
              <w:pStyle w:val="21"/>
              <w:jc w:val="center"/>
              <w:rPr>
                <w:color w:val="auto"/>
                <w:szCs w:val="21"/>
              </w:rPr>
            </w:pPr>
          </w:p>
        </w:tc>
      </w:tr>
      <w:tr w14:paraId="1931F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Merge w:val="restart"/>
            <w:noWrap w:val="0"/>
            <w:vAlign w:val="center"/>
          </w:tcPr>
          <w:p w14:paraId="5458DADE">
            <w:pPr>
              <w:pStyle w:val="21"/>
              <w:jc w:val="center"/>
              <w:rPr>
                <w:color w:val="auto"/>
                <w:szCs w:val="21"/>
              </w:rPr>
            </w:pPr>
            <w:r>
              <w:rPr>
                <w:color w:val="auto"/>
                <w:szCs w:val="21"/>
              </w:rPr>
              <w:t>联系方式</w:t>
            </w:r>
          </w:p>
        </w:tc>
        <w:tc>
          <w:tcPr>
            <w:tcW w:w="897" w:type="dxa"/>
            <w:noWrap w:val="0"/>
            <w:vAlign w:val="center"/>
          </w:tcPr>
          <w:p w14:paraId="43A73E0F">
            <w:pPr>
              <w:pStyle w:val="21"/>
              <w:jc w:val="center"/>
              <w:rPr>
                <w:color w:val="auto"/>
                <w:szCs w:val="21"/>
              </w:rPr>
            </w:pPr>
            <w:r>
              <w:rPr>
                <w:color w:val="auto"/>
                <w:szCs w:val="21"/>
              </w:rPr>
              <w:t>联系人</w:t>
            </w:r>
          </w:p>
        </w:tc>
        <w:tc>
          <w:tcPr>
            <w:tcW w:w="2492" w:type="dxa"/>
            <w:gridSpan w:val="3"/>
            <w:noWrap w:val="0"/>
            <w:vAlign w:val="center"/>
          </w:tcPr>
          <w:p w14:paraId="349E411F">
            <w:pPr>
              <w:pStyle w:val="21"/>
              <w:jc w:val="center"/>
              <w:rPr>
                <w:color w:val="auto"/>
                <w:szCs w:val="21"/>
              </w:rPr>
            </w:pPr>
          </w:p>
        </w:tc>
        <w:tc>
          <w:tcPr>
            <w:tcW w:w="1246" w:type="dxa"/>
            <w:noWrap w:val="0"/>
            <w:vAlign w:val="center"/>
          </w:tcPr>
          <w:p w14:paraId="77F3EEDB">
            <w:pPr>
              <w:pStyle w:val="21"/>
              <w:jc w:val="center"/>
              <w:rPr>
                <w:color w:val="auto"/>
                <w:szCs w:val="21"/>
              </w:rPr>
            </w:pPr>
            <w:r>
              <w:rPr>
                <w:color w:val="auto"/>
                <w:szCs w:val="21"/>
              </w:rPr>
              <w:t>电话</w:t>
            </w:r>
          </w:p>
        </w:tc>
        <w:tc>
          <w:tcPr>
            <w:tcW w:w="2706" w:type="dxa"/>
            <w:gridSpan w:val="3"/>
            <w:noWrap w:val="0"/>
            <w:vAlign w:val="center"/>
          </w:tcPr>
          <w:p w14:paraId="024F71A0">
            <w:pPr>
              <w:pStyle w:val="21"/>
              <w:jc w:val="center"/>
              <w:rPr>
                <w:color w:val="auto"/>
                <w:szCs w:val="21"/>
              </w:rPr>
            </w:pPr>
          </w:p>
        </w:tc>
      </w:tr>
      <w:tr w14:paraId="7663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vMerge w:val="continue"/>
            <w:noWrap w:val="0"/>
            <w:vAlign w:val="center"/>
          </w:tcPr>
          <w:p w14:paraId="29397570">
            <w:pPr>
              <w:pStyle w:val="21"/>
              <w:jc w:val="center"/>
              <w:rPr>
                <w:color w:val="auto"/>
                <w:szCs w:val="21"/>
              </w:rPr>
            </w:pPr>
          </w:p>
        </w:tc>
        <w:tc>
          <w:tcPr>
            <w:tcW w:w="897" w:type="dxa"/>
            <w:noWrap w:val="0"/>
            <w:vAlign w:val="center"/>
          </w:tcPr>
          <w:p w14:paraId="00AFE6EE">
            <w:pPr>
              <w:pStyle w:val="21"/>
              <w:jc w:val="center"/>
              <w:rPr>
                <w:color w:val="auto"/>
                <w:szCs w:val="21"/>
              </w:rPr>
            </w:pPr>
            <w:r>
              <w:rPr>
                <w:color w:val="auto"/>
                <w:szCs w:val="21"/>
              </w:rPr>
              <w:t>传真</w:t>
            </w:r>
          </w:p>
        </w:tc>
        <w:tc>
          <w:tcPr>
            <w:tcW w:w="2492" w:type="dxa"/>
            <w:gridSpan w:val="3"/>
            <w:noWrap w:val="0"/>
            <w:vAlign w:val="center"/>
          </w:tcPr>
          <w:p w14:paraId="420D5D51">
            <w:pPr>
              <w:pStyle w:val="21"/>
              <w:jc w:val="center"/>
              <w:rPr>
                <w:color w:val="auto"/>
                <w:szCs w:val="21"/>
              </w:rPr>
            </w:pPr>
          </w:p>
        </w:tc>
        <w:tc>
          <w:tcPr>
            <w:tcW w:w="1246" w:type="dxa"/>
            <w:noWrap w:val="0"/>
            <w:vAlign w:val="center"/>
          </w:tcPr>
          <w:p w14:paraId="20CF9BD3">
            <w:pPr>
              <w:pStyle w:val="21"/>
              <w:jc w:val="center"/>
              <w:rPr>
                <w:color w:val="auto"/>
                <w:szCs w:val="21"/>
              </w:rPr>
            </w:pPr>
            <w:r>
              <w:rPr>
                <w:color w:val="auto"/>
                <w:szCs w:val="21"/>
              </w:rPr>
              <w:t>网址</w:t>
            </w:r>
          </w:p>
        </w:tc>
        <w:tc>
          <w:tcPr>
            <w:tcW w:w="2706" w:type="dxa"/>
            <w:gridSpan w:val="3"/>
            <w:noWrap w:val="0"/>
            <w:vAlign w:val="center"/>
          </w:tcPr>
          <w:p w14:paraId="49C079DE">
            <w:pPr>
              <w:pStyle w:val="21"/>
              <w:jc w:val="center"/>
              <w:rPr>
                <w:color w:val="auto"/>
                <w:szCs w:val="21"/>
              </w:rPr>
            </w:pPr>
          </w:p>
        </w:tc>
      </w:tr>
      <w:tr w14:paraId="31A9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noWrap w:val="0"/>
            <w:vAlign w:val="center"/>
          </w:tcPr>
          <w:p w14:paraId="0578C145">
            <w:pPr>
              <w:pStyle w:val="21"/>
              <w:jc w:val="center"/>
              <w:rPr>
                <w:color w:val="auto"/>
                <w:szCs w:val="21"/>
              </w:rPr>
            </w:pPr>
            <w:r>
              <w:rPr>
                <w:rFonts w:hint="eastAsia"/>
                <w:color w:val="auto"/>
                <w:szCs w:val="21"/>
              </w:rPr>
              <w:t>统一社会信用</w:t>
            </w:r>
            <w:r>
              <w:rPr>
                <w:color w:val="auto"/>
                <w:szCs w:val="21"/>
              </w:rPr>
              <w:t>代码</w:t>
            </w:r>
          </w:p>
        </w:tc>
        <w:tc>
          <w:tcPr>
            <w:tcW w:w="7341" w:type="dxa"/>
            <w:gridSpan w:val="8"/>
            <w:noWrap w:val="0"/>
            <w:vAlign w:val="center"/>
          </w:tcPr>
          <w:p w14:paraId="24C7D619">
            <w:pPr>
              <w:pStyle w:val="21"/>
              <w:jc w:val="center"/>
              <w:rPr>
                <w:color w:val="auto"/>
                <w:szCs w:val="21"/>
              </w:rPr>
            </w:pPr>
          </w:p>
        </w:tc>
      </w:tr>
      <w:tr w14:paraId="6689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noWrap w:val="0"/>
            <w:vAlign w:val="center"/>
          </w:tcPr>
          <w:p w14:paraId="70D8E69A">
            <w:pPr>
              <w:pStyle w:val="21"/>
              <w:jc w:val="center"/>
              <w:rPr>
                <w:color w:val="auto"/>
                <w:szCs w:val="21"/>
              </w:rPr>
            </w:pPr>
            <w:r>
              <w:rPr>
                <w:color w:val="auto"/>
                <w:szCs w:val="21"/>
              </w:rPr>
              <w:t>法定代表人</w:t>
            </w:r>
          </w:p>
        </w:tc>
        <w:tc>
          <w:tcPr>
            <w:tcW w:w="897" w:type="dxa"/>
            <w:noWrap w:val="0"/>
            <w:vAlign w:val="center"/>
          </w:tcPr>
          <w:p w14:paraId="0DACD5E7">
            <w:pPr>
              <w:pStyle w:val="21"/>
              <w:jc w:val="center"/>
              <w:rPr>
                <w:color w:val="auto"/>
                <w:szCs w:val="21"/>
              </w:rPr>
            </w:pPr>
            <w:r>
              <w:rPr>
                <w:color w:val="auto"/>
                <w:szCs w:val="21"/>
              </w:rPr>
              <w:t>姓名</w:t>
            </w:r>
          </w:p>
        </w:tc>
        <w:tc>
          <w:tcPr>
            <w:tcW w:w="1021" w:type="dxa"/>
            <w:noWrap w:val="0"/>
            <w:vAlign w:val="center"/>
          </w:tcPr>
          <w:p w14:paraId="217BAE50">
            <w:pPr>
              <w:pStyle w:val="21"/>
              <w:jc w:val="center"/>
              <w:rPr>
                <w:color w:val="auto"/>
                <w:szCs w:val="21"/>
              </w:rPr>
            </w:pPr>
          </w:p>
        </w:tc>
        <w:tc>
          <w:tcPr>
            <w:tcW w:w="1160" w:type="dxa"/>
            <w:noWrap w:val="0"/>
            <w:vAlign w:val="center"/>
          </w:tcPr>
          <w:p w14:paraId="520399BA">
            <w:pPr>
              <w:pStyle w:val="21"/>
              <w:jc w:val="center"/>
              <w:rPr>
                <w:color w:val="auto"/>
                <w:szCs w:val="21"/>
              </w:rPr>
            </w:pPr>
            <w:r>
              <w:rPr>
                <w:color w:val="auto"/>
                <w:szCs w:val="21"/>
              </w:rPr>
              <w:t>技术职称</w:t>
            </w:r>
          </w:p>
        </w:tc>
        <w:tc>
          <w:tcPr>
            <w:tcW w:w="1620" w:type="dxa"/>
            <w:gridSpan w:val="3"/>
            <w:noWrap w:val="0"/>
            <w:vAlign w:val="center"/>
          </w:tcPr>
          <w:p w14:paraId="5145B70F">
            <w:pPr>
              <w:pStyle w:val="21"/>
              <w:jc w:val="center"/>
              <w:rPr>
                <w:color w:val="auto"/>
                <w:szCs w:val="21"/>
              </w:rPr>
            </w:pPr>
          </w:p>
        </w:tc>
        <w:tc>
          <w:tcPr>
            <w:tcW w:w="720" w:type="dxa"/>
            <w:noWrap w:val="0"/>
            <w:vAlign w:val="center"/>
          </w:tcPr>
          <w:p w14:paraId="6B1C434C">
            <w:pPr>
              <w:pStyle w:val="21"/>
              <w:jc w:val="center"/>
              <w:rPr>
                <w:color w:val="auto"/>
                <w:szCs w:val="21"/>
              </w:rPr>
            </w:pPr>
            <w:r>
              <w:rPr>
                <w:color w:val="auto"/>
                <w:szCs w:val="21"/>
              </w:rPr>
              <w:t>电话</w:t>
            </w:r>
          </w:p>
        </w:tc>
        <w:tc>
          <w:tcPr>
            <w:tcW w:w="1923" w:type="dxa"/>
            <w:noWrap w:val="0"/>
            <w:vAlign w:val="center"/>
          </w:tcPr>
          <w:p w14:paraId="47C02AFB">
            <w:pPr>
              <w:pStyle w:val="21"/>
              <w:jc w:val="center"/>
              <w:rPr>
                <w:color w:val="auto"/>
                <w:szCs w:val="21"/>
              </w:rPr>
            </w:pPr>
          </w:p>
        </w:tc>
      </w:tr>
      <w:tr w14:paraId="3C6ED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noWrap w:val="0"/>
            <w:vAlign w:val="center"/>
          </w:tcPr>
          <w:p w14:paraId="4A38F2CE">
            <w:pPr>
              <w:pStyle w:val="21"/>
              <w:jc w:val="center"/>
              <w:rPr>
                <w:rFonts w:hint="eastAsia" w:eastAsia="宋体"/>
                <w:color w:val="auto"/>
                <w:szCs w:val="21"/>
                <w:lang w:eastAsia="zh-CN"/>
              </w:rPr>
            </w:pPr>
            <w:r>
              <w:rPr>
                <w:color w:val="auto"/>
                <w:szCs w:val="21"/>
              </w:rPr>
              <w:t>技术负责人</w:t>
            </w:r>
            <w:r>
              <w:rPr>
                <w:rFonts w:hint="eastAsia"/>
                <w:color w:val="auto"/>
                <w:szCs w:val="21"/>
                <w:lang w:eastAsia="zh-CN"/>
              </w:rPr>
              <w:t>（</w:t>
            </w:r>
            <w:r>
              <w:rPr>
                <w:rFonts w:hint="eastAsia"/>
                <w:color w:val="auto"/>
                <w:szCs w:val="21"/>
                <w:lang w:val="en-US" w:eastAsia="zh-CN"/>
              </w:rPr>
              <w:t>或项目总工</w:t>
            </w:r>
            <w:r>
              <w:rPr>
                <w:rFonts w:hint="eastAsia"/>
                <w:color w:val="auto"/>
                <w:szCs w:val="21"/>
                <w:lang w:eastAsia="zh-CN"/>
              </w:rPr>
              <w:t>）</w:t>
            </w:r>
          </w:p>
        </w:tc>
        <w:tc>
          <w:tcPr>
            <w:tcW w:w="897" w:type="dxa"/>
            <w:noWrap w:val="0"/>
            <w:vAlign w:val="center"/>
          </w:tcPr>
          <w:p w14:paraId="097D0BC6">
            <w:pPr>
              <w:pStyle w:val="21"/>
              <w:jc w:val="center"/>
              <w:rPr>
                <w:color w:val="auto"/>
                <w:szCs w:val="21"/>
              </w:rPr>
            </w:pPr>
            <w:r>
              <w:rPr>
                <w:color w:val="auto"/>
                <w:szCs w:val="21"/>
              </w:rPr>
              <w:t>姓名</w:t>
            </w:r>
          </w:p>
        </w:tc>
        <w:tc>
          <w:tcPr>
            <w:tcW w:w="1021" w:type="dxa"/>
            <w:noWrap w:val="0"/>
            <w:vAlign w:val="center"/>
          </w:tcPr>
          <w:p w14:paraId="40FF3B05">
            <w:pPr>
              <w:pStyle w:val="21"/>
              <w:jc w:val="center"/>
              <w:rPr>
                <w:color w:val="auto"/>
                <w:szCs w:val="21"/>
              </w:rPr>
            </w:pPr>
          </w:p>
        </w:tc>
        <w:tc>
          <w:tcPr>
            <w:tcW w:w="1160" w:type="dxa"/>
            <w:noWrap w:val="0"/>
            <w:vAlign w:val="center"/>
          </w:tcPr>
          <w:p w14:paraId="1377B35C">
            <w:pPr>
              <w:pStyle w:val="21"/>
              <w:jc w:val="center"/>
              <w:rPr>
                <w:color w:val="auto"/>
                <w:szCs w:val="21"/>
              </w:rPr>
            </w:pPr>
            <w:r>
              <w:rPr>
                <w:color w:val="auto"/>
                <w:szCs w:val="21"/>
              </w:rPr>
              <w:t>技术职称</w:t>
            </w:r>
          </w:p>
        </w:tc>
        <w:tc>
          <w:tcPr>
            <w:tcW w:w="1620" w:type="dxa"/>
            <w:gridSpan w:val="3"/>
            <w:noWrap w:val="0"/>
            <w:vAlign w:val="center"/>
          </w:tcPr>
          <w:p w14:paraId="71837BD8">
            <w:pPr>
              <w:pStyle w:val="21"/>
              <w:jc w:val="center"/>
              <w:rPr>
                <w:color w:val="auto"/>
                <w:szCs w:val="21"/>
              </w:rPr>
            </w:pPr>
          </w:p>
        </w:tc>
        <w:tc>
          <w:tcPr>
            <w:tcW w:w="720" w:type="dxa"/>
            <w:noWrap w:val="0"/>
            <w:vAlign w:val="center"/>
          </w:tcPr>
          <w:p w14:paraId="232D38A0">
            <w:pPr>
              <w:pStyle w:val="21"/>
              <w:jc w:val="center"/>
              <w:rPr>
                <w:color w:val="auto"/>
                <w:szCs w:val="21"/>
              </w:rPr>
            </w:pPr>
            <w:r>
              <w:rPr>
                <w:color w:val="auto"/>
                <w:szCs w:val="21"/>
              </w:rPr>
              <w:t>电话</w:t>
            </w:r>
          </w:p>
        </w:tc>
        <w:tc>
          <w:tcPr>
            <w:tcW w:w="1923" w:type="dxa"/>
            <w:noWrap w:val="0"/>
            <w:vAlign w:val="center"/>
          </w:tcPr>
          <w:p w14:paraId="1599F65C">
            <w:pPr>
              <w:pStyle w:val="21"/>
              <w:jc w:val="center"/>
              <w:rPr>
                <w:color w:val="auto"/>
                <w:szCs w:val="21"/>
              </w:rPr>
            </w:pPr>
          </w:p>
        </w:tc>
      </w:tr>
      <w:tr w14:paraId="41D6F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noWrap w:val="0"/>
            <w:vAlign w:val="center"/>
          </w:tcPr>
          <w:p w14:paraId="69E8D5DC">
            <w:pPr>
              <w:pStyle w:val="21"/>
              <w:jc w:val="center"/>
              <w:rPr>
                <w:color w:val="auto"/>
                <w:szCs w:val="21"/>
              </w:rPr>
            </w:pPr>
            <w:r>
              <w:rPr>
                <w:color w:val="auto"/>
                <w:szCs w:val="21"/>
              </w:rPr>
              <w:t>成立时间</w:t>
            </w:r>
          </w:p>
        </w:tc>
        <w:tc>
          <w:tcPr>
            <w:tcW w:w="1918" w:type="dxa"/>
            <w:gridSpan w:val="2"/>
            <w:noWrap w:val="0"/>
            <w:vAlign w:val="center"/>
          </w:tcPr>
          <w:p w14:paraId="13BFEE50">
            <w:pPr>
              <w:pStyle w:val="21"/>
              <w:jc w:val="center"/>
              <w:rPr>
                <w:color w:val="auto"/>
                <w:szCs w:val="21"/>
              </w:rPr>
            </w:pPr>
          </w:p>
        </w:tc>
        <w:tc>
          <w:tcPr>
            <w:tcW w:w="5423" w:type="dxa"/>
            <w:gridSpan w:val="6"/>
            <w:noWrap w:val="0"/>
            <w:vAlign w:val="center"/>
          </w:tcPr>
          <w:p w14:paraId="7C073F90">
            <w:pPr>
              <w:pStyle w:val="21"/>
              <w:jc w:val="center"/>
              <w:rPr>
                <w:color w:val="auto"/>
                <w:szCs w:val="21"/>
              </w:rPr>
            </w:pPr>
            <w:r>
              <w:rPr>
                <w:color w:val="auto"/>
                <w:szCs w:val="21"/>
              </w:rPr>
              <w:t>员工总人数：</w:t>
            </w:r>
          </w:p>
        </w:tc>
      </w:tr>
      <w:tr w14:paraId="13C5C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noWrap w:val="0"/>
            <w:vAlign w:val="center"/>
          </w:tcPr>
          <w:p w14:paraId="78906442">
            <w:pPr>
              <w:pStyle w:val="21"/>
              <w:jc w:val="center"/>
              <w:rPr>
                <w:color w:val="auto"/>
                <w:szCs w:val="21"/>
              </w:rPr>
            </w:pPr>
            <w:r>
              <w:rPr>
                <w:color w:val="auto"/>
                <w:szCs w:val="21"/>
              </w:rPr>
              <w:t>资质等级</w:t>
            </w:r>
          </w:p>
        </w:tc>
        <w:tc>
          <w:tcPr>
            <w:tcW w:w="1918" w:type="dxa"/>
            <w:gridSpan w:val="2"/>
            <w:noWrap w:val="0"/>
            <w:vAlign w:val="center"/>
          </w:tcPr>
          <w:p w14:paraId="51BBE5FE">
            <w:pPr>
              <w:pStyle w:val="21"/>
              <w:jc w:val="center"/>
              <w:rPr>
                <w:color w:val="auto"/>
                <w:szCs w:val="21"/>
              </w:rPr>
            </w:pPr>
          </w:p>
        </w:tc>
        <w:tc>
          <w:tcPr>
            <w:tcW w:w="1160" w:type="dxa"/>
            <w:vMerge w:val="restart"/>
            <w:noWrap w:val="0"/>
            <w:vAlign w:val="center"/>
          </w:tcPr>
          <w:p w14:paraId="5011FFC8">
            <w:pPr>
              <w:pStyle w:val="21"/>
              <w:jc w:val="center"/>
              <w:rPr>
                <w:color w:val="auto"/>
                <w:szCs w:val="21"/>
              </w:rPr>
            </w:pPr>
            <w:r>
              <w:rPr>
                <w:color w:val="auto"/>
                <w:szCs w:val="21"/>
              </w:rPr>
              <w:t>其中</w:t>
            </w:r>
          </w:p>
        </w:tc>
        <w:tc>
          <w:tcPr>
            <w:tcW w:w="1620" w:type="dxa"/>
            <w:gridSpan w:val="3"/>
            <w:noWrap w:val="0"/>
            <w:vAlign w:val="center"/>
          </w:tcPr>
          <w:p w14:paraId="2FEBF1B3">
            <w:pPr>
              <w:pStyle w:val="21"/>
              <w:jc w:val="center"/>
              <w:rPr>
                <w:color w:val="auto"/>
                <w:szCs w:val="21"/>
              </w:rPr>
            </w:pPr>
            <w:r>
              <w:rPr>
                <w:color w:val="auto"/>
                <w:szCs w:val="21"/>
              </w:rPr>
              <w:t>项目经理</w:t>
            </w:r>
          </w:p>
        </w:tc>
        <w:tc>
          <w:tcPr>
            <w:tcW w:w="2643" w:type="dxa"/>
            <w:gridSpan w:val="2"/>
            <w:noWrap w:val="0"/>
            <w:vAlign w:val="center"/>
          </w:tcPr>
          <w:p w14:paraId="04B52026">
            <w:pPr>
              <w:pStyle w:val="21"/>
              <w:jc w:val="center"/>
              <w:rPr>
                <w:color w:val="auto"/>
                <w:szCs w:val="21"/>
              </w:rPr>
            </w:pPr>
          </w:p>
        </w:tc>
      </w:tr>
      <w:tr w14:paraId="21906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noWrap w:val="0"/>
            <w:vAlign w:val="center"/>
          </w:tcPr>
          <w:p w14:paraId="2D6EA4CC">
            <w:pPr>
              <w:pStyle w:val="21"/>
              <w:jc w:val="center"/>
              <w:rPr>
                <w:color w:val="auto"/>
                <w:szCs w:val="21"/>
              </w:rPr>
            </w:pPr>
            <w:r>
              <w:rPr>
                <w:rFonts w:hint="eastAsia"/>
                <w:color w:val="auto"/>
                <w:szCs w:val="21"/>
              </w:rPr>
              <w:t>安全生产许可证号</w:t>
            </w:r>
          </w:p>
        </w:tc>
        <w:tc>
          <w:tcPr>
            <w:tcW w:w="1918" w:type="dxa"/>
            <w:gridSpan w:val="2"/>
            <w:noWrap w:val="0"/>
            <w:vAlign w:val="center"/>
          </w:tcPr>
          <w:p w14:paraId="62C173A2">
            <w:pPr>
              <w:pStyle w:val="21"/>
              <w:jc w:val="center"/>
              <w:rPr>
                <w:color w:val="auto"/>
                <w:szCs w:val="21"/>
              </w:rPr>
            </w:pPr>
          </w:p>
        </w:tc>
        <w:tc>
          <w:tcPr>
            <w:tcW w:w="1160" w:type="dxa"/>
            <w:vMerge w:val="continue"/>
            <w:noWrap w:val="0"/>
            <w:vAlign w:val="center"/>
          </w:tcPr>
          <w:p w14:paraId="07B12251">
            <w:pPr>
              <w:pStyle w:val="21"/>
              <w:jc w:val="center"/>
              <w:rPr>
                <w:color w:val="auto"/>
                <w:szCs w:val="21"/>
              </w:rPr>
            </w:pPr>
          </w:p>
        </w:tc>
        <w:tc>
          <w:tcPr>
            <w:tcW w:w="1620" w:type="dxa"/>
            <w:gridSpan w:val="3"/>
            <w:noWrap w:val="0"/>
            <w:vAlign w:val="center"/>
          </w:tcPr>
          <w:p w14:paraId="3603485F">
            <w:pPr>
              <w:pStyle w:val="21"/>
              <w:jc w:val="center"/>
              <w:rPr>
                <w:color w:val="auto"/>
                <w:szCs w:val="21"/>
              </w:rPr>
            </w:pPr>
            <w:r>
              <w:rPr>
                <w:color w:val="auto"/>
                <w:szCs w:val="21"/>
              </w:rPr>
              <w:t>高级职称人员</w:t>
            </w:r>
          </w:p>
        </w:tc>
        <w:tc>
          <w:tcPr>
            <w:tcW w:w="2643" w:type="dxa"/>
            <w:gridSpan w:val="2"/>
            <w:noWrap w:val="0"/>
            <w:vAlign w:val="center"/>
          </w:tcPr>
          <w:p w14:paraId="16923E42">
            <w:pPr>
              <w:pStyle w:val="21"/>
              <w:jc w:val="center"/>
              <w:rPr>
                <w:color w:val="auto"/>
                <w:szCs w:val="21"/>
              </w:rPr>
            </w:pPr>
          </w:p>
        </w:tc>
      </w:tr>
      <w:tr w14:paraId="0D5B7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noWrap w:val="0"/>
            <w:vAlign w:val="center"/>
          </w:tcPr>
          <w:p w14:paraId="373C96BC">
            <w:pPr>
              <w:pStyle w:val="21"/>
              <w:jc w:val="center"/>
              <w:rPr>
                <w:color w:val="auto"/>
                <w:szCs w:val="21"/>
              </w:rPr>
            </w:pPr>
            <w:r>
              <w:rPr>
                <w:color w:val="auto"/>
                <w:szCs w:val="21"/>
              </w:rPr>
              <w:t>注册资金</w:t>
            </w:r>
          </w:p>
        </w:tc>
        <w:tc>
          <w:tcPr>
            <w:tcW w:w="1918" w:type="dxa"/>
            <w:gridSpan w:val="2"/>
            <w:noWrap w:val="0"/>
            <w:vAlign w:val="center"/>
          </w:tcPr>
          <w:p w14:paraId="738AAAEC">
            <w:pPr>
              <w:pStyle w:val="21"/>
              <w:jc w:val="center"/>
              <w:rPr>
                <w:color w:val="auto"/>
                <w:szCs w:val="21"/>
              </w:rPr>
            </w:pPr>
          </w:p>
        </w:tc>
        <w:tc>
          <w:tcPr>
            <w:tcW w:w="1160" w:type="dxa"/>
            <w:vMerge w:val="continue"/>
            <w:noWrap w:val="0"/>
            <w:vAlign w:val="center"/>
          </w:tcPr>
          <w:p w14:paraId="7658BA09">
            <w:pPr>
              <w:pStyle w:val="21"/>
              <w:jc w:val="center"/>
              <w:rPr>
                <w:color w:val="auto"/>
                <w:szCs w:val="21"/>
              </w:rPr>
            </w:pPr>
          </w:p>
        </w:tc>
        <w:tc>
          <w:tcPr>
            <w:tcW w:w="1620" w:type="dxa"/>
            <w:gridSpan w:val="3"/>
            <w:noWrap w:val="0"/>
            <w:vAlign w:val="center"/>
          </w:tcPr>
          <w:p w14:paraId="7C1E5373">
            <w:pPr>
              <w:pStyle w:val="21"/>
              <w:jc w:val="center"/>
              <w:rPr>
                <w:color w:val="auto"/>
                <w:szCs w:val="21"/>
              </w:rPr>
            </w:pPr>
            <w:r>
              <w:rPr>
                <w:color w:val="auto"/>
                <w:szCs w:val="21"/>
              </w:rPr>
              <w:t>中级职称人员</w:t>
            </w:r>
          </w:p>
        </w:tc>
        <w:tc>
          <w:tcPr>
            <w:tcW w:w="2643" w:type="dxa"/>
            <w:gridSpan w:val="2"/>
            <w:noWrap w:val="0"/>
            <w:vAlign w:val="center"/>
          </w:tcPr>
          <w:p w14:paraId="0F67C1AD">
            <w:pPr>
              <w:pStyle w:val="21"/>
              <w:jc w:val="center"/>
              <w:rPr>
                <w:color w:val="auto"/>
                <w:szCs w:val="21"/>
              </w:rPr>
            </w:pPr>
          </w:p>
        </w:tc>
      </w:tr>
      <w:tr w14:paraId="40C28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noWrap w:val="0"/>
            <w:vAlign w:val="center"/>
          </w:tcPr>
          <w:p w14:paraId="7F9CEA31">
            <w:pPr>
              <w:pStyle w:val="21"/>
              <w:jc w:val="center"/>
              <w:rPr>
                <w:color w:val="auto"/>
                <w:szCs w:val="21"/>
              </w:rPr>
            </w:pPr>
            <w:r>
              <w:rPr>
                <w:color w:val="auto"/>
                <w:szCs w:val="21"/>
              </w:rPr>
              <w:t>开户银行</w:t>
            </w:r>
          </w:p>
        </w:tc>
        <w:tc>
          <w:tcPr>
            <w:tcW w:w="1918" w:type="dxa"/>
            <w:gridSpan w:val="2"/>
            <w:noWrap w:val="0"/>
            <w:vAlign w:val="center"/>
          </w:tcPr>
          <w:p w14:paraId="468FAB3C">
            <w:pPr>
              <w:pStyle w:val="21"/>
              <w:jc w:val="center"/>
              <w:rPr>
                <w:color w:val="auto"/>
                <w:szCs w:val="21"/>
              </w:rPr>
            </w:pPr>
          </w:p>
        </w:tc>
        <w:tc>
          <w:tcPr>
            <w:tcW w:w="1160" w:type="dxa"/>
            <w:vMerge w:val="continue"/>
            <w:noWrap w:val="0"/>
            <w:vAlign w:val="center"/>
          </w:tcPr>
          <w:p w14:paraId="16AB0AA3">
            <w:pPr>
              <w:pStyle w:val="21"/>
              <w:jc w:val="center"/>
              <w:rPr>
                <w:color w:val="auto"/>
                <w:szCs w:val="21"/>
              </w:rPr>
            </w:pPr>
          </w:p>
        </w:tc>
        <w:tc>
          <w:tcPr>
            <w:tcW w:w="1620" w:type="dxa"/>
            <w:gridSpan w:val="3"/>
            <w:noWrap w:val="0"/>
            <w:vAlign w:val="center"/>
          </w:tcPr>
          <w:p w14:paraId="33A15D39">
            <w:pPr>
              <w:pStyle w:val="21"/>
              <w:jc w:val="center"/>
              <w:rPr>
                <w:color w:val="auto"/>
                <w:szCs w:val="21"/>
              </w:rPr>
            </w:pPr>
            <w:r>
              <w:rPr>
                <w:color w:val="auto"/>
                <w:szCs w:val="21"/>
              </w:rPr>
              <w:t>初级职称人员</w:t>
            </w:r>
          </w:p>
        </w:tc>
        <w:tc>
          <w:tcPr>
            <w:tcW w:w="2643" w:type="dxa"/>
            <w:gridSpan w:val="2"/>
            <w:noWrap w:val="0"/>
            <w:vAlign w:val="center"/>
          </w:tcPr>
          <w:p w14:paraId="4951FC94">
            <w:pPr>
              <w:pStyle w:val="21"/>
              <w:jc w:val="center"/>
              <w:rPr>
                <w:color w:val="auto"/>
                <w:szCs w:val="21"/>
              </w:rPr>
            </w:pPr>
          </w:p>
        </w:tc>
      </w:tr>
      <w:tr w14:paraId="3534A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noWrap w:val="0"/>
            <w:vAlign w:val="center"/>
          </w:tcPr>
          <w:p w14:paraId="783BB523">
            <w:pPr>
              <w:pStyle w:val="21"/>
              <w:jc w:val="center"/>
              <w:rPr>
                <w:color w:val="auto"/>
                <w:szCs w:val="21"/>
              </w:rPr>
            </w:pPr>
            <w:r>
              <w:rPr>
                <w:color w:val="auto"/>
                <w:szCs w:val="21"/>
              </w:rPr>
              <w:t>账号</w:t>
            </w:r>
          </w:p>
        </w:tc>
        <w:tc>
          <w:tcPr>
            <w:tcW w:w="1918" w:type="dxa"/>
            <w:gridSpan w:val="2"/>
            <w:noWrap w:val="0"/>
            <w:vAlign w:val="center"/>
          </w:tcPr>
          <w:p w14:paraId="7E732F11">
            <w:pPr>
              <w:pStyle w:val="21"/>
              <w:jc w:val="center"/>
              <w:rPr>
                <w:color w:val="auto"/>
                <w:szCs w:val="21"/>
              </w:rPr>
            </w:pPr>
          </w:p>
        </w:tc>
        <w:tc>
          <w:tcPr>
            <w:tcW w:w="1160" w:type="dxa"/>
            <w:vMerge w:val="continue"/>
            <w:noWrap w:val="0"/>
            <w:vAlign w:val="center"/>
          </w:tcPr>
          <w:p w14:paraId="29D06548">
            <w:pPr>
              <w:pStyle w:val="21"/>
              <w:jc w:val="center"/>
              <w:rPr>
                <w:color w:val="auto"/>
                <w:szCs w:val="21"/>
              </w:rPr>
            </w:pPr>
          </w:p>
        </w:tc>
        <w:tc>
          <w:tcPr>
            <w:tcW w:w="1620" w:type="dxa"/>
            <w:gridSpan w:val="3"/>
            <w:noWrap w:val="0"/>
            <w:vAlign w:val="center"/>
          </w:tcPr>
          <w:p w14:paraId="39156515">
            <w:pPr>
              <w:pStyle w:val="21"/>
              <w:jc w:val="center"/>
              <w:rPr>
                <w:color w:val="auto"/>
                <w:szCs w:val="21"/>
              </w:rPr>
            </w:pPr>
            <w:r>
              <w:rPr>
                <w:color w:val="auto"/>
                <w:szCs w:val="21"/>
              </w:rPr>
              <w:t>技工</w:t>
            </w:r>
          </w:p>
        </w:tc>
        <w:tc>
          <w:tcPr>
            <w:tcW w:w="2643" w:type="dxa"/>
            <w:gridSpan w:val="2"/>
            <w:noWrap w:val="0"/>
            <w:vAlign w:val="center"/>
          </w:tcPr>
          <w:p w14:paraId="32BFA486">
            <w:pPr>
              <w:pStyle w:val="21"/>
              <w:jc w:val="center"/>
              <w:rPr>
                <w:color w:val="auto"/>
                <w:szCs w:val="21"/>
              </w:rPr>
            </w:pPr>
          </w:p>
        </w:tc>
      </w:tr>
      <w:tr w14:paraId="2A442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jc w:val="center"/>
        </w:trPr>
        <w:tc>
          <w:tcPr>
            <w:tcW w:w="1626" w:type="dxa"/>
            <w:noWrap w:val="0"/>
            <w:vAlign w:val="center"/>
          </w:tcPr>
          <w:p w14:paraId="4DBF24E9">
            <w:pPr>
              <w:pStyle w:val="21"/>
              <w:jc w:val="center"/>
              <w:rPr>
                <w:color w:val="auto"/>
                <w:szCs w:val="21"/>
              </w:rPr>
            </w:pPr>
            <w:r>
              <w:rPr>
                <w:color w:val="auto"/>
                <w:szCs w:val="21"/>
              </w:rPr>
              <w:t>经营范围</w:t>
            </w:r>
          </w:p>
        </w:tc>
        <w:tc>
          <w:tcPr>
            <w:tcW w:w="7341" w:type="dxa"/>
            <w:gridSpan w:val="8"/>
            <w:noWrap w:val="0"/>
            <w:vAlign w:val="center"/>
          </w:tcPr>
          <w:p w14:paraId="7E44AAA0">
            <w:pPr>
              <w:pStyle w:val="21"/>
              <w:jc w:val="center"/>
              <w:rPr>
                <w:color w:val="auto"/>
                <w:szCs w:val="21"/>
              </w:rPr>
            </w:pPr>
          </w:p>
        </w:tc>
      </w:tr>
      <w:tr w14:paraId="78C71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26" w:type="dxa"/>
            <w:noWrap w:val="0"/>
            <w:vAlign w:val="center"/>
          </w:tcPr>
          <w:p w14:paraId="0DEDFAC7">
            <w:pPr>
              <w:pStyle w:val="21"/>
              <w:jc w:val="center"/>
              <w:rPr>
                <w:color w:val="auto"/>
                <w:szCs w:val="21"/>
              </w:rPr>
            </w:pPr>
            <w:r>
              <w:rPr>
                <w:color w:val="auto"/>
                <w:szCs w:val="21"/>
              </w:rPr>
              <w:t>备注</w:t>
            </w:r>
          </w:p>
        </w:tc>
        <w:tc>
          <w:tcPr>
            <w:tcW w:w="7341" w:type="dxa"/>
            <w:gridSpan w:val="8"/>
            <w:noWrap w:val="0"/>
            <w:vAlign w:val="center"/>
          </w:tcPr>
          <w:p w14:paraId="2AB79064">
            <w:pPr>
              <w:pStyle w:val="21"/>
              <w:jc w:val="center"/>
              <w:rPr>
                <w:color w:val="auto"/>
                <w:szCs w:val="21"/>
              </w:rPr>
            </w:pPr>
          </w:p>
        </w:tc>
      </w:tr>
    </w:tbl>
    <w:p w14:paraId="567A2A67">
      <w:pPr>
        <w:pStyle w:val="21"/>
        <w:spacing w:line="440" w:lineRule="exact"/>
        <w:rPr>
          <w:color w:val="auto"/>
          <w:szCs w:val="21"/>
        </w:rPr>
      </w:pPr>
    </w:p>
    <w:p w14:paraId="652CFA4F">
      <w:pPr>
        <w:rPr>
          <w:rFonts w:hint="eastAsia" w:ascii="宋体" w:hAnsi="宋体" w:eastAsia="宋体" w:cs="宋体"/>
          <w:b/>
          <w:color w:val="auto"/>
          <w:sz w:val="30"/>
          <w:szCs w:val="30"/>
          <w:highlight w:val="none"/>
          <w:lang w:eastAsia="zh-CN"/>
        </w:rPr>
      </w:pPr>
      <w:r>
        <w:rPr>
          <w:rFonts w:hint="eastAsia" w:ascii="宋体" w:hAnsi="宋体" w:eastAsia="宋体" w:cs="宋体"/>
          <w:b/>
          <w:color w:val="auto"/>
          <w:sz w:val="30"/>
          <w:szCs w:val="30"/>
          <w:highlight w:val="none"/>
          <w:lang w:eastAsia="zh-CN"/>
        </w:rPr>
        <w:br w:type="page"/>
      </w:r>
    </w:p>
    <w:p w14:paraId="364310E0">
      <w:pPr>
        <w:snapToGrid w:val="0"/>
        <w:spacing w:before="120" w:beforeLines="50" w:after="50"/>
        <w:jc w:val="center"/>
        <w:rPr>
          <w:rFonts w:ascii="宋体" w:hAnsi="宋体" w:cs="仿宋_GB2312"/>
          <w:b/>
          <w:color w:val="000000"/>
          <w:sz w:val="30"/>
          <w:szCs w:val="30"/>
          <w:highlight w:val="none"/>
        </w:rPr>
      </w:pPr>
      <w:r>
        <w:rPr>
          <w:rFonts w:hint="eastAsia" w:ascii="宋体" w:hAnsi="宋体" w:eastAsia="宋体" w:cs="宋体"/>
          <w:b/>
          <w:color w:val="auto"/>
          <w:sz w:val="30"/>
          <w:szCs w:val="30"/>
          <w:highlight w:val="none"/>
          <w:lang w:eastAsia="zh-CN"/>
        </w:rPr>
        <w:t>供应商</w:t>
      </w:r>
      <w:r>
        <w:rPr>
          <w:rFonts w:hint="eastAsia" w:ascii="宋体" w:hAnsi="宋体" w:eastAsia="宋体" w:cs="宋体"/>
          <w:b/>
          <w:color w:val="auto"/>
          <w:sz w:val="30"/>
          <w:szCs w:val="30"/>
          <w:highlight w:val="none"/>
        </w:rPr>
        <w:t>近三年</w:t>
      </w:r>
      <w:r>
        <w:rPr>
          <w:rFonts w:hint="eastAsia" w:ascii="宋体" w:hAnsi="宋体" w:eastAsia="宋体" w:cs="宋体"/>
          <w:b/>
          <w:color w:val="auto"/>
          <w:sz w:val="30"/>
          <w:szCs w:val="30"/>
          <w:highlight w:val="none"/>
          <w:lang w:eastAsia="zh-CN"/>
        </w:rPr>
        <w:t>内（指</w:t>
      </w:r>
      <w:r>
        <w:rPr>
          <w:rFonts w:hint="eastAsia" w:ascii="宋体" w:hAnsi="宋体" w:cs="宋体"/>
          <w:b/>
          <w:color w:val="auto"/>
          <w:sz w:val="30"/>
          <w:szCs w:val="30"/>
          <w:highlight w:val="none"/>
          <w:lang w:eastAsia="zh-CN"/>
        </w:rPr>
        <w:t>响应文件提交</w:t>
      </w:r>
      <w:r>
        <w:rPr>
          <w:rFonts w:hint="eastAsia" w:ascii="宋体" w:hAnsi="宋体" w:eastAsia="宋体" w:cs="宋体"/>
          <w:b/>
          <w:color w:val="auto"/>
          <w:sz w:val="30"/>
          <w:szCs w:val="30"/>
          <w:highlight w:val="none"/>
        </w:rPr>
        <w:t>截止日期</w:t>
      </w:r>
      <w:r>
        <w:rPr>
          <w:rFonts w:hint="eastAsia" w:ascii="宋体" w:hAnsi="宋体" w:eastAsia="宋体" w:cs="宋体"/>
          <w:b/>
          <w:color w:val="auto"/>
          <w:sz w:val="30"/>
          <w:szCs w:val="30"/>
          <w:highlight w:val="none"/>
          <w:lang w:eastAsia="zh-CN"/>
        </w:rPr>
        <w:t>前三年内）</w:t>
      </w:r>
      <w:r>
        <w:rPr>
          <w:rFonts w:hint="eastAsia" w:ascii="宋体" w:hAnsi="宋体" w:eastAsia="宋体" w:cs="宋体"/>
          <w:b/>
          <w:color w:val="auto"/>
          <w:sz w:val="30"/>
          <w:szCs w:val="30"/>
          <w:highlight w:val="none"/>
          <w:lang w:val="en-US" w:eastAsia="zh-CN"/>
        </w:rPr>
        <w:t>承接或</w:t>
      </w:r>
      <w:r>
        <w:rPr>
          <w:rFonts w:hint="eastAsia" w:ascii="宋体" w:hAnsi="宋体" w:eastAsia="宋体" w:cs="宋体"/>
          <w:b/>
          <w:color w:val="auto"/>
          <w:sz w:val="30"/>
          <w:szCs w:val="30"/>
          <w:highlight w:val="none"/>
        </w:rPr>
        <w:t>已完成</w:t>
      </w:r>
      <w:r>
        <w:rPr>
          <w:rFonts w:hint="eastAsia" w:ascii="宋体" w:hAnsi="宋体" w:eastAsia="宋体" w:cs="宋体"/>
          <w:b/>
          <w:color w:val="auto"/>
          <w:sz w:val="30"/>
          <w:szCs w:val="30"/>
          <w:highlight w:val="none"/>
          <w:lang w:eastAsia="zh-CN"/>
        </w:rPr>
        <w:t>的</w:t>
      </w:r>
      <w:r>
        <w:rPr>
          <w:rFonts w:hint="eastAsia" w:ascii="宋体" w:hAnsi="宋体" w:eastAsia="宋体" w:cs="宋体"/>
          <w:b/>
          <w:color w:val="auto"/>
          <w:sz w:val="30"/>
          <w:szCs w:val="30"/>
          <w:highlight w:val="none"/>
        </w:rPr>
        <w:t>类似项目情况表</w:t>
      </w:r>
    </w:p>
    <w:p w14:paraId="72EA0BB8">
      <w:pPr>
        <w:snapToGrid w:val="0"/>
        <w:ind w:left="480" w:hanging="480" w:hangingChars="200"/>
        <w:contextualSpacing/>
        <w:rPr>
          <w:rFonts w:ascii="宋体" w:hAnsi="宋体"/>
          <w:color w:val="000000"/>
          <w:sz w:val="24"/>
          <w:highlight w:val="none"/>
        </w:rPr>
      </w:pPr>
    </w:p>
    <w:tbl>
      <w:tblPr>
        <w:tblStyle w:val="15"/>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701"/>
        <w:gridCol w:w="1417"/>
        <w:gridCol w:w="851"/>
        <w:gridCol w:w="992"/>
        <w:gridCol w:w="1134"/>
        <w:gridCol w:w="1276"/>
        <w:gridCol w:w="1134"/>
      </w:tblGrid>
      <w:tr w14:paraId="4971D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851" w:type="dxa"/>
            <w:noWrap w:val="0"/>
            <w:vAlign w:val="center"/>
          </w:tcPr>
          <w:p w14:paraId="4C41ECB7">
            <w:pPr>
              <w:pStyle w:val="21"/>
              <w:jc w:val="center"/>
              <w:rPr>
                <w:color w:val="auto"/>
              </w:rPr>
            </w:pPr>
            <w:r>
              <w:rPr>
                <w:color w:val="auto"/>
              </w:rPr>
              <w:t>序号</w:t>
            </w:r>
          </w:p>
        </w:tc>
        <w:tc>
          <w:tcPr>
            <w:tcW w:w="1701" w:type="dxa"/>
            <w:noWrap w:val="0"/>
            <w:vAlign w:val="center"/>
          </w:tcPr>
          <w:p w14:paraId="318D8F78">
            <w:pPr>
              <w:pStyle w:val="21"/>
              <w:jc w:val="center"/>
              <w:rPr>
                <w:color w:val="auto"/>
              </w:rPr>
            </w:pPr>
            <w:r>
              <w:rPr>
                <w:color w:val="auto"/>
              </w:rPr>
              <w:t>发包人名称</w:t>
            </w:r>
          </w:p>
        </w:tc>
        <w:tc>
          <w:tcPr>
            <w:tcW w:w="1417" w:type="dxa"/>
            <w:noWrap w:val="0"/>
            <w:vAlign w:val="center"/>
          </w:tcPr>
          <w:p w14:paraId="6BFEC73B">
            <w:pPr>
              <w:pStyle w:val="21"/>
              <w:jc w:val="center"/>
              <w:rPr>
                <w:color w:val="auto"/>
              </w:rPr>
            </w:pPr>
            <w:r>
              <w:rPr>
                <w:color w:val="auto"/>
              </w:rPr>
              <w:t>工程名称</w:t>
            </w:r>
          </w:p>
          <w:p w14:paraId="15924AD1">
            <w:pPr>
              <w:pStyle w:val="21"/>
              <w:jc w:val="center"/>
              <w:rPr>
                <w:color w:val="auto"/>
              </w:rPr>
            </w:pPr>
            <w:r>
              <w:rPr>
                <w:color w:val="auto"/>
              </w:rPr>
              <w:t>及建设地点</w:t>
            </w:r>
          </w:p>
        </w:tc>
        <w:tc>
          <w:tcPr>
            <w:tcW w:w="851" w:type="dxa"/>
            <w:noWrap w:val="0"/>
            <w:vAlign w:val="center"/>
          </w:tcPr>
          <w:p w14:paraId="5CCB5EF7">
            <w:pPr>
              <w:pStyle w:val="21"/>
              <w:jc w:val="center"/>
              <w:rPr>
                <w:color w:val="auto"/>
              </w:rPr>
            </w:pPr>
            <w:r>
              <w:rPr>
                <w:color w:val="auto"/>
              </w:rPr>
              <w:t>结构</w:t>
            </w:r>
          </w:p>
          <w:p w14:paraId="3107DBC2">
            <w:pPr>
              <w:pStyle w:val="21"/>
              <w:jc w:val="center"/>
              <w:rPr>
                <w:color w:val="auto"/>
              </w:rPr>
            </w:pPr>
            <w:r>
              <w:rPr>
                <w:color w:val="auto"/>
              </w:rPr>
              <w:t>类型</w:t>
            </w:r>
          </w:p>
        </w:tc>
        <w:tc>
          <w:tcPr>
            <w:tcW w:w="992" w:type="dxa"/>
            <w:noWrap w:val="0"/>
            <w:vAlign w:val="center"/>
          </w:tcPr>
          <w:p w14:paraId="4E0E3FFA">
            <w:pPr>
              <w:pStyle w:val="21"/>
              <w:jc w:val="center"/>
              <w:rPr>
                <w:color w:val="auto"/>
              </w:rPr>
            </w:pPr>
            <w:r>
              <w:rPr>
                <w:color w:val="auto"/>
              </w:rPr>
              <w:t>建设</w:t>
            </w:r>
          </w:p>
          <w:p w14:paraId="06D42AC8">
            <w:pPr>
              <w:pStyle w:val="21"/>
              <w:jc w:val="center"/>
              <w:rPr>
                <w:color w:val="auto"/>
              </w:rPr>
            </w:pPr>
            <w:r>
              <w:rPr>
                <w:color w:val="auto"/>
              </w:rPr>
              <w:t>规模</w:t>
            </w:r>
          </w:p>
        </w:tc>
        <w:tc>
          <w:tcPr>
            <w:tcW w:w="1134" w:type="dxa"/>
            <w:noWrap w:val="0"/>
            <w:vAlign w:val="center"/>
          </w:tcPr>
          <w:p w14:paraId="36FC6334">
            <w:pPr>
              <w:pStyle w:val="21"/>
              <w:jc w:val="center"/>
              <w:rPr>
                <w:color w:val="auto"/>
              </w:rPr>
            </w:pPr>
            <w:r>
              <w:rPr>
                <w:color w:val="auto"/>
              </w:rPr>
              <w:t>合同金额</w:t>
            </w:r>
          </w:p>
          <w:p w14:paraId="02063D5B">
            <w:pPr>
              <w:pStyle w:val="21"/>
              <w:jc w:val="center"/>
              <w:rPr>
                <w:color w:val="auto"/>
              </w:rPr>
            </w:pPr>
            <w:r>
              <w:rPr>
                <w:color w:val="auto"/>
              </w:rPr>
              <w:t>（万元）</w:t>
            </w:r>
          </w:p>
        </w:tc>
        <w:tc>
          <w:tcPr>
            <w:tcW w:w="1276" w:type="dxa"/>
            <w:noWrap w:val="0"/>
            <w:vAlign w:val="center"/>
          </w:tcPr>
          <w:p w14:paraId="60DE288A">
            <w:pPr>
              <w:pStyle w:val="21"/>
              <w:jc w:val="center"/>
              <w:rPr>
                <w:color w:val="auto"/>
              </w:rPr>
            </w:pPr>
            <w:r>
              <w:rPr>
                <w:color w:val="auto"/>
              </w:rPr>
              <w:t>竣工达到</w:t>
            </w:r>
          </w:p>
          <w:p w14:paraId="69A3D1ED">
            <w:pPr>
              <w:pStyle w:val="21"/>
              <w:jc w:val="center"/>
              <w:rPr>
                <w:color w:val="auto"/>
              </w:rPr>
            </w:pPr>
            <w:r>
              <w:rPr>
                <w:color w:val="auto"/>
              </w:rPr>
              <w:t>质量标准</w:t>
            </w:r>
          </w:p>
        </w:tc>
        <w:tc>
          <w:tcPr>
            <w:tcW w:w="1134" w:type="dxa"/>
            <w:noWrap w:val="0"/>
            <w:vAlign w:val="center"/>
          </w:tcPr>
          <w:p w14:paraId="47BB4C76">
            <w:pPr>
              <w:pStyle w:val="21"/>
              <w:jc w:val="center"/>
              <w:rPr>
                <w:color w:val="auto"/>
              </w:rPr>
            </w:pPr>
            <w:r>
              <w:rPr>
                <w:color w:val="auto"/>
              </w:rPr>
              <w:t>开竣工</w:t>
            </w:r>
          </w:p>
          <w:p w14:paraId="36E573E9">
            <w:pPr>
              <w:pStyle w:val="21"/>
              <w:jc w:val="center"/>
              <w:rPr>
                <w:color w:val="auto"/>
              </w:rPr>
            </w:pPr>
            <w:r>
              <w:rPr>
                <w:color w:val="auto"/>
              </w:rPr>
              <w:t>日期</w:t>
            </w:r>
          </w:p>
        </w:tc>
      </w:tr>
      <w:tr w14:paraId="345E2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851" w:type="dxa"/>
            <w:noWrap w:val="0"/>
            <w:vAlign w:val="center"/>
          </w:tcPr>
          <w:p w14:paraId="75B03008">
            <w:pPr>
              <w:pStyle w:val="21"/>
              <w:jc w:val="center"/>
              <w:rPr>
                <w:color w:val="auto"/>
              </w:rPr>
            </w:pPr>
          </w:p>
        </w:tc>
        <w:tc>
          <w:tcPr>
            <w:tcW w:w="1701" w:type="dxa"/>
            <w:noWrap w:val="0"/>
            <w:vAlign w:val="center"/>
          </w:tcPr>
          <w:p w14:paraId="013C8FBD">
            <w:pPr>
              <w:pStyle w:val="21"/>
              <w:jc w:val="center"/>
              <w:rPr>
                <w:color w:val="auto"/>
              </w:rPr>
            </w:pPr>
          </w:p>
        </w:tc>
        <w:tc>
          <w:tcPr>
            <w:tcW w:w="1417" w:type="dxa"/>
            <w:noWrap w:val="0"/>
            <w:vAlign w:val="center"/>
          </w:tcPr>
          <w:p w14:paraId="7D9FDADB">
            <w:pPr>
              <w:pStyle w:val="21"/>
              <w:jc w:val="center"/>
              <w:rPr>
                <w:color w:val="auto"/>
              </w:rPr>
            </w:pPr>
          </w:p>
        </w:tc>
        <w:tc>
          <w:tcPr>
            <w:tcW w:w="851" w:type="dxa"/>
            <w:noWrap w:val="0"/>
            <w:vAlign w:val="center"/>
          </w:tcPr>
          <w:p w14:paraId="3D4836DA">
            <w:pPr>
              <w:pStyle w:val="21"/>
              <w:jc w:val="center"/>
              <w:rPr>
                <w:color w:val="auto"/>
              </w:rPr>
            </w:pPr>
          </w:p>
        </w:tc>
        <w:tc>
          <w:tcPr>
            <w:tcW w:w="992" w:type="dxa"/>
            <w:noWrap w:val="0"/>
            <w:vAlign w:val="center"/>
          </w:tcPr>
          <w:p w14:paraId="37478BA1">
            <w:pPr>
              <w:pStyle w:val="21"/>
              <w:jc w:val="center"/>
              <w:rPr>
                <w:color w:val="auto"/>
              </w:rPr>
            </w:pPr>
          </w:p>
        </w:tc>
        <w:tc>
          <w:tcPr>
            <w:tcW w:w="1134" w:type="dxa"/>
            <w:noWrap w:val="0"/>
            <w:vAlign w:val="center"/>
          </w:tcPr>
          <w:p w14:paraId="044FBE9D">
            <w:pPr>
              <w:pStyle w:val="21"/>
              <w:jc w:val="center"/>
              <w:rPr>
                <w:color w:val="auto"/>
              </w:rPr>
            </w:pPr>
          </w:p>
        </w:tc>
        <w:tc>
          <w:tcPr>
            <w:tcW w:w="1276" w:type="dxa"/>
            <w:noWrap w:val="0"/>
            <w:vAlign w:val="center"/>
          </w:tcPr>
          <w:p w14:paraId="2EFD1EF6">
            <w:pPr>
              <w:pStyle w:val="21"/>
              <w:jc w:val="center"/>
              <w:rPr>
                <w:color w:val="auto"/>
              </w:rPr>
            </w:pPr>
          </w:p>
        </w:tc>
        <w:tc>
          <w:tcPr>
            <w:tcW w:w="1134" w:type="dxa"/>
            <w:noWrap w:val="0"/>
            <w:vAlign w:val="center"/>
          </w:tcPr>
          <w:p w14:paraId="2AE8EF66">
            <w:pPr>
              <w:pStyle w:val="21"/>
              <w:jc w:val="center"/>
              <w:rPr>
                <w:color w:val="auto"/>
              </w:rPr>
            </w:pPr>
          </w:p>
        </w:tc>
      </w:tr>
      <w:tr w14:paraId="5F7D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51" w:type="dxa"/>
            <w:noWrap w:val="0"/>
            <w:vAlign w:val="center"/>
          </w:tcPr>
          <w:p w14:paraId="0D8D04BC">
            <w:pPr>
              <w:pStyle w:val="21"/>
              <w:jc w:val="center"/>
              <w:rPr>
                <w:color w:val="auto"/>
              </w:rPr>
            </w:pPr>
          </w:p>
        </w:tc>
        <w:tc>
          <w:tcPr>
            <w:tcW w:w="1701" w:type="dxa"/>
            <w:noWrap w:val="0"/>
            <w:vAlign w:val="center"/>
          </w:tcPr>
          <w:p w14:paraId="7B2429DA">
            <w:pPr>
              <w:pStyle w:val="21"/>
              <w:jc w:val="center"/>
              <w:rPr>
                <w:color w:val="auto"/>
              </w:rPr>
            </w:pPr>
          </w:p>
        </w:tc>
        <w:tc>
          <w:tcPr>
            <w:tcW w:w="1417" w:type="dxa"/>
            <w:noWrap w:val="0"/>
            <w:vAlign w:val="center"/>
          </w:tcPr>
          <w:p w14:paraId="1D8F6B42">
            <w:pPr>
              <w:pStyle w:val="21"/>
              <w:jc w:val="center"/>
              <w:rPr>
                <w:color w:val="auto"/>
              </w:rPr>
            </w:pPr>
          </w:p>
        </w:tc>
        <w:tc>
          <w:tcPr>
            <w:tcW w:w="851" w:type="dxa"/>
            <w:noWrap w:val="0"/>
            <w:vAlign w:val="center"/>
          </w:tcPr>
          <w:p w14:paraId="7692736D">
            <w:pPr>
              <w:pStyle w:val="21"/>
              <w:jc w:val="center"/>
              <w:rPr>
                <w:color w:val="auto"/>
              </w:rPr>
            </w:pPr>
          </w:p>
        </w:tc>
        <w:tc>
          <w:tcPr>
            <w:tcW w:w="992" w:type="dxa"/>
            <w:noWrap w:val="0"/>
            <w:vAlign w:val="center"/>
          </w:tcPr>
          <w:p w14:paraId="1F61E24B">
            <w:pPr>
              <w:pStyle w:val="21"/>
              <w:jc w:val="center"/>
              <w:rPr>
                <w:color w:val="auto"/>
              </w:rPr>
            </w:pPr>
          </w:p>
        </w:tc>
        <w:tc>
          <w:tcPr>
            <w:tcW w:w="1134" w:type="dxa"/>
            <w:noWrap w:val="0"/>
            <w:vAlign w:val="center"/>
          </w:tcPr>
          <w:p w14:paraId="140408AD">
            <w:pPr>
              <w:pStyle w:val="21"/>
              <w:jc w:val="center"/>
              <w:rPr>
                <w:color w:val="auto"/>
              </w:rPr>
            </w:pPr>
          </w:p>
        </w:tc>
        <w:tc>
          <w:tcPr>
            <w:tcW w:w="1276" w:type="dxa"/>
            <w:noWrap w:val="0"/>
            <w:vAlign w:val="center"/>
          </w:tcPr>
          <w:p w14:paraId="3E2F9EF4">
            <w:pPr>
              <w:pStyle w:val="21"/>
              <w:jc w:val="center"/>
              <w:rPr>
                <w:color w:val="auto"/>
              </w:rPr>
            </w:pPr>
          </w:p>
        </w:tc>
        <w:tc>
          <w:tcPr>
            <w:tcW w:w="1134" w:type="dxa"/>
            <w:noWrap w:val="0"/>
            <w:vAlign w:val="center"/>
          </w:tcPr>
          <w:p w14:paraId="690531A8">
            <w:pPr>
              <w:pStyle w:val="21"/>
              <w:jc w:val="center"/>
              <w:rPr>
                <w:color w:val="auto"/>
              </w:rPr>
            </w:pPr>
          </w:p>
        </w:tc>
      </w:tr>
      <w:tr w14:paraId="13683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1" w:type="dxa"/>
            <w:noWrap w:val="0"/>
            <w:vAlign w:val="center"/>
          </w:tcPr>
          <w:p w14:paraId="7806FE56">
            <w:pPr>
              <w:pStyle w:val="21"/>
              <w:jc w:val="center"/>
              <w:rPr>
                <w:color w:val="auto"/>
              </w:rPr>
            </w:pPr>
          </w:p>
        </w:tc>
        <w:tc>
          <w:tcPr>
            <w:tcW w:w="1701" w:type="dxa"/>
            <w:noWrap w:val="0"/>
            <w:vAlign w:val="center"/>
          </w:tcPr>
          <w:p w14:paraId="360D27D3">
            <w:pPr>
              <w:pStyle w:val="21"/>
              <w:jc w:val="center"/>
              <w:rPr>
                <w:color w:val="auto"/>
              </w:rPr>
            </w:pPr>
          </w:p>
        </w:tc>
        <w:tc>
          <w:tcPr>
            <w:tcW w:w="1417" w:type="dxa"/>
            <w:noWrap w:val="0"/>
            <w:vAlign w:val="center"/>
          </w:tcPr>
          <w:p w14:paraId="132E53DE">
            <w:pPr>
              <w:pStyle w:val="21"/>
              <w:jc w:val="center"/>
              <w:rPr>
                <w:color w:val="auto"/>
              </w:rPr>
            </w:pPr>
          </w:p>
        </w:tc>
        <w:tc>
          <w:tcPr>
            <w:tcW w:w="851" w:type="dxa"/>
            <w:noWrap w:val="0"/>
            <w:vAlign w:val="center"/>
          </w:tcPr>
          <w:p w14:paraId="54508809">
            <w:pPr>
              <w:pStyle w:val="21"/>
              <w:jc w:val="center"/>
              <w:rPr>
                <w:color w:val="auto"/>
              </w:rPr>
            </w:pPr>
          </w:p>
        </w:tc>
        <w:tc>
          <w:tcPr>
            <w:tcW w:w="992" w:type="dxa"/>
            <w:noWrap w:val="0"/>
            <w:vAlign w:val="center"/>
          </w:tcPr>
          <w:p w14:paraId="0A7D8495">
            <w:pPr>
              <w:pStyle w:val="21"/>
              <w:jc w:val="center"/>
              <w:rPr>
                <w:color w:val="auto"/>
              </w:rPr>
            </w:pPr>
          </w:p>
        </w:tc>
        <w:tc>
          <w:tcPr>
            <w:tcW w:w="1134" w:type="dxa"/>
            <w:noWrap w:val="0"/>
            <w:vAlign w:val="center"/>
          </w:tcPr>
          <w:p w14:paraId="7E69B1D6">
            <w:pPr>
              <w:pStyle w:val="21"/>
              <w:jc w:val="center"/>
              <w:rPr>
                <w:color w:val="auto"/>
              </w:rPr>
            </w:pPr>
          </w:p>
        </w:tc>
        <w:tc>
          <w:tcPr>
            <w:tcW w:w="1276" w:type="dxa"/>
            <w:noWrap w:val="0"/>
            <w:vAlign w:val="center"/>
          </w:tcPr>
          <w:p w14:paraId="77261E8C">
            <w:pPr>
              <w:pStyle w:val="21"/>
              <w:jc w:val="center"/>
              <w:rPr>
                <w:color w:val="auto"/>
              </w:rPr>
            </w:pPr>
          </w:p>
        </w:tc>
        <w:tc>
          <w:tcPr>
            <w:tcW w:w="1134" w:type="dxa"/>
            <w:noWrap w:val="0"/>
            <w:vAlign w:val="center"/>
          </w:tcPr>
          <w:p w14:paraId="69321FAA">
            <w:pPr>
              <w:pStyle w:val="21"/>
              <w:jc w:val="center"/>
              <w:rPr>
                <w:color w:val="auto"/>
              </w:rPr>
            </w:pPr>
          </w:p>
        </w:tc>
      </w:tr>
      <w:tr w14:paraId="1FDFC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1" w:type="dxa"/>
            <w:noWrap w:val="0"/>
            <w:vAlign w:val="center"/>
          </w:tcPr>
          <w:p w14:paraId="2949E9CF">
            <w:pPr>
              <w:pStyle w:val="21"/>
              <w:jc w:val="center"/>
              <w:rPr>
                <w:color w:val="auto"/>
              </w:rPr>
            </w:pPr>
          </w:p>
        </w:tc>
        <w:tc>
          <w:tcPr>
            <w:tcW w:w="1701" w:type="dxa"/>
            <w:noWrap w:val="0"/>
            <w:vAlign w:val="center"/>
          </w:tcPr>
          <w:p w14:paraId="74B13E4D">
            <w:pPr>
              <w:pStyle w:val="21"/>
              <w:jc w:val="center"/>
              <w:rPr>
                <w:color w:val="auto"/>
              </w:rPr>
            </w:pPr>
          </w:p>
        </w:tc>
        <w:tc>
          <w:tcPr>
            <w:tcW w:w="1417" w:type="dxa"/>
            <w:noWrap w:val="0"/>
            <w:vAlign w:val="center"/>
          </w:tcPr>
          <w:p w14:paraId="3C37D916">
            <w:pPr>
              <w:pStyle w:val="21"/>
              <w:jc w:val="center"/>
              <w:rPr>
                <w:color w:val="auto"/>
              </w:rPr>
            </w:pPr>
          </w:p>
        </w:tc>
        <w:tc>
          <w:tcPr>
            <w:tcW w:w="851" w:type="dxa"/>
            <w:noWrap w:val="0"/>
            <w:vAlign w:val="center"/>
          </w:tcPr>
          <w:p w14:paraId="5FBCA074">
            <w:pPr>
              <w:pStyle w:val="21"/>
              <w:jc w:val="center"/>
              <w:rPr>
                <w:color w:val="auto"/>
              </w:rPr>
            </w:pPr>
          </w:p>
        </w:tc>
        <w:tc>
          <w:tcPr>
            <w:tcW w:w="992" w:type="dxa"/>
            <w:noWrap w:val="0"/>
            <w:vAlign w:val="center"/>
          </w:tcPr>
          <w:p w14:paraId="4299BBA2">
            <w:pPr>
              <w:pStyle w:val="21"/>
              <w:jc w:val="center"/>
              <w:rPr>
                <w:color w:val="auto"/>
              </w:rPr>
            </w:pPr>
          </w:p>
        </w:tc>
        <w:tc>
          <w:tcPr>
            <w:tcW w:w="1134" w:type="dxa"/>
            <w:noWrap w:val="0"/>
            <w:vAlign w:val="center"/>
          </w:tcPr>
          <w:p w14:paraId="0400734D">
            <w:pPr>
              <w:pStyle w:val="21"/>
              <w:jc w:val="center"/>
              <w:rPr>
                <w:color w:val="auto"/>
              </w:rPr>
            </w:pPr>
          </w:p>
        </w:tc>
        <w:tc>
          <w:tcPr>
            <w:tcW w:w="1276" w:type="dxa"/>
            <w:noWrap w:val="0"/>
            <w:vAlign w:val="center"/>
          </w:tcPr>
          <w:p w14:paraId="6A62E85F">
            <w:pPr>
              <w:pStyle w:val="21"/>
              <w:jc w:val="center"/>
              <w:rPr>
                <w:color w:val="auto"/>
              </w:rPr>
            </w:pPr>
          </w:p>
        </w:tc>
        <w:tc>
          <w:tcPr>
            <w:tcW w:w="1134" w:type="dxa"/>
            <w:noWrap w:val="0"/>
            <w:vAlign w:val="center"/>
          </w:tcPr>
          <w:p w14:paraId="0B5BFE91">
            <w:pPr>
              <w:pStyle w:val="21"/>
              <w:jc w:val="center"/>
              <w:rPr>
                <w:color w:val="auto"/>
              </w:rPr>
            </w:pPr>
          </w:p>
        </w:tc>
      </w:tr>
      <w:tr w14:paraId="649A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1" w:type="dxa"/>
            <w:noWrap w:val="0"/>
            <w:vAlign w:val="center"/>
          </w:tcPr>
          <w:p w14:paraId="0495FB97">
            <w:pPr>
              <w:pStyle w:val="21"/>
              <w:jc w:val="center"/>
              <w:rPr>
                <w:color w:val="auto"/>
              </w:rPr>
            </w:pPr>
          </w:p>
        </w:tc>
        <w:tc>
          <w:tcPr>
            <w:tcW w:w="1701" w:type="dxa"/>
            <w:noWrap w:val="0"/>
            <w:vAlign w:val="center"/>
          </w:tcPr>
          <w:p w14:paraId="2A21EF48">
            <w:pPr>
              <w:pStyle w:val="21"/>
              <w:jc w:val="center"/>
              <w:rPr>
                <w:color w:val="auto"/>
              </w:rPr>
            </w:pPr>
          </w:p>
        </w:tc>
        <w:tc>
          <w:tcPr>
            <w:tcW w:w="1417" w:type="dxa"/>
            <w:noWrap w:val="0"/>
            <w:vAlign w:val="center"/>
          </w:tcPr>
          <w:p w14:paraId="26BAA429">
            <w:pPr>
              <w:pStyle w:val="21"/>
              <w:jc w:val="center"/>
              <w:rPr>
                <w:color w:val="auto"/>
              </w:rPr>
            </w:pPr>
          </w:p>
        </w:tc>
        <w:tc>
          <w:tcPr>
            <w:tcW w:w="851" w:type="dxa"/>
            <w:noWrap w:val="0"/>
            <w:vAlign w:val="center"/>
          </w:tcPr>
          <w:p w14:paraId="1D299444">
            <w:pPr>
              <w:pStyle w:val="21"/>
              <w:jc w:val="center"/>
              <w:rPr>
                <w:color w:val="auto"/>
              </w:rPr>
            </w:pPr>
          </w:p>
        </w:tc>
        <w:tc>
          <w:tcPr>
            <w:tcW w:w="992" w:type="dxa"/>
            <w:noWrap w:val="0"/>
            <w:vAlign w:val="center"/>
          </w:tcPr>
          <w:p w14:paraId="4613A89B">
            <w:pPr>
              <w:pStyle w:val="21"/>
              <w:jc w:val="center"/>
              <w:rPr>
                <w:color w:val="auto"/>
              </w:rPr>
            </w:pPr>
          </w:p>
        </w:tc>
        <w:tc>
          <w:tcPr>
            <w:tcW w:w="1134" w:type="dxa"/>
            <w:noWrap w:val="0"/>
            <w:vAlign w:val="center"/>
          </w:tcPr>
          <w:p w14:paraId="2139FB52">
            <w:pPr>
              <w:pStyle w:val="21"/>
              <w:jc w:val="center"/>
              <w:rPr>
                <w:color w:val="auto"/>
              </w:rPr>
            </w:pPr>
          </w:p>
        </w:tc>
        <w:tc>
          <w:tcPr>
            <w:tcW w:w="1276" w:type="dxa"/>
            <w:noWrap w:val="0"/>
            <w:vAlign w:val="center"/>
          </w:tcPr>
          <w:p w14:paraId="13EDAD54">
            <w:pPr>
              <w:pStyle w:val="21"/>
              <w:jc w:val="center"/>
              <w:rPr>
                <w:color w:val="auto"/>
              </w:rPr>
            </w:pPr>
          </w:p>
        </w:tc>
        <w:tc>
          <w:tcPr>
            <w:tcW w:w="1134" w:type="dxa"/>
            <w:noWrap w:val="0"/>
            <w:vAlign w:val="center"/>
          </w:tcPr>
          <w:p w14:paraId="2B945F08">
            <w:pPr>
              <w:pStyle w:val="21"/>
              <w:jc w:val="center"/>
              <w:rPr>
                <w:color w:val="auto"/>
              </w:rPr>
            </w:pPr>
          </w:p>
        </w:tc>
      </w:tr>
      <w:tr w14:paraId="6A36F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1" w:type="dxa"/>
            <w:noWrap w:val="0"/>
            <w:vAlign w:val="center"/>
          </w:tcPr>
          <w:p w14:paraId="3D87F11B">
            <w:pPr>
              <w:pStyle w:val="21"/>
              <w:jc w:val="center"/>
              <w:rPr>
                <w:color w:val="auto"/>
              </w:rPr>
            </w:pPr>
          </w:p>
        </w:tc>
        <w:tc>
          <w:tcPr>
            <w:tcW w:w="1701" w:type="dxa"/>
            <w:noWrap w:val="0"/>
            <w:vAlign w:val="center"/>
          </w:tcPr>
          <w:p w14:paraId="68A88BBF">
            <w:pPr>
              <w:pStyle w:val="21"/>
              <w:jc w:val="center"/>
              <w:rPr>
                <w:color w:val="auto"/>
              </w:rPr>
            </w:pPr>
          </w:p>
        </w:tc>
        <w:tc>
          <w:tcPr>
            <w:tcW w:w="1417" w:type="dxa"/>
            <w:noWrap w:val="0"/>
            <w:vAlign w:val="center"/>
          </w:tcPr>
          <w:p w14:paraId="636323B4">
            <w:pPr>
              <w:pStyle w:val="21"/>
              <w:jc w:val="center"/>
              <w:rPr>
                <w:color w:val="auto"/>
              </w:rPr>
            </w:pPr>
          </w:p>
        </w:tc>
        <w:tc>
          <w:tcPr>
            <w:tcW w:w="851" w:type="dxa"/>
            <w:noWrap w:val="0"/>
            <w:vAlign w:val="center"/>
          </w:tcPr>
          <w:p w14:paraId="231050D5">
            <w:pPr>
              <w:pStyle w:val="21"/>
              <w:jc w:val="center"/>
              <w:rPr>
                <w:color w:val="auto"/>
              </w:rPr>
            </w:pPr>
          </w:p>
        </w:tc>
        <w:tc>
          <w:tcPr>
            <w:tcW w:w="992" w:type="dxa"/>
            <w:noWrap w:val="0"/>
            <w:vAlign w:val="center"/>
          </w:tcPr>
          <w:p w14:paraId="70E5063C">
            <w:pPr>
              <w:pStyle w:val="21"/>
              <w:jc w:val="center"/>
              <w:rPr>
                <w:color w:val="auto"/>
              </w:rPr>
            </w:pPr>
          </w:p>
        </w:tc>
        <w:tc>
          <w:tcPr>
            <w:tcW w:w="1134" w:type="dxa"/>
            <w:noWrap w:val="0"/>
            <w:vAlign w:val="center"/>
          </w:tcPr>
          <w:p w14:paraId="18241D95">
            <w:pPr>
              <w:pStyle w:val="21"/>
              <w:jc w:val="center"/>
              <w:rPr>
                <w:color w:val="auto"/>
              </w:rPr>
            </w:pPr>
          </w:p>
        </w:tc>
        <w:tc>
          <w:tcPr>
            <w:tcW w:w="1276" w:type="dxa"/>
            <w:noWrap w:val="0"/>
            <w:vAlign w:val="center"/>
          </w:tcPr>
          <w:p w14:paraId="7CED7030">
            <w:pPr>
              <w:pStyle w:val="21"/>
              <w:jc w:val="center"/>
              <w:rPr>
                <w:color w:val="auto"/>
              </w:rPr>
            </w:pPr>
          </w:p>
        </w:tc>
        <w:tc>
          <w:tcPr>
            <w:tcW w:w="1134" w:type="dxa"/>
            <w:noWrap w:val="0"/>
            <w:vAlign w:val="center"/>
          </w:tcPr>
          <w:p w14:paraId="0AA18003">
            <w:pPr>
              <w:pStyle w:val="21"/>
              <w:jc w:val="center"/>
              <w:rPr>
                <w:color w:val="auto"/>
              </w:rPr>
            </w:pPr>
          </w:p>
        </w:tc>
      </w:tr>
      <w:tr w14:paraId="47FAD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1" w:type="dxa"/>
            <w:noWrap w:val="0"/>
            <w:vAlign w:val="center"/>
          </w:tcPr>
          <w:p w14:paraId="37367F15">
            <w:pPr>
              <w:pStyle w:val="21"/>
              <w:jc w:val="center"/>
              <w:rPr>
                <w:color w:val="auto"/>
              </w:rPr>
            </w:pPr>
          </w:p>
        </w:tc>
        <w:tc>
          <w:tcPr>
            <w:tcW w:w="1701" w:type="dxa"/>
            <w:noWrap w:val="0"/>
            <w:vAlign w:val="center"/>
          </w:tcPr>
          <w:p w14:paraId="21AC2C37">
            <w:pPr>
              <w:pStyle w:val="21"/>
              <w:jc w:val="center"/>
              <w:rPr>
                <w:color w:val="auto"/>
              </w:rPr>
            </w:pPr>
          </w:p>
        </w:tc>
        <w:tc>
          <w:tcPr>
            <w:tcW w:w="1417" w:type="dxa"/>
            <w:noWrap w:val="0"/>
            <w:vAlign w:val="center"/>
          </w:tcPr>
          <w:p w14:paraId="6B34642D">
            <w:pPr>
              <w:pStyle w:val="21"/>
              <w:jc w:val="center"/>
              <w:rPr>
                <w:color w:val="auto"/>
              </w:rPr>
            </w:pPr>
          </w:p>
        </w:tc>
        <w:tc>
          <w:tcPr>
            <w:tcW w:w="851" w:type="dxa"/>
            <w:noWrap w:val="0"/>
            <w:vAlign w:val="center"/>
          </w:tcPr>
          <w:p w14:paraId="1CCFE0D6">
            <w:pPr>
              <w:pStyle w:val="21"/>
              <w:jc w:val="center"/>
              <w:rPr>
                <w:color w:val="auto"/>
              </w:rPr>
            </w:pPr>
          </w:p>
        </w:tc>
        <w:tc>
          <w:tcPr>
            <w:tcW w:w="992" w:type="dxa"/>
            <w:noWrap w:val="0"/>
            <w:vAlign w:val="center"/>
          </w:tcPr>
          <w:p w14:paraId="19BE3432">
            <w:pPr>
              <w:pStyle w:val="21"/>
              <w:jc w:val="center"/>
              <w:rPr>
                <w:color w:val="auto"/>
              </w:rPr>
            </w:pPr>
          </w:p>
        </w:tc>
        <w:tc>
          <w:tcPr>
            <w:tcW w:w="1134" w:type="dxa"/>
            <w:noWrap w:val="0"/>
            <w:vAlign w:val="center"/>
          </w:tcPr>
          <w:p w14:paraId="7E715CF5">
            <w:pPr>
              <w:pStyle w:val="21"/>
              <w:jc w:val="center"/>
              <w:rPr>
                <w:color w:val="auto"/>
              </w:rPr>
            </w:pPr>
          </w:p>
        </w:tc>
        <w:tc>
          <w:tcPr>
            <w:tcW w:w="1276" w:type="dxa"/>
            <w:noWrap w:val="0"/>
            <w:vAlign w:val="center"/>
          </w:tcPr>
          <w:p w14:paraId="191AECF9">
            <w:pPr>
              <w:pStyle w:val="21"/>
              <w:jc w:val="center"/>
              <w:rPr>
                <w:color w:val="auto"/>
              </w:rPr>
            </w:pPr>
          </w:p>
        </w:tc>
        <w:tc>
          <w:tcPr>
            <w:tcW w:w="1134" w:type="dxa"/>
            <w:noWrap w:val="0"/>
            <w:vAlign w:val="center"/>
          </w:tcPr>
          <w:p w14:paraId="78E07D27">
            <w:pPr>
              <w:pStyle w:val="21"/>
              <w:jc w:val="center"/>
              <w:rPr>
                <w:color w:val="auto"/>
              </w:rPr>
            </w:pPr>
          </w:p>
        </w:tc>
      </w:tr>
      <w:tr w14:paraId="38BC5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1" w:type="dxa"/>
            <w:noWrap w:val="0"/>
            <w:vAlign w:val="center"/>
          </w:tcPr>
          <w:p w14:paraId="42CCBED7">
            <w:pPr>
              <w:pStyle w:val="21"/>
              <w:jc w:val="center"/>
              <w:rPr>
                <w:color w:val="auto"/>
              </w:rPr>
            </w:pPr>
          </w:p>
        </w:tc>
        <w:tc>
          <w:tcPr>
            <w:tcW w:w="1701" w:type="dxa"/>
            <w:noWrap w:val="0"/>
            <w:vAlign w:val="center"/>
          </w:tcPr>
          <w:p w14:paraId="41A8B78A">
            <w:pPr>
              <w:pStyle w:val="21"/>
              <w:jc w:val="center"/>
              <w:rPr>
                <w:color w:val="auto"/>
              </w:rPr>
            </w:pPr>
          </w:p>
        </w:tc>
        <w:tc>
          <w:tcPr>
            <w:tcW w:w="1417" w:type="dxa"/>
            <w:noWrap w:val="0"/>
            <w:vAlign w:val="center"/>
          </w:tcPr>
          <w:p w14:paraId="539C2E0D">
            <w:pPr>
              <w:pStyle w:val="21"/>
              <w:jc w:val="center"/>
              <w:rPr>
                <w:color w:val="auto"/>
              </w:rPr>
            </w:pPr>
          </w:p>
        </w:tc>
        <w:tc>
          <w:tcPr>
            <w:tcW w:w="851" w:type="dxa"/>
            <w:noWrap w:val="0"/>
            <w:vAlign w:val="center"/>
          </w:tcPr>
          <w:p w14:paraId="03C99B6A">
            <w:pPr>
              <w:pStyle w:val="21"/>
              <w:jc w:val="center"/>
              <w:rPr>
                <w:color w:val="auto"/>
              </w:rPr>
            </w:pPr>
          </w:p>
        </w:tc>
        <w:tc>
          <w:tcPr>
            <w:tcW w:w="992" w:type="dxa"/>
            <w:noWrap w:val="0"/>
            <w:vAlign w:val="center"/>
          </w:tcPr>
          <w:p w14:paraId="28D05467">
            <w:pPr>
              <w:pStyle w:val="21"/>
              <w:jc w:val="center"/>
              <w:rPr>
                <w:color w:val="auto"/>
              </w:rPr>
            </w:pPr>
          </w:p>
        </w:tc>
        <w:tc>
          <w:tcPr>
            <w:tcW w:w="1134" w:type="dxa"/>
            <w:noWrap w:val="0"/>
            <w:vAlign w:val="center"/>
          </w:tcPr>
          <w:p w14:paraId="27C6912F">
            <w:pPr>
              <w:pStyle w:val="21"/>
              <w:jc w:val="center"/>
              <w:rPr>
                <w:color w:val="auto"/>
              </w:rPr>
            </w:pPr>
          </w:p>
        </w:tc>
        <w:tc>
          <w:tcPr>
            <w:tcW w:w="1276" w:type="dxa"/>
            <w:noWrap w:val="0"/>
            <w:vAlign w:val="center"/>
          </w:tcPr>
          <w:p w14:paraId="1D82FDBD">
            <w:pPr>
              <w:pStyle w:val="21"/>
              <w:jc w:val="center"/>
              <w:rPr>
                <w:color w:val="auto"/>
              </w:rPr>
            </w:pPr>
          </w:p>
        </w:tc>
        <w:tc>
          <w:tcPr>
            <w:tcW w:w="1134" w:type="dxa"/>
            <w:noWrap w:val="0"/>
            <w:vAlign w:val="center"/>
          </w:tcPr>
          <w:p w14:paraId="53C1DC81">
            <w:pPr>
              <w:pStyle w:val="21"/>
              <w:jc w:val="center"/>
              <w:rPr>
                <w:color w:val="auto"/>
              </w:rPr>
            </w:pPr>
          </w:p>
        </w:tc>
      </w:tr>
      <w:tr w14:paraId="7945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1" w:type="dxa"/>
            <w:noWrap w:val="0"/>
            <w:vAlign w:val="center"/>
          </w:tcPr>
          <w:p w14:paraId="71B871A3">
            <w:pPr>
              <w:pStyle w:val="21"/>
              <w:jc w:val="center"/>
              <w:rPr>
                <w:color w:val="auto"/>
              </w:rPr>
            </w:pPr>
          </w:p>
        </w:tc>
        <w:tc>
          <w:tcPr>
            <w:tcW w:w="1701" w:type="dxa"/>
            <w:noWrap w:val="0"/>
            <w:vAlign w:val="center"/>
          </w:tcPr>
          <w:p w14:paraId="7CB0B3B1">
            <w:pPr>
              <w:pStyle w:val="21"/>
              <w:jc w:val="center"/>
              <w:rPr>
                <w:color w:val="auto"/>
              </w:rPr>
            </w:pPr>
          </w:p>
        </w:tc>
        <w:tc>
          <w:tcPr>
            <w:tcW w:w="1417" w:type="dxa"/>
            <w:noWrap w:val="0"/>
            <w:vAlign w:val="center"/>
          </w:tcPr>
          <w:p w14:paraId="27989113">
            <w:pPr>
              <w:pStyle w:val="21"/>
              <w:jc w:val="center"/>
              <w:rPr>
                <w:color w:val="auto"/>
              </w:rPr>
            </w:pPr>
          </w:p>
        </w:tc>
        <w:tc>
          <w:tcPr>
            <w:tcW w:w="851" w:type="dxa"/>
            <w:noWrap w:val="0"/>
            <w:vAlign w:val="center"/>
          </w:tcPr>
          <w:p w14:paraId="573F1FC9">
            <w:pPr>
              <w:pStyle w:val="21"/>
              <w:jc w:val="center"/>
              <w:rPr>
                <w:color w:val="auto"/>
              </w:rPr>
            </w:pPr>
          </w:p>
        </w:tc>
        <w:tc>
          <w:tcPr>
            <w:tcW w:w="992" w:type="dxa"/>
            <w:noWrap w:val="0"/>
            <w:vAlign w:val="center"/>
          </w:tcPr>
          <w:p w14:paraId="218510EA">
            <w:pPr>
              <w:pStyle w:val="21"/>
              <w:jc w:val="center"/>
              <w:rPr>
                <w:color w:val="auto"/>
              </w:rPr>
            </w:pPr>
          </w:p>
        </w:tc>
        <w:tc>
          <w:tcPr>
            <w:tcW w:w="1134" w:type="dxa"/>
            <w:noWrap w:val="0"/>
            <w:vAlign w:val="center"/>
          </w:tcPr>
          <w:p w14:paraId="68950D5D">
            <w:pPr>
              <w:pStyle w:val="21"/>
              <w:jc w:val="center"/>
              <w:rPr>
                <w:color w:val="auto"/>
              </w:rPr>
            </w:pPr>
          </w:p>
        </w:tc>
        <w:tc>
          <w:tcPr>
            <w:tcW w:w="1276" w:type="dxa"/>
            <w:noWrap w:val="0"/>
            <w:vAlign w:val="center"/>
          </w:tcPr>
          <w:p w14:paraId="33D0F26A">
            <w:pPr>
              <w:pStyle w:val="21"/>
              <w:jc w:val="center"/>
              <w:rPr>
                <w:color w:val="auto"/>
              </w:rPr>
            </w:pPr>
          </w:p>
        </w:tc>
        <w:tc>
          <w:tcPr>
            <w:tcW w:w="1134" w:type="dxa"/>
            <w:noWrap w:val="0"/>
            <w:vAlign w:val="center"/>
          </w:tcPr>
          <w:p w14:paraId="270CC364">
            <w:pPr>
              <w:pStyle w:val="21"/>
              <w:jc w:val="center"/>
              <w:rPr>
                <w:color w:val="auto"/>
              </w:rPr>
            </w:pPr>
          </w:p>
        </w:tc>
      </w:tr>
    </w:tbl>
    <w:p w14:paraId="725F45E6">
      <w:pPr>
        <w:snapToGrid w:val="0"/>
        <w:spacing w:line="360" w:lineRule="auto"/>
        <w:ind w:firstLine="4935" w:firstLineChars="2350"/>
        <w:rPr>
          <w:rFonts w:ascii="宋体" w:hAnsi="宋体"/>
          <w:color w:val="000000"/>
          <w:szCs w:val="21"/>
          <w:highlight w:val="none"/>
        </w:rPr>
      </w:pPr>
    </w:p>
    <w:p w14:paraId="4E31634F">
      <w:pPr>
        <w:pageBreakBefore w:val="0"/>
        <w:kinsoku/>
        <w:overflowPunct/>
        <w:topLinePunct w:val="0"/>
        <w:bidi w:val="0"/>
        <w:spacing w:line="360" w:lineRule="auto"/>
        <w:jc w:val="left"/>
        <w:rPr>
          <w:rFonts w:hint="eastAsia" w:ascii="宋体" w:hAnsi="宋体" w:eastAsia="宋体"/>
          <w:b/>
          <w:bCs w:val="0"/>
          <w:color w:val="auto"/>
          <w:sz w:val="22"/>
          <w:szCs w:val="22"/>
          <w:highlight w:val="none"/>
        </w:rPr>
      </w:pPr>
      <w:r>
        <w:rPr>
          <w:rFonts w:hint="eastAsia" w:ascii="宋体" w:hAnsi="宋体" w:eastAsia="宋体"/>
          <w:b/>
          <w:bCs w:val="0"/>
          <w:color w:val="auto"/>
          <w:sz w:val="22"/>
          <w:szCs w:val="22"/>
          <w:highlight w:val="none"/>
          <w:lang w:val="en-US" w:eastAsia="zh-CN"/>
        </w:rPr>
        <w:t>后附：</w:t>
      </w:r>
      <w:r>
        <w:rPr>
          <w:rFonts w:hint="eastAsia" w:hAnsi="宋体"/>
          <w:b/>
          <w:bCs w:val="0"/>
          <w:color w:val="auto"/>
          <w:sz w:val="22"/>
          <w:szCs w:val="22"/>
          <w:highlight w:val="none"/>
          <w:lang w:eastAsia="zh-CN"/>
        </w:rPr>
        <w:t>相关证明材料（</w:t>
      </w:r>
      <w:r>
        <w:rPr>
          <w:rFonts w:hint="eastAsia" w:hAnsi="宋体"/>
          <w:b/>
          <w:bCs w:val="0"/>
          <w:color w:val="auto"/>
          <w:sz w:val="22"/>
          <w:szCs w:val="22"/>
          <w:highlight w:val="none"/>
          <w:lang w:val="en-US" w:eastAsia="zh-CN"/>
        </w:rPr>
        <w:t>如有</w:t>
      </w:r>
      <w:r>
        <w:rPr>
          <w:rFonts w:hint="eastAsia" w:hAnsi="宋体"/>
          <w:b/>
          <w:bCs w:val="0"/>
          <w:color w:val="auto"/>
          <w:sz w:val="22"/>
          <w:szCs w:val="22"/>
          <w:highlight w:val="none"/>
          <w:lang w:eastAsia="zh-CN"/>
        </w:rPr>
        <w:t>）</w:t>
      </w:r>
      <w:r>
        <w:rPr>
          <w:rFonts w:hint="eastAsia" w:ascii="宋体" w:hAnsi="宋体" w:eastAsia="宋体"/>
          <w:b/>
          <w:bCs w:val="0"/>
          <w:color w:val="auto"/>
          <w:sz w:val="22"/>
          <w:szCs w:val="22"/>
          <w:highlight w:val="none"/>
        </w:rPr>
        <w:t>。</w:t>
      </w:r>
    </w:p>
    <w:p w14:paraId="134C7972">
      <w:pPr>
        <w:snapToGrid w:val="0"/>
        <w:spacing w:line="360" w:lineRule="auto"/>
        <w:ind w:firstLine="4935" w:firstLineChars="2350"/>
        <w:rPr>
          <w:rFonts w:ascii="宋体" w:hAnsi="宋体"/>
          <w:color w:val="000000"/>
          <w:szCs w:val="21"/>
          <w:highlight w:val="none"/>
        </w:rPr>
      </w:pPr>
    </w:p>
    <w:p w14:paraId="0D1AFAC4">
      <w:pPr>
        <w:snapToGrid w:val="0"/>
        <w:spacing w:line="360" w:lineRule="auto"/>
        <w:ind w:firstLine="6720" w:firstLineChars="2800"/>
        <w:rPr>
          <w:rFonts w:hint="eastAsia" w:ascii="宋体" w:hAnsi="宋体" w:cs="仿宋_GB2312"/>
          <w:color w:val="000000"/>
          <w:kern w:val="0"/>
          <w:sz w:val="24"/>
          <w:highlight w:val="none"/>
          <w:lang w:val="zh-CN"/>
        </w:rPr>
      </w:pPr>
    </w:p>
    <w:p w14:paraId="3C4CED60">
      <w:pPr>
        <w:snapToGrid w:val="0"/>
        <w:spacing w:line="360" w:lineRule="auto"/>
        <w:ind w:firstLine="5520" w:firstLineChars="2300"/>
        <w:rPr>
          <w:rFonts w:ascii="宋体" w:hAnsi="宋体" w:cs="仿宋_GB2312"/>
          <w:color w:val="000000"/>
          <w:kern w:val="0"/>
          <w:sz w:val="24"/>
          <w:highlight w:val="none"/>
        </w:rPr>
      </w:pPr>
      <w:r>
        <w:rPr>
          <w:rFonts w:hint="eastAsia" w:ascii="宋体" w:hAnsi="宋体" w:cs="仿宋_GB2312"/>
          <w:color w:val="000000"/>
          <w:kern w:val="0"/>
          <w:sz w:val="24"/>
          <w:highlight w:val="none"/>
          <w:lang w:val="zh-CN"/>
        </w:rPr>
        <w:t>供应商名称(电子签章)：</w:t>
      </w:r>
    </w:p>
    <w:p w14:paraId="29937AA3">
      <w:pPr>
        <w:spacing w:line="500" w:lineRule="exact"/>
        <w:jc w:val="center"/>
        <w:rPr>
          <w:rFonts w:ascii="宋体" w:hAnsi="宋体" w:cs="仿宋_GB2312"/>
          <w:color w:val="000000"/>
          <w:sz w:val="32"/>
          <w:szCs w:val="32"/>
          <w:highlight w:val="none"/>
        </w:rPr>
        <w:sectPr>
          <w:pgSz w:w="11910" w:h="16840"/>
          <w:pgMar w:top="1417" w:right="1417" w:bottom="1417" w:left="1417" w:header="720" w:footer="720" w:gutter="0"/>
          <w:pgNumType w:fmt="decimal"/>
          <w:cols w:space="720" w:num="1"/>
          <w:rtlGutter w:val="0"/>
        </w:sectPr>
      </w:pPr>
      <w:r>
        <w:rPr>
          <w:rFonts w:hint="eastAsia" w:ascii="宋体" w:hAnsi="宋体" w:cs="仿宋_GB2312"/>
          <w:color w:val="000000"/>
          <w:kern w:val="0"/>
          <w:sz w:val="24"/>
          <w:highlight w:val="none"/>
          <w:lang w:val="zh-CN"/>
        </w:rPr>
        <w:t xml:space="preserve">                                                     日期</w:t>
      </w:r>
      <w:r>
        <w:rPr>
          <w:rFonts w:hint="eastAsia" w:ascii="宋体" w:hAnsi="宋体" w:cs="仿宋_GB2312"/>
          <w:color w:val="000000"/>
          <w:kern w:val="0"/>
          <w:sz w:val="24"/>
          <w:highlight w:val="none"/>
        </w:rPr>
        <w:t>：  年</w:t>
      </w:r>
      <w:r>
        <w:rPr>
          <w:rFonts w:hint="eastAsia" w:ascii="宋体" w:hAnsi="宋体" w:cs="仿宋_GB2312"/>
          <w:color w:val="000000"/>
          <w:kern w:val="0"/>
          <w:sz w:val="24"/>
          <w:highlight w:val="none"/>
          <w:lang w:val="en-US" w:eastAsia="zh-CN"/>
        </w:rPr>
        <w:t xml:space="preserve"> </w:t>
      </w:r>
      <w:r>
        <w:rPr>
          <w:rFonts w:hint="eastAsia" w:ascii="宋体" w:hAnsi="宋体" w:cs="仿宋_GB2312"/>
          <w:color w:val="000000"/>
          <w:kern w:val="0"/>
          <w:sz w:val="24"/>
          <w:highlight w:val="none"/>
        </w:rPr>
        <w:t xml:space="preserve">  </w:t>
      </w:r>
      <w:r>
        <w:rPr>
          <w:rFonts w:hint="eastAsia" w:ascii="宋体" w:hAnsi="宋体" w:cs="仿宋_GB2312"/>
          <w:color w:val="000000"/>
          <w:kern w:val="0"/>
          <w:sz w:val="24"/>
          <w:highlight w:val="none"/>
          <w:lang w:val="zh-CN"/>
        </w:rPr>
        <w:t>月</w:t>
      </w:r>
      <w:r>
        <w:rPr>
          <w:rFonts w:hint="eastAsia" w:ascii="宋体" w:hAnsi="宋体" w:cs="仿宋_GB2312"/>
          <w:color w:val="000000"/>
          <w:kern w:val="0"/>
          <w:sz w:val="24"/>
          <w:highlight w:val="none"/>
          <w:lang w:val="en-US" w:eastAsia="zh-CN"/>
        </w:rPr>
        <w:t xml:space="preserve">  </w:t>
      </w:r>
      <w:r>
        <w:rPr>
          <w:rFonts w:hint="eastAsia" w:ascii="宋体" w:hAnsi="宋体" w:cs="仿宋_GB2312"/>
          <w:color w:val="000000"/>
          <w:kern w:val="0"/>
          <w:sz w:val="24"/>
          <w:highlight w:val="none"/>
          <w:lang w:val="zh-CN"/>
        </w:rPr>
        <w:t>日</w:t>
      </w:r>
    </w:p>
    <w:p w14:paraId="69A1D8D6">
      <w:pPr>
        <w:keepNext w:val="0"/>
        <w:keepLines w:val="0"/>
        <w:pageBreakBefore w:val="0"/>
        <w:widowControl w:val="0"/>
        <w:kinsoku/>
        <w:wordWrap/>
        <w:overflowPunct/>
        <w:topLinePunct w:val="0"/>
        <w:autoSpaceDE/>
        <w:autoSpaceDN/>
        <w:bidi w:val="0"/>
        <w:adjustRightInd/>
        <w:snapToGrid w:val="0"/>
        <w:spacing w:line="460" w:lineRule="exact"/>
        <w:ind w:firstLine="723" w:firstLineChars="200"/>
        <w:jc w:val="center"/>
        <w:textAlignment w:val="auto"/>
        <w:rPr>
          <w:rFonts w:hint="eastAsia" w:ascii="宋体" w:hAnsi="宋体" w:eastAsia="宋体" w:cs="Times New Roman"/>
          <w:b/>
          <w:color w:val="000000"/>
          <w:sz w:val="36"/>
          <w:szCs w:val="36"/>
          <w:highlight w:val="none"/>
        </w:rPr>
      </w:pPr>
      <w:r>
        <w:rPr>
          <w:rFonts w:hint="eastAsia" w:ascii="宋体" w:hAnsi="宋体" w:eastAsia="宋体" w:cs="Times New Roman"/>
          <w:b/>
          <w:color w:val="000000"/>
          <w:sz w:val="36"/>
          <w:szCs w:val="36"/>
          <w:highlight w:val="none"/>
          <w:lang w:val="en-US" w:eastAsia="zh-CN"/>
        </w:rPr>
        <w:t>技术</w:t>
      </w:r>
      <w:r>
        <w:rPr>
          <w:rFonts w:hint="eastAsia" w:ascii="宋体" w:hAnsi="宋体" w:eastAsia="宋体" w:cs="Times New Roman"/>
          <w:b/>
          <w:color w:val="000000"/>
          <w:sz w:val="36"/>
          <w:szCs w:val="36"/>
          <w:highlight w:val="none"/>
        </w:rPr>
        <w:t>需求偏离表</w:t>
      </w:r>
    </w:p>
    <w:p w14:paraId="15813E95">
      <w:pPr>
        <w:spacing w:line="500" w:lineRule="exact"/>
        <w:jc w:val="center"/>
        <w:rPr>
          <w:rFonts w:ascii="宋体" w:hAnsi="宋体"/>
          <w:b/>
          <w:color w:val="000000"/>
          <w:sz w:val="32"/>
          <w:szCs w:val="32"/>
          <w:highlight w:val="none"/>
        </w:rPr>
      </w:pPr>
    </w:p>
    <w:p w14:paraId="07B76630">
      <w:pPr>
        <w:spacing w:line="360" w:lineRule="auto"/>
        <w:contextualSpacing/>
        <w:jc w:val="left"/>
        <w:rPr>
          <w:rFonts w:ascii="宋体" w:hAnsi="宋体"/>
          <w:color w:val="000000"/>
          <w:sz w:val="24"/>
          <w:highlight w:val="none"/>
        </w:rPr>
      </w:pPr>
    </w:p>
    <w:p w14:paraId="3D99568E">
      <w:pPr>
        <w:pStyle w:val="7"/>
        <w:spacing w:before="37" w:line="344" w:lineRule="auto"/>
        <w:ind w:right="5297"/>
        <w:rPr>
          <w:spacing w:val="6"/>
          <w:sz w:val="21"/>
          <w:szCs w:val="21"/>
        </w:rPr>
      </w:pPr>
      <w:r>
        <w:rPr>
          <w:spacing w:val="-1"/>
          <w:sz w:val="21"/>
          <w:szCs w:val="21"/>
        </w:rPr>
        <w:t>项目编号：</w:t>
      </w:r>
      <w:r>
        <w:rPr>
          <w:spacing w:val="-1"/>
          <w:sz w:val="21"/>
          <w:szCs w:val="21"/>
          <w:u w:val="single" w:color="auto"/>
        </w:rPr>
        <w:t xml:space="preserve">                </w:t>
      </w:r>
      <w:r>
        <w:rPr>
          <w:spacing w:val="6"/>
          <w:sz w:val="21"/>
          <w:szCs w:val="21"/>
        </w:rPr>
        <w:t xml:space="preserve">  </w:t>
      </w:r>
    </w:p>
    <w:p w14:paraId="176404F4">
      <w:pPr>
        <w:pStyle w:val="7"/>
        <w:spacing w:before="37" w:line="344" w:lineRule="auto"/>
        <w:ind w:right="5297"/>
        <w:rPr>
          <w:sz w:val="21"/>
          <w:szCs w:val="21"/>
        </w:rPr>
      </w:pPr>
      <w:r>
        <w:rPr>
          <w:spacing w:val="-2"/>
          <w:sz w:val="21"/>
          <w:szCs w:val="21"/>
        </w:rPr>
        <w:t>项目</w:t>
      </w:r>
      <w:r>
        <w:rPr>
          <w:rFonts w:hint="eastAsia"/>
          <w:spacing w:val="-2"/>
          <w:sz w:val="21"/>
          <w:szCs w:val="21"/>
          <w:lang w:val="en-US" w:eastAsia="zh-CN"/>
        </w:rPr>
        <w:t>名</w:t>
      </w:r>
      <w:r>
        <w:rPr>
          <w:spacing w:val="-2"/>
          <w:sz w:val="21"/>
          <w:szCs w:val="21"/>
        </w:rPr>
        <w:t>称：</w:t>
      </w:r>
      <w:r>
        <w:rPr>
          <w:sz w:val="21"/>
          <w:szCs w:val="21"/>
          <w:u w:val="single" w:color="auto"/>
        </w:rPr>
        <w:t xml:space="preserve">                 </w:t>
      </w:r>
    </w:p>
    <w:p w14:paraId="2EF733F4">
      <w:pPr>
        <w:pStyle w:val="7"/>
        <w:spacing w:before="37" w:line="220" w:lineRule="auto"/>
        <w:ind w:left="3"/>
        <w:rPr>
          <w:sz w:val="21"/>
          <w:szCs w:val="21"/>
          <w:u w:val="single" w:color="auto"/>
        </w:rPr>
      </w:pPr>
      <w:r>
        <w:rPr>
          <w:spacing w:val="8"/>
          <w:sz w:val="21"/>
          <w:szCs w:val="21"/>
        </w:rPr>
        <w:t>分标号（此处有分标时填写具体分标号，无分标时填写“无</w:t>
      </w:r>
      <w:r>
        <w:rPr>
          <w:spacing w:val="-69"/>
          <w:sz w:val="21"/>
          <w:szCs w:val="21"/>
        </w:rPr>
        <w:t xml:space="preserve"> </w:t>
      </w:r>
      <w:r>
        <w:rPr>
          <w:spacing w:val="8"/>
          <w:sz w:val="21"/>
          <w:szCs w:val="21"/>
        </w:rPr>
        <w:t>”</w:t>
      </w:r>
      <w:r>
        <w:rPr>
          <w:spacing w:val="-5"/>
          <w:sz w:val="21"/>
          <w:szCs w:val="21"/>
        </w:rPr>
        <w:t>）：</w:t>
      </w:r>
      <w:r>
        <w:rPr>
          <w:sz w:val="21"/>
          <w:szCs w:val="21"/>
          <w:u w:val="single" w:color="auto"/>
        </w:rPr>
        <w:t xml:space="preserve">        </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263"/>
        <w:gridCol w:w="814"/>
        <w:gridCol w:w="1744"/>
        <w:gridCol w:w="1261"/>
        <w:gridCol w:w="728"/>
        <w:gridCol w:w="1269"/>
        <w:gridCol w:w="1209"/>
      </w:tblGrid>
      <w:tr w14:paraId="28289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658" w:type="dxa"/>
            <w:vMerge w:val="restart"/>
            <w:tcBorders>
              <w:top w:val="single" w:color="auto" w:sz="4" w:space="0"/>
              <w:left w:val="single" w:color="auto" w:sz="4" w:space="0"/>
              <w:bottom w:val="single" w:color="auto" w:sz="4" w:space="0"/>
              <w:right w:val="single" w:color="auto" w:sz="4" w:space="0"/>
            </w:tcBorders>
            <w:noWrap w:val="0"/>
            <w:vAlign w:val="center"/>
          </w:tcPr>
          <w:p w14:paraId="5491B32F">
            <w:pPr>
              <w:rPr>
                <w:rFonts w:ascii="宋体" w:hAnsi="宋体"/>
                <w:color w:val="000000"/>
                <w:szCs w:val="21"/>
                <w:highlight w:val="none"/>
              </w:rPr>
            </w:pPr>
            <w:r>
              <w:rPr>
                <w:rFonts w:hint="eastAsia" w:ascii="宋体" w:hAnsi="宋体"/>
                <w:color w:val="000000"/>
                <w:szCs w:val="21"/>
                <w:highlight w:val="none"/>
              </w:rPr>
              <w:t>项号</w:t>
            </w:r>
          </w:p>
        </w:tc>
        <w:tc>
          <w:tcPr>
            <w:tcW w:w="3821" w:type="dxa"/>
            <w:gridSpan w:val="3"/>
            <w:tcBorders>
              <w:top w:val="single" w:color="auto" w:sz="4" w:space="0"/>
              <w:left w:val="single" w:color="auto" w:sz="4" w:space="0"/>
              <w:bottom w:val="single" w:color="auto" w:sz="4" w:space="0"/>
              <w:right w:val="single" w:color="auto" w:sz="4" w:space="0"/>
            </w:tcBorders>
            <w:noWrap w:val="0"/>
            <w:vAlign w:val="center"/>
          </w:tcPr>
          <w:p w14:paraId="60D78D29">
            <w:pPr>
              <w:jc w:val="center"/>
              <w:rPr>
                <w:rFonts w:ascii="宋体" w:hAnsi="宋体"/>
                <w:color w:val="000000"/>
                <w:szCs w:val="21"/>
                <w:highlight w:val="none"/>
              </w:rPr>
            </w:pPr>
            <w:r>
              <w:rPr>
                <w:rFonts w:hint="eastAsia" w:ascii="宋体" w:hAnsi="宋体"/>
                <w:color w:val="000000"/>
                <w:szCs w:val="21"/>
                <w:highlight w:val="none"/>
              </w:rPr>
              <w:t>竞争性磋商采购文件需求</w:t>
            </w:r>
          </w:p>
        </w:tc>
        <w:tc>
          <w:tcPr>
            <w:tcW w:w="3258" w:type="dxa"/>
            <w:gridSpan w:val="3"/>
            <w:tcBorders>
              <w:top w:val="single" w:color="auto" w:sz="4" w:space="0"/>
              <w:left w:val="single" w:color="auto" w:sz="4" w:space="0"/>
              <w:bottom w:val="single" w:color="auto" w:sz="4" w:space="0"/>
              <w:right w:val="single" w:color="auto" w:sz="4" w:space="0"/>
            </w:tcBorders>
            <w:noWrap w:val="0"/>
            <w:vAlign w:val="center"/>
          </w:tcPr>
          <w:p w14:paraId="02272384">
            <w:pPr>
              <w:jc w:val="center"/>
              <w:rPr>
                <w:rFonts w:ascii="宋体" w:hAnsi="宋体"/>
                <w:color w:val="000000"/>
                <w:szCs w:val="21"/>
                <w:highlight w:val="none"/>
              </w:rPr>
            </w:pPr>
            <w:r>
              <w:rPr>
                <w:rFonts w:hint="eastAsia" w:ascii="宋体" w:hAnsi="宋体"/>
                <w:color w:val="000000"/>
                <w:szCs w:val="21"/>
                <w:highlight w:val="none"/>
              </w:rPr>
              <w:t>响应文件承诺</w:t>
            </w:r>
          </w:p>
        </w:tc>
        <w:tc>
          <w:tcPr>
            <w:tcW w:w="1209" w:type="dxa"/>
            <w:vMerge w:val="restart"/>
            <w:tcBorders>
              <w:top w:val="single" w:color="auto" w:sz="4" w:space="0"/>
              <w:left w:val="single" w:color="auto" w:sz="4" w:space="0"/>
              <w:bottom w:val="single" w:color="auto" w:sz="4" w:space="0"/>
              <w:right w:val="single" w:color="auto" w:sz="4" w:space="0"/>
            </w:tcBorders>
            <w:noWrap w:val="0"/>
            <w:vAlign w:val="center"/>
          </w:tcPr>
          <w:p w14:paraId="2469C99A">
            <w:pPr>
              <w:rPr>
                <w:rFonts w:ascii="宋体" w:hAnsi="宋体"/>
                <w:color w:val="000000"/>
                <w:szCs w:val="21"/>
                <w:highlight w:val="none"/>
              </w:rPr>
            </w:pPr>
            <w:r>
              <w:rPr>
                <w:rFonts w:hint="eastAsia" w:ascii="宋体" w:hAnsi="宋体"/>
                <w:color w:val="000000"/>
                <w:szCs w:val="21"/>
                <w:highlight w:val="none"/>
              </w:rPr>
              <w:t>偏离说明</w:t>
            </w:r>
          </w:p>
        </w:tc>
      </w:tr>
      <w:tr w14:paraId="5EDFE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658" w:type="dxa"/>
            <w:vMerge w:val="continue"/>
            <w:tcBorders>
              <w:top w:val="single" w:color="auto" w:sz="4" w:space="0"/>
              <w:left w:val="single" w:color="auto" w:sz="4" w:space="0"/>
              <w:bottom w:val="single" w:color="auto" w:sz="4" w:space="0"/>
              <w:right w:val="single" w:color="auto" w:sz="4" w:space="0"/>
            </w:tcBorders>
            <w:noWrap w:val="0"/>
            <w:vAlign w:val="center"/>
          </w:tcPr>
          <w:p w14:paraId="4DA0FDC0">
            <w:pPr>
              <w:widowControl/>
              <w:jc w:val="left"/>
              <w:rPr>
                <w:rFonts w:ascii="宋体" w:hAnsi="宋体"/>
                <w:color w:val="000000"/>
                <w:szCs w:val="21"/>
                <w:highlight w:val="none"/>
              </w:rPr>
            </w:pPr>
          </w:p>
        </w:tc>
        <w:tc>
          <w:tcPr>
            <w:tcW w:w="1263" w:type="dxa"/>
            <w:tcBorders>
              <w:top w:val="single" w:color="auto" w:sz="4" w:space="0"/>
              <w:left w:val="single" w:color="auto" w:sz="4" w:space="0"/>
              <w:bottom w:val="single" w:color="auto" w:sz="4" w:space="0"/>
              <w:right w:val="single" w:color="auto" w:sz="4" w:space="0"/>
            </w:tcBorders>
            <w:noWrap w:val="0"/>
            <w:vAlign w:val="center"/>
          </w:tcPr>
          <w:p w14:paraId="7EE7CE70">
            <w:pPr>
              <w:rPr>
                <w:rFonts w:ascii="宋体" w:hAnsi="宋体"/>
                <w:color w:val="000000"/>
                <w:szCs w:val="21"/>
                <w:highlight w:val="none"/>
              </w:rPr>
            </w:pPr>
            <w:r>
              <w:rPr>
                <w:rFonts w:hint="default" w:ascii="宋体" w:hAnsi="宋体"/>
                <w:color w:val="000000"/>
                <w:szCs w:val="21"/>
                <w:highlight w:val="none"/>
                <w:lang w:val="en-US"/>
              </w:rPr>
              <w:t>工程</w:t>
            </w:r>
            <w:r>
              <w:rPr>
                <w:rFonts w:hint="eastAsia" w:ascii="宋体" w:hAnsi="宋体"/>
                <w:color w:val="000000"/>
                <w:szCs w:val="21"/>
                <w:highlight w:val="none"/>
              </w:rPr>
              <w:t>名称</w:t>
            </w:r>
          </w:p>
        </w:tc>
        <w:tc>
          <w:tcPr>
            <w:tcW w:w="814" w:type="dxa"/>
            <w:tcBorders>
              <w:top w:val="single" w:color="auto" w:sz="4" w:space="0"/>
              <w:left w:val="single" w:color="auto" w:sz="4" w:space="0"/>
              <w:bottom w:val="single" w:color="auto" w:sz="4" w:space="0"/>
              <w:right w:val="single" w:color="auto" w:sz="4" w:space="0"/>
            </w:tcBorders>
            <w:noWrap w:val="0"/>
            <w:vAlign w:val="center"/>
          </w:tcPr>
          <w:p w14:paraId="1C0F2AFD">
            <w:pPr>
              <w:rPr>
                <w:rFonts w:ascii="宋体" w:hAnsi="宋体"/>
                <w:color w:val="000000"/>
                <w:szCs w:val="21"/>
                <w:highlight w:val="none"/>
              </w:rPr>
            </w:pPr>
            <w:r>
              <w:rPr>
                <w:rFonts w:hint="eastAsia" w:ascii="宋体" w:hAnsi="宋体"/>
                <w:color w:val="000000"/>
                <w:szCs w:val="21"/>
                <w:highlight w:val="none"/>
              </w:rPr>
              <w:t>数量</w:t>
            </w:r>
          </w:p>
        </w:tc>
        <w:tc>
          <w:tcPr>
            <w:tcW w:w="1744" w:type="dxa"/>
            <w:tcBorders>
              <w:top w:val="single" w:color="auto" w:sz="4" w:space="0"/>
              <w:left w:val="single" w:color="auto" w:sz="4" w:space="0"/>
              <w:bottom w:val="single" w:color="auto" w:sz="4" w:space="0"/>
              <w:right w:val="single" w:color="auto" w:sz="4" w:space="0"/>
            </w:tcBorders>
            <w:noWrap w:val="0"/>
            <w:vAlign w:val="center"/>
          </w:tcPr>
          <w:p w14:paraId="5822362D">
            <w:pPr>
              <w:rPr>
                <w:rFonts w:ascii="宋体" w:hAnsi="宋体"/>
                <w:color w:val="000000"/>
                <w:szCs w:val="21"/>
                <w:highlight w:val="none"/>
              </w:rPr>
            </w:pPr>
            <w:r>
              <w:rPr>
                <w:rFonts w:hint="eastAsia" w:ascii="宋体" w:hAnsi="宋体"/>
                <w:color w:val="000000"/>
                <w:szCs w:val="21"/>
                <w:highlight w:val="none"/>
              </w:rPr>
              <w:t>工程参数要求</w:t>
            </w:r>
          </w:p>
        </w:tc>
        <w:tc>
          <w:tcPr>
            <w:tcW w:w="1261" w:type="dxa"/>
            <w:tcBorders>
              <w:top w:val="single" w:color="auto" w:sz="4" w:space="0"/>
              <w:left w:val="single" w:color="auto" w:sz="4" w:space="0"/>
              <w:bottom w:val="single" w:color="auto" w:sz="4" w:space="0"/>
              <w:right w:val="single" w:color="auto" w:sz="4" w:space="0"/>
            </w:tcBorders>
            <w:noWrap w:val="0"/>
            <w:vAlign w:val="center"/>
          </w:tcPr>
          <w:p w14:paraId="494DD492">
            <w:pPr>
              <w:rPr>
                <w:rFonts w:ascii="宋体" w:hAnsi="宋体"/>
                <w:color w:val="000000"/>
                <w:szCs w:val="21"/>
                <w:highlight w:val="none"/>
              </w:rPr>
            </w:pPr>
            <w:r>
              <w:rPr>
                <w:rFonts w:hint="eastAsia" w:ascii="宋体" w:hAnsi="宋体"/>
                <w:color w:val="000000"/>
                <w:szCs w:val="21"/>
                <w:highlight w:val="none"/>
              </w:rPr>
              <w:t>工程名称</w:t>
            </w:r>
          </w:p>
        </w:tc>
        <w:tc>
          <w:tcPr>
            <w:tcW w:w="728" w:type="dxa"/>
            <w:tcBorders>
              <w:top w:val="single" w:color="auto" w:sz="4" w:space="0"/>
              <w:left w:val="single" w:color="auto" w:sz="4" w:space="0"/>
              <w:bottom w:val="single" w:color="auto" w:sz="4" w:space="0"/>
              <w:right w:val="single" w:color="auto" w:sz="4" w:space="0"/>
            </w:tcBorders>
            <w:noWrap w:val="0"/>
            <w:vAlign w:val="center"/>
          </w:tcPr>
          <w:p w14:paraId="658BD374">
            <w:pPr>
              <w:rPr>
                <w:rFonts w:ascii="宋体" w:hAnsi="宋体"/>
                <w:color w:val="000000"/>
                <w:szCs w:val="21"/>
                <w:highlight w:val="none"/>
              </w:rPr>
            </w:pPr>
            <w:r>
              <w:rPr>
                <w:rFonts w:hint="eastAsia" w:ascii="宋体" w:hAnsi="宋体"/>
                <w:color w:val="000000"/>
                <w:szCs w:val="21"/>
                <w:highlight w:val="none"/>
              </w:rPr>
              <w:t>数量</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678C848F">
            <w:pPr>
              <w:rPr>
                <w:rFonts w:ascii="宋体" w:hAnsi="宋体"/>
                <w:color w:val="000000"/>
                <w:szCs w:val="21"/>
                <w:highlight w:val="none"/>
              </w:rPr>
            </w:pPr>
            <w:r>
              <w:rPr>
                <w:rFonts w:hint="eastAsia" w:ascii="宋体" w:hAnsi="宋体"/>
                <w:color w:val="000000"/>
                <w:szCs w:val="21"/>
                <w:highlight w:val="none"/>
              </w:rPr>
              <w:t>工程参数</w:t>
            </w:r>
          </w:p>
        </w:tc>
        <w:tc>
          <w:tcPr>
            <w:tcW w:w="1209" w:type="dxa"/>
            <w:vMerge w:val="continue"/>
            <w:tcBorders>
              <w:top w:val="single" w:color="auto" w:sz="4" w:space="0"/>
              <w:left w:val="single" w:color="auto" w:sz="4" w:space="0"/>
              <w:bottom w:val="single" w:color="auto" w:sz="4" w:space="0"/>
              <w:right w:val="single" w:color="auto" w:sz="4" w:space="0"/>
            </w:tcBorders>
            <w:noWrap w:val="0"/>
            <w:vAlign w:val="center"/>
          </w:tcPr>
          <w:p w14:paraId="16755973">
            <w:pPr>
              <w:widowControl/>
              <w:jc w:val="left"/>
              <w:rPr>
                <w:rFonts w:ascii="宋体" w:hAnsi="宋体"/>
                <w:color w:val="000000"/>
                <w:szCs w:val="21"/>
                <w:highlight w:val="none"/>
              </w:rPr>
            </w:pPr>
          </w:p>
        </w:tc>
      </w:tr>
      <w:tr w14:paraId="49BF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658" w:type="dxa"/>
            <w:tcBorders>
              <w:top w:val="single" w:color="auto" w:sz="4" w:space="0"/>
              <w:left w:val="single" w:color="auto" w:sz="4" w:space="0"/>
              <w:bottom w:val="single" w:color="auto" w:sz="4" w:space="0"/>
              <w:right w:val="single" w:color="auto" w:sz="4" w:space="0"/>
            </w:tcBorders>
            <w:noWrap w:val="0"/>
            <w:vAlign w:val="center"/>
          </w:tcPr>
          <w:p w14:paraId="6C45FBEC">
            <w:pPr>
              <w:rPr>
                <w:rFonts w:ascii="宋体" w:hAnsi="宋体"/>
                <w:color w:val="000000"/>
                <w:szCs w:val="21"/>
                <w:highlight w:val="none"/>
              </w:rPr>
            </w:pPr>
            <w:r>
              <w:rPr>
                <w:rFonts w:hint="eastAsia" w:ascii="宋体" w:hAnsi="宋体"/>
                <w:color w:val="000000"/>
                <w:szCs w:val="21"/>
                <w:highlight w:val="none"/>
              </w:rPr>
              <w:t>1</w:t>
            </w:r>
          </w:p>
        </w:tc>
        <w:tc>
          <w:tcPr>
            <w:tcW w:w="1263" w:type="dxa"/>
            <w:tcBorders>
              <w:top w:val="single" w:color="auto" w:sz="4" w:space="0"/>
              <w:left w:val="single" w:color="auto" w:sz="4" w:space="0"/>
              <w:bottom w:val="single" w:color="auto" w:sz="4" w:space="0"/>
              <w:right w:val="single" w:color="auto" w:sz="4" w:space="0"/>
            </w:tcBorders>
            <w:noWrap w:val="0"/>
            <w:vAlign w:val="center"/>
          </w:tcPr>
          <w:p w14:paraId="672292AA">
            <w:pPr>
              <w:rPr>
                <w:rFonts w:ascii="宋体" w:hAnsi="宋体"/>
                <w:color w:val="000000"/>
                <w:szCs w:val="21"/>
                <w:highlight w:val="none"/>
              </w:rPr>
            </w:pPr>
            <w:r>
              <w:rPr>
                <w:rFonts w:hint="eastAsia" w:ascii="宋体" w:hAnsi="宋体"/>
                <w:color w:val="000000"/>
                <w:szCs w:val="21"/>
                <w:highlight w:val="none"/>
              </w:rPr>
              <w:t>……</w:t>
            </w:r>
          </w:p>
        </w:tc>
        <w:tc>
          <w:tcPr>
            <w:tcW w:w="814" w:type="dxa"/>
            <w:tcBorders>
              <w:top w:val="single" w:color="auto" w:sz="4" w:space="0"/>
              <w:left w:val="single" w:color="auto" w:sz="4" w:space="0"/>
              <w:bottom w:val="single" w:color="auto" w:sz="4" w:space="0"/>
              <w:right w:val="single" w:color="auto" w:sz="4" w:space="0"/>
            </w:tcBorders>
            <w:noWrap w:val="0"/>
            <w:vAlign w:val="center"/>
          </w:tcPr>
          <w:p w14:paraId="315CAADE">
            <w:pPr>
              <w:rPr>
                <w:rFonts w:ascii="宋体" w:hAnsi="宋体"/>
                <w:color w:val="000000"/>
                <w:szCs w:val="21"/>
                <w:highlight w:val="none"/>
              </w:rPr>
            </w:pPr>
            <w:r>
              <w:rPr>
                <w:rFonts w:hint="eastAsia" w:ascii="宋体" w:hAnsi="宋体"/>
                <w:color w:val="000000"/>
                <w:szCs w:val="21"/>
                <w:highlight w:val="none"/>
              </w:rPr>
              <w:t>…</w:t>
            </w:r>
          </w:p>
        </w:tc>
        <w:tc>
          <w:tcPr>
            <w:tcW w:w="1744" w:type="dxa"/>
            <w:tcBorders>
              <w:top w:val="single" w:color="auto" w:sz="4" w:space="0"/>
              <w:left w:val="single" w:color="auto" w:sz="4" w:space="0"/>
              <w:bottom w:val="single" w:color="auto" w:sz="4" w:space="0"/>
              <w:right w:val="single" w:color="auto" w:sz="4" w:space="0"/>
            </w:tcBorders>
            <w:noWrap w:val="0"/>
            <w:vAlign w:val="center"/>
          </w:tcPr>
          <w:p w14:paraId="211916BD">
            <w:pPr>
              <w:rPr>
                <w:rFonts w:ascii="宋体" w:hAnsi="宋体"/>
                <w:color w:val="000000"/>
                <w:szCs w:val="21"/>
                <w:highlight w:val="none"/>
              </w:rPr>
            </w:pPr>
            <w:r>
              <w:rPr>
                <w:rFonts w:hint="eastAsia" w:ascii="宋体" w:hAnsi="宋体"/>
                <w:color w:val="000000"/>
                <w:szCs w:val="21"/>
                <w:highlight w:val="none"/>
              </w:rPr>
              <w:t>1  ……</w:t>
            </w:r>
          </w:p>
          <w:p w14:paraId="4A42F365">
            <w:pPr>
              <w:rPr>
                <w:rFonts w:ascii="宋体" w:hAnsi="宋体"/>
                <w:color w:val="000000"/>
                <w:szCs w:val="21"/>
                <w:highlight w:val="none"/>
              </w:rPr>
            </w:pPr>
            <w:r>
              <w:rPr>
                <w:rFonts w:hint="eastAsia" w:ascii="宋体" w:hAnsi="宋体"/>
                <w:color w:val="000000"/>
                <w:szCs w:val="21"/>
                <w:highlight w:val="none"/>
              </w:rPr>
              <w:t>2  ……</w:t>
            </w:r>
          </w:p>
          <w:p w14:paraId="771CA968">
            <w:pPr>
              <w:rPr>
                <w:rFonts w:ascii="宋体" w:hAnsi="宋体"/>
                <w:color w:val="000000"/>
                <w:szCs w:val="21"/>
                <w:highlight w:val="none"/>
              </w:rPr>
            </w:pPr>
            <w:r>
              <w:rPr>
                <w:rFonts w:hint="eastAsia" w:ascii="宋体" w:hAnsi="宋体"/>
                <w:color w:val="000000"/>
                <w:szCs w:val="21"/>
                <w:highlight w:val="none"/>
              </w:rPr>
              <w:t>3  ……</w:t>
            </w:r>
          </w:p>
          <w:p w14:paraId="3ABED769">
            <w:pPr>
              <w:rPr>
                <w:rFonts w:ascii="宋体" w:hAnsi="宋体"/>
                <w:color w:val="000000"/>
                <w:szCs w:val="21"/>
                <w:highlight w:val="none"/>
              </w:rPr>
            </w:pPr>
            <w:r>
              <w:rPr>
                <w:rFonts w:hint="eastAsia" w:ascii="宋体" w:hAnsi="宋体"/>
                <w:color w:val="000000"/>
                <w:szCs w:val="21"/>
                <w:highlight w:val="none"/>
              </w:rPr>
              <w:t>……</w:t>
            </w:r>
          </w:p>
        </w:tc>
        <w:tc>
          <w:tcPr>
            <w:tcW w:w="1261" w:type="dxa"/>
            <w:tcBorders>
              <w:top w:val="single" w:color="auto" w:sz="4" w:space="0"/>
              <w:left w:val="single" w:color="auto" w:sz="4" w:space="0"/>
              <w:bottom w:val="single" w:color="auto" w:sz="4" w:space="0"/>
              <w:right w:val="single" w:color="auto" w:sz="4" w:space="0"/>
            </w:tcBorders>
            <w:noWrap w:val="0"/>
            <w:vAlign w:val="center"/>
          </w:tcPr>
          <w:p w14:paraId="49C1533E">
            <w:pPr>
              <w:rPr>
                <w:rFonts w:ascii="宋体" w:hAnsi="宋体"/>
                <w:color w:val="000000"/>
                <w:szCs w:val="21"/>
                <w:highlight w:val="none"/>
              </w:rPr>
            </w:pPr>
            <w:r>
              <w:rPr>
                <w:rFonts w:hint="eastAsia" w:ascii="宋体" w:hAnsi="宋体"/>
                <w:color w:val="000000"/>
                <w:szCs w:val="21"/>
                <w:highlight w:val="none"/>
              </w:rPr>
              <w:t>……</w:t>
            </w:r>
          </w:p>
        </w:tc>
        <w:tc>
          <w:tcPr>
            <w:tcW w:w="728" w:type="dxa"/>
            <w:tcBorders>
              <w:top w:val="single" w:color="auto" w:sz="4" w:space="0"/>
              <w:left w:val="single" w:color="auto" w:sz="4" w:space="0"/>
              <w:bottom w:val="single" w:color="auto" w:sz="4" w:space="0"/>
              <w:right w:val="single" w:color="auto" w:sz="4" w:space="0"/>
            </w:tcBorders>
            <w:noWrap w:val="0"/>
            <w:vAlign w:val="center"/>
          </w:tcPr>
          <w:p w14:paraId="04EBA8BB">
            <w:pPr>
              <w:rPr>
                <w:rFonts w:ascii="宋体" w:hAnsi="宋体"/>
                <w:color w:val="000000"/>
                <w:szCs w:val="21"/>
                <w:highlight w:val="none"/>
              </w:rPr>
            </w:pPr>
            <w:r>
              <w:rPr>
                <w:rFonts w:hint="eastAsia" w:ascii="宋体" w:hAnsi="宋体"/>
                <w:color w:val="000000"/>
                <w:szCs w:val="21"/>
                <w:highlight w:val="none"/>
              </w:rPr>
              <w:t>…</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6B38FE59">
            <w:pPr>
              <w:rPr>
                <w:rFonts w:ascii="宋体" w:hAnsi="宋体"/>
                <w:color w:val="000000"/>
                <w:szCs w:val="21"/>
                <w:highlight w:val="none"/>
              </w:rPr>
            </w:pPr>
            <w:r>
              <w:rPr>
                <w:rFonts w:hint="eastAsia" w:ascii="宋体" w:hAnsi="宋体"/>
                <w:color w:val="000000"/>
                <w:szCs w:val="21"/>
                <w:highlight w:val="none"/>
              </w:rPr>
              <w:t>1  ……</w:t>
            </w:r>
          </w:p>
          <w:p w14:paraId="674EE26B">
            <w:pPr>
              <w:rPr>
                <w:rFonts w:ascii="宋体" w:hAnsi="宋体"/>
                <w:color w:val="000000"/>
                <w:szCs w:val="21"/>
                <w:highlight w:val="none"/>
              </w:rPr>
            </w:pPr>
            <w:r>
              <w:rPr>
                <w:rFonts w:hint="eastAsia" w:ascii="宋体" w:hAnsi="宋体"/>
                <w:color w:val="000000"/>
                <w:szCs w:val="21"/>
                <w:highlight w:val="none"/>
              </w:rPr>
              <w:t>2  ……</w:t>
            </w:r>
          </w:p>
          <w:p w14:paraId="5B55B204">
            <w:pPr>
              <w:rPr>
                <w:rFonts w:ascii="宋体" w:hAnsi="宋体"/>
                <w:color w:val="000000"/>
                <w:szCs w:val="21"/>
                <w:highlight w:val="none"/>
              </w:rPr>
            </w:pPr>
            <w:r>
              <w:rPr>
                <w:rFonts w:hint="eastAsia" w:ascii="宋体" w:hAnsi="宋体"/>
                <w:color w:val="000000"/>
                <w:szCs w:val="21"/>
                <w:highlight w:val="none"/>
              </w:rPr>
              <w:t>3  ……</w:t>
            </w:r>
          </w:p>
          <w:p w14:paraId="0843F25C">
            <w:pPr>
              <w:rPr>
                <w:rFonts w:ascii="宋体" w:hAnsi="宋体"/>
                <w:color w:val="000000"/>
                <w:szCs w:val="21"/>
                <w:highlight w:val="none"/>
              </w:rPr>
            </w:pPr>
            <w:r>
              <w:rPr>
                <w:rFonts w:hint="eastAsia" w:ascii="宋体" w:hAnsi="宋体"/>
                <w:color w:val="000000"/>
                <w:szCs w:val="21"/>
                <w:highlight w:val="none"/>
              </w:rPr>
              <w:t>……</w:t>
            </w:r>
          </w:p>
        </w:tc>
        <w:tc>
          <w:tcPr>
            <w:tcW w:w="1209" w:type="dxa"/>
            <w:tcBorders>
              <w:top w:val="single" w:color="auto" w:sz="4" w:space="0"/>
              <w:left w:val="single" w:color="auto" w:sz="4" w:space="0"/>
              <w:bottom w:val="single" w:color="auto" w:sz="4" w:space="0"/>
              <w:right w:val="single" w:color="auto" w:sz="4" w:space="0"/>
            </w:tcBorders>
            <w:noWrap w:val="0"/>
            <w:vAlign w:val="center"/>
          </w:tcPr>
          <w:p w14:paraId="3416DE2F">
            <w:pPr>
              <w:rPr>
                <w:rFonts w:ascii="宋体" w:hAnsi="宋体"/>
                <w:color w:val="000000"/>
                <w:szCs w:val="21"/>
                <w:highlight w:val="none"/>
              </w:rPr>
            </w:pPr>
          </w:p>
        </w:tc>
      </w:tr>
      <w:tr w14:paraId="4037E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658" w:type="dxa"/>
            <w:tcBorders>
              <w:top w:val="single" w:color="auto" w:sz="4" w:space="0"/>
              <w:left w:val="single" w:color="auto" w:sz="4" w:space="0"/>
              <w:bottom w:val="single" w:color="auto" w:sz="4" w:space="0"/>
              <w:right w:val="single" w:color="auto" w:sz="4" w:space="0"/>
            </w:tcBorders>
            <w:noWrap w:val="0"/>
            <w:vAlign w:val="center"/>
          </w:tcPr>
          <w:p w14:paraId="18C93489">
            <w:pPr>
              <w:rPr>
                <w:rFonts w:ascii="宋体" w:hAnsi="宋体"/>
                <w:color w:val="000000"/>
                <w:szCs w:val="21"/>
                <w:highlight w:val="none"/>
              </w:rPr>
            </w:pPr>
            <w:r>
              <w:rPr>
                <w:rFonts w:hint="eastAsia" w:ascii="宋体" w:hAnsi="宋体"/>
                <w:color w:val="000000"/>
                <w:szCs w:val="21"/>
                <w:highlight w:val="none"/>
              </w:rPr>
              <w:t>2</w:t>
            </w:r>
          </w:p>
        </w:tc>
        <w:tc>
          <w:tcPr>
            <w:tcW w:w="1263" w:type="dxa"/>
            <w:tcBorders>
              <w:top w:val="single" w:color="auto" w:sz="4" w:space="0"/>
              <w:left w:val="single" w:color="auto" w:sz="4" w:space="0"/>
              <w:bottom w:val="single" w:color="auto" w:sz="4" w:space="0"/>
              <w:right w:val="single" w:color="auto" w:sz="4" w:space="0"/>
            </w:tcBorders>
            <w:noWrap w:val="0"/>
            <w:vAlign w:val="center"/>
          </w:tcPr>
          <w:p w14:paraId="20E80F9E">
            <w:pPr>
              <w:rPr>
                <w:rFonts w:ascii="宋体" w:hAnsi="宋体"/>
                <w:color w:val="000000"/>
                <w:szCs w:val="21"/>
                <w:highlight w:val="none"/>
              </w:rPr>
            </w:pPr>
            <w:r>
              <w:rPr>
                <w:rFonts w:hint="eastAsia" w:ascii="宋体" w:hAnsi="宋体"/>
                <w:color w:val="000000"/>
                <w:szCs w:val="21"/>
                <w:highlight w:val="none"/>
              </w:rPr>
              <w:t>……</w:t>
            </w:r>
          </w:p>
        </w:tc>
        <w:tc>
          <w:tcPr>
            <w:tcW w:w="814" w:type="dxa"/>
            <w:tcBorders>
              <w:top w:val="single" w:color="auto" w:sz="4" w:space="0"/>
              <w:left w:val="single" w:color="auto" w:sz="4" w:space="0"/>
              <w:bottom w:val="single" w:color="auto" w:sz="4" w:space="0"/>
              <w:right w:val="single" w:color="auto" w:sz="4" w:space="0"/>
            </w:tcBorders>
            <w:noWrap w:val="0"/>
            <w:vAlign w:val="center"/>
          </w:tcPr>
          <w:p w14:paraId="6427AAEB">
            <w:pPr>
              <w:rPr>
                <w:rFonts w:ascii="宋体" w:hAnsi="宋体"/>
                <w:color w:val="000000"/>
                <w:szCs w:val="21"/>
                <w:highlight w:val="none"/>
              </w:rPr>
            </w:pPr>
            <w:r>
              <w:rPr>
                <w:rFonts w:hint="eastAsia" w:ascii="宋体" w:hAnsi="宋体"/>
                <w:color w:val="000000"/>
                <w:szCs w:val="21"/>
                <w:highlight w:val="none"/>
              </w:rPr>
              <w:t>…</w:t>
            </w:r>
          </w:p>
        </w:tc>
        <w:tc>
          <w:tcPr>
            <w:tcW w:w="1744" w:type="dxa"/>
            <w:tcBorders>
              <w:top w:val="single" w:color="auto" w:sz="4" w:space="0"/>
              <w:left w:val="single" w:color="auto" w:sz="4" w:space="0"/>
              <w:bottom w:val="single" w:color="auto" w:sz="4" w:space="0"/>
              <w:right w:val="single" w:color="auto" w:sz="4" w:space="0"/>
            </w:tcBorders>
            <w:noWrap w:val="0"/>
            <w:vAlign w:val="center"/>
          </w:tcPr>
          <w:p w14:paraId="78ED930A">
            <w:pPr>
              <w:rPr>
                <w:rFonts w:ascii="宋体" w:hAnsi="宋体"/>
                <w:color w:val="000000"/>
                <w:szCs w:val="21"/>
                <w:highlight w:val="none"/>
              </w:rPr>
            </w:pPr>
            <w:r>
              <w:rPr>
                <w:rFonts w:hint="eastAsia" w:ascii="宋体" w:hAnsi="宋体"/>
                <w:color w:val="000000"/>
                <w:szCs w:val="21"/>
                <w:highlight w:val="none"/>
              </w:rPr>
              <w:t>1  ……</w:t>
            </w:r>
          </w:p>
          <w:p w14:paraId="4EA0587B">
            <w:pPr>
              <w:rPr>
                <w:rFonts w:ascii="宋体" w:hAnsi="宋体"/>
                <w:color w:val="000000"/>
                <w:szCs w:val="21"/>
                <w:highlight w:val="none"/>
              </w:rPr>
            </w:pPr>
            <w:r>
              <w:rPr>
                <w:rFonts w:hint="eastAsia" w:ascii="宋体" w:hAnsi="宋体"/>
                <w:color w:val="000000"/>
                <w:szCs w:val="21"/>
                <w:highlight w:val="none"/>
              </w:rPr>
              <w:t>2  ……</w:t>
            </w:r>
          </w:p>
          <w:p w14:paraId="11465E4A">
            <w:pPr>
              <w:rPr>
                <w:rFonts w:ascii="宋体" w:hAnsi="宋体"/>
                <w:color w:val="000000"/>
                <w:szCs w:val="21"/>
                <w:highlight w:val="none"/>
              </w:rPr>
            </w:pPr>
            <w:r>
              <w:rPr>
                <w:rFonts w:hint="eastAsia" w:ascii="宋体" w:hAnsi="宋体"/>
                <w:color w:val="000000"/>
                <w:szCs w:val="21"/>
                <w:highlight w:val="none"/>
              </w:rPr>
              <w:t>3  ……</w:t>
            </w:r>
          </w:p>
          <w:p w14:paraId="2F0E1635">
            <w:pPr>
              <w:rPr>
                <w:rFonts w:ascii="宋体" w:hAnsi="宋体"/>
                <w:color w:val="000000"/>
                <w:szCs w:val="21"/>
                <w:highlight w:val="none"/>
              </w:rPr>
            </w:pPr>
            <w:r>
              <w:rPr>
                <w:rFonts w:hint="eastAsia" w:ascii="宋体" w:hAnsi="宋体"/>
                <w:color w:val="000000"/>
                <w:szCs w:val="21"/>
                <w:highlight w:val="none"/>
              </w:rPr>
              <w:t>……</w:t>
            </w:r>
          </w:p>
        </w:tc>
        <w:tc>
          <w:tcPr>
            <w:tcW w:w="1261" w:type="dxa"/>
            <w:tcBorders>
              <w:top w:val="single" w:color="auto" w:sz="4" w:space="0"/>
              <w:left w:val="single" w:color="auto" w:sz="4" w:space="0"/>
              <w:bottom w:val="single" w:color="auto" w:sz="4" w:space="0"/>
              <w:right w:val="single" w:color="auto" w:sz="4" w:space="0"/>
            </w:tcBorders>
            <w:noWrap w:val="0"/>
            <w:vAlign w:val="center"/>
          </w:tcPr>
          <w:p w14:paraId="1F034216">
            <w:pPr>
              <w:rPr>
                <w:rFonts w:ascii="宋体" w:hAnsi="宋体"/>
                <w:color w:val="000000"/>
                <w:szCs w:val="21"/>
                <w:highlight w:val="none"/>
              </w:rPr>
            </w:pPr>
            <w:r>
              <w:rPr>
                <w:rFonts w:hint="eastAsia" w:ascii="宋体" w:hAnsi="宋体"/>
                <w:color w:val="000000"/>
                <w:szCs w:val="21"/>
                <w:highlight w:val="none"/>
              </w:rPr>
              <w:t>……</w:t>
            </w:r>
          </w:p>
        </w:tc>
        <w:tc>
          <w:tcPr>
            <w:tcW w:w="728" w:type="dxa"/>
            <w:tcBorders>
              <w:top w:val="single" w:color="auto" w:sz="4" w:space="0"/>
              <w:left w:val="single" w:color="auto" w:sz="4" w:space="0"/>
              <w:bottom w:val="single" w:color="auto" w:sz="4" w:space="0"/>
              <w:right w:val="single" w:color="auto" w:sz="4" w:space="0"/>
            </w:tcBorders>
            <w:noWrap w:val="0"/>
            <w:vAlign w:val="center"/>
          </w:tcPr>
          <w:p w14:paraId="5C409E01">
            <w:pPr>
              <w:rPr>
                <w:rFonts w:ascii="宋体" w:hAnsi="宋体"/>
                <w:color w:val="000000"/>
                <w:szCs w:val="21"/>
                <w:highlight w:val="none"/>
              </w:rPr>
            </w:pPr>
            <w:r>
              <w:rPr>
                <w:rFonts w:hint="eastAsia" w:ascii="宋体" w:hAnsi="宋体"/>
                <w:color w:val="000000"/>
                <w:szCs w:val="21"/>
                <w:highlight w:val="none"/>
              </w:rPr>
              <w:t>…</w:t>
            </w:r>
          </w:p>
        </w:tc>
        <w:tc>
          <w:tcPr>
            <w:tcW w:w="1269" w:type="dxa"/>
            <w:tcBorders>
              <w:top w:val="single" w:color="auto" w:sz="4" w:space="0"/>
              <w:left w:val="single" w:color="auto" w:sz="4" w:space="0"/>
              <w:bottom w:val="single" w:color="auto" w:sz="4" w:space="0"/>
              <w:right w:val="single" w:color="auto" w:sz="4" w:space="0"/>
            </w:tcBorders>
            <w:noWrap w:val="0"/>
            <w:vAlign w:val="center"/>
          </w:tcPr>
          <w:p w14:paraId="2FD5926E">
            <w:pPr>
              <w:rPr>
                <w:rFonts w:ascii="宋体" w:hAnsi="宋体"/>
                <w:color w:val="000000"/>
                <w:szCs w:val="21"/>
                <w:highlight w:val="none"/>
              </w:rPr>
            </w:pPr>
            <w:r>
              <w:rPr>
                <w:rFonts w:hint="eastAsia" w:ascii="宋体" w:hAnsi="宋体"/>
                <w:color w:val="000000"/>
                <w:szCs w:val="21"/>
                <w:highlight w:val="none"/>
              </w:rPr>
              <w:t>1  ……</w:t>
            </w:r>
          </w:p>
          <w:p w14:paraId="2E256D3B">
            <w:pPr>
              <w:rPr>
                <w:rFonts w:ascii="宋体" w:hAnsi="宋体"/>
                <w:color w:val="000000"/>
                <w:szCs w:val="21"/>
                <w:highlight w:val="none"/>
              </w:rPr>
            </w:pPr>
            <w:r>
              <w:rPr>
                <w:rFonts w:hint="eastAsia" w:ascii="宋体" w:hAnsi="宋体"/>
                <w:color w:val="000000"/>
                <w:szCs w:val="21"/>
                <w:highlight w:val="none"/>
              </w:rPr>
              <w:t>2  ……</w:t>
            </w:r>
          </w:p>
          <w:p w14:paraId="52AB1A3B">
            <w:pPr>
              <w:rPr>
                <w:rFonts w:ascii="宋体" w:hAnsi="宋体"/>
                <w:color w:val="000000"/>
                <w:szCs w:val="21"/>
                <w:highlight w:val="none"/>
              </w:rPr>
            </w:pPr>
            <w:r>
              <w:rPr>
                <w:rFonts w:hint="eastAsia" w:ascii="宋体" w:hAnsi="宋体"/>
                <w:color w:val="000000"/>
                <w:szCs w:val="21"/>
                <w:highlight w:val="none"/>
              </w:rPr>
              <w:t>3  ……</w:t>
            </w:r>
          </w:p>
          <w:p w14:paraId="37BD49F6">
            <w:pPr>
              <w:rPr>
                <w:rFonts w:ascii="宋体" w:hAnsi="宋体"/>
                <w:color w:val="000000"/>
                <w:szCs w:val="21"/>
                <w:highlight w:val="none"/>
              </w:rPr>
            </w:pPr>
            <w:r>
              <w:rPr>
                <w:rFonts w:hint="eastAsia" w:ascii="宋体" w:hAnsi="宋体"/>
                <w:color w:val="000000"/>
                <w:szCs w:val="21"/>
                <w:highlight w:val="none"/>
              </w:rPr>
              <w:t>……</w:t>
            </w:r>
          </w:p>
        </w:tc>
        <w:tc>
          <w:tcPr>
            <w:tcW w:w="1209" w:type="dxa"/>
            <w:tcBorders>
              <w:top w:val="single" w:color="auto" w:sz="4" w:space="0"/>
              <w:left w:val="single" w:color="auto" w:sz="4" w:space="0"/>
              <w:bottom w:val="single" w:color="auto" w:sz="4" w:space="0"/>
              <w:right w:val="single" w:color="auto" w:sz="4" w:space="0"/>
            </w:tcBorders>
            <w:noWrap w:val="0"/>
            <w:vAlign w:val="center"/>
          </w:tcPr>
          <w:p w14:paraId="18BAD988">
            <w:pPr>
              <w:rPr>
                <w:rFonts w:ascii="宋体" w:hAnsi="宋体"/>
                <w:color w:val="000000"/>
                <w:szCs w:val="21"/>
                <w:highlight w:val="none"/>
              </w:rPr>
            </w:pPr>
          </w:p>
        </w:tc>
      </w:tr>
      <w:tr w14:paraId="6D81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58" w:type="dxa"/>
            <w:tcBorders>
              <w:top w:val="single" w:color="auto" w:sz="4" w:space="0"/>
              <w:left w:val="single" w:color="auto" w:sz="4" w:space="0"/>
              <w:bottom w:val="single" w:color="auto" w:sz="4" w:space="0"/>
              <w:right w:val="single" w:color="auto" w:sz="4" w:space="0"/>
            </w:tcBorders>
            <w:noWrap w:val="0"/>
            <w:vAlign w:val="center"/>
          </w:tcPr>
          <w:p w14:paraId="2D295012">
            <w:pPr>
              <w:rPr>
                <w:rFonts w:ascii="宋体" w:hAnsi="宋体"/>
                <w:color w:val="000000"/>
                <w:szCs w:val="21"/>
                <w:highlight w:val="none"/>
              </w:rPr>
            </w:pPr>
            <w:r>
              <w:rPr>
                <w:rFonts w:hint="eastAsia" w:ascii="宋体" w:hAnsi="宋体"/>
                <w:color w:val="000000"/>
                <w:szCs w:val="21"/>
                <w:highlight w:val="none"/>
              </w:rPr>
              <w:t>...</w:t>
            </w:r>
          </w:p>
        </w:tc>
        <w:tc>
          <w:tcPr>
            <w:tcW w:w="1263" w:type="dxa"/>
            <w:tcBorders>
              <w:top w:val="single" w:color="auto" w:sz="4" w:space="0"/>
              <w:left w:val="single" w:color="auto" w:sz="4" w:space="0"/>
              <w:bottom w:val="single" w:color="auto" w:sz="4" w:space="0"/>
              <w:right w:val="single" w:color="auto" w:sz="4" w:space="0"/>
            </w:tcBorders>
            <w:noWrap w:val="0"/>
            <w:vAlign w:val="center"/>
          </w:tcPr>
          <w:p w14:paraId="67F5359F">
            <w:pPr>
              <w:rPr>
                <w:rFonts w:ascii="宋体" w:hAnsi="宋体"/>
                <w:color w:val="000000"/>
                <w:szCs w:val="21"/>
                <w:highlight w:val="none"/>
              </w:rPr>
            </w:pPr>
          </w:p>
        </w:tc>
        <w:tc>
          <w:tcPr>
            <w:tcW w:w="814" w:type="dxa"/>
            <w:tcBorders>
              <w:top w:val="single" w:color="auto" w:sz="4" w:space="0"/>
              <w:left w:val="single" w:color="auto" w:sz="4" w:space="0"/>
              <w:bottom w:val="single" w:color="auto" w:sz="4" w:space="0"/>
              <w:right w:val="single" w:color="auto" w:sz="4" w:space="0"/>
            </w:tcBorders>
            <w:noWrap w:val="0"/>
            <w:vAlign w:val="center"/>
          </w:tcPr>
          <w:p w14:paraId="428A8EA8">
            <w:pPr>
              <w:rPr>
                <w:rFonts w:ascii="宋体" w:hAnsi="宋体"/>
                <w:color w:val="000000"/>
                <w:szCs w:val="21"/>
                <w:highlight w:val="none"/>
              </w:rPr>
            </w:pPr>
          </w:p>
        </w:tc>
        <w:tc>
          <w:tcPr>
            <w:tcW w:w="1744" w:type="dxa"/>
            <w:tcBorders>
              <w:top w:val="single" w:color="auto" w:sz="4" w:space="0"/>
              <w:left w:val="single" w:color="auto" w:sz="4" w:space="0"/>
              <w:bottom w:val="single" w:color="auto" w:sz="4" w:space="0"/>
              <w:right w:val="single" w:color="auto" w:sz="4" w:space="0"/>
            </w:tcBorders>
            <w:noWrap w:val="0"/>
            <w:vAlign w:val="center"/>
          </w:tcPr>
          <w:p w14:paraId="1F919069">
            <w:pPr>
              <w:rPr>
                <w:rFonts w:ascii="宋体" w:hAnsi="宋体"/>
                <w:color w:val="000000"/>
                <w:szCs w:val="21"/>
                <w:highlight w:val="none"/>
              </w:rPr>
            </w:pPr>
          </w:p>
        </w:tc>
        <w:tc>
          <w:tcPr>
            <w:tcW w:w="1261" w:type="dxa"/>
            <w:tcBorders>
              <w:top w:val="single" w:color="auto" w:sz="4" w:space="0"/>
              <w:left w:val="single" w:color="auto" w:sz="4" w:space="0"/>
              <w:bottom w:val="single" w:color="auto" w:sz="4" w:space="0"/>
              <w:right w:val="single" w:color="auto" w:sz="4" w:space="0"/>
            </w:tcBorders>
            <w:noWrap w:val="0"/>
            <w:vAlign w:val="center"/>
          </w:tcPr>
          <w:p w14:paraId="7F753BEA">
            <w:pPr>
              <w:rPr>
                <w:rFonts w:ascii="宋体" w:hAnsi="宋体"/>
                <w:color w:val="000000"/>
                <w:szCs w:val="21"/>
                <w:highlight w:val="none"/>
              </w:rPr>
            </w:pPr>
          </w:p>
        </w:tc>
        <w:tc>
          <w:tcPr>
            <w:tcW w:w="728" w:type="dxa"/>
            <w:tcBorders>
              <w:top w:val="single" w:color="auto" w:sz="4" w:space="0"/>
              <w:left w:val="single" w:color="auto" w:sz="4" w:space="0"/>
              <w:bottom w:val="single" w:color="auto" w:sz="4" w:space="0"/>
              <w:right w:val="single" w:color="auto" w:sz="4" w:space="0"/>
            </w:tcBorders>
            <w:noWrap w:val="0"/>
            <w:vAlign w:val="center"/>
          </w:tcPr>
          <w:p w14:paraId="5740C913">
            <w:pPr>
              <w:rPr>
                <w:rFonts w:ascii="宋体" w:hAnsi="宋体"/>
                <w:color w:val="000000"/>
                <w:szCs w:val="21"/>
                <w:highlight w:val="none"/>
              </w:rPr>
            </w:pPr>
          </w:p>
        </w:tc>
        <w:tc>
          <w:tcPr>
            <w:tcW w:w="1269" w:type="dxa"/>
            <w:tcBorders>
              <w:top w:val="single" w:color="auto" w:sz="4" w:space="0"/>
              <w:left w:val="single" w:color="auto" w:sz="4" w:space="0"/>
              <w:bottom w:val="single" w:color="auto" w:sz="4" w:space="0"/>
              <w:right w:val="single" w:color="auto" w:sz="4" w:space="0"/>
            </w:tcBorders>
            <w:noWrap w:val="0"/>
            <w:vAlign w:val="center"/>
          </w:tcPr>
          <w:p w14:paraId="5620FF53">
            <w:pPr>
              <w:rPr>
                <w:rFonts w:ascii="宋体" w:hAnsi="宋体"/>
                <w:color w:val="000000"/>
                <w:szCs w:val="21"/>
                <w:highlight w:val="none"/>
              </w:rPr>
            </w:pPr>
          </w:p>
        </w:tc>
        <w:tc>
          <w:tcPr>
            <w:tcW w:w="1209" w:type="dxa"/>
            <w:tcBorders>
              <w:top w:val="single" w:color="auto" w:sz="4" w:space="0"/>
              <w:left w:val="single" w:color="auto" w:sz="4" w:space="0"/>
              <w:bottom w:val="single" w:color="auto" w:sz="4" w:space="0"/>
              <w:right w:val="single" w:color="auto" w:sz="4" w:space="0"/>
            </w:tcBorders>
            <w:noWrap w:val="0"/>
            <w:vAlign w:val="center"/>
          </w:tcPr>
          <w:p w14:paraId="49D65AEC">
            <w:pPr>
              <w:rPr>
                <w:rFonts w:ascii="宋体" w:hAnsi="宋体"/>
                <w:color w:val="000000"/>
                <w:szCs w:val="21"/>
                <w:highlight w:val="none"/>
              </w:rPr>
            </w:pPr>
          </w:p>
        </w:tc>
      </w:tr>
    </w:tbl>
    <w:p w14:paraId="153ABC34">
      <w:pPr>
        <w:pStyle w:val="7"/>
        <w:spacing w:before="37" w:line="220" w:lineRule="auto"/>
        <w:ind w:left="3"/>
        <w:rPr>
          <w:sz w:val="21"/>
          <w:szCs w:val="21"/>
          <w:u w:val="single" w:color="auto"/>
        </w:rPr>
      </w:pPr>
    </w:p>
    <w:p w14:paraId="4F4428E9">
      <w:pPr>
        <w:pStyle w:val="7"/>
        <w:spacing w:before="110" w:line="232" w:lineRule="auto"/>
        <w:ind w:left="419"/>
        <w:rPr>
          <w:rFonts w:hint="eastAsia" w:ascii="宋体" w:hAnsi="宋体" w:eastAsia="宋体" w:cs="宋体"/>
          <w:sz w:val="21"/>
          <w:szCs w:val="21"/>
        </w:rPr>
      </w:pPr>
      <w:r>
        <w:rPr>
          <w:rFonts w:hint="eastAsia" w:ascii="宋体" w:hAnsi="宋体" w:eastAsia="宋体" w:cs="宋体"/>
          <w:sz w:val="21"/>
          <w:szCs w:val="21"/>
        </w:rPr>
        <w:t>注：</w:t>
      </w:r>
    </w:p>
    <w:p w14:paraId="6D3D898D">
      <w:pPr>
        <w:pStyle w:val="7"/>
        <w:spacing w:before="109" w:line="317" w:lineRule="auto"/>
        <w:ind w:firstLine="434"/>
        <w:rPr>
          <w:rFonts w:hint="eastAsia" w:ascii="宋体" w:hAnsi="宋体" w:eastAsia="宋体" w:cs="宋体"/>
          <w:sz w:val="21"/>
          <w:szCs w:val="21"/>
        </w:rPr>
      </w:pPr>
      <w:r>
        <w:rPr>
          <w:rFonts w:hint="eastAsia" w:ascii="宋体" w:hAnsi="宋体" w:eastAsia="宋体" w:cs="宋体"/>
          <w:spacing w:val="7"/>
          <w:sz w:val="21"/>
          <w:szCs w:val="21"/>
        </w:rPr>
        <w:t>1.说明：应对照磋商文件</w:t>
      </w:r>
      <w:r>
        <w:rPr>
          <w:rFonts w:hint="eastAsia" w:ascii="宋体" w:hAnsi="宋体" w:eastAsia="宋体" w:cs="宋体"/>
          <w:spacing w:val="7"/>
          <w:sz w:val="21"/>
          <w:szCs w:val="21"/>
          <w:lang w:eastAsia="zh-CN"/>
        </w:rPr>
        <w:t>“</w:t>
      </w:r>
      <w:r>
        <w:rPr>
          <w:rFonts w:hint="eastAsia" w:ascii="宋体" w:hAnsi="宋体" w:eastAsia="宋体" w:cs="宋体"/>
          <w:spacing w:val="7"/>
          <w:sz w:val="21"/>
          <w:szCs w:val="21"/>
        </w:rPr>
        <w:t>第二章</w:t>
      </w:r>
      <w:r>
        <w:rPr>
          <w:rFonts w:hint="eastAsia" w:ascii="宋体" w:hAnsi="宋体" w:eastAsia="宋体" w:cs="宋体"/>
          <w:spacing w:val="7"/>
          <w:sz w:val="21"/>
          <w:szCs w:val="21"/>
          <w:lang w:eastAsia="zh-CN"/>
        </w:rPr>
        <w:t>”</w:t>
      </w:r>
      <w:r>
        <w:rPr>
          <w:rFonts w:hint="eastAsia" w:ascii="宋体" w:hAnsi="宋体" w:eastAsia="宋体" w:cs="宋体"/>
          <w:spacing w:val="7"/>
          <w:sz w:val="21"/>
          <w:szCs w:val="21"/>
        </w:rPr>
        <w:t>的技术需求</w:t>
      </w:r>
      <w:r>
        <w:rPr>
          <w:rFonts w:hint="eastAsia" w:ascii="宋体" w:hAnsi="宋体" w:eastAsia="宋体" w:cs="宋体"/>
          <w:b/>
          <w:bCs/>
          <w:spacing w:val="7"/>
          <w:sz w:val="21"/>
          <w:szCs w:val="21"/>
        </w:rPr>
        <w:t>（工程量清单</w:t>
      </w:r>
      <w:r>
        <w:rPr>
          <w:rFonts w:hint="eastAsia" w:ascii="宋体" w:hAnsi="宋体" w:eastAsia="宋体" w:cs="宋体"/>
          <w:b/>
          <w:bCs/>
          <w:spacing w:val="6"/>
          <w:sz w:val="21"/>
          <w:szCs w:val="21"/>
        </w:rPr>
        <w:t>的内容可以另册</w:t>
      </w:r>
      <w:r>
        <w:rPr>
          <w:rFonts w:hint="eastAsia" w:ascii="宋体" w:hAnsi="宋体" w:eastAsia="宋体" w:cs="宋体"/>
          <w:b/>
          <w:bCs/>
          <w:spacing w:val="8"/>
          <w:sz w:val="21"/>
          <w:szCs w:val="21"/>
        </w:rPr>
        <w:t>提供）</w:t>
      </w:r>
      <w:r>
        <w:rPr>
          <w:rFonts w:hint="eastAsia" w:ascii="宋体" w:hAnsi="宋体" w:eastAsia="宋体" w:cs="宋体"/>
          <w:spacing w:val="8"/>
          <w:sz w:val="21"/>
          <w:szCs w:val="21"/>
        </w:rPr>
        <w:t>逐条作出明确响应</w:t>
      </w:r>
      <w:r>
        <w:rPr>
          <w:rFonts w:hint="eastAsia" w:ascii="宋体" w:hAnsi="宋体" w:eastAsia="宋体" w:cs="宋体"/>
          <w:spacing w:val="8"/>
          <w:sz w:val="21"/>
          <w:szCs w:val="21"/>
          <w:lang w:eastAsia="zh-CN"/>
        </w:rPr>
        <w:t>，</w:t>
      </w:r>
      <w:r>
        <w:rPr>
          <w:rFonts w:hint="eastAsia" w:ascii="宋体" w:hAnsi="宋体" w:eastAsia="宋体" w:cs="宋体"/>
          <w:spacing w:val="8"/>
          <w:sz w:val="21"/>
          <w:szCs w:val="21"/>
        </w:rPr>
        <w:t>并作出偏离说明。</w:t>
      </w:r>
    </w:p>
    <w:p w14:paraId="25972DD1">
      <w:pPr>
        <w:pStyle w:val="7"/>
        <w:spacing w:before="34" w:line="322" w:lineRule="auto"/>
        <w:ind w:left="3" w:firstLine="419"/>
        <w:jc w:val="both"/>
        <w:rPr>
          <w:rFonts w:hint="eastAsia" w:ascii="宋体" w:hAnsi="宋体" w:eastAsia="宋体" w:cs="宋体"/>
          <w:sz w:val="21"/>
          <w:szCs w:val="21"/>
          <w:lang w:eastAsia="zh-CN"/>
        </w:rPr>
      </w:pPr>
      <w:r>
        <w:rPr>
          <w:rFonts w:hint="eastAsia" w:ascii="宋体" w:hAnsi="宋体" w:eastAsia="宋体" w:cs="宋体"/>
          <w:spacing w:val="8"/>
          <w:sz w:val="21"/>
          <w:szCs w:val="21"/>
        </w:rPr>
        <w:t>2.供应商应根据自身的承诺，对照磋商文件要求，在</w:t>
      </w:r>
      <w:r>
        <w:rPr>
          <w:rFonts w:hint="eastAsia" w:ascii="宋体" w:hAnsi="宋体" w:eastAsia="宋体" w:cs="宋体"/>
          <w:spacing w:val="7"/>
          <w:sz w:val="21"/>
          <w:szCs w:val="21"/>
          <w:lang w:eastAsia="zh-CN"/>
        </w:rPr>
        <w:t>“</w:t>
      </w:r>
      <w:r>
        <w:rPr>
          <w:rFonts w:hint="eastAsia" w:ascii="宋体" w:hAnsi="宋体" w:eastAsia="宋体" w:cs="宋体"/>
          <w:spacing w:val="8"/>
          <w:sz w:val="21"/>
          <w:szCs w:val="21"/>
        </w:rPr>
        <w:t>偏离说明</w:t>
      </w:r>
      <w:r>
        <w:rPr>
          <w:rFonts w:hint="eastAsia" w:ascii="宋体" w:hAnsi="宋体" w:eastAsia="宋体" w:cs="宋体"/>
          <w:spacing w:val="7"/>
          <w:sz w:val="21"/>
          <w:szCs w:val="21"/>
          <w:lang w:eastAsia="zh-CN"/>
        </w:rPr>
        <w:t>”</w:t>
      </w:r>
      <w:r>
        <w:rPr>
          <w:rFonts w:hint="eastAsia" w:ascii="宋体" w:hAnsi="宋体" w:eastAsia="宋体" w:cs="宋体"/>
          <w:spacing w:val="8"/>
          <w:sz w:val="21"/>
          <w:szCs w:val="21"/>
        </w:rPr>
        <w:t>中注明</w:t>
      </w:r>
      <w:r>
        <w:rPr>
          <w:rFonts w:hint="eastAsia" w:ascii="宋体" w:hAnsi="宋体" w:eastAsia="宋体" w:cs="宋体"/>
          <w:spacing w:val="7"/>
          <w:sz w:val="21"/>
          <w:szCs w:val="21"/>
          <w:lang w:eastAsia="zh-CN"/>
        </w:rPr>
        <w:t>“</w:t>
      </w:r>
      <w:r>
        <w:rPr>
          <w:rFonts w:hint="eastAsia" w:ascii="宋体" w:hAnsi="宋体" w:eastAsia="宋体" w:cs="宋体"/>
          <w:spacing w:val="7"/>
          <w:sz w:val="21"/>
          <w:szCs w:val="21"/>
        </w:rPr>
        <w:t>正偏离</w:t>
      </w:r>
      <w:r>
        <w:rPr>
          <w:rFonts w:hint="eastAsia" w:ascii="宋体" w:hAnsi="宋体" w:eastAsia="宋体" w:cs="宋体"/>
          <w:spacing w:val="7"/>
          <w:sz w:val="21"/>
          <w:szCs w:val="21"/>
          <w:lang w:eastAsia="zh-CN"/>
        </w:rPr>
        <w:t>”</w:t>
      </w:r>
      <w:r>
        <w:rPr>
          <w:rFonts w:hint="eastAsia" w:ascii="宋体" w:hAnsi="宋体" w:eastAsia="宋体" w:cs="宋体"/>
          <w:spacing w:val="7"/>
          <w:sz w:val="21"/>
          <w:szCs w:val="21"/>
        </w:rPr>
        <w:t>、</w:t>
      </w:r>
      <w:r>
        <w:rPr>
          <w:rFonts w:hint="eastAsia" w:ascii="宋体" w:hAnsi="宋体" w:eastAsia="宋体" w:cs="宋体"/>
          <w:spacing w:val="7"/>
          <w:sz w:val="21"/>
          <w:szCs w:val="21"/>
          <w:lang w:eastAsia="zh-CN"/>
        </w:rPr>
        <w:t>“</w:t>
      </w:r>
      <w:r>
        <w:rPr>
          <w:rFonts w:hint="eastAsia" w:ascii="宋体" w:hAnsi="宋体" w:eastAsia="宋体" w:cs="宋体"/>
          <w:spacing w:val="7"/>
          <w:sz w:val="21"/>
          <w:szCs w:val="21"/>
        </w:rPr>
        <w:t>负偏离</w:t>
      </w:r>
      <w:r>
        <w:rPr>
          <w:rFonts w:hint="eastAsia" w:ascii="宋体" w:hAnsi="宋体" w:eastAsia="宋体" w:cs="宋体"/>
          <w:spacing w:val="7"/>
          <w:sz w:val="21"/>
          <w:szCs w:val="21"/>
          <w:lang w:eastAsia="zh-CN"/>
        </w:rPr>
        <w:t>”</w:t>
      </w:r>
      <w:r>
        <w:rPr>
          <w:rFonts w:hint="eastAsia" w:ascii="宋体" w:hAnsi="宋体" w:eastAsia="宋体" w:cs="宋体"/>
          <w:spacing w:val="7"/>
          <w:sz w:val="21"/>
          <w:szCs w:val="21"/>
        </w:rPr>
        <w:t>或者</w:t>
      </w:r>
      <w:r>
        <w:rPr>
          <w:rFonts w:hint="eastAsia" w:ascii="宋体" w:hAnsi="宋体" w:eastAsia="宋体" w:cs="宋体"/>
          <w:spacing w:val="7"/>
          <w:sz w:val="21"/>
          <w:szCs w:val="21"/>
          <w:lang w:eastAsia="zh-CN"/>
        </w:rPr>
        <w:t>“</w:t>
      </w:r>
      <w:r>
        <w:rPr>
          <w:rFonts w:hint="eastAsia" w:ascii="宋体" w:hAnsi="宋体" w:eastAsia="宋体" w:cs="宋体"/>
          <w:spacing w:val="7"/>
          <w:sz w:val="21"/>
          <w:szCs w:val="21"/>
        </w:rPr>
        <w:t>无偏离</w:t>
      </w:r>
      <w:r>
        <w:rPr>
          <w:rFonts w:hint="eastAsia" w:ascii="宋体" w:hAnsi="宋体" w:eastAsia="宋体" w:cs="宋体"/>
          <w:spacing w:val="7"/>
          <w:sz w:val="21"/>
          <w:szCs w:val="21"/>
          <w:lang w:eastAsia="zh-CN"/>
        </w:rPr>
        <w:t>”</w:t>
      </w:r>
      <w:r>
        <w:rPr>
          <w:rFonts w:hint="eastAsia" w:ascii="宋体" w:hAnsi="宋体" w:eastAsia="宋体" w:cs="宋体"/>
          <w:spacing w:val="7"/>
          <w:sz w:val="21"/>
          <w:szCs w:val="21"/>
        </w:rPr>
        <w:t>。既不属于“正偏离</w:t>
      </w:r>
      <w:r>
        <w:rPr>
          <w:rFonts w:hint="eastAsia" w:ascii="宋体" w:hAnsi="宋体" w:eastAsia="宋体" w:cs="宋体"/>
          <w:spacing w:val="7"/>
          <w:sz w:val="21"/>
          <w:szCs w:val="21"/>
          <w:lang w:eastAsia="zh-CN"/>
        </w:rPr>
        <w:t>”</w:t>
      </w:r>
      <w:r>
        <w:rPr>
          <w:rFonts w:hint="eastAsia" w:ascii="宋体" w:hAnsi="宋体" w:eastAsia="宋体" w:cs="宋体"/>
          <w:spacing w:val="7"/>
          <w:sz w:val="21"/>
          <w:szCs w:val="21"/>
        </w:rPr>
        <w:t>也不属于</w:t>
      </w:r>
      <w:r>
        <w:rPr>
          <w:rFonts w:hint="eastAsia" w:ascii="宋体" w:hAnsi="宋体" w:eastAsia="宋体" w:cs="宋体"/>
          <w:spacing w:val="7"/>
          <w:sz w:val="21"/>
          <w:szCs w:val="21"/>
          <w:lang w:eastAsia="zh-CN"/>
        </w:rPr>
        <w:t>“</w:t>
      </w:r>
      <w:r>
        <w:rPr>
          <w:rFonts w:hint="eastAsia" w:ascii="宋体" w:hAnsi="宋体" w:eastAsia="宋体" w:cs="宋体"/>
          <w:spacing w:val="7"/>
          <w:sz w:val="21"/>
          <w:szCs w:val="21"/>
        </w:rPr>
        <w:t>负偏离</w:t>
      </w:r>
      <w:r>
        <w:rPr>
          <w:rFonts w:hint="eastAsia" w:ascii="宋体" w:hAnsi="宋体" w:eastAsia="宋体" w:cs="宋体"/>
          <w:spacing w:val="7"/>
          <w:sz w:val="21"/>
          <w:szCs w:val="21"/>
          <w:lang w:eastAsia="zh-CN"/>
        </w:rPr>
        <w:t>”</w:t>
      </w:r>
      <w:r>
        <w:rPr>
          <w:rFonts w:hint="eastAsia" w:ascii="宋体" w:hAnsi="宋体" w:eastAsia="宋体" w:cs="宋体"/>
          <w:spacing w:val="7"/>
          <w:sz w:val="21"/>
          <w:szCs w:val="21"/>
        </w:rPr>
        <w:t>即为</w:t>
      </w:r>
      <w:r>
        <w:rPr>
          <w:rFonts w:hint="eastAsia" w:ascii="宋体" w:hAnsi="宋体" w:eastAsia="宋体" w:cs="宋体"/>
          <w:spacing w:val="7"/>
          <w:sz w:val="21"/>
          <w:szCs w:val="21"/>
          <w:lang w:eastAsia="zh-CN"/>
        </w:rPr>
        <w:t>“</w:t>
      </w:r>
      <w:r>
        <w:rPr>
          <w:rFonts w:hint="eastAsia" w:ascii="宋体" w:hAnsi="宋体" w:eastAsia="宋体" w:cs="宋体"/>
          <w:spacing w:val="7"/>
          <w:sz w:val="21"/>
          <w:szCs w:val="21"/>
        </w:rPr>
        <w:t>无偏离</w:t>
      </w:r>
      <w:r>
        <w:rPr>
          <w:rFonts w:hint="eastAsia" w:ascii="宋体" w:hAnsi="宋体" w:eastAsia="宋体" w:cs="宋体"/>
          <w:spacing w:val="7"/>
          <w:sz w:val="21"/>
          <w:szCs w:val="21"/>
          <w:lang w:eastAsia="zh-CN"/>
        </w:rPr>
        <w:t>”。</w:t>
      </w:r>
      <w:r>
        <w:rPr>
          <w:rFonts w:hint="eastAsia" w:ascii="宋体" w:hAnsi="宋体" w:eastAsia="宋体" w:cs="宋体"/>
          <w:spacing w:val="7"/>
          <w:sz w:val="21"/>
          <w:szCs w:val="21"/>
        </w:rPr>
        <w:t>当响应文件的</w:t>
      </w:r>
      <w:r>
        <w:rPr>
          <w:rFonts w:hint="eastAsia" w:ascii="宋体" w:hAnsi="宋体" w:eastAsia="宋体" w:cs="宋体"/>
          <w:spacing w:val="9"/>
          <w:sz w:val="21"/>
          <w:szCs w:val="21"/>
          <w:lang w:val="en-US" w:eastAsia="zh-CN"/>
        </w:rPr>
        <w:t>承诺</w:t>
      </w:r>
      <w:r>
        <w:rPr>
          <w:rFonts w:hint="eastAsia" w:ascii="宋体" w:hAnsi="宋体" w:eastAsia="宋体" w:cs="宋体"/>
          <w:spacing w:val="9"/>
          <w:sz w:val="21"/>
          <w:szCs w:val="21"/>
        </w:rPr>
        <w:t>内容低于竞争性磋商文件要求时，竞标人应当如实写明</w:t>
      </w:r>
      <w:r>
        <w:rPr>
          <w:rFonts w:hint="eastAsia" w:ascii="宋体" w:hAnsi="宋体" w:eastAsia="宋体" w:cs="宋体"/>
          <w:spacing w:val="7"/>
          <w:sz w:val="21"/>
          <w:szCs w:val="21"/>
          <w:lang w:eastAsia="zh-CN"/>
        </w:rPr>
        <w:t>“</w:t>
      </w:r>
      <w:r>
        <w:rPr>
          <w:rFonts w:hint="eastAsia" w:ascii="宋体" w:hAnsi="宋体" w:eastAsia="宋体" w:cs="宋体"/>
          <w:spacing w:val="9"/>
          <w:sz w:val="21"/>
          <w:szCs w:val="21"/>
        </w:rPr>
        <w:t>负偏离</w:t>
      </w:r>
      <w:r>
        <w:rPr>
          <w:rFonts w:hint="eastAsia" w:ascii="宋体" w:hAnsi="宋体" w:eastAsia="宋体" w:cs="宋体"/>
          <w:spacing w:val="7"/>
          <w:sz w:val="21"/>
          <w:szCs w:val="21"/>
          <w:lang w:eastAsia="zh-CN"/>
        </w:rPr>
        <w:t>”</w:t>
      </w:r>
      <w:r>
        <w:rPr>
          <w:rFonts w:hint="eastAsia" w:ascii="宋体" w:hAnsi="宋体" w:eastAsia="宋体" w:cs="宋体"/>
          <w:spacing w:val="9"/>
          <w:sz w:val="21"/>
          <w:szCs w:val="21"/>
        </w:rPr>
        <w:t>，否则视为虚假应标</w:t>
      </w:r>
      <w:r>
        <w:rPr>
          <w:rFonts w:hint="eastAsia" w:ascii="宋体" w:hAnsi="宋体" w:eastAsia="宋体" w:cs="宋体"/>
          <w:spacing w:val="9"/>
          <w:sz w:val="21"/>
          <w:szCs w:val="21"/>
          <w:lang w:eastAsia="zh-CN"/>
        </w:rPr>
        <w:t>。</w:t>
      </w:r>
    </w:p>
    <w:p w14:paraId="1C480870">
      <w:pPr>
        <w:pStyle w:val="7"/>
        <w:spacing w:before="34" w:line="322" w:lineRule="auto"/>
        <w:ind w:left="3" w:firstLine="419"/>
        <w:jc w:val="both"/>
        <w:rPr>
          <w:rFonts w:hint="eastAsia" w:ascii="宋体" w:hAnsi="宋体" w:eastAsia="宋体" w:cs="宋体"/>
          <w:spacing w:val="8"/>
          <w:sz w:val="21"/>
          <w:szCs w:val="21"/>
        </w:rPr>
      </w:pPr>
      <w:r>
        <w:rPr>
          <w:rFonts w:hint="eastAsia" w:ascii="宋体" w:hAnsi="宋体" w:eastAsia="宋体" w:cs="宋体"/>
          <w:spacing w:val="8"/>
          <w:sz w:val="21"/>
          <w:szCs w:val="21"/>
        </w:rPr>
        <w:t xml:space="preserve">3.表格内容均需按要求填写并盖章，不得留空，否则按竞标无效处理。 </w:t>
      </w:r>
    </w:p>
    <w:p w14:paraId="2EEE88B9">
      <w:pPr>
        <w:pStyle w:val="7"/>
        <w:spacing w:before="34" w:line="322" w:lineRule="auto"/>
        <w:ind w:left="3" w:firstLine="419"/>
        <w:jc w:val="both"/>
        <w:rPr>
          <w:rFonts w:ascii="Times New Roman" w:hAnsi="Times New Roman" w:eastAsia="宋体" w:cs="Times New Roman"/>
          <w:spacing w:val="8"/>
          <w:sz w:val="21"/>
          <w:szCs w:val="21"/>
        </w:rPr>
      </w:pPr>
      <w:r>
        <w:rPr>
          <w:rFonts w:ascii="Times New Roman" w:hAnsi="Times New Roman" w:eastAsia="宋体" w:cs="Times New Roman"/>
          <w:spacing w:val="8"/>
          <w:sz w:val="21"/>
          <w:szCs w:val="21"/>
        </w:rPr>
        <w:t>4.如技术偏离表中的竞标响应与佐证材料不一致的， 以佐证材料为准。</w:t>
      </w:r>
    </w:p>
    <w:p w14:paraId="4BE6330E">
      <w:pPr>
        <w:spacing w:line="345" w:lineRule="auto"/>
        <w:rPr>
          <w:rFonts w:ascii="Arial"/>
          <w:sz w:val="21"/>
          <w:szCs w:val="21"/>
        </w:rPr>
      </w:pPr>
    </w:p>
    <w:p w14:paraId="1AD27101">
      <w:pPr>
        <w:pageBreakBefore w:val="0"/>
        <w:kinsoku/>
        <w:overflowPunct/>
        <w:topLinePunct w:val="0"/>
        <w:autoSpaceDE w:val="0"/>
        <w:autoSpaceDN w:val="0"/>
        <w:bidi w:val="0"/>
        <w:spacing w:line="360" w:lineRule="auto"/>
        <w:ind w:left="4305" w:leftChars="1950" w:hanging="210" w:hanging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7BB82014">
      <w:pPr>
        <w:autoSpaceDE w:val="0"/>
        <w:autoSpaceDN w:val="0"/>
        <w:spacing w:line="360" w:lineRule="auto"/>
        <w:ind w:firstLine="5670" w:firstLineChars="2700"/>
        <w:rPr>
          <w:rFonts w:hint="eastAsia" w:ascii="仿宋_GB2312" w:hAnsi="仿宋" w:eastAsia="仿宋_GB2312" w:cs="仿宋_GB2312"/>
          <w:b/>
          <w:bCs/>
          <w:color w:val="auto"/>
          <w:sz w:val="21"/>
          <w:szCs w:val="21"/>
          <w:highlight w:val="none"/>
        </w:rPr>
      </w:pPr>
      <w:r>
        <w:rPr>
          <w:rFonts w:hint="eastAsia" w:ascii="宋体" w:hAnsi="宋体" w:eastAsia="宋体" w:cs="宋体"/>
          <w:color w:val="auto"/>
          <w:kern w:val="0"/>
          <w:sz w:val="21"/>
          <w:szCs w:val="21"/>
          <w:highlight w:val="none"/>
          <w:lang w:val="zh-CN"/>
        </w:rPr>
        <w:t>日期：  年  月   日</w:t>
      </w:r>
    </w:p>
    <w:p w14:paraId="44D70412">
      <w:pPr>
        <w:spacing w:line="500" w:lineRule="exact"/>
        <w:jc w:val="center"/>
        <w:rPr>
          <w:rFonts w:ascii="宋体" w:hAnsi="宋体" w:cs="仿宋_GB2312"/>
          <w:color w:val="000000"/>
          <w:sz w:val="32"/>
          <w:szCs w:val="32"/>
          <w:highlight w:val="none"/>
        </w:rPr>
        <w:sectPr>
          <w:pgSz w:w="11910" w:h="16840"/>
          <w:pgMar w:top="1417" w:right="1417" w:bottom="1417" w:left="1417" w:header="720" w:footer="720" w:gutter="0"/>
          <w:pgNumType w:fmt="decimal"/>
          <w:cols w:space="720" w:num="1"/>
          <w:rtlGutter w:val="0"/>
        </w:sectPr>
      </w:pPr>
      <w:r>
        <w:rPr>
          <w:rFonts w:hint="eastAsia" w:ascii="宋体" w:hAnsi="宋体" w:cs="仿宋_GB2312"/>
          <w:b/>
          <w:color w:val="000000"/>
          <w:sz w:val="30"/>
          <w:szCs w:val="30"/>
          <w:highlight w:val="none"/>
          <w:lang w:val="en-US" w:eastAsia="zh-CN"/>
        </w:rPr>
        <w:br w:type="page"/>
      </w:r>
    </w:p>
    <w:p w14:paraId="5146D922">
      <w:pPr>
        <w:snapToGrid w:val="0"/>
        <w:spacing w:line="360" w:lineRule="auto"/>
        <w:jc w:val="center"/>
        <w:rPr>
          <w:rFonts w:ascii="宋体" w:hAnsi="宋体" w:cs="仿宋_GB2312"/>
          <w:b/>
          <w:color w:val="000000"/>
          <w:sz w:val="30"/>
          <w:szCs w:val="30"/>
          <w:highlight w:val="none"/>
        </w:rPr>
      </w:pPr>
      <w:r>
        <w:rPr>
          <w:rFonts w:hint="eastAsia" w:ascii="宋体" w:hAnsi="宋体" w:cs="仿宋_GB2312"/>
          <w:b/>
          <w:color w:val="000000"/>
          <w:sz w:val="30"/>
          <w:szCs w:val="30"/>
          <w:highlight w:val="none"/>
        </w:rPr>
        <w:t>施工组织设计</w:t>
      </w:r>
    </w:p>
    <w:p w14:paraId="2C004627">
      <w:pPr>
        <w:pStyle w:val="7"/>
        <w:spacing w:before="214" w:line="371" w:lineRule="auto"/>
        <w:ind w:firstLine="435"/>
        <w:rPr>
          <w:sz w:val="21"/>
          <w:szCs w:val="21"/>
        </w:rPr>
      </w:pPr>
      <w:r>
        <w:rPr>
          <w:spacing w:val="9"/>
          <w:sz w:val="21"/>
          <w:szCs w:val="21"/>
        </w:rPr>
        <w:t>1.</w:t>
      </w:r>
      <w:r>
        <w:rPr>
          <w:rFonts w:hint="eastAsia"/>
          <w:spacing w:val="9"/>
          <w:sz w:val="21"/>
          <w:szCs w:val="21"/>
          <w:lang w:val="en-US" w:eastAsia="zh-CN"/>
        </w:rPr>
        <w:t>供应商</w:t>
      </w:r>
      <w:r>
        <w:rPr>
          <w:spacing w:val="9"/>
          <w:sz w:val="21"/>
          <w:szCs w:val="21"/>
        </w:rPr>
        <w:t>编制施工组织设计时，应采用文字并结合图表形式说明工程的施工组织、施</w:t>
      </w:r>
      <w:r>
        <w:rPr>
          <w:spacing w:val="8"/>
          <w:sz w:val="21"/>
          <w:szCs w:val="21"/>
        </w:rPr>
        <w:t>工方法、</w:t>
      </w:r>
      <w:r>
        <w:rPr>
          <w:sz w:val="21"/>
          <w:szCs w:val="21"/>
        </w:rPr>
        <w:t xml:space="preserve"> </w:t>
      </w:r>
      <w:r>
        <w:rPr>
          <w:spacing w:val="10"/>
          <w:sz w:val="21"/>
          <w:szCs w:val="21"/>
        </w:rPr>
        <w:t>技术组织措施，同时应对关键工序、复杂环节重点提</w:t>
      </w:r>
      <w:r>
        <w:rPr>
          <w:spacing w:val="9"/>
          <w:sz w:val="21"/>
          <w:szCs w:val="21"/>
        </w:rPr>
        <w:t>出相应技术措施，如冬雨季施工技术、减少噪</w:t>
      </w:r>
      <w:r>
        <w:rPr>
          <w:spacing w:val="10"/>
          <w:sz w:val="21"/>
          <w:szCs w:val="21"/>
        </w:rPr>
        <w:t>音、降低环境污染、地下管线及其它地上地下</w:t>
      </w:r>
      <w:r>
        <w:rPr>
          <w:spacing w:val="9"/>
          <w:sz w:val="21"/>
          <w:szCs w:val="21"/>
        </w:rPr>
        <w:t>设施的保护加固措施等。施工组织设计还应结合工程</w:t>
      </w:r>
      <w:r>
        <w:rPr>
          <w:spacing w:val="10"/>
          <w:sz w:val="21"/>
          <w:szCs w:val="21"/>
        </w:rPr>
        <w:t>特点提出切实可行的工程质量、工程进度、安</w:t>
      </w:r>
      <w:r>
        <w:rPr>
          <w:spacing w:val="9"/>
          <w:sz w:val="21"/>
          <w:szCs w:val="21"/>
        </w:rPr>
        <w:t>全生产、防汛度汛、文明施工、水土保持、环境保护</w:t>
      </w:r>
      <w:r>
        <w:rPr>
          <w:spacing w:val="5"/>
          <w:sz w:val="21"/>
          <w:szCs w:val="21"/>
        </w:rPr>
        <w:t>管理方案。</w:t>
      </w:r>
    </w:p>
    <w:p w14:paraId="1F4AC121">
      <w:pPr>
        <w:pStyle w:val="7"/>
        <w:spacing w:before="31" w:line="227" w:lineRule="auto"/>
        <w:ind w:left="419"/>
        <w:rPr>
          <w:sz w:val="21"/>
          <w:szCs w:val="21"/>
        </w:rPr>
      </w:pPr>
      <w:r>
        <w:rPr>
          <w:spacing w:val="9"/>
          <w:sz w:val="21"/>
          <w:szCs w:val="21"/>
        </w:rPr>
        <w:t>施工组织设计应附的文字说明如下(包括但不限于以下内容，否则响应文件无效)：</w:t>
      </w:r>
    </w:p>
    <w:p w14:paraId="519F7D13">
      <w:pPr>
        <w:pStyle w:val="7"/>
        <w:spacing w:before="162" w:line="229" w:lineRule="auto"/>
        <w:ind w:left="430"/>
        <w:rPr>
          <w:sz w:val="21"/>
          <w:szCs w:val="21"/>
        </w:rPr>
      </w:pPr>
      <w:r>
        <w:rPr>
          <w:spacing w:val="7"/>
          <w:sz w:val="21"/>
          <w:szCs w:val="21"/>
        </w:rPr>
        <w:t>（1）主要施工方法</w:t>
      </w:r>
    </w:p>
    <w:p w14:paraId="4508D900">
      <w:pPr>
        <w:pStyle w:val="7"/>
        <w:spacing w:before="162" w:line="227" w:lineRule="auto"/>
        <w:ind w:left="430"/>
        <w:rPr>
          <w:sz w:val="21"/>
          <w:szCs w:val="21"/>
        </w:rPr>
      </w:pPr>
      <w:r>
        <w:rPr>
          <w:spacing w:val="8"/>
          <w:sz w:val="21"/>
          <w:szCs w:val="21"/>
        </w:rPr>
        <w:t>（2）拟投入的主要物资计划</w:t>
      </w:r>
    </w:p>
    <w:p w14:paraId="25907D6C">
      <w:pPr>
        <w:pStyle w:val="7"/>
        <w:spacing w:before="162" w:line="227" w:lineRule="auto"/>
        <w:ind w:left="430"/>
        <w:rPr>
          <w:sz w:val="21"/>
          <w:szCs w:val="21"/>
        </w:rPr>
      </w:pPr>
      <w:r>
        <w:rPr>
          <w:spacing w:val="8"/>
          <w:sz w:val="21"/>
          <w:szCs w:val="21"/>
        </w:rPr>
        <w:t>（3）拟投入的主要施工机械、设备计划</w:t>
      </w:r>
    </w:p>
    <w:p w14:paraId="041A43FD">
      <w:pPr>
        <w:pStyle w:val="7"/>
        <w:spacing w:before="161" w:line="228" w:lineRule="auto"/>
        <w:ind w:left="430"/>
        <w:rPr>
          <w:sz w:val="21"/>
          <w:szCs w:val="21"/>
        </w:rPr>
      </w:pPr>
      <w:r>
        <w:rPr>
          <w:spacing w:val="7"/>
          <w:sz w:val="21"/>
          <w:szCs w:val="21"/>
        </w:rPr>
        <w:t>（4）劳动力安排计划</w:t>
      </w:r>
    </w:p>
    <w:p w14:paraId="76FABC88">
      <w:pPr>
        <w:pStyle w:val="7"/>
        <w:spacing w:before="161" w:line="228" w:lineRule="auto"/>
        <w:ind w:left="430"/>
        <w:rPr>
          <w:sz w:val="21"/>
          <w:szCs w:val="21"/>
        </w:rPr>
      </w:pPr>
      <w:r>
        <w:rPr>
          <w:spacing w:val="8"/>
          <w:sz w:val="21"/>
          <w:szCs w:val="21"/>
        </w:rPr>
        <w:t>（5）确保工程质量的技术组织措施</w:t>
      </w:r>
    </w:p>
    <w:p w14:paraId="0AF09D2E">
      <w:pPr>
        <w:pStyle w:val="7"/>
        <w:spacing w:before="160" w:line="228" w:lineRule="auto"/>
        <w:ind w:left="430"/>
        <w:rPr>
          <w:sz w:val="21"/>
          <w:szCs w:val="21"/>
        </w:rPr>
      </w:pPr>
      <w:r>
        <w:rPr>
          <w:spacing w:val="8"/>
          <w:sz w:val="21"/>
          <w:szCs w:val="21"/>
        </w:rPr>
        <w:t>（6）确保安全生产的技术组织措施</w:t>
      </w:r>
    </w:p>
    <w:p w14:paraId="66B87F9E">
      <w:pPr>
        <w:pStyle w:val="7"/>
        <w:spacing w:before="161" w:line="228" w:lineRule="auto"/>
        <w:ind w:left="430"/>
        <w:rPr>
          <w:sz w:val="21"/>
          <w:szCs w:val="21"/>
        </w:rPr>
      </w:pPr>
      <w:r>
        <w:rPr>
          <w:spacing w:val="8"/>
          <w:sz w:val="21"/>
          <w:szCs w:val="21"/>
        </w:rPr>
        <w:t>（7）确保工期的技术组织措施</w:t>
      </w:r>
    </w:p>
    <w:p w14:paraId="792B8B2D">
      <w:pPr>
        <w:pStyle w:val="7"/>
        <w:spacing w:before="165" w:line="228" w:lineRule="auto"/>
        <w:ind w:left="430"/>
        <w:rPr>
          <w:sz w:val="21"/>
          <w:szCs w:val="21"/>
        </w:rPr>
      </w:pPr>
      <w:r>
        <w:rPr>
          <w:spacing w:val="8"/>
          <w:sz w:val="21"/>
          <w:szCs w:val="21"/>
        </w:rPr>
        <w:t>（8）工程施工的重点和难点及保证措施</w:t>
      </w:r>
    </w:p>
    <w:p w14:paraId="2105CE93">
      <w:pPr>
        <w:spacing w:line="248" w:lineRule="auto"/>
        <w:rPr>
          <w:rFonts w:ascii="Arial"/>
          <w:sz w:val="21"/>
          <w:szCs w:val="21"/>
        </w:rPr>
      </w:pPr>
    </w:p>
    <w:p w14:paraId="5F61F1C8">
      <w:pPr>
        <w:pStyle w:val="7"/>
        <w:spacing w:before="65" w:line="83" w:lineRule="exact"/>
        <w:ind w:left="425"/>
        <w:rPr>
          <w:sz w:val="21"/>
          <w:szCs w:val="21"/>
        </w:rPr>
      </w:pPr>
      <w:r>
        <w:rPr>
          <w:spacing w:val="4"/>
          <w:position w:val="1"/>
          <w:sz w:val="21"/>
          <w:szCs w:val="21"/>
        </w:rPr>
        <w:t>......</w:t>
      </w:r>
    </w:p>
    <w:p w14:paraId="2C75AE2E">
      <w:pPr>
        <w:spacing w:line="254" w:lineRule="auto"/>
        <w:rPr>
          <w:rFonts w:ascii="Arial"/>
          <w:sz w:val="21"/>
          <w:szCs w:val="21"/>
        </w:rPr>
      </w:pPr>
    </w:p>
    <w:p w14:paraId="5BA91950">
      <w:pPr>
        <w:spacing w:line="255" w:lineRule="auto"/>
        <w:rPr>
          <w:rFonts w:ascii="Arial"/>
          <w:sz w:val="21"/>
          <w:szCs w:val="21"/>
        </w:rPr>
      </w:pPr>
    </w:p>
    <w:p w14:paraId="64D72306">
      <w:pPr>
        <w:pStyle w:val="7"/>
        <w:numPr>
          <w:ilvl w:val="0"/>
          <w:numId w:val="3"/>
        </w:numPr>
        <w:spacing w:before="66" w:line="364" w:lineRule="auto"/>
        <w:ind w:left="435" w:right="1914" w:hanging="13"/>
        <w:rPr>
          <w:spacing w:val="9"/>
          <w:sz w:val="21"/>
          <w:szCs w:val="21"/>
        </w:rPr>
      </w:pPr>
      <w:r>
        <w:rPr>
          <w:spacing w:val="8"/>
          <w:sz w:val="21"/>
          <w:szCs w:val="21"/>
        </w:rPr>
        <w:t>施工组织设计除采用文字表述外应附下列图表，图表及格式要求附后。</w:t>
      </w:r>
      <w:r>
        <w:rPr>
          <w:spacing w:val="9"/>
          <w:sz w:val="21"/>
          <w:szCs w:val="21"/>
        </w:rPr>
        <w:t xml:space="preserve"> </w:t>
      </w:r>
    </w:p>
    <w:p w14:paraId="0947FAD7">
      <w:pPr>
        <w:pStyle w:val="7"/>
        <w:spacing w:before="30" w:line="227" w:lineRule="auto"/>
        <w:ind w:left="436"/>
        <w:rPr>
          <w:spacing w:val="9"/>
          <w:sz w:val="21"/>
          <w:szCs w:val="21"/>
        </w:rPr>
      </w:pPr>
      <w:r>
        <w:rPr>
          <w:spacing w:val="9"/>
          <w:sz w:val="21"/>
          <w:szCs w:val="21"/>
        </w:rPr>
        <w:t>附件一：拟投入本合同工程的主要施工设备表</w:t>
      </w:r>
    </w:p>
    <w:p w14:paraId="70124446">
      <w:pPr>
        <w:pStyle w:val="7"/>
        <w:spacing w:before="30" w:line="227" w:lineRule="auto"/>
        <w:ind w:left="436"/>
        <w:rPr>
          <w:spacing w:val="9"/>
          <w:sz w:val="21"/>
          <w:szCs w:val="21"/>
        </w:rPr>
      </w:pPr>
      <w:r>
        <w:rPr>
          <w:spacing w:val="9"/>
          <w:sz w:val="21"/>
          <w:szCs w:val="21"/>
        </w:rPr>
        <w:t>附件二：拟投入本合同工程的试验和检测仪器设备表</w:t>
      </w:r>
    </w:p>
    <w:p w14:paraId="68716B50">
      <w:pPr>
        <w:pStyle w:val="7"/>
        <w:spacing w:before="30" w:line="227" w:lineRule="auto"/>
        <w:ind w:left="436"/>
        <w:rPr>
          <w:spacing w:val="9"/>
          <w:sz w:val="21"/>
          <w:szCs w:val="21"/>
        </w:rPr>
      </w:pPr>
      <w:r>
        <w:rPr>
          <w:spacing w:val="9"/>
          <w:sz w:val="21"/>
          <w:szCs w:val="21"/>
        </w:rPr>
        <w:t>附件三：拟投入本合同工程的劳动力计划表</w:t>
      </w:r>
    </w:p>
    <w:p w14:paraId="2FCED705">
      <w:pPr>
        <w:pStyle w:val="7"/>
        <w:spacing w:before="30" w:line="227" w:lineRule="auto"/>
        <w:ind w:left="436"/>
        <w:rPr>
          <w:spacing w:val="9"/>
          <w:sz w:val="21"/>
          <w:szCs w:val="21"/>
        </w:rPr>
      </w:pPr>
      <w:r>
        <w:rPr>
          <w:spacing w:val="9"/>
          <w:sz w:val="21"/>
          <w:szCs w:val="21"/>
        </w:rPr>
        <w:t>附件四、拟投入本合同工程的材料进场计划表</w:t>
      </w:r>
    </w:p>
    <w:p w14:paraId="1CD6BFDF">
      <w:pPr>
        <w:pStyle w:val="7"/>
        <w:spacing w:before="30" w:line="227" w:lineRule="auto"/>
        <w:ind w:left="436"/>
        <w:rPr>
          <w:spacing w:val="9"/>
          <w:sz w:val="21"/>
          <w:szCs w:val="21"/>
        </w:rPr>
      </w:pPr>
      <w:r>
        <w:rPr>
          <w:spacing w:val="9"/>
          <w:sz w:val="21"/>
          <w:szCs w:val="21"/>
        </w:rPr>
        <w:t xml:space="preserve">附件五：计划开工日期、完工日期和施工进度网络图(或横递图) </w:t>
      </w:r>
    </w:p>
    <w:p w14:paraId="05FB1D32">
      <w:pPr>
        <w:pStyle w:val="7"/>
        <w:spacing w:before="30" w:line="227" w:lineRule="auto"/>
        <w:ind w:left="436"/>
        <w:rPr>
          <w:spacing w:val="9"/>
          <w:sz w:val="21"/>
          <w:szCs w:val="21"/>
        </w:rPr>
      </w:pPr>
      <w:r>
        <w:rPr>
          <w:spacing w:val="9"/>
          <w:sz w:val="21"/>
          <w:szCs w:val="21"/>
        </w:rPr>
        <w:t>附件六：施工总平面图</w:t>
      </w:r>
    </w:p>
    <w:p w14:paraId="39CE9898">
      <w:pPr>
        <w:pStyle w:val="7"/>
        <w:spacing w:before="30" w:line="227" w:lineRule="auto"/>
        <w:ind w:left="436"/>
        <w:rPr>
          <w:spacing w:val="9"/>
          <w:sz w:val="21"/>
          <w:szCs w:val="21"/>
        </w:rPr>
      </w:pPr>
      <w:r>
        <w:rPr>
          <w:spacing w:val="9"/>
          <w:sz w:val="21"/>
          <w:szCs w:val="21"/>
        </w:rPr>
        <w:t>附件七：临时用地表</w:t>
      </w:r>
    </w:p>
    <w:p w14:paraId="3DBBC049">
      <w:pPr>
        <w:spacing w:line="227" w:lineRule="auto"/>
        <w:rPr>
          <w:sz w:val="21"/>
          <w:szCs w:val="21"/>
        </w:rPr>
        <w:sectPr>
          <w:headerReference r:id="rId11" w:type="default"/>
          <w:footerReference r:id="rId12" w:type="default"/>
          <w:pgSz w:w="11910" w:h="16840"/>
          <w:pgMar w:top="1440" w:right="1080" w:bottom="1440" w:left="1080" w:header="0" w:footer="859" w:gutter="0"/>
          <w:pgNumType w:fmt="decimal"/>
          <w:cols w:space="720" w:num="1"/>
        </w:sectPr>
      </w:pPr>
    </w:p>
    <w:p w14:paraId="786D631F">
      <w:pPr>
        <w:rPr>
          <w:b/>
          <w:bCs/>
          <w:color w:val="auto"/>
          <w:highlight w:val="none"/>
        </w:rPr>
      </w:pPr>
      <w:r>
        <w:rPr>
          <w:b/>
          <w:bCs/>
          <w:color w:val="auto"/>
          <w:highlight w:val="none"/>
        </w:rPr>
        <w:t>附表一：拟投入本合同工程的主要施工设备表</w:t>
      </w:r>
    </w:p>
    <w:p w14:paraId="46B44F81">
      <w:pPr>
        <w:jc w:val="center"/>
        <w:rPr>
          <w:b/>
          <w:bCs/>
          <w:color w:val="auto"/>
          <w:highlight w:val="none"/>
        </w:rPr>
      </w:pPr>
    </w:p>
    <w:p w14:paraId="00A3B0AE">
      <w:pPr>
        <w:jc w:val="center"/>
        <w:rPr>
          <w:b/>
          <w:bCs/>
          <w:color w:val="auto"/>
          <w:highlight w:val="none"/>
        </w:rPr>
      </w:pPr>
      <w:r>
        <w:rPr>
          <w:b/>
          <w:bCs/>
          <w:color w:val="auto"/>
          <w:highlight w:val="none"/>
        </w:rPr>
        <w:t>拟投入本合同工程的主要施工设备表</w:t>
      </w:r>
    </w:p>
    <w:p w14:paraId="36ADA18B">
      <w:pPr>
        <w:rPr>
          <w:color w:val="auto"/>
          <w:szCs w:val="21"/>
          <w:highlight w:val="none"/>
        </w:rPr>
      </w:pPr>
    </w:p>
    <w:tbl>
      <w:tblPr>
        <w:tblStyle w:val="15"/>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851"/>
        <w:gridCol w:w="1134"/>
        <w:gridCol w:w="992"/>
        <w:gridCol w:w="1134"/>
        <w:gridCol w:w="992"/>
      </w:tblGrid>
      <w:tr w14:paraId="1A794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58" w:type="dxa"/>
            <w:vAlign w:val="center"/>
          </w:tcPr>
          <w:p w14:paraId="282B54F9">
            <w:pPr>
              <w:jc w:val="center"/>
              <w:rPr>
                <w:color w:val="auto"/>
                <w:szCs w:val="21"/>
                <w:highlight w:val="none"/>
              </w:rPr>
            </w:pPr>
            <w:r>
              <w:rPr>
                <w:color w:val="auto"/>
                <w:szCs w:val="21"/>
                <w:highlight w:val="none"/>
              </w:rPr>
              <w:t>序号</w:t>
            </w:r>
          </w:p>
        </w:tc>
        <w:tc>
          <w:tcPr>
            <w:tcW w:w="1226" w:type="dxa"/>
            <w:vAlign w:val="center"/>
          </w:tcPr>
          <w:p w14:paraId="41623A7D">
            <w:pPr>
              <w:jc w:val="center"/>
              <w:rPr>
                <w:color w:val="auto"/>
                <w:szCs w:val="21"/>
                <w:highlight w:val="none"/>
              </w:rPr>
            </w:pPr>
            <w:r>
              <w:rPr>
                <w:color w:val="auto"/>
                <w:szCs w:val="21"/>
                <w:highlight w:val="none"/>
              </w:rPr>
              <w:t>设备名称</w:t>
            </w:r>
          </w:p>
        </w:tc>
        <w:tc>
          <w:tcPr>
            <w:tcW w:w="851" w:type="dxa"/>
            <w:vAlign w:val="center"/>
          </w:tcPr>
          <w:p w14:paraId="454D035E">
            <w:pPr>
              <w:jc w:val="center"/>
              <w:rPr>
                <w:color w:val="auto"/>
                <w:szCs w:val="21"/>
                <w:highlight w:val="none"/>
              </w:rPr>
            </w:pPr>
            <w:r>
              <w:rPr>
                <w:color w:val="auto"/>
                <w:szCs w:val="21"/>
                <w:highlight w:val="none"/>
              </w:rPr>
              <w:t>型号</w:t>
            </w:r>
          </w:p>
          <w:p w14:paraId="148865F3">
            <w:pPr>
              <w:jc w:val="center"/>
              <w:rPr>
                <w:color w:val="auto"/>
                <w:szCs w:val="21"/>
                <w:highlight w:val="none"/>
              </w:rPr>
            </w:pPr>
            <w:r>
              <w:rPr>
                <w:color w:val="auto"/>
                <w:szCs w:val="21"/>
                <w:highlight w:val="none"/>
              </w:rPr>
              <w:t>规格</w:t>
            </w:r>
          </w:p>
        </w:tc>
        <w:tc>
          <w:tcPr>
            <w:tcW w:w="708" w:type="dxa"/>
            <w:vAlign w:val="center"/>
          </w:tcPr>
          <w:p w14:paraId="46EBBAE6">
            <w:pPr>
              <w:jc w:val="center"/>
              <w:rPr>
                <w:color w:val="auto"/>
                <w:szCs w:val="21"/>
                <w:highlight w:val="none"/>
              </w:rPr>
            </w:pPr>
            <w:r>
              <w:rPr>
                <w:color w:val="auto"/>
                <w:szCs w:val="21"/>
                <w:highlight w:val="none"/>
              </w:rPr>
              <w:t>数量</w:t>
            </w:r>
          </w:p>
        </w:tc>
        <w:tc>
          <w:tcPr>
            <w:tcW w:w="709" w:type="dxa"/>
            <w:vAlign w:val="center"/>
          </w:tcPr>
          <w:p w14:paraId="113C07B0">
            <w:pPr>
              <w:jc w:val="center"/>
              <w:rPr>
                <w:color w:val="auto"/>
                <w:szCs w:val="21"/>
                <w:highlight w:val="none"/>
              </w:rPr>
            </w:pPr>
            <w:r>
              <w:rPr>
                <w:color w:val="auto"/>
                <w:szCs w:val="21"/>
                <w:highlight w:val="none"/>
              </w:rPr>
              <w:t>国别</w:t>
            </w:r>
          </w:p>
          <w:p w14:paraId="4F571687">
            <w:pPr>
              <w:jc w:val="center"/>
              <w:rPr>
                <w:color w:val="auto"/>
                <w:szCs w:val="21"/>
                <w:highlight w:val="none"/>
              </w:rPr>
            </w:pPr>
            <w:r>
              <w:rPr>
                <w:color w:val="auto"/>
                <w:szCs w:val="21"/>
                <w:highlight w:val="none"/>
              </w:rPr>
              <w:t>产地</w:t>
            </w:r>
          </w:p>
        </w:tc>
        <w:tc>
          <w:tcPr>
            <w:tcW w:w="851" w:type="dxa"/>
            <w:vAlign w:val="center"/>
          </w:tcPr>
          <w:p w14:paraId="00AC0CB8">
            <w:pPr>
              <w:jc w:val="center"/>
              <w:rPr>
                <w:color w:val="auto"/>
                <w:szCs w:val="21"/>
                <w:highlight w:val="none"/>
              </w:rPr>
            </w:pPr>
            <w:r>
              <w:rPr>
                <w:color w:val="auto"/>
                <w:szCs w:val="21"/>
                <w:highlight w:val="none"/>
              </w:rPr>
              <w:t>制造</w:t>
            </w:r>
          </w:p>
          <w:p w14:paraId="7E4775CA">
            <w:pPr>
              <w:jc w:val="center"/>
              <w:rPr>
                <w:color w:val="auto"/>
                <w:szCs w:val="21"/>
                <w:highlight w:val="none"/>
              </w:rPr>
            </w:pPr>
            <w:r>
              <w:rPr>
                <w:color w:val="auto"/>
                <w:szCs w:val="21"/>
                <w:highlight w:val="none"/>
              </w:rPr>
              <w:t>年份</w:t>
            </w:r>
          </w:p>
        </w:tc>
        <w:tc>
          <w:tcPr>
            <w:tcW w:w="1134" w:type="dxa"/>
            <w:vAlign w:val="center"/>
          </w:tcPr>
          <w:p w14:paraId="0CE28266">
            <w:pPr>
              <w:jc w:val="center"/>
              <w:rPr>
                <w:color w:val="auto"/>
                <w:szCs w:val="21"/>
                <w:highlight w:val="none"/>
              </w:rPr>
            </w:pPr>
            <w:r>
              <w:rPr>
                <w:color w:val="auto"/>
                <w:szCs w:val="21"/>
                <w:highlight w:val="none"/>
              </w:rPr>
              <w:t>额定功率</w:t>
            </w:r>
          </w:p>
          <w:p w14:paraId="0825CB11">
            <w:pPr>
              <w:jc w:val="center"/>
              <w:rPr>
                <w:color w:val="auto"/>
                <w:szCs w:val="21"/>
                <w:highlight w:val="none"/>
              </w:rPr>
            </w:pPr>
            <w:r>
              <w:rPr>
                <w:color w:val="auto"/>
                <w:szCs w:val="21"/>
                <w:highlight w:val="none"/>
              </w:rPr>
              <w:t>（kW）</w:t>
            </w:r>
          </w:p>
        </w:tc>
        <w:tc>
          <w:tcPr>
            <w:tcW w:w="992" w:type="dxa"/>
            <w:vAlign w:val="center"/>
          </w:tcPr>
          <w:p w14:paraId="230572E6">
            <w:pPr>
              <w:jc w:val="center"/>
              <w:rPr>
                <w:color w:val="auto"/>
                <w:szCs w:val="21"/>
                <w:highlight w:val="none"/>
              </w:rPr>
            </w:pPr>
            <w:r>
              <w:rPr>
                <w:color w:val="auto"/>
                <w:szCs w:val="21"/>
                <w:highlight w:val="none"/>
              </w:rPr>
              <w:t>生产</w:t>
            </w:r>
          </w:p>
          <w:p w14:paraId="6F2E29D9">
            <w:pPr>
              <w:jc w:val="center"/>
              <w:rPr>
                <w:color w:val="auto"/>
                <w:szCs w:val="21"/>
                <w:highlight w:val="none"/>
              </w:rPr>
            </w:pPr>
            <w:r>
              <w:rPr>
                <w:color w:val="auto"/>
                <w:szCs w:val="21"/>
                <w:highlight w:val="none"/>
              </w:rPr>
              <w:t>能力</w:t>
            </w:r>
          </w:p>
        </w:tc>
        <w:tc>
          <w:tcPr>
            <w:tcW w:w="1134" w:type="dxa"/>
            <w:vAlign w:val="center"/>
          </w:tcPr>
          <w:p w14:paraId="3CFE6C4F">
            <w:pPr>
              <w:jc w:val="center"/>
              <w:rPr>
                <w:color w:val="auto"/>
                <w:szCs w:val="21"/>
                <w:highlight w:val="none"/>
              </w:rPr>
            </w:pPr>
            <w:r>
              <w:rPr>
                <w:color w:val="auto"/>
                <w:szCs w:val="21"/>
                <w:highlight w:val="none"/>
              </w:rPr>
              <w:t>用于施</w:t>
            </w:r>
          </w:p>
          <w:p w14:paraId="76A36356">
            <w:pPr>
              <w:jc w:val="center"/>
              <w:rPr>
                <w:color w:val="auto"/>
                <w:szCs w:val="21"/>
                <w:highlight w:val="none"/>
              </w:rPr>
            </w:pPr>
            <w:r>
              <w:rPr>
                <w:color w:val="auto"/>
                <w:szCs w:val="21"/>
                <w:highlight w:val="none"/>
              </w:rPr>
              <w:t>工部位</w:t>
            </w:r>
          </w:p>
        </w:tc>
        <w:tc>
          <w:tcPr>
            <w:tcW w:w="992" w:type="dxa"/>
            <w:vAlign w:val="center"/>
          </w:tcPr>
          <w:p w14:paraId="7529ED52">
            <w:pPr>
              <w:jc w:val="center"/>
              <w:rPr>
                <w:color w:val="auto"/>
                <w:szCs w:val="21"/>
                <w:highlight w:val="none"/>
              </w:rPr>
            </w:pPr>
            <w:r>
              <w:rPr>
                <w:color w:val="auto"/>
                <w:szCs w:val="21"/>
                <w:highlight w:val="none"/>
              </w:rPr>
              <w:t>备注</w:t>
            </w:r>
          </w:p>
        </w:tc>
      </w:tr>
      <w:tr w14:paraId="7AA35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vAlign w:val="top"/>
          </w:tcPr>
          <w:p w14:paraId="0A3464D8">
            <w:pPr>
              <w:spacing w:line="360" w:lineRule="auto"/>
              <w:rPr>
                <w:color w:val="auto"/>
                <w:szCs w:val="21"/>
                <w:highlight w:val="none"/>
              </w:rPr>
            </w:pPr>
          </w:p>
        </w:tc>
        <w:tc>
          <w:tcPr>
            <w:tcW w:w="1226" w:type="dxa"/>
            <w:vAlign w:val="top"/>
          </w:tcPr>
          <w:p w14:paraId="46C06BC4">
            <w:pPr>
              <w:spacing w:line="360" w:lineRule="auto"/>
              <w:ind w:firstLine="420" w:firstLineChars="200"/>
              <w:rPr>
                <w:color w:val="auto"/>
                <w:szCs w:val="21"/>
                <w:highlight w:val="none"/>
              </w:rPr>
            </w:pPr>
          </w:p>
        </w:tc>
        <w:tc>
          <w:tcPr>
            <w:tcW w:w="851" w:type="dxa"/>
            <w:vAlign w:val="top"/>
          </w:tcPr>
          <w:p w14:paraId="69E99BCA">
            <w:pPr>
              <w:spacing w:line="360" w:lineRule="auto"/>
              <w:rPr>
                <w:color w:val="auto"/>
                <w:szCs w:val="21"/>
                <w:highlight w:val="none"/>
              </w:rPr>
            </w:pPr>
          </w:p>
        </w:tc>
        <w:tc>
          <w:tcPr>
            <w:tcW w:w="708" w:type="dxa"/>
            <w:vAlign w:val="top"/>
          </w:tcPr>
          <w:p w14:paraId="4F2B1247">
            <w:pPr>
              <w:spacing w:line="360" w:lineRule="auto"/>
              <w:rPr>
                <w:color w:val="auto"/>
                <w:szCs w:val="21"/>
                <w:highlight w:val="none"/>
              </w:rPr>
            </w:pPr>
          </w:p>
        </w:tc>
        <w:tc>
          <w:tcPr>
            <w:tcW w:w="709" w:type="dxa"/>
            <w:vAlign w:val="top"/>
          </w:tcPr>
          <w:p w14:paraId="6FF4D9C7">
            <w:pPr>
              <w:spacing w:line="360" w:lineRule="auto"/>
              <w:rPr>
                <w:color w:val="auto"/>
                <w:szCs w:val="21"/>
                <w:highlight w:val="none"/>
              </w:rPr>
            </w:pPr>
          </w:p>
        </w:tc>
        <w:tc>
          <w:tcPr>
            <w:tcW w:w="851" w:type="dxa"/>
            <w:vAlign w:val="top"/>
          </w:tcPr>
          <w:p w14:paraId="40610BAA">
            <w:pPr>
              <w:spacing w:line="360" w:lineRule="auto"/>
              <w:rPr>
                <w:color w:val="auto"/>
                <w:szCs w:val="21"/>
                <w:highlight w:val="none"/>
              </w:rPr>
            </w:pPr>
          </w:p>
        </w:tc>
        <w:tc>
          <w:tcPr>
            <w:tcW w:w="1134" w:type="dxa"/>
            <w:vAlign w:val="top"/>
          </w:tcPr>
          <w:p w14:paraId="32D9745B">
            <w:pPr>
              <w:spacing w:line="360" w:lineRule="auto"/>
              <w:rPr>
                <w:color w:val="auto"/>
                <w:szCs w:val="21"/>
                <w:highlight w:val="none"/>
              </w:rPr>
            </w:pPr>
          </w:p>
        </w:tc>
        <w:tc>
          <w:tcPr>
            <w:tcW w:w="992" w:type="dxa"/>
            <w:vAlign w:val="top"/>
          </w:tcPr>
          <w:p w14:paraId="070E036A">
            <w:pPr>
              <w:spacing w:line="360" w:lineRule="auto"/>
              <w:rPr>
                <w:color w:val="auto"/>
                <w:szCs w:val="21"/>
                <w:highlight w:val="none"/>
              </w:rPr>
            </w:pPr>
          </w:p>
        </w:tc>
        <w:tc>
          <w:tcPr>
            <w:tcW w:w="1134" w:type="dxa"/>
            <w:vAlign w:val="top"/>
          </w:tcPr>
          <w:p w14:paraId="3A260ADD">
            <w:pPr>
              <w:spacing w:line="360" w:lineRule="auto"/>
              <w:rPr>
                <w:color w:val="auto"/>
                <w:szCs w:val="21"/>
                <w:highlight w:val="none"/>
              </w:rPr>
            </w:pPr>
          </w:p>
        </w:tc>
        <w:tc>
          <w:tcPr>
            <w:tcW w:w="992" w:type="dxa"/>
            <w:vAlign w:val="top"/>
          </w:tcPr>
          <w:p w14:paraId="7AC34774">
            <w:pPr>
              <w:spacing w:line="360" w:lineRule="auto"/>
              <w:rPr>
                <w:color w:val="auto"/>
                <w:szCs w:val="21"/>
                <w:highlight w:val="none"/>
              </w:rPr>
            </w:pPr>
          </w:p>
        </w:tc>
      </w:tr>
      <w:tr w14:paraId="459E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vAlign w:val="top"/>
          </w:tcPr>
          <w:p w14:paraId="49A32250">
            <w:pPr>
              <w:spacing w:line="360" w:lineRule="auto"/>
              <w:rPr>
                <w:color w:val="auto"/>
                <w:szCs w:val="21"/>
                <w:highlight w:val="none"/>
              </w:rPr>
            </w:pPr>
          </w:p>
        </w:tc>
        <w:tc>
          <w:tcPr>
            <w:tcW w:w="1226" w:type="dxa"/>
            <w:vAlign w:val="top"/>
          </w:tcPr>
          <w:p w14:paraId="645CAE15">
            <w:pPr>
              <w:spacing w:line="360" w:lineRule="auto"/>
              <w:rPr>
                <w:color w:val="auto"/>
                <w:szCs w:val="21"/>
                <w:highlight w:val="none"/>
              </w:rPr>
            </w:pPr>
          </w:p>
        </w:tc>
        <w:tc>
          <w:tcPr>
            <w:tcW w:w="851" w:type="dxa"/>
            <w:vAlign w:val="top"/>
          </w:tcPr>
          <w:p w14:paraId="4D9F2D03">
            <w:pPr>
              <w:spacing w:line="360" w:lineRule="auto"/>
              <w:rPr>
                <w:color w:val="auto"/>
                <w:szCs w:val="21"/>
                <w:highlight w:val="none"/>
              </w:rPr>
            </w:pPr>
          </w:p>
        </w:tc>
        <w:tc>
          <w:tcPr>
            <w:tcW w:w="708" w:type="dxa"/>
            <w:vAlign w:val="top"/>
          </w:tcPr>
          <w:p w14:paraId="22E88150">
            <w:pPr>
              <w:spacing w:line="360" w:lineRule="auto"/>
              <w:rPr>
                <w:color w:val="auto"/>
                <w:szCs w:val="21"/>
                <w:highlight w:val="none"/>
              </w:rPr>
            </w:pPr>
          </w:p>
        </w:tc>
        <w:tc>
          <w:tcPr>
            <w:tcW w:w="709" w:type="dxa"/>
            <w:vAlign w:val="top"/>
          </w:tcPr>
          <w:p w14:paraId="53710618">
            <w:pPr>
              <w:spacing w:line="360" w:lineRule="auto"/>
              <w:rPr>
                <w:color w:val="auto"/>
                <w:szCs w:val="21"/>
                <w:highlight w:val="none"/>
              </w:rPr>
            </w:pPr>
          </w:p>
        </w:tc>
        <w:tc>
          <w:tcPr>
            <w:tcW w:w="851" w:type="dxa"/>
            <w:vAlign w:val="top"/>
          </w:tcPr>
          <w:p w14:paraId="0EE90613">
            <w:pPr>
              <w:spacing w:line="360" w:lineRule="auto"/>
              <w:rPr>
                <w:color w:val="auto"/>
                <w:szCs w:val="21"/>
                <w:highlight w:val="none"/>
              </w:rPr>
            </w:pPr>
          </w:p>
        </w:tc>
        <w:tc>
          <w:tcPr>
            <w:tcW w:w="1134" w:type="dxa"/>
            <w:vAlign w:val="top"/>
          </w:tcPr>
          <w:p w14:paraId="4664E8C9">
            <w:pPr>
              <w:spacing w:line="360" w:lineRule="auto"/>
              <w:rPr>
                <w:color w:val="auto"/>
                <w:szCs w:val="21"/>
                <w:highlight w:val="none"/>
              </w:rPr>
            </w:pPr>
          </w:p>
        </w:tc>
        <w:tc>
          <w:tcPr>
            <w:tcW w:w="992" w:type="dxa"/>
            <w:vAlign w:val="top"/>
          </w:tcPr>
          <w:p w14:paraId="4A23EE77">
            <w:pPr>
              <w:spacing w:line="360" w:lineRule="auto"/>
              <w:rPr>
                <w:color w:val="auto"/>
                <w:szCs w:val="21"/>
                <w:highlight w:val="none"/>
              </w:rPr>
            </w:pPr>
          </w:p>
        </w:tc>
        <w:tc>
          <w:tcPr>
            <w:tcW w:w="1134" w:type="dxa"/>
            <w:vAlign w:val="top"/>
          </w:tcPr>
          <w:p w14:paraId="2E56FC14">
            <w:pPr>
              <w:spacing w:line="360" w:lineRule="auto"/>
              <w:rPr>
                <w:color w:val="auto"/>
                <w:szCs w:val="21"/>
                <w:highlight w:val="none"/>
              </w:rPr>
            </w:pPr>
          </w:p>
        </w:tc>
        <w:tc>
          <w:tcPr>
            <w:tcW w:w="992" w:type="dxa"/>
            <w:vAlign w:val="top"/>
          </w:tcPr>
          <w:p w14:paraId="70E6B67E">
            <w:pPr>
              <w:spacing w:line="360" w:lineRule="auto"/>
              <w:rPr>
                <w:color w:val="auto"/>
                <w:szCs w:val="21"/>
                <w:highlight w:val="none"/>
              </w:rPr>
            </w:pPr>
          </w:p>
        </w:tc>
      </w:tr>
      <w:tr w14:paraId="283DF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vAlign w:val="top"/>
          </w:tcPr>
          <w:p w14:paraId="556D91EF">
            <w:pPr>
              <w:spacing w:line="360" w:lineRule="auto"/>
              <w:rPr>
                <w:color w:val="auto"/>
                <w:szCs w:val="21"/>
                <w:highlight w:val="none"/>
              </w:rPr>
            </w:pPr>
          </w:p>
        </w:tc>
        <w:tc>
          <w:tcPr>
            <w:tcW w:w="1226" w:type="dxa"/>
            <w:vAlign w:val="top"/>
          </w:tcPr>
          <w:p w14:paraId="7871BA84">
            <w:pPr>
              <w:spacing w:line="360" w:lineRule="auto"/>
              <w:rPr>
                <w:color w:val="auto"/>
                <w:szCs w:val="21"/>
                <w:highlight w:val="none"/>
              </w:rPr>
            </w:pPr>
          </w:p>
        </w:tc>
        <w:tc>
          <w:tcPr>
            <w:tcW w:w="851" w:type="dxa"/>
            <w:vAlign w:val="top"/>
          </w:tcPr>
          <w:p w14:paraId="3320B4DD">
            <w:pPr>
              <w:spacing w:line="360" w:lineRule="auto"/>
              <w:rPr>
                <w:color w:val="auto"/>
                <w:szCs w:val="21"/>
                <w:highlight w:val="none"/>
              </w:rPr>
            </w:pPr>
          </w:p>
        </w:tc>
        <w:tc>
          <w:tcPr>
            <w:tcW w:w="708" w:type="dxa"/>
            <w:vAlign w:val="top"/>
          </w:tcPr>
          <w:p w14:paraId="036846B9">
            <w:pPr>
              <w:spacing w:line="360" w:lineRule="auto"/>
              <w:rPr>
                <w:color w:val="auto"/>
                <w:szCs w:val="21"/>
                <w:highlight w:val="none"/>
              </w:rPr>
            </w:pPr>
          </w:p>
        </w:tc>
        <w:tc>
          <w:tcPr>
            <w:tcW w:w="709" w:type="dxa"/>
            <w:vAlign w:val="top"/>
          </w:tcPr>
          <w:p w14:paraId="0973D1A2">
            <w:pPr>
              <w:spacing w:line="360" w:lineRule="auto"/>
              <w:rPr>
                <w:color w:val="auto"/>
                <w:szCs w:val="21"/>
                <w:highlight w:val="none"/>
              </w:rPr>
            </w:pPr>
          </w:p>
        </w:tc>
        <w:tc>
          <w:tcPr>
            <w:tcW w:w="851" w:type="dxa"/>
            <w:vAlign w:val="top"/>
          </w:tcPr>
          <w:p w14:paraId="007F3DBB">
            <w:pPr>
              <w:spacing w:line="360" w:lineRule="auto"/>
              <w:rPr>
                <w:color w:val="auto"/>
                <w:szCs w:val="21"/>
                <w:highlight w:val="none"/>
              </w:rPr>
            </w:pPr>
          </w:p>
        </w:tc>
        <w:tc>
          <w:tcPr>
            <w:tcW w:w="1134" w:type="dxa"/>
            <w:vAlign w:val="top"/>
          </w:tcPr>
          <w:p w14:paraId="319A0883">
            <w:pPr>
              <w:spacing w:line="360" w:lineRule="auto"/>
              <w:rPr>
                <w:color w:val="auto"/>
                <w:szCs w:val="21"/>
                <w:highlight w:val="none"/>
              </w:rPr>
            </w:pPr>
          </w:p>
        </w:tc>
        <w:tc>
          <w:tcPr>
            <w:tcW w:w="992" w:type="dxa"/>
            <w:vAlign w:val="top"/>
          </w:tcPr>
          <w:p w14:paraId="56379CCB">
            <w:pPr>
              <w:spacing w:line="360" w:lineRule="auto"/>
              <w:rPr>
                <w:color w:val="auto"/>
                <w:szCs w:val="21"/>
                <w:highlight w:val="none"/>
              </w:rPr>
            </w:pPr>
          </w:p>
        </w:tc>
        <w:tc>
          <w:tcPr>
            <w:tcW w:w="1134" w:type="dxa"/>
            <w:vAlign w:val="top"/>
          </w:tcPr>
          <w:p w14:paraId="4D46CCD0">
            <w:pPr>
              <w:spacing w:line="360" w:lineRule="auto"/>
              <w:rPr>
                <w:color w:val="auto"/>
                <w:szCs w:val="21"/>
                <w:highlight w:val="none"/>
              </w:rPr>
            </w:pPr>
          </w:p>
        </w:tc>
        <w:tc>
          <w:tcPr>
            <w:tcW w:w="992" w:type="dxa"/>
            <w:vAlign w:val="top"/>
          </w:tcPr>
          <w:p w14:paraId="414B8826">
            <w:pPr>
              <w:spacing w:line="360" w:lineRule="auto"/>
              <w:rPr>
                <w:color w:val="auto"/>
                <w:szCs w:val="21"/>
                <w:highlight w:val="none"/>
              </w:rPr>
            </w:pPr>
          </w:p>
        </w:tc>
      </w:tr>
      <w:tr w14:paraId="79D3F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vAlign w:val="top"/>
          </w:tcPr>
          <w:p w14:paraId="7967DDCA">
            <w:pPr>
              <w:spacing w:line="360" w:lineRule="auto"/>
              <w:rPr>
                <w:color w:val="auto"/>
                <w:szCs w:val="21"/>
                <w:highlight w:val="none"/>
              </w:rPr>
            </w:pPr>
          </w:p>
        </w:tc>
        <w:tc>
          <w:tcPr>
            <w:tcW w:w="1226" w:type="dxa"/>
            <w:vAlign w:val="top"/>
          </w:tcPr>
          <w:p w14:paraId="6389BA60">
            <w:pPr>
              <w:spacing w:line="360" w:lineRule="auto"/>
              <w:rPr>
                <w:color w:val="auto"/>
                <w:szCs w:val="21"/>
                <w:highlight w:val="none"/>
              </w:rPr>
            </w:pPr>
          </w:p>
        </w:tc>
        <w:tc>
          <w:tcPr>
            <w:tcW w:w="851" w:type="dxa"/>
            <w:vAlign w:val="top"/>
          </w:tcPr>
          <w:p w14:paraId="2667D06A">
            <w:pPr>
              <w:spacing w:line="360" w:lineRule="auto"/>
              <w:rPr>
                <w:color w:val="auto"/>
                <w:szCs w:val="21"/>
                <w:highlight w:val="none"/>
              </w:rPr>
            </w:pPr>
          </w:p>
        </w:tc>
        <w:tc>
          <w:tcPr>
            <w:tcW w:w="708" w:type="dxa"/>
            <w:vAlign w:val="top"/>
          </w:tcPr>
          <w:p w14:paraId="648DF9D8">
            <w:pPr>
              <w:spacing w:line="360" w:lineRule="auto"/>
              <w:rPr>
                <w:color w:val="auto"/>
                <w:szCs w:val="21"/>
                <w:highlight w:val="none"/>
              </w:rPr>
            </w:pPr>
          </w:p>
        </w:tc>
        <w:tc>
          <w:tcPr>
            <w:tcW w:w="709" w:type="dxa"/>
            <w:vAlign w:val="top"/>
          </w:tcPr>
          <w:p w14:paraId="4F88F94B">
            <w:pPr>
              <w:spacing w:line="360" w:lineRule="auto"/>
              <w:rPr>
                <w:color w:val="auto"/>
                <w:szCs w:val="21"/>
                <w:highlight w:val="none"/>
              </w:rPr>
            </w:pPr>
          </w:p>
        </w:tc>
        <w:tc>
          <w:tcPr>
            <w:tcW w:w="851" w:type="dxa"/>
            <w:vAlign w:val="top"/>
          </w:tcPr>
          <w:p w14:paraId="6C1ED985">
            <w:pPr>
              <w:spacing w:line="360" w:lineRule="auto"/>
              <w:rPr>
                <w:color w:val="auto"/>
                <w:szCs w:val="21"/>
                <w:highlight w:val="none"/>
              </w:rPr>
            </w:pPr>
          </w:p>
        </w:tc>
        <w:tc>
          <w:tcPr>
            <w:tcW w:w="1134" w:type="dxa"/>
            <w:vAlign w:val="top"/>
          </w:tcPr>
          <w:p w14:paraId="0F18082A">
            <w:pPr>
              <w:spacing w:line="360" w:lineRule="auto"/>
              <w:rPr>
                <w:color w:val="auto"/>
                <w:szCs w:val="21"/>
                <w:highlight w:val="none"/>
              </w:rPr>
            </w:pPr>
          </w:p>
        </w:tc>
        <w:tc>
          <w:tcPr>
            <w:tcW w:w="992" w:type="dxa"/>
            <w:vAlign w:val="top"/>
          </w:tcPr>
          <w:p w14:paraId="62C84105">
            <w:pPr>
              <w:spacing w:line="360" w:lineRule="auto"/>
              <w:rPr>
                <w:color w:val="auto"/>
                <w:szCs w:val="21"/>
                <w:highlight w:val="none"/>
              </w:rPr>
            </w:pPr>
          </w:p>
        </w:tc>
        <w:tc>
          <w:tcPr>
            <w:tcW w:w="1134" w:type="dxa"/>
            <w:vAlign w:val="top"/>
          </w:tcPr>
          <w:p w14:paraId="2F5ABFD8">
            <w:pPr>
              <w:spacing w:line="360" w:lineRule="auto"/>
              <w:rPr>
                <w:color w:val="auto"/>
                <w:szCs w:val="21"/>
                <w:highlight w:val="none"/>
              </w:rPr>
            </w:pPr>
          </w:p>
        </w:tc>
        <w:tc>
          <w:tcPr>
            <w:tcW w:w="992" w:type="dxa"/>
            <w:vAlign w:val="top"/>
          </w:tcPr>
          <w:p w14:paraId="74A63678">
            <w:pPr>
              <w:spacing w:line="360" w:lineRule="auto"/>
              <w:rPr>
                <w:color w:val="auto"/>
                <w:szCs w:val="21"/>
                <w:highlight w:val="none"/>
              </w:rPr>
            </w:pPr>
          </w:p>
        </w:tc>
      </w:tr>
      <w:tr w14:paraId="5AA8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vAlign w:val="top"/>
          </w:tcPr>
          <w:p w14:paraId="4C2F3B52">
            <w:pPr>
              <w:spacing w:line="360" w:lineRule="auto"/>
              <w:rPr>
                <w:color w:val="auto"/>
                <w:szCs w:val="21"/>
                <w:highlight w:val="none"/>
              </w:rPr>
            </w:pPr>
          </w:p>
        </w:tc>
        <w:tc>
          <w:tcPr>
            <w:tcW w:w="1226" w:type="dxa"/>
            <w:vAlign w:val="top"/>
          </w:tcPr>
          <w:p w14:paraId="621C902A">
            <w:pPr>
              <w:spacing w:line="360" w:lineRule="auto"/>
              <w:rPr>
                <w:color w:val="auto"/>
                <w:szCs w:val="21"/>
                <w:highlight w:val="none"/>
              </w:rPr>
            </w:pPr>
          </w:p>
        </w:tc>
        <w:tc>
          <w:tcPr>
            <w:tcW w:w="851" w:type="dxa"/>
            <w:vAlign w:val="top"/>
          </w:tcPr>
          <w:p w14:paraId="0939BBC4">
            <w:pPr>
              <w:spacing w:line="360" w:lineRule="auto"/>
              <w:rPr>
                <w:color w:val="auto"/>
                <w:szCs w:val="21"/>
                <w:highlight w:val="none"/>
              </w:rPr>
            </w:pPr>
          </w:p>
        </w:tc>
        <w:tc>
          <w:tcPr>
            <w:tcW w:w="708" w:type="dxa"/>
            <w:vAlign w:val="top"/>
          </w:tcPr>
          <w:p w14:paraId="5C3320BF">
            <w:pPr>
              <w:spacing w:line="360" w:lineRule="auto"/>
              <w:rPr>
                <w:color w:val="auto"/>
                <w:szCs w:val="21"/>
                <w:highlight w:val="none"/>
              </w:rPr>
            </w:pPr>
          </w:p>
        </w:tc>
        <w:tc>
          <w:tcPr>
            <w:tcW w:w="709" w:type="dxa"/>
            <w:vAlign w:val="top"/>
          </w:tcPr>
          <w:p w14:paraId="3F01A797">
            <w:pPr>
              <w:spacing w:line="360" w:lineRule="auto"/>
              <w:rPr>
                <w:color w:val="auto"/>
                <w:szCs w:val="21"/>
                <w:highlight w:val="none"/>
              </w:rPr>
            </w:pPr>
          </w:p>
        </w:tc>
        <w:tc>
          <w:tcPr>
            <w:tcW w:w="851" w:type="dxa"/>
            <w:vAlign w:val="top"/>
          </w:tcPr>
          <w:p w14:paraId="4B67620E">
            <w:pPr>
              <w:spacing w:line="360" w:lineRule="auto"/>
              <w:rPr>
                <w:color w:val="auto"/>
                <w:szCs w:val="21"/>
                <w:highlight w:val="none"/>
              </w:rPr>
            </w:pPr>
          </w:p>
        </w:tc>
        <w:tc>
          <w:tcPr>
            <w:tcW w:w="1134" w:type="dxa"/>
            <w:vAlign w:val="top"/>
          </w:tcPr>
          <w:p w14:paraId="49457C3E">
            <w:pPr>
              <w:spacing w:line="360" w:lineRule="auto"/>
              <w:rPr>
                <w:color w:val="auto"/>
                <w:szCs w:val="21"/>
                <w:highlight w:val="none"/>
              </w:rPr>
            </w:pPr>
          </w:p>
        </w:tc>
        <w:tc>
          <w:tcPr>
            <w:tcW w:w="992" w:type="dxa"/>
            <w:vAlign w:val="top"/>
          </w:tcPr>
          <w:p w14:paraId="4ED0DFAA">
            <w:pPr>
              <w:spacing w:line="360" w:lineRule="auto"/>
              <w:rPr>
                <w:color w:val="auto"/>
                <w:szCs w:val="21"/>
                <w:highlight w:val="none"/>
              </w:rPr>
            </w:pPr>
          </w:p>
        </w:tc>
        <w:tc>
          <w:tcPr>
            <w:tcW w:w="1134" w:type="dxa"/>
            <w:vAlign w:val="top"/>
          </w:tcPr>
          <w:p w14:paraId="5717735F">
            <w:pPr>
              <w:spacing w:line="360" w:lineRule="auto"/>
              <w:rPr>
                <w:color w:val="auto"/>
                <w:szCs w:val="21"/>
                <w:highlight w:val="none"/>
              </w:rPr>
            </w:pPr>
          </w:p>
        </w:tc>
        <w:tc>
          <w:tcPr>
            <w:tcW w:w="992" w:type="dxa"/>
            <w:vAlign w:val="top"/>
          </w:tcPr>
          <w:p w14:paraId="360E0DCF">
            <w:pPr>
              <w:spacing w:line="360" w:lineRule="auto"/>
              <w:rPr>
                <w:color w:val="auto"/>
                <w:szCs w:val="21"/>
                <w:highlight w:val="none"/>
              </w:rPr>
            </w:pPr>
          </w:p>
        </w:tc>
      </w:tr>
    </w:tbl>
    <w:p w14:paraId="3FE1348C">
      <w:pPr>
        <w:rPr>
          <w:color w:val="auto"/>
          <w:highlight w:val="none"/>
        </w:rPr>
      </w:pPr>
    </w:p>
    <w:p w14:paraId="0CD54AD1">
      <w:pPr>
        <w:rPr>
          <w:color w:val="auto"/>
          <w:highlight w:val="none"/>
        </w:rPr>
      </w:pPr>
    </w:p>
    <w:p w14:paraId="19A6EB33">
      <w:pPr>
        <w:rPr>
          <w:b/>
          <w:bCs/>
          <w:spacing w:val="7"/>
          <w:sz w:val="21"/>
          <w:szCs w:val="21"/>
        </w:rPr>
      </w:pPr>
      <w:r>
        <w:rPr>
          <w:b/>
          <w:bCs/>
          <w:color w:val="auto"/>
          <w:highlight w:val="none"/>
        </w:rPr>
        <w:t>附表二：</w:t>
      </w:r>
      <w:r>
        <w:rPr>
          <w:b/>
          <w:bCs/>
          <w:spacing w:val="7"/>
          <w:sz w:val="21"/>
          <w:szCs w:val="21"/>
        </w:rPr>
        <w:t>拟投入本合同工程的试验和检测仪器设备表</w:t>
      </w:r>
    </w:p>
    <w:p w14:paraId="4102A51C">
      <w:pPr>
        <w:rPr>
          <w:b/>
          <w:bCs/>
          <w:spacing w:val="7"/>
          <w:sz w:val="21"/>
          <w:szCs w:val="21"/>
        </w:rPr>
      </w:pPr>
    </w:p>
    <w:p w14:paraId="6E90F1C5">
      <w:pPr>
        <w:jc w:val="center"/>
        <w:rPr>
          <w:b/>
          <w:bCs/>
          <w:spacing w:val="7"/>
          <w:sz w:val="21"/>
          <w:szCs w:val="21"/>
        </w:rPr>
      </w:pPr>
      <w:r>
        <w:rPr>
          <w:b/>
          <w:bCs/>
          <w:spacing w:val="7"/>
          <w:sz w:val="21"/>
          <w:szCs w:val="21"/>
        </w:rPr>
        <w:t>拟投入本合同工程的试验和检测仪器设备表</w:t>
      </w:r>
    </w:p>
    <w:p w14:paraId="728EDAED">
      <w:pPr>
        <w:rPr>
          <w:b/>
          <w:bCs/>
          <w:spacing w:val="7"/>
          <w:sz w:val="21"/>
          <w:szCs w:val="21"/>
        </w:rPr>
      </w:pPr>
    </w:p>
    <w:tbl>
      <w:tblPr>
        <w:tblStyle w:val="15"/>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1134"/>
        <w:gridCol w:w="1276"/>
        <w:gridCol w:w="1134"/>
        <w:gridCol w:w="1559"/>
      </w:tblGrid>
      <w:tr w14:paraId="6FD45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5E6BBFB">
            <w:pPr>
              <w:jc w:val="center"/>
              <w:rPr>
                <w:color w:val="auto"/>
                <w:szCs w:val="21"/>
                <w:highlight w:val="none"/>
              </w:rPr>
            </w:pPr>
            <w:r>
              <w:rPr>
                <w:color w:val="auto"/>
                <w:szCs w:val="21"/>
                <w:highlight w:val="none"/>
              </w:rPr>
              <w:t>序号</w:t>
            </w:r>
          </w:p>
        </w:tc>
        <w:tc>
          <w:tcPr>
            <w:tcW w:w="1226" w:type="dxa"/>
            <w:vAlign w:val="center"/>
          </w:tcPr>
          <w:p w14:paraId="08C0B775">
            <w:pPr>
              <w:jc w:val="center"/>
              <w:rPr>
                <w:color w:val="auto"/>
                <w:szCs w:val="21"/>
                <w:highlight w:val="none"/>
              </w:rPr>
            </w:pPr>
            <w:r>
              <w:rPr>
                <w:color w:val="auto"/>
                <w:szCs w:val="21"/>
                <w:highlight w:val="none"/>
              </w:rPr>
              <w:t>仪器设备名称</w:t>
            </w:r>
          </w:p>
        </w:tc>
        <w:tc>
          <w:tcPr>
            <w:tcW w:w="851" w:type="dxa"/>
            <w:vAlign w:val="center"/>
          </w:tcPr>
          <w:p w14:paraId="078C84BD">
            <w:pPr>
              <w:jc w:val="center"/>
              <w:rPr>
                <w:color w:val="auto"/>
                <w:szCs w:val="21"/>
                <w:highlight w:val="none"/>
              </w:rPr>
            </w:pPr>
            <w:r>
              <w:rPr>
                <w:color w:val="auto"/>
                <w:szCs w:val="21"/>
                <w:highlight w:val="none"/>
              </w:rPr>
              <w:t>型号</w:t>
            </w:r>
          </w:p>
          <w:p w14:paraId="5AEE0C56">
            <w:pPr>
              <w:jc w:val="center"/>
              <w:rPr>
                <w:color w:val="auto"/>
                <w:szCs w:val="21"/>
                <w:highlight w:val="none"/>
              </w:rPr>
            </w:pPr>
            <w:r>
              <w:rPr>
                <w:color w:val="auto"/>
                <w:szCs w:val="21"/>
                <w:highlight w:val="none"/>
              </w:rPr>
              <w:t>规格</w:t>
            </w:r>
          </w:p>
        </w:tc>
        <w:tc>
          <w:tcPr>
            <w:tcW w:w="708" w:type="dxa"/>
            <w:vAlign w:val="center"/>
          </w:tcPr>
          <w:p w14:paraId="31584637">
            <w:pPr>
              <w:jc w:val="center"/>
              <w:rPr>
                <w:color w:val="auto"/>
                <w:szCs w:val="21"/>
                <w:highlight w:val="none"/>
              </w:rPr>
            </w:pPr>
            <w:r>
              <w:rPr>
                <w:color w:val="auto"/>
                <w:szCs w:val="21"/>
                <w:highlight w:val="none"/>
              </w:rPr>
              <w:t>数量</w:t>
            </w:r>
          </w:p>
        </w:tc>
        <w:tc>
          <w:tcPr>
            <w:tcW w:w="709" w:type="dxa"/>
            <w:vAlign w:val="center"/>
          </w:tcPr>
          <w:p w14:paraId="7CB6C3F1">
            <w:pPr>
              <w:jc w:val="center"/>
              <w:rPr>
                <w:color w:val="auto"/>
                <w:szCs w:val="21"/>
                <w:highlight w:val="none"/>
              </w:rPr>
            </w:pPr>
            <w:r>
              <w:rPr>
                <w:color w:val="auto"/>
                <w:szCs w:val="21"/>
                <w:highlight w:val="none"/>
              </w:rPr>
              <w:t>国别</w:t>
            </w:r>
          </w:p>
          <w:p w14:paraId="4239A33B">
            <w:pPr>
              <w:jc w:val="center"/>
              <w:rPr>
                <w:color w:val="auto"/>
                <w:szCs w:val="21"/>
                <w:highlight w:val="none"/>
              </w:rPr>
            </w:pPr>
            <w:r>
              <w:rPr>
                <w:color w:val="auto"/>
                <w:szCs w:val="21"/>
                <w:highlight w:val="none"/>
              </w:rPr>
              <w:t>产地</w:t>
            </w:r>
          </w:p>
        </w:tc>
        <w:tc>
          <w:tcPr>
            <w:tcW w:w="1134" w:type="dxa"/>
            <w:vAlign w:val="center"/>
          </w:tcPr>
          <w:p w14:paraId="02FE22D9">
            <w:pPr>
              <w:jc w:val="center"/>
              <w:rPr>
                <w:color w:val="auto"/>
                <w:szCs w:val="21"/>
                <w:highlight w:val="none"/>
              </w:rPr>
            </w:pPr>
            <w:r>
              <w:rPr>
                <w:color w:val="auto"/>
                <w:szCs w:val="21"/>
                <w:highlight w:val="none"/>
              </w:rPr>
              <w:t>制造年份</w:t>
            </w:r>
          </w:p>
        </w:tc>
        <w:tc>
          <w:tcPr>
            <w:tcW w:w="1276" w:type="dxa"/>
            <w:vAlign w:val="center"/>
          </w:tcPr>
          <w:p w14:paraId="1A2DC561">
            <w:pPr>
              <w:jc w:val="center"/>
              <w:rPr>
                <w:color w:val="auto"/>
                <w:szCs w:val="21"/>
                <w:highlight w:val="none"/>
              </w:rPr>
            </w:pPr>
            <w:r>
              <w:rPr>
                <w:color w:val="auto"/>
                <w:szCs w:val="21"/>
                <w:highlight w:val="none"/>
              </w:rPr>
              <w:t>已使用</w:t>
            </w:r>
          </w:p>
          <w:p w14:paraId="39447144">
            <w:pPr>
              <w:jc w:val="center"/>
              <w:rPr>
                <w:color w:val="auto"/>
                <w:szCs w:val="21"/>
                <w:highlight w:val="none"/>
              </w:rPr>
            </w:pPr>
            <w:r>
              <w:rPr>
                <w:color w:val="auto"/>
                <w:szCs w:val="21"/>
                <w:highlight w:val="none"/>
              </w:rPr>
              <w:t>台时数</w:t>
            </w:r>
          </w:p>
        </w:tc>
        <w:tc>
          <w:tcPr>
            <w:tcW w:w="1134" w:type="dxa"/>
            <w:vAlign w:val="center"/>
          </w:tcPr>
          <w:p w14:paraId="456F7280">
            <w:pPr>
              <w:jc w:val="center"/>
              <w:rPr>
                <w:color w:val="auto"/>
                <w:szCs w:val="21"/>
                <w:highlight w:val="none"/>
              </w:rPr>
            </w:pPr>
            <w:r>
              <w:rPr>
                <w:color w:val="auto"/>
                <w:szCs w:val="21"/>
                <w:highlight w:val="none"/>
              </w:rPr>
              <w:t>用途</w:t>
            </w:r>
          </w:p>
        </w:tc>
        <w:tc>
          <w:tcPr>
            <w:tcW w:w="1559" w:type="dxa"/>
            <w:vAlign w:val="center"/>
          </w:tcPr>
          <w:p w14:paraId="2BC09D44">
            <w:pPr>
              <w:jc w:val="center"/>
              <w:rPr>
                <w:color w:val="auto"/>
                <w:szCs w:val="21"/>
                <w:highlight w:val="none"/>
              </w:rPr>
            </w:pPr>
            <w:r>
              <w:rPr>
                <w:color w:val="auto"/>
                <w:szCs w:val="21"/>
                <w:highlight w:val="none"/>
              </w:rPr>
              <w:t>备注</w:t>
            </w:r>
          </w:p>
        </w:tc>
      </w:tr>
      <w:tr w14:paraId="1EF57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FCFB648">
            <w:pPr>
              <w:spacing w:line="360" w:lineRule="auto"/>
              <w:ind w:firstLine="420" w:firstLineChars="200"/>
              <w:rPr>
                <w:color w:val="auto"/>
                <w:szCs w:val="21"/>
                <w:highlight w:val="none"/>
              </w:rPr>
            </w:pPr>
          </w:p>
        </w:tc>
        <w:tc>
          <w:tcPr>
            <w:tcW w:w="1226" w:type="dxa"/>
            <w:vAlign w:val="center"/>
          </w:tcPr>
          <w:p w14:paraId="5C91C43B">
            <w:pPr>
              <w:spacing w:line="360" w:lineRule="auto"/>
              <w:ind w:firstLine="420" w:firstLineChars="200"/>
              <w:rPr>
                <w:color w:val="auto"/>
                <w:szCs w:val="21"/>
                <w:highlight w:val="none"/>
              </w:rPr>
            </w:pPr>
          </w:p>
        </w:tc>
        <w:tc>
          <w:tcPr>
            <w:tcW w:w="851" w:type="dxa"/>
            <w:vAlign w:val="center"/>
          </w:tcPr>
          <w:p w14:paraId="7EB48186">
            <w:pPr>
              <w:spacing w:line="360" w:lineRule="auto"/>
              <w:ind w:firstLine="420" w:firstLineChars="200"/>
              <w:rPr>
                <w:color w:val="auto"/>
                <w:szCs w:val="21"/>
                <w:highlight w:val="none"/>
              </w:rPr>
            </w:pPr>
          </w:p>
        </w:tc>
        <w:tc>
          <w:tcPr>
            <w:tcW w:w="708" w:type="dxa"/>
            <w:vAlign w:val="center"/>
          </w:tcPr>
          <w:p w14:paraId="3A49AFC9">
            <w:pPr>
              <w:spacing w:line="360" w:lineRule="auto"/>
              <w:ind w:firstLine="420" w:firstLineChars="200"/>
              <w:rPr>
                <w:color w:val="auto"/>
                <w:szCs w:val="21"/>
                <w:highlight w:val="none"/>
              </w:rPr>
            </w:pPr>
          </w:p>
        </w:tc>
        <w:tc>
          <w:tcPr>
            <w:tcW w:w="709" w:type="dxa"/>
            <w:vAlign w:val="center"/>
          </w:tcPr>
          <w:p w14:paraId="511F4E20">
            <w:pPr>
              <w:spacing w:line="360" w:lineRule="auto"/>
              <w:ind w:firstLine="420" w:firstLineChars="200"/>
              <w:rPr>
                <w:color w:val="auto"/>
                <w:szCs w:val="21"/>
                <w:highlight w:val="none"/>
              </w:rPr>
            </w:pPr>
          </w:p>
        </w:tc>
        <w:tc>
          <w:tcPr>
            <w:tcW w:w="1134" w:type="dxa"/>
            <w:vAlign w:val="center"/>
          </w:tcPr>
          <w:p w14:paraId="3BBC43F3">
            <w:pPr>
              <w:spacing w:line="360" w:lineRule="auto"/>
              <w:ind w:firstLine="420" w:firstLineChars="200"/>
              <w:rPr>
                <w:color w:val="auto"/>
                <w:szCs w:val="21"/>
                <w:highlight w:val="none"/>
              </w:rPr>
            </w:pPr>
          </w:p>
        </w:tc>
        <w:tc>
          <w:tcPr>
            <w:tcW w:w="1276" w:type="dxa"/>
            <w:vAlign w:val="center"/>
          </w:tcPr>
          <w:p w14:paraId="260FD245">
            <w:pPr>
              <w:spacing w:line="360" w:lineRule="auto"/>
              <w:ind w:firstLine="420" w:firstLineChars="200"/>
              <w:rPr>
                <w:color w:val="auto"/>
                <w:szCs w:val="21"/>
                <w:highlight w:val="none"/>
              </w:rPr>
            </w:pPr>
          </w:p>
        </w:tc>
        <w:tc>
          <w:tcPr>
            <w:tcW w:w="1134" w:type="dxa"/>
            <w:vAlign w:val="center"/>
          </w:tcPr>
          <w:p w14:paraId="58A21EC6">
            <w:pPr>
              <w:spacing w:line="360" w:lineRule="auto"/>
              <w:ind w:firstLine="420" w:firstLineChars="200"/>
              <w:rPr>
                <w:color w:val="auto"/>
                <w:szCs w:val="21"/>
                <w:highlight w:val="none"/>
              </w:rPr>
            </w:pPr>
          </w:p>
        </w:tc>
        <w:tc>
          <w:tcPr>
            <w:tcW w:w="1559" w:type="dxa"/>
            <w:vAlign w:val="center"/>
          </w:tcPr>
          <w:p w14:paraId="7B6A365A">
            <w:pPr>
              <w:spacing w:line="360" w:lineRule="auto"/>
              <w:ind w:firstLine="420" w:firstLineChars="200"/>
              <w:rPr>
                <w:color w:val="auto"/>
                <w:szCs w:val="21"/>
                <w:highlight w:val="none"/>
              </w:rPr>
            </w:pPr>
          </w:p>
        </w:tc>
      </w:tr>
      <w:tr w14:paraId="1B36B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43C355E">
            <w:pPr>
              <w:spacing w:line="360" w:lineRule="auto"/>
              <w:ind w:firstLine="420" w:firstLineChars="200"/>
              <w:rPr>
                <w:color w:val="auto"/>
                <w:szCs w:val="21"/>
                <w:highlight w:val="none"/>
              </w:rPr>
            </w:pPr>
          </w:p>
        </w:tc>
        <w:tc>
          <w:tcPr>
            <w:tcW w:w="1226" w:type="dxa"/>
            <w:vAlign w:val="center"/>
          </w:tcPr>
          <w:p w14:paraId="46A58BF2">
            <w:pPr>
              <w:spacing w:line="360" w:lineRule="auto"/>
              <w:ind w:firstLine="420" w:firstLineChars="200"/>
              <w:rPr>
                <w:color w:val="auto"/>
                <w:szCs w:val="21"/>
                <w:highlight w:val="none"/>
              </w:rPr>
            </w:pPr>
          </w:p>
        </w:tc>
        <w:tc>
          <w:tcPr>
            <w:tcW w:w="851" w:type="dxa"/>
            <w:vAlign w:val="center"/>
          </w:tcPr>
          <w:p w14:paraId="4837C1F9">
            <w:pPr>
              <w:spacing w:line="360" w:lineRule="auto"/>
              <w:ind w:firstLine="420" w:firstLineChars="200"/>
              <w:rPr>
                <w:color w:val="auto"/>
                <w:szCs w:val="21"/>
                <w:highlight w:val="none"/>
              </w:rPr>
            </w:pPr>
          </w:p>
        </w:tc>
        <w:tc>
          <w:tcPr>
            <w:tcW w:w="708" w:type="dxa"/>
            <w:vAlign w:val="center"/>
          </w:tcPr>
          <w:p w14:paraId="2768AC2F">
            <w:pPr>
              <w:spacing w:line="360" w:lineRule="auto"/>
              <w:ind w:firstLine="420" w:firstLineChars="200"/>
              <w:rPr>
                <w:color w:val="auto"/>
                <w:szCs w:val="21"/>
                <w:highlight w:val="none"/>
              </w:rPr>
            </w:pPr>
          </w:p>
        </w:tc>
        <w:tc>
          <w:tcPr>
            <w:tcW w:w="709" w:type="dxa"/>
            <w:vAlign w:val="center"/>
          </w:tcPr>
          <w:p w14:paraId="298F52B5">
            <w:pPr>
              <w:spacing w:line="360" w:lineRule="auto"/>
              <w:ind w:firstLine="420" w:firstLineChars="200"/>
              <w:rPr>
                <w:color w:val="auto"/>
                <w:szCs w:val="21"/>
                <w:highlight w:val="none"/>
              </w:rPr>
            </w:pPr>
          </w:p>
        </w:tc>
        <w:tc>
          <w:tcPr>
            <w:tcW w:w="1134" w:type="dxa"/>
            <w:vAlign w:val="center"/>
          </w:tcPr>
          <w:p w14:paraId="574CFB1F">
            <w:pPr>
              <w:spacing w:line="360" w:lineRule="auto"/>
              <w:ind w:firstLine="420" w:firstLineChars="200"/>
              <w:rPr>
                <w:color w:val="auto"/>
                <w:szCs w:val="21"/>
                <w:highlight w:val="none"/>
              </w:rPr>
            </w:pPr>
          </w:p>
        </w:tc>
        <w:tc>
          <w:tcPr>
            <w:tcW w:w="1276" w:type="dxa"/>
            <w:vAlign w:val="center"/>
          </w:tcPr>
          <w:p w14:paraId="42B1DEDF">
            <w:pPr>
              <w:spacing w:line="360" w:lineRule="auto"/>
              <w:ind w:firstLine="420" w:firstLineChars="200"/>
              <w:rPr>
                <w:color w:val="auto"/>
                <w:szCs w:val="21"/>
                <w:highlight w:val="none"/>
              </w:rPr>
            </w:pPr>
          </w:p>
        </w:tc>
        <w:tc>
          <w:tcPr>
            <w:tcW w:w="1134" w:type="dxa"/>
            <w:vAlign w:val="center"/>
          </w:tcPr>
          <w:p w14:paraId="03C63AE7">
            <w:pPr>
              <w:spacing w:line="360" w:lineRule="auto"/>
              <w:ind w:firstLine="420" w:firstLineChars="200"/>
              <w:rPr>
                <w:color w:val="auto"/>
                <w:szCs w:val="21"/>
                <w:highlight w:val="none"/>
              </w:rPr>
            </w:pPr>
          </w:p>
        </w:tc>
        <w:tc>
          <w:tcPr>
            <w:tcW w:w="1559" w:type="dxa"/>
            <w:vAlign w:val="center"/>
          </w:tcPr>
          <w:p w14:paraId="0728AB4A">
            <w:pPr>
              <w:spacing w:line="360" w:lineRule="auto"/>
              <w:ind w:firstLine="420" w:firstLineChars="200"/>
              <w:rPr>
                <w:color w:val="auto"/>
                <w:szCs w:val="21"/>
                <w:highlight w:val="none"/>
              </w:rPr>
            </w:pPr>
          </w:p>
        </w:tc>
      </w:tr>
      <w:tr w14:paraId="31EDE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0CAFD97">
            <w:pPr>
              <w:spacing w:line="360" w:lineRule="auto"/>
              <w:ind w:firstLine="420" w:firstLineChars="200"/>
              <w:rPr>
                <w:color w:val="auto"/>
                <w:szCs w:val="21"/>
                <w:highlight w:val="none"/>
              </w:rPr>
            </w:pPr>
          </w:p>
        </w:tc>
        <w:tc>
          <w:tcPr>
            <w:tcW w:w="1226" w:type="dxa"/>
            <w:vAlign w:val="center"/>
          </w:tcPr>
          <w:p w14:paraId="53A840FA">
            <w:pPr>
              <w:spacing w:line="360" w:lineRule="auto"/>
              <w:ind w:firstLine="420" w:firstLineChars="200"/>
              <w:rPr>
                <w:color w:val="auto"/>
                <w:szCs w:val="21"/>
                <w:highlight w:val="none"/>
              </w:rPr>
            </w:pPr>
          </w:p>
        </w:tc>
        <w:tc>
          <w:tcPr>
            <w:tcW w:w="851" w:type="dxa"/>
            <w:vAlign w:val="center"/>
          </w:tcPr>
          <w:p w14:paraId="33AC285F">
            <w:pPr>
              <w:spacing w:line="360" w:lineRule="auto"/>
              <w:ind w:firstLine="420" w:firstLineChars="200"/>
              <w:rPr>
                <w:color w:val="auto"/>
                <w:szCs w:val="21"/>
                <w:highlight w:val="none"/>
              </w:rPr>
            </w:pPr>
          </w:p>
        </w:tc>
        <w:tc>
          <w:tcPr>
            <w:tcW w:w="708" w:type="dxa"/>
            <w:vAlign w:val="center"/>
          </w:tcPr>
          <w:p w14:paraId="316ED7E7">
            <w:pPr>
              <w:spacing w:line="360" w:lineRule="auto"/>
              <w:ind w:firstLine="420" w:firstLineChars="200"/>
              <w:rPr>
                <w:color w:val="auto"/>
                <w:szCs w:val="21"/>
                <w:highlight w:val="none"/>
              </w:rPr>
            </w:pPr>
          </w:p>
        </w:tc>
        <w:tc>
          <w:tcPr>
            <w:tcW w:w="709" w:type="dxa"/>
            <w:vAlign w:val="center"/>
          </w:tcPr>
          <w:p w14:paraId="6DC55FB5">
            <w:pPr>
              <w:spacing w:line="360" w:lineRule="auto"/>
              <w:ind w:firstLine="420" w:firstLineChars="200"/>
              <w:rPr>
                <w:color w:val="auto"/>
                <w:szCs w:val="21"/>
                <w:highlight w:val="none"/>
              </w:rPr>
            </w:pPr>
          </w:p>
        </w:tc>
        <w:tc>
          <w:tcPr>
            <w:tcW w:w="1134" w:type="dxa"/>
            <w:vAlign w:val="center"/>
          </w:tcPr>
          <w:p w14:paraId="53F7069C">
            <w:pPr>
              <w:spacing w:line="360" w:lineRule="auto"/>
              <w:ind w:firstLine="420" w:firstLineChars="200"/>
              <w:rPr>
                <w:color w:val="auto"/>
                <w:szCs w:val="21"/>
                <w:highlight w:val="none"/>
              </w:rPr>
            </w:pPr>
          </w:p>
        </w:tc>
        <w:tc>
          <w:tcPr>
            <w:tcW w:w="1276" w:type="dxa"/>
            <w:vAlign w:val="center"/>
          </w:tcPr>
          <w:p w14:paraId="4AD397FD">
            <w:pPr>
              <w:spacing w:line="360" w:lineRule="auto"/>
              <w:ind w:firstLine="420" w:firstLineChars="200"/>
              <w:rPr>
                <w:color w:val="auto"/>
                <w:szCs w:val="21"/>
                <w:highlight w:val="none"/>
              </w:rPr>
            </w:pPr>
          </w:p>
        </w:tc>
        <w:tc>
          <w:tcPr>
            <w:tcW w:w="1134" w:type="dxa"/>
            <w:vAlign w:val="center"/>
          </w:tcPr>
          <w:p w14:paraId="4D29D03C">
            <w:pPr>
              <w:spacing w:line="360" w:lineRule="auto"/>
              <w:ind w:firstLine="420" w:firstLineChars="200"/>
              <w:rPr>
                <w:color w:val="auto"/>
                <w:szCs w:val="21"/>
                <w:highlight w:val="none"/>
              </w:rPr>
            </w:pPr>
          </w:p>
        </w:tc>
        <w:tc>
          <w:tcPr>
            <w:tcW w:w="1559" w:type="dxa"/>
            <w:vAlign w:val="center"/>
          </w:tcPr>
          <w:p w14:paraId="4C80FCFE">
            <w:pPr>
              <w:spacing w:line="360" w:lineRule="auto"/>
              <w:ind w:firstLine="420" w:firstLineChars="200"/>
              <w:rPr>
                <w:color w:val="auto"/>
                <w:szCs w:val="21"/>
                <w:highlight w:val="none"/>
              </w:rPr>
            </w:pPr>
          </w:p>
        </w:tc>
      </w:tr>
      <w:tr w14:paraId="10DD6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9EDA0EB">
            <w:pPr>
              <w:spacing w:line="360" w:lineRule="auto"/>
              <w:ind w:firstLine="420" w:firstLineChars="200"/>
              <w:rPr>
                <w:color w:val="auto"/>
                <w:szCs w:val="21"/>
                <w:highlight w:val="none"/>
              </w:rPr>
            </w:pPr>
          </w:p>
        </w:tc>
        <w:tc>
          <w:tcPr>
            <w:tcW w:w="1226" w:type="dxa"/>
            <w:vAlign w:val="center"/>
          </w:tcPr>
          <w:p w14:paraId="7633739B">
            <w:pPr>
              <w:spacing w:line="360" w:lineRule="auto"/>
              <w:ind w:firstLine="420" w:firstLineChars="200"/>
              <w:rPr>
                <w:color w:val="auto"/>
                <w:szCs w:val="21"/>
                <w:highlight w:val="none"/>
              </w:rPr>
            </w:pPr>
          </w:p>
        </w:tc>
        <w:tc>
          <w:tcPr>
            <w:tcW w:w="851" w:type="dxa"/>
            <w:vAlign w:val="center"/>
          </w:tcPr>
          <w:p w14:paraId="5455EB0D">
            <w:pPr>
              <w:spacing w:line="360" w:lineRule="auto"/>
              <w:ind w:firstLine="420" w:firstLineChars="200"/>
              <w:rPr>
                <w:color w:val="auto"/>
                <w:szCs w:val="21"/>
                <w:highlight w:val="none"/>
              </w:rPr>
            </w:pPr>
          </w:p>
        </w:tc>
        <w:tc>
          <w:tcPr>
            <w:tcW w:w="708" w:type="dxa"/>
            <w:vAlign w:val="center"/>
          </w:tcPr>
          <w:p w14:paraId="17090B4B">
            <w:pPr>
              <w:spacing w:line="360" w:lineRule="auto"/>
              <w:ind w:firstLine="420" w:firstLineChars="200"/>
              <w:rPr>
                <w:color w:val="auto"/>
                <w:szCs w:val="21"/>
                <w:highlight w:val="none"/>
              </w:rPr>
            </w:pPr>
          </w:p>
        </w:tc>
        <w:tc>
          <w:tcPr>
            <w:tcW w:w="709" w:type="dxa"/>
            <w:vAlign w:val="center"/>
          </w:tcPr>
          <w:p w14:paraId="4DA3F102">
            <w:pPr>
              <w:spacing w:line="360" w:lineRule="auto"/>
              <w:ind w:firstLine="420" w:firstLineChars="200"/>
              <w:rPr>
                <w:color w:val="auto"/>
                <w:szCs w:val="21"/>
                <w:highlight w:val="none"/>
              </w:rPr>
            </w:pPr>
          </w:p>
        </w:tc>
        <w:tc>
          <w:tcPr>
            <w:tcW w:w="1134" w:type="dxa"/>
            <w:vAlign w:val="center"/>
          </w:tcPr>
          <w:p w14:paraId="18B7C44B">
            <w:pPr>
              <w:spacing w:line="360" w:lineRule="auto"/>
              <w:ind w:firstLine="420" w:firstLineChars="200"/>
              <w:rPr>
                <w:color w:val="auto"/>
                <w:szCs w:val="21"/>
                <w:highlight w:val="none"/>
              </w:rPr>
            </w:pPr>
          </w:p>
        </w:tc>
        <w:tc>
          <w:tcPr>
            <w:tcW w:w="1276" w:type="dxa"/>
            <w:vAlign w:val="center"/>
          </w:tcPr>
          <w:p w14:paraId="3A6B3532">
            <w:pPr>
              <w:spacing w:line="360" w:lineRule="auto"/>
              <w:ind w:firstLine="420" w:firstLineChars="200"/>
              <w:rPr>
                <w:color w:val="auto"/>
                <w:szCs w:val="21"/>
                <w:highlight w:val="none"/>
              </w:rPr>
            </w:pPr>
          </w:p>
        </w:tc>
        <w:tc>
          <w:tcPr>
            <w:tcW w:w="1134" w:type="dxa"/>
            <w:vAlign w:val="center"/>
          </w:tcPr>
          <w:p w14:paraId="0E71008A">
            <w:pPr>
              <w:spacing w:line="360" w:lineRule="auto"/>
              <w:ind w:firstLine="420" w:firstLineChars="200"/>
              <w:rPr>
                <w:color w:val="auto"/>
                <w:szCs w:val="21"/>
                <w:highlight w:val="none"/>
              </w:rPr>
            </w:pPr>
          </w:p>
        </w:tc>
        <w:tc>
          <w:tcPr>
            <w:tcW w:w="1559" w:type="dxa"/>
            <w:vAlign w:val="center"/>
          </w:tcPr>
          <w:p w14:paraId="7BB94D8B">
            <w:pPr>
              <w:spacing w:line="360" w:lineRule="auto"/>
              <w:ind w:firstLine="420" w:firstLineChars="200"/>
              <w:rPr>
                <w:color w:val="auto"/>
                <w:szCs w:val="21"/>
                <w:highlight w:val="none"/>
              </w:rPr>
            </w:pPr>
          </w:p>
        </w:tc>
      </w:tr>
      <w:tr w14:paraId="3EC08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869A580">
            <w:pPr>
              <w:spacing w:line="360" w:lineRule="auto"/>
              <w:ind w:firstLine="420" w:firstLineChars="200"/>
              <w:rPr>
                <w:color w:val="auto"/>
                <w:szCs w:val="21"/>
                <w:highlight w:val="none"/>
              </w:rPr>
            </w:pPr>
          </w:p>
        </w:tc>
        <w:tc>
          <w:tcPr>
            <w:tcW w:w="1226" w:type="dxa"/>
            <w:vAlign w:val="center"/>
          </w:tcPr>
          <w:p w14:paraId="5A61971D">
            <w:pPr>
              <w:spacing w:line="360" w:lineRule="auto"/>
              <w:ind w:firstLine="420" w:firstLineChars="200"/>
              <w:rPr>
                <w:color w:val="auto"/>
                <w:szCs w:val="21"/>
                <w:highlight w:val="none"/>
              </w:rPr>
            </w:pPr>
          </w:p>
        </w:tc>
        <w:tc>
          <w:tcPr>
            <w:tcW w:w="851" w:type="dxa"/>
            <w:vAlign w:val="center"/>
          </w:tcPr>
          <w:p w14:paraId="09D91767">
            <w:pPr>
              <w:spacing w:line="360" w:lineRule="auto"/>
              <w:ind w:firstLine="420" w:firstLineChars="200"/>
              <w:rPr>
                <w:color w:val="auto"/>
                <w:szCs w:val="21"/>
                <w:highlight w:val="none"/>
              </w:rPr>
            </w:pPr>
          </w:p>
        </w:tc>
        <w:tc>
          <w:tcPr>
            <w:tcW w:w="708" w:type="dxa"/>
            <w:vAlign w:val="center"/>
          </w:tcPr>
          <w:p w14:paraId="1C4C1D30">
            <w:pPr>
              <w:spacing w:line="360" w:lineRule="auto"/>
              <w:ind w:firstLine="420" w:firstLineChars="200"/>
              <w:rPr>
                <w:color w:val="auto"/>
                <w:szCs w:val="21"/>
                <w:highlight w:val="none"/>
              </w:rPr>
            </w:pPr>
          </w:p>
        </w:tc>
        <w:tc>
          <w:tcPr>
            <w:tcW w:w="709" w:type="dxa"/>
            <w:vAlign w:val="center"/>
          </w:tcPr>
          <w:p w14:paraId="0B57587F">
            <w:pPr>
              <w:spacing w:line="360" w:lineRule="auto"/>
              <w:ind w:firstLine="420" w:firstLineChars="200"/>
              <w:rPr>
                <w:color w:val="auto"/>
                <w:szCs w:val="21"/>
                <w:highlight w:val="none"/>
              </w:rPr>
            </w:pPr>
          </w:p>
        </w:tc>
        <w:tc>
          <w:tcPr>
            <w:tcW w:w="1134" w:type="dxa"/>
            <w:vAlign w:val="center"/>
          </w:tcPr>
          <w:p w14:paraId="47A6FC30">
            <w:pPr>
              <w:spacing w:line="360" w:lineRule="auto"/>
              <w:ind w:firstLine="420" w:firstLineChars="200"/>
              <w:rPr>
                <w:color w:val="auto"/>
                <w:szCs w:val="21"/>
                <w:highlight w:val="none"/>
              </w:rPr>
            </w:pPr>
          </w:p>
        </w:tc>
        <w:tc>
          <w:tcPr>
            <w:tcW w:w="1276" w:type="dxa"/>
            <w:vAlign w:val="center"/>
          </w:tcPr>
          <w:p w14:paraId="62038373">
            <w:pPr>
              <w:spacing w:line="360" w:lineRule="auto"/>
              <w:ind w:firstLine="420" w:firstLineChars="200"/>
              <w:rPr>
                <w:color w:val="auto"/>
                <w:szCs w:val="21"/>
                <w:highlight w:val="none"/>
              </w:rPr>
            </w:pPr>
          </w:p>
        </w:tc>
        <w:tc>
          <w:tcPr>
            <w:tcW w:w="1134" w:type="dxa"/>
            <w:vAlign w:val="center"/>
          </w:tcPr>
          <w:p w14:paraId="08E1F844">
            <w:pPr>
              <w:spacing w:line="360" w:lineRule="auto"/>
              <w:ind w:firstLine="420" w:firstLineChars="200"/>
              <w:rPr>
                <w:color w:val="auto"/>
                <w:szCs w:val="21"/>
                <w:highlight w:val="none"/>
              </w:rPr>
            </w:pPr>
          </w:p>
        </w:tc>
        <w:tc>
          <w:tcPr>
            <w:tcW w:w="1559" w:type="dxa"/>
            <w:vAlign w:val="center"/>
          </w:tcPr>
          <w:p w14:paraId="4AB5064D">
            <w:pPr>
              <w:spacing w:line="360" w:lineRule="auto"/>
              <w:ind w:firstLine="420" w:firstLineChars="200"/>
              <w:rPr>
                <w:color w:val="auto"/>
                <w:szCs w:val="21"/>
                <w:highlight w:val="none"/>
              </w:rPr>
            </w:pPr>
          </w:p>
        </w:tc>
      </w:tr>
    </w:tbl>
    <w:p w14:paraId="0FBF059B">
      <w:pPr>
        <w:rPr>
          <w:color w:val="auto"/>
          <w:highlight w:val="none"/>
        </w:rPr>
      </w:pPr>
    </w:p>
    <w:p w14:paraId="45664C23">
      <w:pPr>
        <w:rPr>
          <w:b/>
          <w:bCs/>
          <w:color w:val="auto"/>
          <w:highlight w:val="none"/>
        </w:rPr>
      </w:pPr>
    </w:p>
    <w:p w14:paraId="6E1A676B">
      <w:pPr>
        <w:rPr>
          <w:b/>
          <w:bCs/>
          <w:color w:val="auto"/>
          <w:highlight w:val="none"/>
        </w:rPr>
      </w:pPr>
      <w:r>
        <w:rPr>
          <w:b/>
          <w:bCs/>
          <w:color w:val="auto"/>
          <w:highlight w:val="none"/>
        </w:rPr>
        <w:t>附表三：</w:t>
      </w:r>
      <w:r>
        <w:rPr>
          <w:b/>
          <w:bCs/>
          <w:spacing w:val="9"/>
          <w:sz w:val="21"/>
          <w:szCs w:val="21"/>
        </w:rPr>
        <w:t>拟投入本合同工程的劳动力计划表</w:t>
      </w:r>
    </w:p>
    <w:p w14:paraId="53623803">
      <w:pPr>
        <w:ind w:firstLine="7245" w:firstLineChars="3450"/>
        <w:rPr>
          <w:color w:val="auto"/>
          <w:szCs w:val="21"/>
          <w:highlight w:val="none"/>
        </w:rPr>
      </w:pPr>
      <w:r>
        <w:rPr>
          <w:color w:val="auto"/>
          <w:szCs w:val="21"/>
          <w:highlight w:val="none"/>
        </w:rPr>
        <w:t xml:space="preserve">    </w:t>
      </w:r>
    </w:p>
    <w:p w14:paraId="072A33A4">
      <w:pPr>
        <w:jc w:val="center"/>
        <w:rPr>
          <w:b/>
          <w:bCs/>
          <w:color w:val="auto"/>
          <w:szCs w:val="21"/>
          <w:highlight w:val="none"/>
        </w:rPr>
      </w:pPr>
      <w:r>
        <w:rPr>
          <w:b/>
          <w:bCs/>
          <w:spacing w:val="9"/>
          <w:sz w:val="21"/>
          <w:szCs w:val="21"/>
        </w:rPr>
        <w:t>拟投入本合同工程的劳动力计划表</w:t>
      </w:r>
    </w:p>
    <w:p w14:paraId="3653BB1A">
      <w:pPr>
        <w:ind w:firstLine="7245" w:firstLineChars="3450"/>
        <w:rPr>
          <w:color w:val="auto"/>
          <w:szCs w:val="21"/>
          <w:highlight w:val="none"/>
        </w:rPr>
      </w:pPr>
    </w:p>
    <w:p w14:paraId="40428213">
      <w:pPr>
        <w:ind w:firstLine="7245" w:firstLineChars="3450"/>
        <w:rPr>
          <w:color w:val="auto"/>
          <w:szCs w:val="21"/>
          <w:highlight w:val="none"/>
        </w:rPr>
      </w:pPr>
      <w:r>
        <w:rPr>
          <w:color w:val="auto"/>
          <w:szCs w:val="21"/>
          <w:highlight w:val="none"/>
        </w:rPr>
        <w:t>单位：人</w:t>
      </w:r>
    </w:p>
    <w:tbl>
      <w:tblPr>
        <w:tblStyle w:val="15"/>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961"/>
        <w:gridCol w:w="1257"/>
        <w:gridCol w:w="1258"/>
        <w:gridCol w:w="1257"/>
        <w:gridCol w:w="1258"/>
        <w:gridCol w:w="1257"/>
        <w:gridCol w:w="1258"/>
      </w:tblGrid>
      <w:tr w14:paraId="53B99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4155110B">
            <w:pPr>
              <w:spacing w:line="360" w:lineRule="auto"/>
              <w:jc w:val="center"/>
              <w:rPr>
                <w:color w:val="auto"/>
                <w:szCs w:val="21"/>
                <w:highlight w:val="none"/>
              </w:rPr>
            </w:pPr>
            <w:r>
              <w:rPr>
                <w:color w:val="auto"/>
                <w:szCs w:val="21"/>
                <w:highlight w:val="none"/>
              </w:rPr>
              <w:t>工种</w:t>
            </w:r>
          </w:p>
        </w:tc>
        <w:tc>
          <w:tcPr>
            <w:tcW w:w="8506" w:type="dxa"/>
            <w:gridSpan w:val="7"/>
            <w:vAlign w:val="center"/>
          </w:tcPr>
          <w:p w14:paraId="197DE6AB">
            <w:pPr>
              <w:spacing w:line="360" w:lineRule="auto"/>
              <w:jc w:val="center"/>
              <w:rPr>
                <w:color w:val="auto"/>
                <w:szCs w:val="21"/>
                <w:highlight w:val="none"/>
              </w:rPr>
            </w:pPr>
            <w:r>
              <w:rPr>
                <w:color w:val="auto"/>
                <w:szCs w:val="21"/>
                <w:highlight w:val="none"/>
              </w:rPr>
              <w:t>按工程施工阶段投入劳动力情况</w:t>
            </w:r>
          </w:p>
        </w:tc>
      </w:tr>
      <w:tr w14:paraId="1D0C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0DB77E4F">
            <w:pPr>
              <w:spacing w:line="360" w:lineRule="auto"/>
              <w:jc w:val="center"/>
              <w:rPr>
                <w:color w:val="auto"/>
                <w:szCs w:val="21"/>
                <w:highlight w:val="none"/>
              </w:rPr>
            </w:pPr>
          </w:p>
        </w:tc>
        <w:tc>
          <w:tcPr>
            <w:tcW w:w="961" w:type="dxa"/>
            <w:vAlign w:val="center"/>
          </w:tcPr>
          <w:p w14:paraId="731AB28D">
            <w:pPr>
              <w:spacing w:line="360" w:lineRule="auto"/>
              <w:jc w:val="center"/>
              <w:rPr>
                <w:color w:val="auto"/>
                <w:szCs w:val="21"/>
                <w:highlight w:val="none"/>
              </w:rPr>
            </w:pPr>
          </w:p>
        </w:tc>
        <w:tc>
          <w:tcPr>
            <w:tcW w:w="1257" w:type="dxa"/>
            <w:vAlign w:val="center"/>
          </w:tcPr>
          <w:p w14:paraId="6D60367B">
            <w:pPr>
              <w:spacing w:line="360" w:lineRule="auto"/>
              <w:jc w:val="center"/>
              <w:rPr>
                <w:color w:val="auto"/>
                <w:szCs w:val="21"/>
                <w:highlight w:val="none"/>
              </w:rPr>
            </w:pPr>
          </w:p>
        </w:tc>
        <w:tc>
          <w:tcPr>
            <w:tcW w:w="1258" w:type="dxa"/>
            <w:vAlign w:val="center"/>
          </w:tcPr>
          <w:p w14:paraId="686EAA0D">
            <w:pPr>
              <w:spacing w:line="360" w:lineRule="auto"/>
              <w:jc w:val="center"/>
              <w:rPr>
                <w:color w:val="auto"/>
                <w:szCs w:val="21"/>
                <w:highlight w:val="none"/>
              </w:rPr>
            </w:pPr>
          </w:p>
        </w:tc>
        <w:tc>
          <w:tcPr>
            <w:tcW w:w="1257" w:type="dxa"/>
            <w:vAlign w:val="center"/>
          </w:tcPr>
          <w:p w14:paraId="2AD467A7">
            <w:pPr>
              <w:spacing w:line="360" w:lineRule="auto"/>
              <w:jc w:val="center"/>
              <w:rPr>
                <w:color w:val="auto"/>
                <w:szCs w:val="21"/>
                <w:highlight w:val="none"/>
              </w:rPr>
            </w:pPr>
          </w:p>
        </w:tc>
        <w:tc>
          <w:tcPr>
            <w:tcW w:w="1258" w:type="dxa"/>
            <w:vAlign w:val="center"/>
          </w:tcPr>
          <w:p w14:paraId="1555958A">
            <w:pPr>
              <w:spacing w:line="360" w:lineRule="auto"/>
              <w:jc w:val="center"/>
              <w:rPr>
                <w:color w:val="auto"/>
                <w:szCs w:val="21"/>
                <w:highlight w:val="none"/>
              </w:rPr>
            </w:pPr>
          </w:p>
        </w:tc>
        <w:tc>
          <w:tcPr>
            <w:tcW w:w="1257" w:type="dxa"/>
            <w:vAlign w:val="center"/>
          </w:tcPr>
          <w:p w14:paraId="73DB2A1E">
            <w:pPr>
              <w:spacing w:line="360" w:lineRule="auto"/>
              <w:jc w:val="center"/>
              <w:rPr>
                <w:color w:val="auto"/>
                <w:szCs w:val="21"/>
                <w:highlight w:val="none"/>
              </w:rPr>
            </w:pPr>
          </w:p>
        </w:tc>
        <w:tc>
          <w:tcPr>
            <w:tcW w:w="1258" w:type="dxa"/>
            <w:vAlign w:val="center"/>
          </w:tcPr>
          <w:p w14:paraId="778B7B7A">
            <w:pPr>
              <w:spacing w:line="360" w:lineRule="auto"/>
              <w:jc w:val="center"/>
              <w:rPr>
                <w:color w:val="auto"/>
                <w:szCs w:val="21"/>
                <w:highlight w:val="none"/>
              </w:rPr>
            </w:pPr>
          </w:p>
        </w:tc>
      </w:tr>
      <w:tr w14:paraId="4FACE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5394FB10">
            <w:pPr>
              <w:spacing w:line="360" w:lineRule="auto"/>
              <w:jc w:val="center"/>
              <w:rPr>
                <w:color w:val="auto"/>
                <w:szCs w:val="21"/>
                <w:highlight w:val="none"/>
              </w:rPr>
            </w:pPr>
          </w:p>
        </w:tc>
        <w:tc>
          <w:tcPr>
            <w:tcW w:w="961" w:type="dxa"/>
            <w:vAlign w:val="center"/>
          </w:tcPr>
          <w:p w14:paraId="4742A06A">
            <w:pPr>
              <w:spacing w:line="360" w:lineRule="auto"/>
              <w:jc w:val="center"/>
              <w:rPr>
                <w:color w:val="auto"/>
                <w:szCs w:val="21"/>
                <w:highlight w:val="none"/>
              </w:rPr>
            </w:pPr>
          </w:p>
        </w:tc>
        <w:tc>
          <w:tcPr>
            <w:tcW w:w="1257" w:type="dxa"/>
            <w:vAlign w:val="center"/>
          </w:tcPr>
          <w:p w14:paraId="19C4E5B6">
            <w:pPr>
              <w:spacing w:line="360" w:lineRule="auto"/>
              <w:jc w:val="center"/>
              <w:rPr>
                <w:color w:val="auto"/>
                <w:szCs w:val="21"/>
                <w:highlight w:val="none"/>
              </w:rPr>
            </w:pPr>
          </w:p>
        </w:tc>
        <w:tc>
          <w:tcPr>
            <w:tcW w:w="1258" w:type="dxa"/>
            <w:vAlign w:val="center"/>
          </w:tcPr>
          <w:p w14:paraId="692F39EA">
            <w:pPr>
              <w:spacing w:line="360" w:lineRule="auto"/>
              <w:jc w:val="center"/>
              <w:rPr>
                <w:color w:val="auto"/>
                <w:szCs w:val="21"/>
                <w:highlight w:val="none"/>
              </w:rPr>
            </w:pPr>
          </w:p>
        </w:tc>
        <w:tc>
          <w:tcPr>
            <w:tcW w:w="1257" w:type="dxa"/>
            <w:vAlign w:val="center"/>
          </w:tcPr>
          <w:p w14:paraId="2B55A433">
            <w:pPr>
              <w:spacing w:line="360" w:lineRule="auto"/>
              <w:jc w:val="center"/>
              <w:rPr>
                <w:color w:val="auto"/>
                <w:szCs w:val="21"/>
                <w:highlight w:val="none"/>
              </w:rPr>
            </w:pPr>
          </w:p>
        </w:tc>
        <w:tc>
          <w:tcPr>
            <w:tcW w:w="1258" w:type="dxa"/>
            <w:vAlign w:val="center"/>
          </w:tcPr>
          <w:p w14:paraId="4F54F72A">
            <w:pPr>
              <w:spacing w:line="360" w:lineRule="auto"/>
              <w:jc w:val="center"/>
              <w:rPr>
                <w:color w:val="auto"/>
                <w:szCs w:val="21"/>
                <w:highlight w:val="none"/>
              </w:rPr>
            </w:pPr>
          </w:p>
        </w:tc>
        <w:tc>
          <w:tcPr>
            <w:tcW w:w="1257" w:type="dxa"/>
            <w:vAlign w:val="center"/>
          </w:tcPr>
          <w:p w14:paraId="57F096EE">
            <w:pPr>
              <w:spacing w:line="360" w:lineRule="auto"/>
              <w:jc w:val="center"/>
              <w:rPr>
                <w:color w:val="auto"/>
                <w:szCs w:val="21"/>
                <w:highlight w:val="none"/>
              </w:rPr>
            </w:pPr>
          </w:p>
        </w:tc>
        <w:tc>
          <w:tcPr>
            <w:tcW w:w="1258" w:type="dxa"/>
            <w:vAlign w:val="center"/>
          </w:tcPr>
          <w:p w14:paraId="0FC6DA14">
            <w:pPr>
              <w:spacing w:line="360" w:lineRule="auto"/>
              <w:jc w:val="center"/>
              <w:rPr>
                <w:color w:val="auto"/>
                <w:szCs w:val="21"/>
                <w:highlight w:val="none"/>
              </w:rPr>
            </w:pPr>
          </w:p>
        </w:tc>
      </w:tr>
      <w:tr w14:paraId="39D36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5A7CF4F3">
            <w:pPr>
              <w:spacing w:line="360" w:lineRule="auto"/>
              <w:jc w:val="center"/>
              <w:rPr>
                <w:color w:val="auto"/>
                <w:szCs w:val="21"/>
                <w:highlight w:val="none"/>
              </w:rPr>
            </w:pPr>
          </w:p>
        </w:tc>
        <w:tc>
          <w:tcPr>
            <w:tcW w:w="961" w:type="dxa"/>
            <w:vAlign w:val="center"/>
          </w:tcPr>
          <w:p w14:paraId="10595BF3">
            <w:pPr>
              <w:spacing w:line="360" w:lineRule="auto"/>
              <w:jc w:val="center"/>
              <w:rPr>
                <w:color w:val="auto"/>
                <w:szCs w:val="21"/>
                <w:highlight w:val="none"/>
              </w:rPr>
            </w:pPr>
          </w:p>
        </w:tc>
        <w:tc>
          <w:tcPr>
            <w:tcW w:w="1257" w:type="dxa"/>
            <w:vAlign w:val="center"/>
          </w:tcPr>
          <w:p w14:paraId="4260C276">
            <w:pPr>
              <w:spacing w:line="360" w:lineRule="auto"/>
              <w:jc w:val="center"/>
              <w:rPr>
                <w:color w:val="auto"/>
                <w:szCs w:val="21"/>
                <w:highlight w:val="none"/>
              </w:rPr>
            </w:pPr>
          </w:p>
        </w:tc>
        <w:tc>
          <w:tcPr>
            <w:tcW w:w="1258" w:type="dxa"/>
            <w:vAlign w:val="center"/>
          </w:tcPr>
          <w:p w14:paraId="256EA8BD">
            <w:pPr>
              <w:spacing w:line="360" w:lineRule="auto"/>
              <w:jc w:val="center"/>
              <w:rPr>
                <w:color w:val="auto"/>
                <w:szCs w:val="21"/>
                <w:highlight w:val="none"/>
              </w:rPr>
            </w:pPr>
          </w:p>
        </w:tc>
        <w:tc>
          <w:tcPr>
            <w:tcW w:w="1257" w:type="dxa"/>
            <w:vAlign w:val="center"/>
          </w:tcPr>
          <w:p w14:paraId="56DC4A58">
            <w:pPr>
              <w:spacing w:line="360" w:lineRule="auto"/>
              <w:jc w:val="center"/>
              <w:rPr>
                <w:color w:val="auto"/>
                <w:szCs w:val="21"/>
                <w:highlight w:val="none"/>
              </w:rPr>
            </w:pPr>
          </w:p>
        </w:tc>
        <w:tc>
          <w:tcPr>
            <w:tcW w:w="1258" w:type="dxa"/>
            <w:vAlign w:val="center"/>
          </w:tcPr>
          <w:p w14:paraId="4E223943">
            <w:pPr>
              <w:spacing w:line="360" w:lineRule="auto"/>
              <w:jc w:val="center"/>
              <w:rPr>
                <w:color w:val="auto"/>
                <w:szCs w:val="21"/>
                <w:highlight w:val="none"/>
              </w:rPr>
            </w:pPr>
          </w:p>
        </w:tc>
        <w:tc>
          <w:tcPr>
            <w:tcW w:w="1257" w:type="dxa"/>
            <w:vAlign w:val="center"/>
          </w:tcPr>
          <w:p w14:paraId="2100C155">
            <w:pPr>
              <w:spacing w:line="360" w:lineRule="auto"/>
              <w:jc w:val="center"/>
              <w:rPr>
                <w:color w:val="auto"/>
                <w:szCs w:val="21"/>
                <w:highlight w:val="none"/>
              </w:rPr>
            </w:pPr>
          </w:p>
        </w:tc>
        <w:tc>
          <w:tcPr>
            <w:tcW w:w="1258" w:type="dxa"/>
            <w:vAlign w:val="center"/>
          </w:tcPr>
          <w:p w14:paraId="046390D2">
            <w:pPr>
              <w:spacing w:line="360" w:lineRule="auto"/>
              <w:jc w:val="center"/>
              <w:rPr>
                <w:color w:val="auto"/>
                <w:szCs w:val="21"/>
                <w:highlight w:val="none"/>
              </w:rPr>
            </w:pPr>
          </w:p>
        </w:tc>
      </w:tr>
      <w:tr w14:paraId="00252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3B64E8A5">
            <w:pPr>
              <w:spacing w:line="360" w:lineRule="auto"/>
              <w:jc w:val="center"/>
              <w:rPr>
                <w:color w:val="auto"/>
                <w:szCs w:val="21"/>
                <w:highlight w:val="none"/>
              </w:rPr>
            </w:pPr>
          </w:p>
        </w:tc>
        <w:tc>
          <w:tcPr>
            <w:tcW w:w="961" w:type="dxa"/>
            <w:vAlign w:val="center"/>
          </w:tcPr>
          <w:p w14:paraId="62EFA9A3">
            <w:pPr>
              <w:spacing w:line="360" w:lineRule="auto"/>
              <w:jc w:val="center"/>
              <w:rPr>
                <w:color w:val="auto"/>
                <w:szCs w:val="21"/>
                <w:highlight w:val="none"/>
              </w:rPr>
            </w:pPr>
          </w:p>
        </w:tc>
        <w:tc>
          <w:tcPr>
            <w:tcW w:w="1257" w:type="dxa"/>
            <w:vAlign w:val="center"/>
          </w:tcPr>
          <w:p w14:paraId="37C3806D">
            <w:pPr>
              <w:spacing w:line="360" w:lineRule="auto"/>
              <w:jc w:val="center"/>
              <w:rPr>
                <w:color w:val="auto"/>
                <w:szCs w:val="21"/>
                <w:highlight w:val="none"/>
              </w:rPr>
            </w:pPr>
          </w:p>
        </w:tc>
        <w:tc>
          <w:tcPr>
            <w:tcW w:w="1258" w:type="dxa"/>
            <w:vAlign w:val="center"/>
          </w:tcPr>
          <w:p w14:paraId="3F3AAA83">
            <w:pPr>
              <w:spacing w:line="360" w:lineRule="auto"/>
              <w:jc w:val="center"/>
              <w:rPr>
                <w:color w:val="auto"/>
                <w:szCs w:val="21"/>
                <w:highlight w:val="none"/>
              </w:rPr>
            </w:pPr>
          </w:p>
        </w:tc>
        <w:tc>
          <w:tcPr>
            <w:tcW w:w="1257" w:type="dxa"/>
            <w:vAlign w:val="center"/>
          </w:tcPr>
          <w:p w14:paraId="095A31C1">
            <w:pPr>
              <w:spacing w:line="360" w:lineRule="auto"/>
              <w:jc w:val="center"/>
              <w:rPr>
                <w:color w:val="auto"/>
                <w:szCs w:val="21"/>
                <w:highlight w:val="none"/>
              </w:rPr>
            </w:pPr>
          </w:p>
        </w:tc>
        <w:tc>
          <w:tcPr>
            <w:tcW w:w="1258" w:type="dxa"/>
            <w:vAlign w:val="center"/>
          </w:tcPr>
          <w:p w14:paraId="5E8C4B42">
            <w:pPr>
              <w:spacing w:line="360" w:lineRule="auto"/>
              <w:jc w:val="center"/>
              <w:rPr>
                <w:color w:val="auto"/>
                <w:szCs w:val="21"/>
                <w:highlight w:val="none"/>
              </w:rPr>
            </w:pPr>
          </w:p>
        </w:tc>
        <w:tc>
          <w:tcPr>
            <w:tcW w:w="1257" w:type="dxa"/>
            <w:vAlign w:val="center"/>
          </w:tcPr>
          <w:p w14:paraId="5E3E3B69">
            <w:pPr>
              <w:spacing w:line="360" w:lineRule="auto"/>
              <w:jc w:val="center"/>
              <w:rPr>
                <w:color w:val="auto"/>
                <w:szCs w:val="21"/>
                <w:highlight w:val="none"/>
              </w:rPr>
            </w:pPr>
          </w:p>
        </w:tc>
        <w:tc>
          <w:tcPr>
            <w:tcW w:w="1258" w:type="dxa"/>
            <w:vAlign w:val="center"/>
          </w:tcPr>
          <w:p w14:paraId="2445A052">
            <w:pPr>
              <w:spacing w:line="360" w:lineRule="auto"/>
              <w:jc w:val="center"/>
              <w:rPr>
                <w:color w:val="auto"/>
                <w:szCs w:val="21"/>
                <w:highlight w:val="none"/>
              </w:rPr>
            </w:pPr>
          </w:p>
        </w:tc>
      </w:tr>
      <w:tr w14:paraId="745C3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00D987B7">
            <w:pPr>
              <w:spacing w:line="360" w:lineRule="auto"/>
              <w:jc w:val="center"/>
              <w:rPr>
                <w:color w:val="auto"/>
                <w:szCs w:val="21"/>
                <w:highlight w:val="none"/>
              </w:rPr>
            </w:pPr>
          </w:p>
        </w:tc>
        <w:tc>
          <w:tcPr>
            <w:tcW w:w="961" w:type="dxa"/>
            <w:vAlign w:val="center"/>
          </w:tcPr>
          <w:p w14:paraId="7C7952CC">
            <w:pPr>
              <w:spacing w:line="360" w:lineRule="auto"/>
              <w:jc w:val="center"/>
              <w:rPr>
                <w:color w:val="auto"/>
                <w:szCs w:val="21"/>
                <w:highlight w:val="none"/>
              </w:rPr>
            </w:pPr>
          </w:p>
        </w:tc>
        <w:tc>
          <w:tcPr>
            <w:tcW w:w="1257" w:type="dxa"/>
            <w:vAlign w:val="center"/>
          </w:tcPr>
          <w:p w14:paraId="45B319BB">
            <w:pPr>
              <w:spacing w:line="360" w:lineRule="auto"/>
              <w:jc w:val="center"/>
              <w:rPr>
                <w:color w:val="auto"/>
                <w:szCs w:val="21"/>
                <w:highlight w:val="none"/>
              </w:rPr>
            </w:pPr>
          </w:p>
        </w:tc>
        <w:tc>
          <w:tcPr>
            <w:tcW w:w="1258" w:type="dxa"/>
            <w:vAlign w:val="center"/>
          </w:tcPr>
          <w:p w14:paraId="2F4FAEA2">
            <w:pPr>
              <w:spacing w:line="360" w:lineRule="auto"/>
              <w:jc w:val="center"/>
              <w:rPr>
                <w:color w:val="auto"/>
                <w:szCs w:val="21"/>
                <w:highlight w:val="none"/>
              </w:rPr>
            </w:pPr>
          </w:p>
        </w:tc>
        <w:tc>
          <w:tcPr>
            <w:tcW w:w="1257" w:type="dxa"/>
            <w:vAlign w:val="center"/>
          </w:tcPr>
          <w:p w14:paraId="2E0E7B9C">
            <w:pPr>
              <w:spacing w:line="360" w:lineRule="auto"/>
              <w:jc w:val="center"/>
              <w:rPr>
                <w:color w:val="auto"/>
                <w:szCs w:val="21"/>
                <w:highlight w:val="none"/>
              </w:rPr>
            </w:pPr>
          </w:p>
        </w:tc>
        <w:tc>
          <w:tcPr>
            <w:tcW w:w="1258" w:type="dxa"/>
            <w:vAlign w:val="center"/>
          </w:tcPr>
          <w:p w14:paraId="4451523C">
            <w:pPr>
              <w:spacing w:line="360" w:lineRule="auto"/>
              <w:jc w:val="center"/>
              <w:rPr>
                <w:color w:val="auto"/>
                <w:szCs w:val="21"/>
                <w:highlight w:val="none"/>
              </w:rPr>
            </w:pPr>
          </w:p>
        </w:tc>
        <w:tc>
          <w:tcPr>
            <w:tcW w:w="1257" w:type="dxa"/>
            <w:vAlign w:val="center"/>
          </w:tcPr>
          <w:p w14:paraId="1AA11961">
            <w:pPr>
              <w:spacing w:line="360" w:lineRule="auto"/>
              <w:jc w:val="center"/>
              <w:rPr>
                <w:color w:val="auto"/>
                <w:szCs w:val="21"/>
                <w:highlight w:val="none"/>
              </w:rPr>
            </w:pPr>
          </w:p>
        </w:tc>
        <w:tc>
          <w:tcPr>
            <w:tcW w:w="1258" w:type="dxa"/>
            <w:vAlign w:val="center"/>
          </w:tcPr>
          <w:p w14:paraId="66D4FA6D">
            <w:pPr>
              <w:spacing w:line="360" w:lineRule="auto"/>
              <w:jc w:val="center"/>
              <w:rPr>
                <w:color w:val="auto"/>
                <w:szCs w:val="21"/>
                <w:highlight w:val="none"/>
              </w:rPr>
            </w:pPr>
          </w:p>
        </w:tc>
      </w:tr>
      <w:tr w14:paraId="4F3D1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7C0654E8">
            <w:pPr>
              <w:spacing w:line="360" w:lineRule="auto"/>
              <w:jc w:val="center"/>
              <w:rPr>
                <w:color w:val="auto"/>
                <w:szCs w:val="21"/>
                <w:highlight w:val="none"/>
              </w:rPr>
            </w:pPr>
          </w:p>
        </w:tc>
        <w:tc>
          <w:tcPr>
            <w:tcW w:w="961" w:type="dxa"/>
            <w:vAlign w:val="center"/>
          </w:tcPr>
          <w:p w14:paraId="6418F275">
            <w:pPr>
              <w:spacing w:line="360" w:lineRule="auto"/>
              <w:jc w:val="center"/>
              <w:rPr>
                <w:color w:val="auto"/>
                <w:szCs w:val="21"/>
                <w:highlight w:val="none"/>
              </w:rPr>
            </w:pPr>
          </w:p>
        </w:tc>
        <w:tc>
          <w:tcPr>
            <w:tcW w:w="1257" w:type="dxa"/>
            <w:vAlign w:val="center"/>
          </w:tcPr>
          <w:p w14:paraId="1D1711E8">
            <w:pPr>
              <w:spacing w:line="360" w:lineRule="auto"/>
              <w:jc w:val="center"/>
              <w:rPr>
                <w:color w:val="auto"/>
                <w:szCs w:val="21"/>
                <w:highlight w:val="none"/>
              </w:rPr>
            </w:pPr>
          </w:p>
        </w:tc>
        <w:tc>
          <w:tcPr>
            <w:tcW w:w="1258" w:type="dxa"/>
            <w:vAlign w:val="center"/>
          </w:tcPr>
          <w:p w14:paraId="5B83FCC5">
            <w:pPr>
              <w:spacing w:line="360" w:lineRule="auto"/>
              <w:jc w:val="center"/>
              <w:rPr>
                <w:color w:val="auto"/>
                <w:szCs w:val="21"/>
                <w:highlight w:val="none"/>
              </w:rPr>
            </w:pPr>
          </w:p>
        </w:tc>
        <w:tc>
          <w:tcPr>
            <w:tcW w:w="1257" w:type="dxa"/>
            <w:vAlign w:val="center"/>
          </w:tcPr>
          <w:p w14:paraId="5552310D">
            <w:pPr>
              <w:spacing w:line="360" w:lineRule="auto"/>
              <w:jc w:val="center"/>
              <w:rPr>
                <w:color w:val="auto"/>
                <w:szCs w:val="21"/>
                <w:highlight w:val="none"/>
              </w:rPr>
            </w:pPr>
          </w:p>
        </w:tc>
        <w:tc>
          <w:tcPr>
            <w:tcW w:w="1258" w:type="dxa"/>
            <w:vAlign w:val="center"/>
          </w:tcPr>
          <w:p w14:paraId="7748A578">
            <w:pPr>
              <w:spacing w:line="360" w:lineRule="auto"/>
              <w:jc w:val="center"/>
              <w:rPr>
                <w:color w:val="auto"/>
                <w:szCs w:val="21"/>
                <w:highlight w:val="none"/>
              </w:rPr>
            </w:pPr>
          </w:p>
        </w:tc>
        <w:tc>
          <w:tcPr>
            <w:tcW w:w="1257" w:type="dxa"/>
            <w:vAlign w:val="center"/>
          </w:tcPr>
          <w:p w14:paraId="5EA5073F">
            <w:pPr>
              <w:spacing w:line="360" w:lineRule="auto"/>
              <w:jc w:val="center"/>
              <w:rPr>
                <w:color w:val="auto"/>
                <w:szCs w:val="21"/>
                <w:highlight w:val="none"/>
              </w:rPr>
            </w:pPr>
          </w:p>
        </w:tc>
        <w:tc>
          <w:tcPr>
            <w:tcW w:w="1258" w:type="dxa"/>
            <w:vAlign w:val="center"/>
          </w:tcPr>
          <w:p w14:paraId="387EEA8E">
            <w:pPr>
              <w:spacing w:line="360" w:lineRule="auto"/>
              <w:jc w:val="center"/>
              <w:rPr>
                <w:color w:val="auto"/>
                <w:szCs w:val="21"/>
                <w:highlight w:val="none"/>
              </w:rPr>
            </w:pPr>
          </w:p>
        </w:tc>
      </w:tr>
      <w:tr w14:paraId="506A9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1240F6BC">
            <w:pPr>
              <w:spacing w:line="360" w:lineRule="auto"/>
              <w:jc w:val="center"/>
              <w:rPr>
                <w:color w:val="auto"/>
                <w:szCs w:val="21"/>
                <w:highlight w:val="none"/>
              </w:rPr>
            </w:pPr>
          </w:p>
        </w:tc>
        <w:tc>
          <w:tcPr>
            <w:tcW w:w="961" w:type="dxa"/>
            <w:vAlign w:val="center"/>
          </w:tcPr>
          <w:p w14:paraId="1333F7FC">
            <w:pPr>
              <w:spacing w:line="360" w:lineRule="auto"/>
              <w:jc w:val="center"/>
              <w:rPr>
                <w:color w:val="auto"/>
                <w:szCs w:val="21"/>
                <w:highlight w:val="none"/>
              </w:rPr>
            </w:pPr>
          </w:p>
        </w:tc>
        <w:tc>
          <w:tcPr>
            <w:tcW w:w="1257" w:type="dxa"/>
            <w:vAlign w:val="center"/>
          </w:tcPr>
          <w:p w14:paraId="76445DBB">
            <w:pPr>
              <w:spacing w:line="360" w:lineRule="auto"/>
              <w:jc w:val="center"/>
              <w:rPr>
                <w:color w:val="auto"/>
                <w:szCs w:val="21"/>
                <w:highlight w:val="none"/>
              </w:rPr>
            </w:pPr>
          </w:p>
        </w:tc>
        <w:tc>
          <w:tcPr>
            <w:tcW w:w="1258" w:type="dxa"/>
            <w:vAlign w:val="center"/>
          </w:tcPr>
          <w:p w14:paraId="072B08F3">
            <w:pPr>
              <w:spacing w:line="360" w:lineRule="auto"/>
              <w:jc w:val="center"/>
              <w:rPr>
                <w:color w:val="auto"/>
                <w:szCs w:val="21"/>
                <w:highlight w:val="none"/>
              </w:rPr>
            </w:pPr>
          </w:p>
        </w:tc>
        <w:tc>
          <w:tcPr>
            <w:tcW w:w="1257" w:type="dxa"/>
            <w:vAlign w:val="center"/>
          </w:tcPr>
          <w:p w14:paraId="7D98175A">
            <w:pPr>
              <w:spacing w:line="360" w:lineRule="auto"/>
              <w:jc w:val="center"/>
              <w:rPr>
                <w:color w:val="auto"/>
                <w:szCs w:val="21"/>
                <w:highlight w:val="none"/>
              </w:rPr>
            </w:pPr>
          </w:p>
        </w:tc>
        <w:tc>
          <w:tcPr>
            <w:tcW w:w="1258" w:type="dxa"/>
            <w:vAlign w:val="center"/>
          </w:tcPr>
          <w:p w14:paraId="3408031D">
            <w:pPr>
              <w:spacing w:line="360" w:lineRule="auto"/>
              <w:jc w:val="center"/>
              <w:rPr>
                <w:color w:val="auto"/>
                <w:szCs w:val="21"/>
                <w:highlight w:val="none"/>
              </w:rPr>
            </w:pPr>
          </w:p>
        </w:tc>
        <w:tc>
          <w:tcPr>
            <w:tcW w:w="1257" w:type="dxa"/>
            <w:vAlign w:val="center"/>
          </w:tcPr>
          <w:p w14:paraId="746890E7">
            <w:pPr>
              <w:spacing w:line="360" w:lineRule="auto"/>
              <w:jc w:val="center"/>
              <w:rPr>
                <w:color w:val="auto"/>
                <w:szCs w:val="21"/>
                <w:highlight w:val="none"/>
              </w:rPr>
            </w:pPr>
          </w:p>
        </w:tc>
        <w:tc>
          <w:tcPr>
            <w:tcW w:w="1258" w:type="dxa"/>
            <w:vAlign w:val="center"/>
          </w:tcPr>
          <w:p w14:paraId="2993E7D9">
            <w:pPr>
              <w:spacing w:line="360" w:lineRule="auto"/>
              <w:jc w:val="center"/>
              <w:rPr>
                <w:color w:val="auto"/>
                <w:szCs w:val="21"/>
                <w:highlight w:val="none"/>
              </w:rPr>
            </w:pPr>
          </w:p>
        </w:tc>
      </w:tr>
    </w:tbl>
    <w:p w14:paraId="759545B2">
      <w:pPr>
        <w:rPr>
          <w:color w:val="auto"/>
          <w:highlight w:val="none"/>
        </w:rPr>
      </w:pPr>
    </w:p>
    <w:p w14:paraId="1F22C2D1">
      <w:pPr>
        <w:pStyle w:val="7"/>
        <w:spacing w:before="65" w:line="227" w:lineRule="auto"/>
        <w:rPr>
          <w:b/>
          <w:bCs/>
          <w:spacing w:val="7"/>
          <w:sz w:val="21"/>
          <w:szCs w:val="21"/>
        </w:rPr>
      </w:pPr>
    </w:p>
    <w:p w14:paraId="494D2424">
      <w:pPr>
        <w:pStyle w:val="7"/>
        <w:spacing w:before="178" w:line="227" w:lineRule="auto"/>
        <w:rPr>
          <w:sz w:val="21"/>
          <w:szCs w:val="21"/>
        </w:rPr>
      </w:pPr>
      <w:r>
        <w:rPr>
          <w:b/>
          <w:bCs/>
          <w:spacing w:val="7"/>
          <w:sz w:val="21"/>
          <w:szCs w:val="21"/>
        </w:rPr>
        <w:t>附件四：拟投入本合同工程的材料进场计划表</w:t>
      </w:r>
    </w:p>
    <w:p w14:paraId="7D430162">
      <w:pPr>
        <w:pStyle w:val="7"/>
        <w:spacing w:before="284" w:line="227" w:lineRule="auto"/>
        <w:ind w:left="2806"/>
        <w:rPr>
          <w:sz w:val="21"/>
          <w:szCs w:val="21"/>
        </w:rPr>
      </w:pPr>
      <w:r>
        <w:rPr>
          <w:b/>
          <w:bCs/>
          <w:spacing w:val="8"/>
          <w:sz w:val="21"/>
          <w:szCs w:val="21"/>
        </w:rPr>
        <w:t>拟投入本合同工程的材料进场计划表</w:t>
      </w:r>
    </w:p>
    <w:p w14:paraId="273B52CE">
      <w:pPr>
        <w:spacing w:before="26"/>
        <w:rPr>
          <w:sz w:val="21"/>
          <w:szCs w:val="21"/>
        </w:rPr>
      </w:pPr>
    </w:p>
    <w:tbl>
      <w:tblPr>
        <w:tblStyle w:val="23"/>
        <w:tblW w:w="9473" w:type="dxa"/>
        <w:tblInd w:w="3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4"/>
        <w:gridCol w:w="902"/>
        <w:gridCol w:w="906"/>
        <w:gridCol w:w="906"/>
        <w:gridCol w:w="906"/>
        <w:gridCol w:w="911"/>
        <w:gridCol w:w="902"/>
        <w:gridCol w:w="907"/>
        <w:gridCol w:w="2039"/>
      </w:tblGrid>
      <w:tr w14:paraId="042DF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094" w:type="dxa"/>
            <w:vMerge w:val="restart"/>
            <w:tcBorders>
              <w:bottom w:val="nil"/>
            </w:tcBorders>
            <w:vAlign w:val="top"/>
          </w:tcPr>
          <w:p w14:paraId="32055679">
            <w:pPr>
              <w:spacing w:line="397" w:lineRule="auto"/>
              <w:rPr>
                <w:rFonts w:ascii="Arial"/>
                <w:sz w:val="21"/>
                <w:szCs w:val="21"/>
              </w:rPr>
            </w:pPr>
          </w:p>
          <w:p w14:paraId="42BE21D3">
            <w:pPr>
              <w:pStyle w:val="22"/>
              <w:spacing w:before="65" w:line="230" w:lineRule="auto"/>
              <w:ind w:left="345"/>
              <w:rPr>
                <w:sz w:val="21"/>
                <w:szCs w:val="21"/>
              </w:rPr>
            </w:pPr>
            <w:r>
              <w:rPr>
                <w:spacing w:val="3"/>
                <w:sz w:val="21"/>
                <w:szCs w:val="21"/>
              </w:rPr>
              <w:t>名称</w:t>
            </w:r>
          </w:p>
        </w:tc>
        <w:tc>
          <w:tcPr>
            <w:tcW w:w="902" w:type="dxa"/>
            <w:vMerge w:val="restart"/>
            <w:tcBorders>
              <w:bottom w:val="nil"/>
            </w:tcBorders>
            <w:vAlign w:val="top"/>
          </w:tcPr>
          <w:p w14:paraId="4F98165A">
            <w:pPr>
              <w:spacing w:line="397" w:lineRule="auto"/>
              <w:rPr>
                <w:rFonts w:ascii="Arial"/>
                <w:sz w:val="21"/>
                <w:szCs w:val="21"/>
              </w:rPr>
            </w:pPr>
          </w:p>
          <w:p w14:paraId="3FA84A8F">
            <w:pPr>
              <w:pStyle w:val="22"/>
              <w:spacing w:before="65" w:line="228" w:lineRule="auto"/>
              <w:ind w:left="245"/>
              <w:rPr>
                <w:sz w:val="21"/>
                <w:szCs w:val="21"/>
              </w:rPr>
            </w:pPr>
            <w:r>
              <w:rPr>
                <w:spacing w:val="4"/>
                <w:sz w:val="21"/>
                <w:szCs w:val="21"/>
              </w:rPr>
              <w:t>规格</w:t>
            </w:r>
          </w:p>
        </w:tc>
        <w:tc>
          <w:tcPr>
            <w:tcW w:w="906" w:type="dxa"/>
            <w:vMerge w:val="restart"/>
            <w:tcBorders>
              <w:bottom w:val="nil"/>
            </w:tcBorders>
            <w:vAlign w:val="top"/>
          </w:tcPr>
          <w:p w14:paraId="75F43DEF">
            <w:pPr>
              <w:spacing w:line="403" w:lineRule="auto"/>
              <w:rPr>
                <w:rFonts w:ascii="Arial"/>
                <w:sz w:val="21"/>
                <w:szCs w:val="21"/>
              </w:rPr>
            </w:pPr>
          </w:p>
          <w:p w14:paraId="0A52F00B">
            <w:pPr>
              <w:pStyle w:val="22"/>
              <w:spacing w:before="65" w:line="228" w:lineRule="auto"/>
              <w:ind w:left="36"/>
              <w:rPr>
                <w:sz w:val="21"/>
                <w:szCs w:val="21"/>
              </w:rPr>
            </w:pPr>
            <w:r>
              <w:rPr>
                <w:spacing w:val="7"/>
                <w:sz w:val="21"/>
                <w:szCs w:val="21"/>
              </w:rPr>
              <w:t>计量单位</w:t>
            </w:r>
          </w:p>
        </w:tc>
        <w:tc>
          <w:tcPr>
            <w:tcW w:w="4532" w:type="dxa"/>
            <w:gridSpan w:val="5"/>
            <w:vAlign w:val="top"/>
          </w:tcPr>
          <w:p w14:paraId="05E44791">
            <w:pPr>
              <w:pStyle w:val="22"/>
              <w:spacing w:before="181" w:line="228" w:lineRule="auto"/>
              <w:ind w:left="2012"/>
              <w:rPr>
                <w:sz w:val="21"/>
                <w:szCs w:val="21"/>
              </w:rPr>
            </w:pPr>
            <w:r>
              <w:rPr>
                <w:sz w:val="21"/>
                <w:szCs w:val="21"/>
              </w:rPr>
              <w:t>数</w:t>
            </w:r>
            <w:r>
              <w:rPr>
                <w:spacing w:val="13"/>
                <w:sz w:val="21"/>
                <w:szCs w:val="21"/>
              </w:rPr>
              <w:t xml:space="preserve"> </w:t>
            </w:r>
            <w:r>
              <w:rPr>
                <w:sz w:val="21"/>
                <w:szCs w:val="21"/>
              </w:rPr>
              <w:t>量</w:t>
            </w:r>
          </w:p>
        </w:tc>
        <w:tc>
          <w:tcPr>
            <w:tcW w:w="2039" w:type="dxa"/>
            <w:vMerge w:val="restart"/>
            <w:tcBorders>
              <w:bottom w:val="nil"/>
            </w:tcBorders>
            <w:vAlign w:val="top"/>
          </w:tcPr>
          <w:p w14:paraId="50DB4C64">
            <w:pPr>
              <w:spacing w:line="398" w:lineRule="auto"/>
              <w:rPr>
                <w:rFonts w:ascii="Arial"/>
                <w:sz w:val="21"/>
                <w:szCs w:val="21"/>
              </w:rPr>
            </w:pPr>
          </w:p>
          <w:p w14:paraId="79C2E4CE">
            <w:pPr>
              <w:pStyle w:val="22"/>
              <w:spacing w:before="65" w:line="229" w:lineRule="auto"/>
              <w:ind w:left="258"/>
              <w:rPr>
                <w:sz w:val="21"/>
                <w:szCs w:val="21"/>
              </w:rPr>
            </w:pPr>
            <w:r>
              <w:rPr>
                <w:spacing w:val="3"/>
                <w:sz w:val="21"/>
                <w:szCs w:val="21"/>
              </w:rPr>
              <w:t>备注</w:t>
            </w:r>
          </w:p>
        </w:tc>
      </w:tr>
      <w:tr w14:paraId="0C0A2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094" w:type="dxa"/>
            <w:vMerge w:val="continue"/>
            <w:tcBorders>
              <w:top w:val="nil"/>
            </w:tcBorders>
            <w:vAlign w:val="top"/>
          </w:tcPr>
          <w:p w14:paraId="27534A88">
            <w:pPr>
              <w:rPr>
                <w:rFonts w:ascii="Arial"/>
                <w:sz w:val="21"/>
                <w:szCs w:val="21"/>
              </w:rPr>
            </w:pPr>
          </w:p>
        </w:tc>
        <w:tc>
          <w:tcPr>
            <w:tcW w:w="902" w:type="dxa"/>
            <w:vMerge w:val="continue"/>
            <w:tcBorders>
              <w:top w:val="nil"/>
            </w:tcBorders>
            <w:vAlign w:val="top"/>
          </w:tcPr>
          <w:p w14:paraId="1EC1621B">
            <w:pPr>
              <w:rPr>
                <w:rFonts w:ascii="Arial"/>
                <w:sz w:val="21"/>
                <w:szCs w:val="21"/>
              </w:rPr>
            </w:pPr>
          </w:p>
        </w:tc>
        <w:tc>
          <w:tcPr>
            <w:tcW w:w="906" w:type="dxa"/>
            <w:vMerge w:val="continue"/>
            <w:tcBorders>
              <w:top w:val="nil"/>
            </w:tcBorders>
            <w:vAlign w:val="top"/>
          </w:tcPr>
          <w:p w14:paraId="6403997C">
            <w:pPr>
              <w:rPr>
                <w:rFonts w:ascii="Arial"/>
                <w:sz w:val="21"/>
                <w:szCs w:val="21"/>
              </w:rPr>
            </w:pPr>
          </w:p>
        </w:tc>
        <w:tc>
          <w:tcPr>
            <w:tcW w:w="906" w:type="dxa"/>
            <w:vAlign w:val="top"/>
          </w:tcPr>
          <w:p w14:paraId="0C939308">
            <w:pPr>
              <w:pStyle w:val="22"/>
              <w:spacing w:before="173" w:line="233" w:lineRule="auto"/>
              <w:ind w:left="252"/>
              <w:rPr>
                <w:sz w:val="21"/>
                <w:szCs w:val="21"/>
              </w:rPr>
            </w:pPr>
            <w:r>
              <w:rPr>
                <w:spacing w:val="2"/>
                <w:sz w:val="21"/>
                <w:szCs w:val="21"/>
              </w:rPr>
              <w:t>总量</w:t>
            </w:r>
          </w:p>
        </w:tc>
        <w:tc>
          <w:tcPr>
            <w:tcW w:w="906" w:type="dxa"/>
            <w:vAlign w:val="top"/>
          </w:tcPr>
          <w:p w14:paraId="6C9DA1A2">
            <w:pPr>
              <w:pStyle w:val="22"/>
              <w:spacing w:before="173" w:line="228" w:lineRule="auto"/>
              <w:ind w:left="358"/>
              <w:rPr>
                <w:sz w:val="21"/>
                <w:szCs w:val="21"/>
              </w:rPr>
            </w:pPr>
            <w:r>
              <w:rPr>
                <w:sz w:val="21"/>
                <w:szCs w:val="21"/>
              </w:rPr>
              <w:t>月</w:t>
            </w:r>
          </w:p>
        </w:tc>
        <w:tc>
          <w:tcPr>
            <w:tcW w:w="911" w:type="dxa"/>
            <w:vAlign w:val="top"/>
          </w:tcPr>
          <w:p w14:paraId="5C5DB573">
            <w:pPr>
              <w:pStyle w:val="22"/>
              <w:spacing w:before="173" w:line="228" w:lineRule="auto"/>
              <w:ind w:left="362"/>
              <w:rPr>
                <w:sz w:val="21"/>
                <w:szCs w:val="21"/>
              </w:rPr>
            </w:pPr>
            <w:r>
              <w:rPr>
                <w:sz w:val="21"/>
                <w:szCs w:val="21"/>
              </w:rPr>
              <w:t>月</w:t>
            </w:r>
          </w:p>
        </w:tc>
        <w:tc>
          <w:tcPr>
            <w:tcW w:w="902" w:type="dxa"/>
            <w:vAlign w:val="top"/>
          </w:tcPr>
          <w:p w14:paraId="26E1FA86">
            <w:pPr>
              <w:pStyle w:val="22"/>
              <w:spacing w:before="173" w:line="228" w:lineRule="auto"/>
              <w:ind w:left="358"/>
              <w:rPr>
                <w:sz w:val="21"/>
                <w:szCs w:val="21"/>
              </w:rPr>
            </w:pPr>
            <w:r>
              <w:rPr>
                <w:sz w:val="21"/>
                <w:szCs w:val="21"/>
              </w:rPr>
              <w:t>月</w:t>
            </w:r>
          </w:p>
        </w:tc>
        <w:tc>
          <w:tcPr>
            <w:tcW w:w="907" w:type="dxa"/>
            <w:vAlign w:val="top"/>
          </w:tcPr>
          <w:p w14:paraId="1C06CDCD">
            <w:pPr>
              <w:pStyle w:val="22"/>
              <w:spacing w:before="173" w:line="228" w:lineRule="auto"/>
              <w:ind w:left="171"/>
              <w:rPr>
                <w:sz w:val="21"/>
                <w:szCs w:val="21"/>
              </w:rPr>
            </w:pPr>
            <w:r>
              <w:rPr>
                <w:sz w:val="21"/>
                <w:szCs w:val="21"/>
              </w:rPr>
              <w:t>月</w:t>
            </w:r>
          </w:p>
        </w:tc>
        <w:tc>
          <w:tcPr>
            <w:tcW w:w="2039" w:type="dxa"/>
            <w:vMerge w:val="continue"/>
            <w:tcBorders>
              <w:top w:val="nil"/>
            </w:tcBorders>
            <w:vAlign w:val="top"/>
          </w:tcPr>
          <w:p w14:paraId="487EE99B">
            <w:pPr>
              <w:rPr>
                <w:rFonts w:ascii="Arial"/>
                <w:sz w:val="21"/>
                <w:szCs w:val="21"/>
              </w:rPr>
            </w:pPr>
          </w:p>
        </w:tc>
      </w:tr>
      <w:tr w14:paraId="10C11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1094" w:type="dxa"/>
            <w:vAlign w:val="top"/>
          </w:tcPr>
          <w:p w14:paraId="54830B04">
            <w:pPr>
              <w:rPr>
                <w:rFonts w:ascii="Arial"/>
                <w:sz w:val="21"/>
                <w:szCs w:val="21"/>
              </w:rPr>
            </w:pPr>
          </w:p>
        </w:tc>
        <w:tc>
          <w:tcPr>
            <w:tcW w:w="902" w:type="dxa"/>
            <w:vAlign w:val="top"/>
          </w:tcPr>
          <w:p w14:paraId="51C4D2F6">
            <w:pPr>
              <w:rPr>
                <w:rFonts w:ascii="Arial"/>
                <w:sz w:val="21"/>
                <w:szCs w:val="21"/>
              </w:rPr>
            </w:pPr>
          </w:p>
        </w:tc>
        <w:tc>
          <w:tcPr>
            <w:tcW w:w="906" w:type="dxa"/>
            <w:vAlign w:val="top"/>
          </w:tcPr>
          <w:p w14:paraId="46945EF8">
            <w:pPr>
              <w:rPr>
                <w:rFonts w:ascii="Arial"/>
                <w:sz w:val="21"/>
                <w:szCs w:val="21"/>
              </w:rPr>
            </w:pPr>
          </w:p>
        </w:tc>
        <w:tc>
          <w:tcPr>
            <w:tcW w:w="906" w:type="dxa"/>
            <w:vAlign w:val="top"/>
          </w:tcPr>
          <w:p w14:paraId="3CB3E907">
            <w:pPr>
              <w:rPr>
                <w:rFonts w:ascii="Arial"/>
                <w:sz w:val="21"/>
                <w:szCs w:val="21"/>
              </w:rPr>
            </w:pPr>
          </w:p>
        </w:tc>
        <w:tc>
          <w:tcPr>
            <w:tcW w:w="906" w:type="dxa"/>
            <w:vAlign w:val="top"/>
          </w:tcPr>
          <w:p w14:paraId="2B7424E7">
            <w:pPr>
              <w:rPr>
                <w:rFonts w:ascii="Arial"/>
                <w:sz w:val="21"/>
                <w:szCs w:val="21"/>
              </w:rPr>
            </w:pPr>
          </w:p>
        </w:tc>
        <w:tc>
          <w:tcPr>
            <w:tcW w:w="911" w:type="dxa"/>
            <w:vAlign w:val="top"/>
          </w:tcPr>
          <w:p w14:paraId="59E33A48">
            <w:pPr>
              <w:rPr>
                <w:rFonts w:ascii="Arial"/>
                <w:sz w:val="21"/>
                <w:szCs w:val="21"/>
              </w:rPr>
            </w:pPr>
          </w:p>
        </w:tc>
        <w:tc>
          <w:tcPr>
            <w:tcW w:w="902" w:type="dxa"/>
            <w:vAlign w:val="top"/>
          </w:tcPr>
          <w:p w14:paraId="3F3EFE61">
            <w:pPr>
              <w:rPr>
                <w:rFonts w:ascii="Arial"/>
                <w:sz w:val="21"/>
                <w:szCs w:val="21"/>
              </w:rPr>
            </w:pPr>
          </w:p>
        </w:tc>
        <w:tc>
          <w:tcPr>
            <w:tcW w:w="907" w:type="dxa"/>
            <w:vAlign w:val="top"/>
          </w:tcPr>
          <w:p w14:paraId="0DFCEF18">
            <w:pPr>
              <w:rPr>
                <w:rFonts w:ascii="Arial"/>
                <w:sz w:val="21"/>
                <w:szCs w:val="21"/>
              </w:rPr>
            </w:pPr>
          </w:p>
        </w:tc>
        <w:tc>
          <w:tcPr>
            <w:tcW w:w="2039" w:type="dxa"/>
            <w:vAlign w:val="top"/>
          </w:tcPr>
          <w:p w14:paraId="13DD4B62">
            <w:pPr>
              <w:rPr>
                <w:rFonts w:ascii="Arial"/>
                <w:sz w:val="21"/>
                <w:szCs w:val="21"/>
              </w:rPr>
            </w:pPr>
          </w:p>
        </w:tc>
      </w:tr>
      <w:tr w14:paraId="7F52E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1094" w:type="dxa"/>
            <w:vAlign w:val="top"/>
          </w:tcPr>
          <w:p w14:paraId="326ADBB8">
            <w:pPr>
              <w:rPr>
                <w:rFonts w:ascii="Arial"/>
                <w:sz w:val="21"/>
                <w:szCs w:val="21"/>
              </w:rPr>
            </w:pPr>
          </w:p>
        </w:tc>
        <w:tc>
          <w:tcPr>
            <w:tcW w:w="902" w:type="dxa"/>
            <w:vAlign w:val="top"/>
          </w:tcPr>
          <w:p w14:paraId="55924D91">
            <w:pPr>
              <w:rPr>
                <w:rFonts w:ascii="Arial"/>
                <w:sz w:val="21"/>
                <w:szCs w:val="21"/>
              </w:rPr>
            </w:pPr>
          </w:p>
        </w:tc>
        <w:tc>
          <w:tcPr>
            <w:tcW w:w="906" w:type="dxa"/>
            <w:vAlign w:val="top"/>
          </w:tcPr>
          <w:p w14:paraId="37FED550">
            <w:pPr>
              <w:rPr>
                <w:rFonts w:ascii="Arial"/>
                <w:sz w:val="21"/>
                <w:szCs w:val="21"/>
              </w:rPr>
            </w:pPr>
          </w:p>
        </w:tc>
        <w:tc>
          <w:tcPr>
            <w:tcW w:w="906" w:type="dxa"/>
            <w:vAlign w:val="top"/>
          </w:tcPr>
          <w:p w14:paraId="44A8FBB1">
            <w:pPr>
              <w:rPr>
                <w:rFonts w:ascii="Arial"/>
                <w:sz w:val="21"/>
                <w:szCs w:val="21"/>
              </w:rPr>
            </w:pPr>
          </w:p>
        </w:tc>
        <w:tc>
          <w:tcPr>
            <w:tcW w:w="906" w:type="dxa"/>
            <w:vAlign w:val="top"/>
          </w:tcPr>
          <w:p w14:paraId="4A6D93CE">
            <w:pPr>
              <w:rPr>
                <w:rFonts w:ascii="Arial"/>
                <w:sz w:val="21"/>
                <w:szCs w:val="21"/>
              </w:rPr>
            </w:pPr>
          </w:p>
        </w:tc>
        <w:tc>
          <w:tcPr>
            <w:tcW w:w="911" w:type="dxa"/>
            <w:vAlign w:val="top"/>
          </w:tcPr>
          <w:p w14:paraId="0CCC15E7">
            <w:pPr>
              <w:rPr>
                <w:rFonts w:ascii="Arial"/>
                <w:sz w:val="21"/>
                <w:szCs w:val="21"/>
              </w:rPr>
            </w:pPr>
          </w:p>
        </w:tc>
        <w:tc>
          <w:tcPr>
            <w:tcW w:w="902" w:type="dxa"/>
            <w:vAlign w:val="top"/>
          </w:tcPr>
          <w:p w14:paraId="1DA68A2E">
            <w:pPr>
              <w:rPr>
                <w:rFonts w:ascii="Arial"/>
                <w:sz w:val="21"/>
                <w:szCs w:val="21"/>
              </w:rPr>
            </w:pPr>
          </w:p>
        </w:tc>
        <w:tc>
          <w:tcPr>
            <w:tcW w:w="907" w:type="dxa"/>
            <w:vAlign w:val="top"/>
          </w:tcPr>
          <w:p w14:paraId="4D8C4336">
            <w:pPr>
              <w:rPr>
                <w:rFonts w:ascii="Arial"/>
                <w:sz w:val="21"/>
                <w:szCs w:val="21"/>
              </w:rPr>
            </w:pPr>
          </w:p>
        </w:tc>
        <w:tc>
          <w:tcPr>
            <w:tcW w:w="2039" w:type="dxa"/>
            <w:vAlign w:val="top"/>
          </w:tcPr>
          <w:p w14:paraId="371D0A17">
            <w:pPr>
              <w:rPr>
                <w:rFonts w:ascii="Arial"/>
                <w:sz w:val="21"/>
                <w:szCs w:val="21"/>
              </w:rPr>
            </w:pPr>
          </w:p>
        </w:tc>
      </w:tr>
      <w:tr w14:paraId="61FEF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1094" w:type="dxa"/>
            <w:vAlign w:val="top"/>
          </w:tcPr>
          <w:p w14:paraId="15E5371E">
            <w:pPr>
              <w:rPr>
                <w:rFonts w:ascii="Arial"/>
                <w:sz w:val="21"/>
                <w:szCs w:val="21"/>
              </w:rPr>
            </w:pPr>
          </w:p>
        </w:tc>
        <w:tc>
          <w:tcPr>
            <w:tcW w:w="902" w:type="dxa"/>
            <w:vAlign w:val="top"/>
          </w:tcPr>
          <w:p w14:paraId="0244C964">
            <w:pPr>
              <w:rPr>
                <w:rFonts w:ascii="Arial"/>
                <w:sz w:val="21"/>
                <w:szCs w:val="21"/>
              </w:rPr>
            </w:pPr>
          </w:p>
        </w:tc>
        <w:tc>
          <w:tcPr>
            <w:tcW w:w="906" w:type="dxa"/>
            <w:vAlign w:val="top"/>
          </w:tcPr>
          <w:p w14:paraId="33D0FBDC">
            <w:pPr>
              <w:rPr>
                <w:rFonts w:ascii="Arial"/>
                <w:sz w:val="21"/>
                <w:szCs w:val="21"/>
              </w:rPr>
            </w:pPr>
          </w:p>
        </w:tc>
        <w:tc>
          <w:tcPr>
            <w:tcW w:w="906" w:type="dxa"/>
            <w:vAlign w:val="top"/>
          </w:tcPr>
          <w:p w14:paraId="4F03C545">
            <w:pPr>
              <w:rPr>
                <w:rFonts w:ascii="Arial"/>
                <w:sz w:val="21"/>
                <w:szCs w:val="21"/>
              </w:rPr>
            </w:pPr>
          </w:p>
        </w:tc>
        <w:tc>
          <w:tcPr>
            <w:tcW w:w="906" w:type="dxa"/>
            <w:vAlign w:val="top"/>
          </w:tcPr>
          <w:p w14:paraId="55FFECEA">
            <w:pPr>
              <w:rPr>
                <w:rFonts w:ascii="Arial"/>
                <w:sz w:val="21"/>
                <w:szCs w:val="21"/>
              </w:rPr>
            </w:pPr>
          </w:p>
        </w:tc>
        <w:tc>
          <w:tcPr>
            <w:tcW w:w="911" w:type="dxa"/>
            <w:vAlign w:val="top"/>
          </w:tcPr>
          <w:p w14:paraId="2AA9E3C2">
            <w:pPr>
              <w:rPr>
                <w:rFonts w:ascii="Arial"/>
                <w:sz w:val="21"/>
                <w:szCs w:val="21"/>
              </w:rPr>
            </w:pPr>
          </w:p>
        </w:tc>
        <w:tc>
          <w:tcPr>
            <w:tcW w:w="902" w:type="dxa"/>
            <w:vAlign w:val="top"/>
          </w:tcPr>
          <w:p w14:paraId="662E5AB7">
            <w:pPr>
              <w:rPr>
                <w:rFonts w:ascii="Arial"/>
                <w:sz w:val="21"/>
                <w:szCs w:val="21"/>
              </w:rPr>
            </w:pPr>
          </w:p>
        </w:tc>
        <w:tc>
          <w:tcPr>
            <w:tcW w:w="907" w:type="dxa"/>
            <w:vAlign w:val="top"/>
          </w:tcPr>
          <w:p w14:paraId="02B9765B">
            <w:pPr>
              <w:rPr>
                <w:rFonts w:ascii="Arial"/>
                <w:sz w:val="21"/>
                <w:szCs w:val="21"/>
              </w:rPr>
            </w:pPr>
          </w:p>
        </w:tc>
        <w:tc>
          <w:tcPr>
            <w:tcW w:w="2039" w:type="dxa"/>
            <w:vAlign w:val="top"/>
          </w:tcPr>
          <w:p w14:paraId="13AEB518">
            <w:pPr>
              <w:rPr>
                <w:rFonts w:ascii="Arial"/>
                <w:sz w:val="21"/>
                <w:szCs w:val="21"/>
              </w:rPr>
            </w:pPr>
          </w:p>
        </w:tc>
      </w:tr>
      <w:tr w14:paraId="629DD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1094" w:type="dxa"/>
            <w:vAlign w:val="top"/>
          </w:tcPr>
          <w:p w14:paraId="4F2DDF9C">
            <w:pPr>
              <w:rPr>
                <w:rFonts w:ascii="Arial"/>
                <w:sz w:val="21"/>
                <w:szCs w:val="21"/>
              </w:rPr>
            </w:pPr>
          </w:p>
        </w:tc>
        <w:tc>
          <w:tcPr>
            <w:tcW w:w="902" w:type="dxa"/>
            <w:vAlign w:val="top"/>
          </w:tcPr>
          <w:p w14:paraId="1589A91C">
            <w:pPr>
              <w:rPr>
                <w:rFonts w:ascii="Arial"/>
                <w:sz w:val="21"/>
                <w:szCs w:val="21"/>
              </w:rPr>
            </w:pPr>
          </w:p>
        </w:tc>
        <w:tc>
          <w:tcPr>
            <w:tcW w:w="906" w:type="dxa"/>
            <w:vAlign w:val="top"/>
          </w:tcPr>
          <w:p w14:paraId="6CE25C42">
            <w:pPr>
              <w:rPr>
                <w:rFonts w:ascii="Arial"/>
                <w:sz w:val="21"/>
                <w:szCs w:val="21"/>
              </w:rPr>
            </w:pPr>
          </w:p>
        </w:tc>
        <w:tc>
          <w:tcPr>
            <w:tcW w:w="906" w:type="dxa"/>
            <w:vAlign w:val="top"/>
          </w:tcPr>
          <w:p w14:paraId="562DAC91">
            <w:pPr>
              <w:rPr>
                <w:rFonts w:ascii="Arial"/>
                <w:sz w:val="21"/>
                <w:szCs w:val="21"/>
              </w:rPr>
            </w:pPr>
          </w:p>
        </w:tc>
        <w:tc>
          <w:tcPr>
            <w:tcW w:w="906" w:type="dxa"/>
            <w:vAlign w:val="top"/>
          </w:tcPr>
          <w:p w14:paraId="4AE016F9">
            <w:pPr>
              <w:rPr>
                <w:rFonts w:ascii="Arial"/>
                <w:sz w:val="21"/>
                <w:szCs w:val="21"/>
              </w:rPr>
            </w:pPr>
          </w:p>
        </w:tc>
        <w:tc>
          <w:tcPr>
            <w:tcW w:w="911" w:type="dxa"/>
            <w:vAlign w:val="top"/>
          </w:tcPr>
          <w:p w14:paraId="6713FA10">
            <w:pPr>
              <w:rPr>
                <w:rFonts w:ascii="Arial"/>
                <w:sz w:val="21"/>
                <w:szCs w:val="21"/>
              </w:rPr>
            </w:pPr>
          </w:p>
        </w:tc>
        <w:tc>
          <w:tcPr>
            <w:tcW w:w="902" w:type="dxa"/>
            <w:vAlign w:val="top"/>
          </w:tcPr>
          <w:p w14:paraId="360CA9E3">
            <w:pPr>
              <w:rPr>
                <w:rFonts w:ascii="Arial"/>
                <w:sz w:val="21"/>
                <w:szCs w:val="21"/>
              </w:rPr>
            </w:pPr>
          </w:p>
        </w:tc>
        <w:tc>
          <w:tcPr>
            <w:tcW w:w="907" w:type="dxa"/>
            <w:vAlign w:val="top"/>
          </w:tcPr>
          <w:p w14:paraId="403E6E8C">
            <w:pPr>
              <w:rPr>
                <w:rFonts w:ascii="Arial"/>
                <w:sz w:val="21"/>
                <w:szCs w:val="21"/>
              </w:rPr>
            </w:pPr>
          </w:p>
        </w:tc>
        <w:tc>
          <w:tcPr>
            <w:tcW w:w="2039" w:type="dxa"/>
            <w:vAlign w:val="top"/>
          </w:tcPr>
          <w:p w14:paraId="473C87DD">
            <w:pPr>
              <w:rPr>
                <w:rFonts w:ascii="Arial"/>
                <w:sz w:val="21"/>
                <w:szCs w:val="21"/>
              </w:rPr>
            </w:pPr>
          </w:p>
        </w:tc>
      </w:tr>
    </w:tbl>
    <w:p w14:paraId="3EEB2365">
      <w:pPr>
        <w:spacing w:line="219" w:lineRule="auto"/>
        <w:rPr>
          <w:sz w:val="21"/>
          <w:szCs w:val="21"/>
        </w:rPr>
        <w:sectPr>
          <w:footerReference r:id="rId13" w:type="default"/>
          <w:pgSz w:w="11910" w:h="16840"/>
          <w:pgMar w:top="1440" w:right="1080" w:bottom="1440" w:left="1080" w:header="0" w:footer="859" w:gutter="0"/>
          <w:pgNumType w:fmt="decimal"/>
          <w:cols w:space="720" w:num="1"/>
        </w:sectPr>
      </w:pPr>
    </w:p>
    <w:p w14:paraId="0052F386">
      <w:pPr>
        <w:pStyle w:val="7"/>
        <w:spacing w:before="65" w:line="227" w:lineRule="auto"/>
        <w:rPr>
          <w:sz w:val="21"/>
          <w:szCs w:val="21"/>
        </w:rPr>
      </w:pPr>
      <w:r>
        <w:rPr>
          <w:b/>
          <w:bCs/>
          <w:spacing w:val="7"/>
          <w:sz w:val="21"/>
          <w:szCs w:val="21"/>
        </w:rPr>
        <w:t>附件五：计划开工日期、完工日期和施工进度网络图（或横道图）</w:t>
      </w:r>
    </w:p>
    <w:p w14:paraId="2F290D7C">
      <w:pPr>
        <w:pStyle w:val="7"/>
        <w:spacing w:before="284" w:line="228" w:lineRule="auto"/>
        <w:ind w:left="1869"/>
        <w:rPr>
          <w:sz w:val="21"/>
          <w:szCs w:val="21"/>
        </w:rPr>
      </w:pPr>
      <w:r>
        <w:rPr>
          <w:b/>
          <w:bCs/>
          <w:spacing w:val="8"/>
          <w:sz w:val="21"/>
          <w:szCs w:val="21"/>
        </w:rPr>
        <w:t>计划开工日期、完工日期和施工进度网络图（</w:t>
      </w:r>
      <w:r>
        <w:rPr>
          <w:b/>
          <w:bCs/>
          <w:spacing w:val="7"/>
          <w:sz w:val="21"/>
          <w:szCs w:val="21"/>
        </w:rPr>
        <w:t>或横道图）</w:t>
      </w:r>
    </w:p>
    <w:p w14:paraId="73D5B546">
      <w:pPr>
        <w:spacing w:line="296" w:lineRule="auto"/>
        <w:rPr>
          <w:rFonts w:ascii="Arial"/>
          <w:sz w:val="21"/>
          <w:szCs w:val="21"/>
        </w:rPr>
      </w:pPr>
    </w:p>
    <w:p w14:paraId="47A4B14F">
      <w:pPr>
        <w:spacing w:line="460" w:lineRule="exact"/>
        <w:ind w:left="-6" w:firstLine="420"/>
        <w:rPr>
          <w:color w:val="auto"/>
          <w:highlight w:val="none"/>
        </w:rPr>
      </w:pPr>
      <w:r>
        <w:rPr>
          <w:rFonts w:hint="eastAsia"/>
          <w:color w:val="auto"/>
          <w:highlight w:val="none"/>
        </w:rPr>
        <w:t>（1）</w:t>
      </w:r>
      <w:r>
        <w:rPr>
          <w:color w:val="auto"/>
          <w:highlight w:val="none"/>
        </w:rPr>
        <w:t>供应商应提交施工进度计划，说明按采购文件要求的工期进行施工的各个关键日期。成交的供应商还应按合同条件有关条款的要求提交详细的施工进度计划。</w:t>
      </w:r>
    </w:p>
    <w:p w14:paraId="3D5F145F">
      <w:pPr>
        <w:spacing w:line="460" w:lineRule="exact"/>
        <w:ind w:left="-6" w:firstLine="420"/>
        <w:rPr>
          <w:color w:val="auto"/>
          <w:highlight w:val="none"/>
        </w:rPr>
      </w:pPr>
      <w:r>
        <w:rPr>
          <w:rFonts w:hint="eastAsia"/>
          <w:color w:val="auto"/>
          <w:highlight w:val="none"/>
        </w:rPr>
        <w:t>（2）</w:t>
      </w:r>
      <w:r>
        <w:rPr>
          <w:color w:val="auto"/>
          <w:highlight w:val="none"/>
        </w:rPr>
        <w:t>施工进度计划可采用网络图（或横道图）表示，说明计划开工日期和各分项工程各阶段的完工日期。</w:t>
      </w:r>
    </w:p>
    <w:p w14:paraId="2C58A327">
      <w:pPr>
        <w:spacing w:line="460" w:lineRule="exact"/>
        <w:ind w:left="-6" w:firstLine="420"/>
        <w:rPr>
          <w:color w:val="auto"/>
          <w:highlight w:val="none"/>
        </w:rPr>
      </w:pPr>
      <w:r>
        <w:rPr>
          <w:rFonts w:hint="eastAsia"/>
          <w:color w:val="auto"/>
          <w:highlight w:val="none"/>
        </w:rPr>
        <w:t>（</w:t>
      </w:r>
      <w:r>
        <w:rPr>
          <w:color w:val="auto"/>
          <w:highlight w:val="none"/>
        </w:rPr>
        <w:t>3</w:t>
      </w:r>
      <w:r>
        <w:rPr>
          <w:rFonts w:hint="eastAsia"/>
          <w:color w:val="auto"/>
          <w:highlight w:val="none"/>
        </w:rPr>
        <w:t>）</w:t>
      </w:r>
      <w:r>
        <w:rPr>
          <w:color w:val="auto"/>
          <w:highlight w:val="none"/>
        </w:rPr>
        <w:t>施工进度计划应与施工组织设计相适应。</w:t>
      </w:r>
    </w:p>
    <w:p w14:paraId="12AD56A7">
      <w:pPr>
        <w:spacing w:line="368" w:lineRule="auto"/>
        <w:rPr>
          <w:rFonts w:ascii="Arial"/>
          <w:sz w:val="21"/>
          <w:szCs w:val="21"/>
        </w:rPr>
      </w:pPr>
    </w:p>
    <w:p w14:paraId="3825B357">
      <w:pPr>
        <w:pStyle w:val="7"/>
        <w:spacing w:before="65" w:line="227" w:lineRule="auto"/>
        <w:ind w:left="13"/>
        <w:rPr>
          <w:sz w:val="21"/>
          <w:szCs w:val="21"/>
        </w:rPr>
      </w:pPr>
      <w:r>
        <w:rPr>
          <w:b/>
          <w:bCs/>
          <w:spacing w:val="6"/>
          <w:sz w:val="21"/>
          <w:szCs w:val="21"/>
        </w:rPr>
        <w:t>附件六：施工总平面图</w:t>
      </w:r>
    </w:p>
    <w:p w14:paraId="4923A728">
      <w:pPr>
        <w:pStyle w:val="7"/>
        <w:spacing w:before="299" w:line="229" w:lineRule="auto"/>
        <w:ind w:left="3872"/>
        <w:rPr>
          <w:sz w:val="21"/>
          <w:szCs w:val="21"/>
        </w:rPr>
      </w:pPr>
      <w:r>
        <w:rPr>
          <w:b/>
          <w:bCs/>
          <w:spacing w:val="7"/>
          <w:sz w:val="21"/>
          <w:szCs w:val="21"/>
        </w:rPr>
        <w:t>施工总平面图</w:t>
      </w:r>
    </w:p>
    <w:p w14:paraId="5773E025">
      <w:pPr>
        <w:spacing w:line="460" w:lineRule="exact"/>
        <w:ind w:firstLine="420" w:firstLineChars="200"/>
        <w:rPr>
          <w:sz w:val="21"/>
          <w:szCs w:val="21"/>
        </w:rPr>
      </w:pPr>
      <w:r>
        <w:rPr>
          <w:color w:val="auto"/>
          <w:szCs w:val="21"/>
          <w:highlight w:val="none"/>
        </w:rPr>
        <w:t>供应商应递交一份施工总平面图，绘出现场临时设施布置图表并附文字说明，说明临时设施、加工车间、现场办公、设备及仓储、供电、供水、卫生、生活、道路、消防等设施的情况和布置。</w:t>
      </w:r>
    </w:p>
    <w:p w14:paraId="78205E32">
      <w:pPr>
        <w:spacing w:line="263" w:lineRule="auto"/>
        <w:rPr>
          <w:rFonts w:ascii="Arial"/>
          <w:sz w:val="21"/>
          <w:szCs w:val="21"/>
        </w:rPr>
      </w:pPr>
    </w:p>
    <w:p w14:paraId="2F497E87">
      <w:pPr>
        <w:spacing w:line="263" w:lineRule="auto"/>
        <w:rPr>
          <w:rFonts w:ascii="Arial"/>
          <w:sz w:val="21"/>
          <w:szCs w:val="21"/>
        </w:rPr>
      </w:pPr>
    </w:p>
    <w:p w14:paraId="7222B32D">
      <w:pPr>
        <w:spacing w:line="264" w:lineRule="auto"/>
        <w:rPr>
          <w:rFonts w:ascii="Arial"/>
          <w:sz w:val="21"/>
          <w:szCs w:val="21"/>
        </w:rPr>
      </w:pPr>
    </w:p>
    <w:p w14:paraId="015BCC1C">
      <w:pPr>
        <w:pStyle w:val="7"/>
        <w:spacing w:before="65" w:line="227" w:lineRule="auto"/>
        <w:ind w:left="13"/>
        <w:rPr>
          <w:sz w:val="21"/>
          <w:szCs w:val="21"/>
        </w:rPr>
      </w:pPr>
      <w:r>
        <w:rPr>
          <w:b/>
          <w:bCs/>
          <w:spacing w:val="5"/>
          <w:sz w:val="21"/>
          <w:szCs w:val="21"/>
        </w:rPr>
        <w:t>附件七：临时用地表</w:t>
      </w:r>
    </w:p>
    <w:p w14:paraId="3F82ED5E">
      <w:pPr>
        <w:pStyle w:val="7"/>
        <w:spacing w:before="25" w:line="228" w:lineRule="auto"/>
        <w:ind w:left="3990"/>
        <w:rPr>
          <w:sz w:val="21"/>
          <w:szCs w:val="21"/>
        </w:rPr>
      </w:pPr>
      <w:r>
        <w:rPr>
          <w:b/>
          <w:bCs/>
          <w:spacing w:val="4"/>
          <w:sz w:val="21"/>
          <w:szCs w:val="21"/>
        </w:rPr>
        <w:t>临时用地表</w:t>
      </w:r>
    </w:p>
    <w:p w14:paraId="54F878D1">
      <w:pPr>
        <w:spacing w:before="27"/>
        <w:rPr>
          <w:sz w:val="21"/>
          <w:szCs w:val="21"/>
        </w:rPr>
      </w:pPr>
    </w:p>
    <w:tbl>
      <w:tblPr>
        <w:tblStyle w:val="15"/>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2091"/>
        <w:gridCol w:w="2090"/>
        <w:gridCol w:w="2091"/>
      </w:tblGrid>
      <w:tr w14:paraId="5687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090" w:type="dxa"/>
            <w:vAlign w:val="center"/>
          </w:tcPr>
          <w:p w14:paraId="683F64A1">
            <w:pPr>
              <w:jc w:val="center"/>
              <w:rPr>
                <w:color w:val="auto"/>
                <w:highlight w:val="none"/>
              </w:rPr>
            </w:pPr>
            <w:r>
              <w:rPr>
                <w:color w:val="auto"/>
                <w:szCs w:val="21"/>
                <w:highlight w:val="none"/>
              </w:rPr>
              <w:t>用途</w:t>
            </w:r>
          </w:p>
        </w:tc>
        <w:tc>
          <w:tcPr>
            <w:tcW w:w="2091" w:type="dxa"/>
            <w:vAlign w:val="center"/>
          </w:tcPr>
          <w:p w14:paraId="3C0FD084">
            <w:pPr>
              <w:jc w:val="center"/>
              <w:rPr>
                <w:color w:val="auto"/>
                <w:highlight w:val="none"/>
              </w:rPr>
            </w:pPr>
            <w:r>
              <w:rPr>
                <w:color w:val="auto"/>
                <w:szCs w:val="21"/>
                <w:highlight w:val="none"/>
              </w:rPr>
              <w:t>面积（平方米）</w:t>
            </w:r>
          </w:p>
        </w:tc>
        <w:tc>
          <w:tcPr>
            <w:tcW w:w="2090" w:type="dxa"/>
            <w:vAlign w:val="center"/>
          </w:tcPr>
          <w:p w14:paraId="7A170DFD">
            <w:pPr>
              <w:jc w:val="center"/>
              <w:rPr>
                <w:color w:val="auto"/>
                <w:highlight w:val="none"/>
              </w:rPr>
            </w:pPr>
            <w:r>
              <w:rPr>
                <w:color w:val="auto"/>
                <w:szCs w:val="21"/>
                <w:highlight w:val="none"/>
              </w:rPr>
              <w:t>位置</w:t>
            </w:r>
          </w:p>
        </w:tc>
        <w:tc>
          <w:tcPr>
            <w:tcW w:w="2091" w:type="dxa"/>
            <w:vAlign w:val="center"/>
          </w:tcPr>
          <w:p w14:paraId="03891802">
            <w:pPr>
              <w:jc w:val="center"/>
              <w:rPr>
                <w:color w:val="auto"/>
                <w:highlight w:val="none"/>
              </w:rPr>
            </w:pPr>
            <w:r>
              <w:rPr>
                <w:color w:val="auto"/>
                <w:szCs w:val="21"/>
                <w:highlight w:val="none"/>
              </w:rPr>
              <w:t>需用时间</w:t>
            </w:r>
          </w:p>
        </w:tc>
      </w:tr>
      <w:tr w14:paraId="181CB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090" w:type="dxa"/>
            <w:vAlign w:val="top"/>
          </w:tcPr>
          <w:p w14:paraId="7CF09346">
            <w:pPr>
              <w:rPr>
                <w:color w:val="auto"/>
                <w:highlight w:val="none"/>
              </w:rPr>
            </w:pPr>
          </w:p>
        </w:tc>
        <w:tc>
          <w:tcPr>
            <w:tcW w:w="2091" w:type="dxa"/>
            <w:vAlign w:val="top"/>
          </w:tcPr>
          <w:p w14:paraId="67E52D95">
            <w:pPr>
              <w:rPr>
                <w:color w:val="auto"/>
                <w:highlight w:val="none"/>
              </w:rPr>
            </w:pPr>
          </w:p>
        </w:tc>
        <w:tc>
          <w:tcPr>
            <w:tcW w:w="2090" w:type="dxa"/>
            <w:vAlign w:val="top"/>
          </w:tcPr>
          <w:p w14:paraId="7C65448D">
            <w:pPr>
              <w:rPr>
                <w:color w:val="auto"/>
                <w:highlight w:val="none"/>
              </w:rPr>
            </w:pPr>
          </w:p>
        </w:tc>
        <w:tc>
          <w:tcPr>
            <w:tcW w:w="2091" w:type="dxa"/>
            <w:vAlign w:val="top"/>
          </w:tcPr>
          <w:p w14:paraId="2B2D78AD">
            <w:pPr>
              <w:rPr>
                <w:color w:val="auto"/>
                <w:highlight w:val="none"/>
              </w:rPr>
            </w:pPr>
          </w:p>
        </w:tc>
      </w:tr>
      <w:tr w14:paraId="6C89C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090" w:type="dxa"/>
            <w:vAlign w:val="top"/>
          </w:tcPr>
          <w:p w14:paraId="43309D11">
            <w:pPr>
              <w:rPr>
                <w:color w:val="auto"/>
                <w:highlight w:val="none"/>
              </w:rPr>
            </w:pPr>
          </w:p>
        </w:tc>
        <w:tc>
          <w:tcPr>
            <w:tcW w:w="2091" w:type="dxa"/>
            <w:vAlign w:val="top"/>
          </w:tcPr>
          <w:p w14:paraId="3E61318E">
            <w:pPr>
              <w:rPr>
                <w:color w:val="auto"/>
                <w:highlight w:val="none"/>
              </w:rPr>
            </w:pPr>
          </w:p>
        </w:tc>
        <w:tc>
          <w:tcPr>
            <w:tcW w:w="2090" w:type="dxa"/>
            <w:vAlign w:val="top"/>
          </w:tcPr>
          <w:p w14:paraId="12C2DF43">
            <w:pPr>
              <w:rPr>
                <w:color w:val="auto"/>
                <w:highlight w:val="none"/>
              </w:rPr>
            </w:pPr>
          </w:p>
        </w:tc>
        <w:tc>
          <w:tcPr>
            <w:tcW w:w="2091" w:type="dxa"/>
            <w:vAlign w:val="top"/>
          </w:tcPr>
          <w:p w14:paraId="59D25649">
            <w:pPr>
              <w:rPr>
                <w:color w:val="auto"/>
                <w:highlight w:val="none"/>
              </w:rPr>
            </w:pPr>
          </w:p>
        </w:tc>
      </w:tr>
      <w:tr w14:paraId="42BB8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090" w:type="dxa"/>
            <w:vAlign w:val="top"/>
          </w:tcPr>
          <w:p w14:paraId="3DE2DECC">
            <w:pPr>
              <w:rPr>
                <w:color w:val="auto"/>
                <w:highlight w:val="none"/>
              </w:rPr>
            </w:pPr>
          </w:p>
        </w:tc>
        <w:tc>
          <w:tcPr>
            <w:tcW w:w="2091" w:type="dxa"/>
            <w:vAlign w:val="top"/>
          </w:tcPr>
          <w:p w14:paraId="2E9A837B">
            <w:pPr>
              <w:rPr>
                <w:color w:val="auto"/>
                <w:highlight w:val="none"/>
              </w:rPr>
            </w:pPr>
          </w:p>
        </w:tc>
        <w:tc>
          <w:tcPr>
            <w:tcW w:w="2090" w:type="dxa"/>
            <w:vAlign w:val="top"/>
          </w:tcPr>
          <w:p w14:paraId="11D92DF8">
            <w:pPr>
              <w:rPr>
                <w:color w:val="auto"/>
                <w:highlight w:val="none"/>
              </w:rPr>
            </w:pPr>
          </w:p>
        </w:tc>
        <w:tc>
          <w:tcPr>
            <w:tcW w:w="2091" w:type="dxa"/>
            <w:vAlign w:val="top"/>
          </w:tcPr>
          <w:p w14:paraId="35140581">
            <w:pPr>
              <w:rPr>
                <w:color w:val="auto"/>
                <w:highlight w:val="none"/>
              </w:rPr>
            </w:pPr>
          </w:p>
        </w:tc>
      </w:tr>
      <w:tr w14:paraId="4C19A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090" w:type="dxa"/>
            <w:vAlign w:val="top"/>
          </w:tcPr>
          <w:p w14:paraId="48DC5514">
            <w:pPr>
              <w:rPr>
                <w:color w:val="auto"/>
                <w:highlight w:val="none"/>
              </w:rPr>
            </w:pPr>
          </w:p>
        </w:tc>
        <w:tc>
          <w:tcPr>
            <w:tcW w:w="2091" w:type="dxa"/>
            <w:vAlign w:val="top"/>
          </w:tcPr>
          <w:p w14:paraId="0D69240F">
            <w:pPr>
              <w:rPr>
                <w:color w:val="auto"/>
                <w:highlight w:val="none"/>
              </w:rPr>
            </w:pPr>
          </w:p>
        </w:tc>
        <w:tc>
          <w:tcPr>
            <w:tcW w:w="2090" w:type="dxa"/>
            <w:vAlign w:val="top"/>
          </w:tcPr>
          <w:p w14:paraId="60D10471">
            <w:pPr>
              <w:rPr>
                <w:color w:val="auto"/>
                <w:highlight w:val="none"/>
              </w:rPr>
            </w:pPr>
          </w:p>
        </w:tc>
        <w:tc>
          <w:tcPr>
            <w:tcW w:w="2091" w:type="dxa"/>
            <w:vAlign w:val="top"/>
          </w:tcPr>
          <w:p w14:paraId="2A45282F">
            <w:pPr>
              <w:rPr>
                <w:color w:val="auto"/>
                <w:highlight w:val="none"/>
              </w:rPr>
            </w:pPr>
          </w:p>
        </w:tc>
      </w:tr>
      <w:tr w14:paraId="07E12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090" w:type="dxa"/>
            <w:vAlign w:val="top"/>
          </w:tcPr>
          <w:p w14:paraId="57E7F67B">
            <w:pPr>
              <w:rPr>
                <w:color w:val="auto"/>
                <w:highlight w:val="none"/>
              </w:rPr>
            </w:pPr>
          </w:p>
        </w:tc>
        <w:tc>
          <w:tcPr>
            <w:tcW w:w="2091" w:type="dxa"/>
            <w:vAlign w:val="top"/>
          </w:tcPr>
          <w:p w14:paraId="007448C7">
            <w:pPr>
              <w:rPr>
                <w:color w:val="auto"/>
                <w:highlight w:val="none"/>
              </w:rPr>
            </w:pPr>
          </w:p>
        </w:tc>
        <w:tc>
          <w:tcPr>
            <w:tcW w:w="2090" w:type="dxa"/>
            <w:vAlign w:val="top"/>
          </w:tcPr>
          <w:p w14:paraId="74480D5D">
            <w:pPr>
              <w:rPr>
                <w:color w:val="auto"/>
                <w:highlight w:val="none"/>
              </w:rPr>
            </w:pPr>
          </w:p>
        </w:tc>
        <w:tc>
          <w:tcPr>
            <w:tcW w:w="2091" w:type="dxa"/>
            <w:vAlign w:val="top"/>
          </w:tcPr>
          <w:p w14:paraId="518588B7">
            <w:pPr>
              <w:rPr>
                <w:color w:val="auto"/>
                <w:highlight w:val="none"/>
              </w:rPr>
            </w:pPr>
          </w:p>
        </w:tc>
      </w:tr>
    </w:tbl>
    <w:p w14:paraId="1ED05210">
      <w:pPr>
        <w:spacing w:line="294" w:lineRule="auto"/>
        <w:rPr>
          <w:rFonts w:ascii="Arial"/>
          <w:sz w:val="21"/>
          <w:szCs w:val="21"/>
        </w:rPr>
      </w:pPr>
    </w:p>
    <w:p w14:paraId="0BDA539B">
      <w:pPr>
        <w:spacing w:line="295" w:lineRule="auto"/>
        <w:rPr>
          <w:rFonts w:ascii="Arial"/>
          <w:sz w:val="21"/>
          <w:szCs w:val="21"/>
        </w:rPr>
      </w:pPr>
    </w:p>
    <w:p w14:paraId="551EAAB7">
      <w:pPr>
        <w:spacing w:line="500" w:lineRule="exact"/>
        <w:rPr>
          <w:rFonts w:ascii="宋体" w:hAnsi="宋体" w:cs="仿宋_GB2312"/>
          <w:color w:val="000000"/>
          <w:sz w:val="32"/>
          <w:szCs w:val="32"/>
          <w:highlight w:val="none"/>
        </w:rPr>
      </w:pPr>
    </w:p>
    <w:p w14:paraId="3D10C7DF">
      <w:pPr>
        <w:autoSpaceDE w:val="0"/>
        <w:autoSpaceDN w:val="0"/>
        <w:spacing w:line="360" w:lineRule="auto"/>
        <w:ind w:left="4335" w:leftChars="1950" w:hanging="240" w:hangingChars="100"/>
        <w:rPr>
          <w:rFonts w:ascii="宋体" w:hAnsi="宋体" w:cs="仿宋_GB2312"/>
          <w:color w:val="000000"/>
          <w:kern w:val="0"/>
          <w:sz w:val="24"/>
          <w:highlight w:val="none"/>
        </w:rPr>
      </w:pPr>
      <w:r>
        <w:rPr>
          <w:rFonts w:hint="eastAsia" w:ascii="宋体" w:hAnsi="宋体" w:cs="仿宋_GB2312"/>
          <w:color w:val="000000"/>
          <w:kern w:val="0"/>
          <w:sz w:val="24"/>
          <w:highlight w:val="none"/>
        </w:rPr>
        <w:t>供应商名称（电子签章）：</w:t>
      </w:r>
    </w:p>
    <w:p w14:paraId="71E50A4D">
      <w:pPr>
        <w:autoSpaceDE w:val="0"/>
        <w:autoSpaceDN w:val="0"/>
        <w:spacing w:line="360" w:lineRule="auto"/>
        <w:ind w:firstLine="6480" w:firstLineChars="2700"/>
        <w:rPr>
          <w:rFonts w:ascii="宋体" w:hAnsi="宋体" w:cs="仿宋_GB2312"/>
          <w:b/>
          <w:bCs/>
          <w:color w:val="000000"/>
          <w:sz w:val="24"/>
          <w:highlight w:val="none"/>
        </w:rPr>
      </w:pPr>
      <w:r>
        <w:rPr>
          <w:rFonts w:hint="eastAsia" w:ascii="宋体" w:hAnsi="宋体" w:cs="仿宋_GB2312"/>
          <w:color w:val="000000"/>
          <w:kern w:val="0"/>
          <w:sz w:val="24"/>
          <w:highlight w:val="none"/>
          <w:lang w:val="zh-CN"/>
        </w:rPr>
        <w:t>日期：  年  月   日</w:t>
      </w:r>
    </w:p>
    <w:p w14:paraId="5BE65FCB">
      <w:pPr>
        <w:autoSpaceDE w:val="0"/>
        <w:autoSpaceDN w:val="0"/>
        <w:spacing w:line="360" w:lineRule="auto"/>
        <w:ind w:firstLine="6505" w:firstLineChars="2700"/>
        <w:rPr>
          <w:rFonts w:ascii="宋体" w:hAnsi="宋体" w:cs="仿宋_GB2312"/>
          <w:b/>
          <w:bCs/>
          <w:color w:val="000000"/>
          <w:sz w:val="24"/>
          <w:highlight w:val="none"/>
        </w:rPr>
      </w:pPr>
    </w:p>
    <w:p w14:paraId="46424D28">
      <w:pPr>
        <w:autoSpaceDE w:val="0"/>
        <w:autoSpaceDN w:val="0"/>
        <w:spacing w:line="360" w:lineRule="auto"/>
        <w:ind w:firstLine="6505" w:firstLineChars="2700"/>
        <w:rPr>
          <w:rFonts w:ascii="宋体" w:hAnsi="宋体" w:cs="仿宋_GB2312"/>
          <w:b/>
          <w:bCs/>
          <w:color w:val="000000"/>
          <w:sz w:val="24"/>
          <w:highlight w:val="none"/>
        </w:rPr>
      </w:pPr>
    </w:p>
    <w:p w14:paraId="198F6703">
      <w:pPr>
        <w:pStyle w:val="24"/>
        <w:ind w:firstLine="480"/>
        <w:jc w:val="center"/>
        <w:rPr>
          <w:rFonts w:hint="eastAsia"/>
          <w:b/>
          <w:color w:val="auto"/>
          <w:spacing w:val="-11"/>
          <w:w w:val="95"/>
          <w:sz w:val="32"/>
        </w:rPr>
      </w:pPr>
    </w:p>
    <w:p w14:paraId="5DCE11CE">
      <w:pPr>
        <w:pStyle w:val="24"/>
        <w:ind w:firstLine="480"/>
        <w:jc w:val="center"/>
        <w:rPr>
          <w:rFonts w:hint="eastAsia"/>
          <w:b/>
          <w:color w:val="auto"/>
          <w:spacing w:val="-11"/>
          <w:w w:val="95"/>
          <w:sz w:val="32"/>
        </w:rPr>
      </w:pPr>
      <w:r>
        <w:rPr>
          <w:rFonts w:hint="eastAsia"/>
          <w:b/>
          <w:color w:val="auto"/>
          <w:spacing w:val="-11"/>
          <w:w w:val="95"/>
          <w:sz w:val="32"/>
        </w:rPr>
        <w:t>项目经理简历表</w:t>
      </w:r>
    </w:p>
    <w:p w14:paraId="7877EBBC">
      <w:pPr>
        <w:pStyle w:val="24"/>
        <w:rPr>
          <w:color w:val="auto"/>
          <w:u w:val="single"/>
        </w:rPr>
      </w:pPr>
    </w:p>
    <w:p w14:paraId="48DDE103">
      <w:pPr>
        <w:pStyle w:val="24"/>
        <w:rPr>
          <w:rFonts w:hint="eastAsia"/>
          <w:color w:val="auto"/>
        </w:rPr>
      </w:pPr>
      <w:r>
        <w:rPr>
          <w:color w:val="auto"/>
          <w:u w:val="none"/>
        </w:rPr>
        <w:t>项目名称</w:t>
      </w:r>
      <w:r>
        <w:rPr>
          <w:rFonts w:hint="eastAsia"/>
          <w:color w:val="auto"/>
          <w:u w:val="none"/>
          <w:lang w:eastAsia="zh-CN"/>
        </w:rPr>
        <w:t>：</w:t>
      </w:r>
      <w:r>
        <w:rPr>
          <w:rFonts w:hint="eastAsia"/>
          <w:color w:val="auto"/>
        </w:rPr>
        <w:t xml:space="preserve">                             </w:t>
      </w:r>
    </w:p>
    <w:p w14:paraId="1039E74D">
      <w:pPr>
        <w:pStyle w:val="24"/>
        <w:ind w:firstLine="630" w:firstLineChars="300"/>
        <w:rPr>
          <w:rFonts w:hint="eastAsia"/>
          <w:color w:val="auto"/>
        </w:rPr>
      </w:pPr>
    </w:p>
    <w:p w14:paraId="7614946C">
      <w:pPr>
        <w:pStyle w:val="24"/>
        <w:rPr>
          <w:rFonts w:hint="eastAsia"/>
          <w:color w:val="auto"/>
        </w:rPr>
      </w:pPr>
      <w:r>
        <w:rPr>
          <w:rFonts w:hint="eastAsia"/>
          <w:color w:val="auto"/>
        </w:rPr>
        <w:t>项目编号：</w:t>
      </w:r>
    </w:p>
    <w:p w14:paraId="761D4A4C">
      <w:pPr>
        <w:pStyle w:val="24"/>
        <w:rPr>
          <w:rFonts w:hint="eastAsia"/>
          <w:color w:val="auto"/>
        </w:rPr>
      </w:pPr>
    </w:p>
    <w:tbl>
      <w:tblPr>
        <w:tblStyle w:val="15"/>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5DA2B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noWrap w:val="0"/>
            <w:vAlign w:val="center"/>
          </w:tcPr>
          <w:p w14:paraId="506EC191">
            <w:pPr>
              <w:pStyle w:val="21"/>
              <w:jc w:val="center"/>
              <w:rPr>
                <w:color w:val="auto"/>
              </w:rPr>
            </w:pPr>
            <w:r>
              <w:rPr>
                <w:color w:val="auto"/>
              </w:rPr>
              <w:t>姓名</w:t>
            </w:r>
          </w:p>
        </w:tc>
        <w:tc>
          <w:tcPr>
            <w:tcW w:w="2340" w:type="dxa"/>
            <w:gridSpan w:val="3"/>
            <w:noWrap w:val="0"/>
            <w:vAlign w:val="center"/>
          </w:tcPr>
          <w:p w14:paraId="28148715">
            <w:pPr>
              <w:pStyle w:val="21"/>
              <w:jc w:val="center"/>
              <w:rPr>
                <w:color w:val="auto"/>
              </w:rPr>
            </w:pPr>
          </w:p>
        </w:tc>
        <w:tc>
          <w:tcPr>
            <w:tcW w:w="1893" w:type="dxa"/>
            <w:gridSpan w:val="2"/>
            <w:noWrap w:val="0"/>
            <w:vAlign w:val="center"/>
          </w:tcPr>
          <w:p w14:paraId="71C43F41">
            <w:pPr>
              <w:pStyle w:val="21"/>
              <w:jc w:val="center"/>
              <w:rPr>
                <w:color w:val="auto"/>
              </w:rPr>
            </w:pPr>
            <w:r>
              <w:rPr>
                <w:color w:val="auto"/>
              </w:rPr>
              <w:t>性别</w:t>
            </w:r>
          </w:p>
        </w:tc>
        <w:tc>
          <w:tcPr>
            <w:tcW w:w="1585" w:type="dxa"/>
            <w:gridSpan w:val="2"/>
            <w:noWrap w:val="0"/>
            <w:vAlign w:val="center"/>
          </w:tcPr>
          <w:p w14:paraId="5263AB10">
            <w:pPr>
              <w:pStyle w:val="21"/>
              <w:jc w:val="center"/>
              <w:rPr>
                <w:color w:val="auto"/>
              </w:rPr>
            </w:pPr>
          </w:p>
        </w:tc>
        <w:tc>
          <w:tcPr>
            <w:tcW w:w="1108" w:type="dxa"/>
            <w:gridSpan w:val="2"/>
            <w:noWrap w:val="0"/>
            <w:vAlign w:val="center"/>
          </w:tcPr>
          <w:p w14:paraId="64A85A85">
            <w:pPr>
              <w:pStyle w:val="21"/>
              <w:jc w:val="center"/>
              <w:rPr>
                <w:color w:val="auto"/>
              </w:rPr>
            </w:pPr>
            <w:r>
              <w:rPr>
                <w:color w:val="auto"/>
              </w:rPr>
              <w:t>年龄</w:t>
            </w:r>
          </w:p>
        </w:tc>
        <w:tc>
          <w:tcPr>
            <w:tcW w:w="1276" w:type="dxa"/>
            <w:noWrap w:val="0"/>
            <w:vAlign w:val="center"/>
          </w:tcPr>
          <w:p w14:paraId="31EB15E8">
            <w:pPr>
              <w:pStyle w:val="21"/>
              <w:jc w:val="center"/>
              <w:rPr>
                <w:color w:val="auto"/>
              </w:rPr>
            </w:pPr>
          </w:p>
        </w:tc>
      </w:tr>
      <w:tr w14:paraId="5808A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noWrap w:val="0"/>
            <w:vAlign w:val="center"/>
          </w:tcPr>
          <w:p w14:paraId="407BFD2E">
            <w:pPr>
              <w:pStyle w:val="21"/>
              <w:jc w:val="center"/>
              <w:rPr>
                <w:color w:val="auto"/>
              </w:rPr>
            </w:pPr>
            <w:r>
              <w:rPr>
                <w:color w:val="auto"/>
              </w:rPr>
              <w:t>职务</w:t>
            </w:r>
          </w:p>
        </w:tc>
        <w:tc>
          <w:tcPr>
            <w:tcW w:w="2340" w:type="dxa"/>
            <w:gridSpan w:val="3"/>
            <w:noWrap w:val="0"/>
            <w:vAlign w:val="center"/>
          </w:tcPr>
          <w:p w14:paraId="59D4BA42">
            <w:pPr>
              <w:pStyle w:val="21"/>
              <w:jc w:val="center"/>
              <w:rPr>
                <w:color w:val="auto"/>
              </w:rPr>
            </w:pPr>
          </w:p>
        </w:tc>
        <w:tc>
          <w:tcPr>
            <w:tcW w:w="1893" w:type="dxa"/>
            <w:gridSpan w:val="2"/>
            <w:noWrap w:val="0"/>
            <w:vAlign w:val="center"/>
          </w:tcPr>
          <w:p w14:paraId="52ACD045">
            <w:pPr>
              <w:pStyle w:val="21"/>
              <w:jc w:val="center"/>
              <w:rPr>
                <w:color w:val="auto"/>
              </w:rPr>
            </w:pPr>
            <w:r>
              <w:rPr>
                <w:color w:val="auto"/>
              </w:rPr>
              <w:t>职称</w:t>
            </w:r>
          </w:p>
        </w:tc>
        <w:tc>
          <w:tcPr>
            <w:tcW w:w="1585" w:type="dxa"/>
            <w:gridSpan w:val="2"/>
            <w:noWrap w:val="0"/>
            <w:vAlign w:val="center"/>
          </w:tcPr>
          <w:p w14:paraId="2D6DD5C9">
            <w:pPr>
              <w:pStyle w:val="21"/>
              <w:jc w:val="center"/>
              <w:rPr>
                <w:color w:val="auto"/>
              </w:rPr>
            </w:pPr>
          </w:p>
        </w:tc>
        <w:tc>
          <w:tcPr>
            <w:tcW w:w="1108" w:type="dxa"/>
            <w:gridSpan w:val="2"/>
            <w:noWrap w:val="0"/>
            <w:vAlign w:val="center"/>
          </w:tcPr>
          <w:p w14:paraId="63C54E63">
            <w:pPr>
              <w:pStyle w:val="21"/>
              <w:jc w:val="center"/>
              <w:rPr>
                <w:color w:val="auto"/>
              </w:rPr>
            </w:pPr>
            <w:r>
              <w:rPr>
                <w:color w:val="auto"/>
              </w:rPr>
              <w:t>学历</w:t>
            </w:r>
          </w:p>
        </w:tc>
        <w:tc>
          <w:tcPr>
            <w:tcW w:w="1276" w:type="dxa"/>
            <w:noWrap w:val="0"/>
            <w:vAlign w:val="center"/>
          </w:tcPr>
          <w:p w14:paraId="174611E6">
            <w:pPr>
              <w:pStyle w:val="21"/>
              <w:jc w:val="center"/>
              <w:rPr>
                <w:color w:val="auto"/>
              </w:rPr>
            </w:pPr>
          </w:p>
        </w:tc>
      </w:tr>
      <w:tr w14:paraId="30AB5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noWrap w:val="0"/>
            <w:vAlign w:val="center"/>
          </w:tcPr>
          <w:p w14:paraId="146508D6">
            <w:pPr>
              <w:pStyle w:val="21"/>
              <w:jc w:val="center"/>
              <w:rPr>
                <w:color w:val="auto"/>
              </w:rPr>
            </w:pPr>
            <w:r>
              <w:rPr>
                <w:color w:val="auto"/>
              </w:rPr>
              <w:t>参加工作时间</w:t>
            </w:r>
          </w:p>
        </w:tc>
        <w:tc>
          <w:tcPr>
            <w:tcW w:w="1893" w:type="dxa"/>
            <w:gridSpan w:val="2"/>
            <w:noWrap w:val="0"/>
            <w:vAlign w:val="center"/>
          </w:tcPr>
          <w:p w14:paraId="01DA7C01">
            <w:pPr>
              <w:pStyle w:val="21"/>
              <w:jc w:val="center"/>
              <w:rPr>
                <w:color w:val="auto"/>
              </w:rPr>
            </w:pPr>
          </w:p>
        </w:tc>
        <w:tc>
          <w:tcPr>
            <w:tcW w:w="2693" w:type="dxa"/>
            <w:gridSpan w:val="4"/>
            <w:noWrap w:val="0"/>
            <w:vAlign w:val="center"/>
          </w:tcPr>
          <w:p w14:paraId="6BCBBE54">
            <w:pPr>
              <w:pStyle w:val="21"/>
              <w:jc w:val="center"/>
              <w:rPr>
                <w:color w:val="auto"/>
              </w:rPr>
            </w:pPr>
            <w:r>
              <w:rPr>
                <w:color w:val="auto"/>
              </w:rPr>
              <w:t>担任项目经理年限</w:t>
            </w:r>
          </w:p>
        </w:tc>
        <w:tc>
          <w:tcPr>
            <w:tcW w:w="1276" w:type="dxa"/>
            <w:noWrap w:val="0"/>
            <w:vAlign w:val="center"/>
          </w:tcPr>
          <w:p w14:paraId="2E8B96F2">
            <w:pPr>
              <w:pStyle w:val="21"/>
              <w:jc w:val="center"/>
              <w:rPr>
                <w:color w:val="auto"/>
              </w:rPr>
            </w:pPr>
          </w:p>
        </w:tc>
      </w:tr>
      <w:tr w14:paraId="75CD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3423" w:type="dxa"/>
            <w:gridSpan w:val="4"/>
            <w:noWrap w:val="0"/>
            <w:vAlign w:val="center"/>
          </w:tcPr>
          <w:p w14:paraId="2FD4590C">
            <w:pPr>
              <w:pStyle w:val="21"/>
              <w:jc w:val="center"/>
              <w:rPr>
                <w:color w:val="auto"/>
              </w:rPr>
            </w:pPr>
            <w:r>
              <w:rPr>
                <w:rFonts w:hint="eastAsia"/>
                <w:color w:val="auto"/>
              </w:rPr>
              <w:t>建造师</w:t>
            </w:r>
            <w:r>
              <w:rPr>
                <w:color w:val="auto"/>
              </w:rPr>
              <w:t>注册证书编号</w:t>
            </w:r>
          </w:p>
        </w:tc>
        <w:tc>
          <w:tcPr>
            <w:tcW w:w="5862" w:type="dxa"/>
            <w:gridSpan w:val="7"/>
            <w:noWrap w:val="0"/>
            <w:vAlign w:val="center"/>
          </w:tcPr>
          <w:p w14:paraId="1447F8EC">
            <w:pPr>
              <w:pStyle w:val="21"/>
              <w:jc w:val="center"/>
              <w:rPr>
                <w:color w:val="auto"/>
              </w:rPr>
            </w:pPr>
          </w:p>
        </w:tc>
      </w:tr>
      <w:tr w14:paraId="17E0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noWrap w:val="0"/>
            <w:vAlign w:val="center"/>
          </w:tcPr>
          <w:p w14:paraId="46C57C2A">
            <w:pPr>
              <w:pStyle w:val="21"/>
              <w:jc w:val="center"/>
              <w:rPr>
                <w:color w:val="auto"/>
              </w:rPr>
            </w:pPr>
            <w:r>
              <w:rPr>
                <w:color w:val="auto"/>
              </w:rPr>
              <w:t>在建和已完工程项目情况</w:t>
            </w:r>
          </w:p>
        </w:tc>
      </w:tr>
      <w:tr w14:paraId="432F0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noWrap w:val="0"/>
            <w:vAlign w:val="center"/>
          </w:tcPr>
          <w:p w14:paraId="0AA8C6E8">
            <w:pPr>
              <w:pStyle w:val="21"/>
              <w:jc w:val="center"/>
              <w:rPr>
                <w:color w:val="auto"/>
              </w:rPr>
            </w:pPr>
            <w:r>
              <w:rPr>
                <w:color w:val="auto"/>
              </w:rPr>
              <w:t>建设单位</w:t>
            </w:r>
          </w:p>
        </w:tc>
        <w:tc>
          <w:tcPr>
            <w:tcW w:w="1548" w:type="dxa"/>
            <w:noWrap w:val="0"/>
            <w:vAlign w:val="center"/>
          </w:tcPr>
          <w:p w14:paraId="1F65B8B8">
            <w:pPr>
              <w:pStyle w:val="21"/>
              <w:jc w:val="center"/>
              <w:rPr>
                <w:color w:val="auto"/>
              </w:rPr>
            </w:pPr>
            <w:r>
              <w:rPr>
                <w:color w:val="auto"/>
              </w:rPr>
              <w:t>项目名称</w:t>
            </w:r>
          </w:p>
        </w:tc>
        <w:tc>
          <w:tcPr>
            <w:tcW w:w="1547" w:type="dxa"/>
            <w:gridSpan w:val="2"/>
            <w:noWrap w:val="0"/>
            <w:vAlign w:val="center"/>
          </w:tcPr>
          <w:p w14:paraId="03CCBA25">
            <w:pPr>
              <w:pStyle w:val="21"/>
              <w:jc w:val="center"/>
              <w:rPr>
                <w:color w:val="auto"/>
              </w:rPr>
            </w:pPr>
            <w:r>
              <w:rPr>
                <w:color w:val="auto"/>
              </w:rPr>
              <w:t>建设规模</w:t>
            </w:r>
          </w:p>
        </w:tc>
        <w:tc>
          <w:tcPr>
            <w:tcW w:w="1548" w:type="dxa"/>
            <w:gridSpan w:val="2"/>
            <w:noWrap w:val="0"/>
            <w:vAlign w:val="center"/>
          </w:tcPr>
          <w:p w14:paraId="35D5A35D">
            <w:pPr>
              <w:pStyle w:val="21"/>
              <w:jc w:val="center"/>
              <w:rPr>
                <w:color w:val="auto"/>
              </w:rPr>
            </w:pPr>
            <w:r>
              <w:rPr>
                <w:color w:val="auto"/>
              </w:rPr>
              <w:t>开、竣工日期</w:t>
            </w:r>
          </w:p>
        </w:tc>
        <w:tc>
          <w:tcPr>
            <w:tcW w:w="1547" w:type="dxa"/>
            <w:gridSpan w:val="2"/>
            <w:noWrap w:val="0"/>
            <w:vAlign w:val="center"/>
          </w:tcPr>
          <w:p w14:paraId="69ADE673">
            <w:pPr>
              <w:pStyle w:val="21"/>
              <w:jc w:val="center"/>
              <w:rPr>
                <w:color w:val="auto"/>
              </w:rPr>
            </w:pPr>
            <w:r>
              <w:rPr>
                <w:color w:val="auto"/>
              </w:rPr>
              <w:t>在建或已完</w:t>
            </w:r>
          </w:p>
        </w:tc>
        <w:tc>
          <w:tcPr>
            <w:tcW w:w="1548" w:type="dxa"/>
            <w:gridSpan w:val="2"/>
            <w:noWrap w:val="0"/>
            <w:vAlign w:val="center"/>
          </w:tcPr>
          <w:p w14:paraId="173CFEEA">
            <w:pPr>
              <w:pStyle w:val="21"/>
              <w:jc w:val="center"/>
              <w:rPr>
                <w:color w:val="auto"/>
              </w:rPr>
            </w:pPr>
            <w:r>
              <w:rPr>
                <w:color w:val="auto"/>
              </w:rPr>
              <w:t>工程质量</w:t>
            </w:r>
          </w:p>
        </w:tc>
      </w:tr>
      <w:tr w14:paraId="29A3C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noWrap w:val="0"/>
            <w:vAlign w:val="center"/>
          </w:tcPr>
          <w:p w14:paraId="4164811B">
            <w:pPr>
              <w:pStyle w:val="21"/>
              <w:jc w:val="center"/>
              <w:rPr>
                <w:color w:val="auto"/>
              </w:rPr>
            </w:pPr>
          </w:p>
        </w:tc>
        <w:tc>
          <w:tcPr>
            <w:tcW w:w="1548" w:type="dxa"/>
            <w:noWrap w:val="0"/>
            <w:vAlign w:val="center"/>
          </w:tcPr>
          <w:p w14:paraId="6536F4E4">
            <w:pPr>
              <w:pStyle w:val="21"/>
              <w:jc w:val="center"/>
              <w:rPr>
                <w:color w:val="auto"/>
              </w:rPr>
            </w:pPr>
          </w:p>
        </w:tc>
        <w:tc>
          <w:tcPr>
            <w:tcW w:w="1547" w:type="dxa"/>
            <w:gridSpan w:val="2"/>
            <w:noWrap w:val="0"/>
            <w:vAlign w:val="center"/>
          </w:tcPr>
          <w:p w14:paraId="642FC6FF">
            <w:pPr>
              <w:pStyle w:val="21"/>
              <w:jc w:val="center"/>
              <w:rPr>
                <w:color w:val="auto"/>
              </w:rPr>
            </w:pPr>
          </w:p>
        </w:tc>
        <w:tc>
          <w:tcPr>
            <w:tcW w:w="1548" w:type="dxa"/>
            <w:gridSpan w:val="2"/>
            <w:noWrap w:val="0"/>
            <w:vAlign w:val="center"/>
          </w:tcPr>
          <w:p w14:paraId="43E34B23">
            <w:pPr>
              <w:pStyle w:val="21"/>
              <w:jc w:val="center"/>
              <w:rPr>
                <w:color w:val="auto"/>
              </w:rPr>
            </w:pPr>
          </w:p>
        </w:tc>
        <w:tc>
          <w:tcPr>
            <w:tcW w:w="1547" w:type="dxa"/>
            <w:gridSpan w:val="2"/>
            <w:noWrap w:val="0"/>
            <w:vAlign w:val="center"/>
          </w:tcPr>
          <w:p w14:paraId="11A14E4B">
            <w:pPr>
              <w:pStyle w:val="21"/>
              <w:jc w:val="center"/>
              <w:rPr>
                <w:color w:val="auto"/>
              </w:rPr>
            </w:pPr>
          </w:p>
        </w:tc>
        <w:tc>
          <w:tcPr>
            <w:tcW w:w="1548" w:type="dxa"/>
            <w:gridSpan w:val="2"/>
            <w:noWrap w:val="0"/>
            <w:vAlign w:val="center"/>
          </w:tcPr>
          <w:p w14:paraId="03F511C5">
            <w:pPr>
              <w:pStyle w:val="21"/>
              <w:jc w:val="center"/>
              <w:rPr>
                <w:color w:val="auto"/>
              </w:rPr>
            </w:pPr>
          </w:p>
        </w:tc>
      </w:tr>
      <w:tr w14:paraId="19E37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noWrap w:val="0"/>
            <w:vAlign w:val="center"/>
          </w:tcPr>
          <w:p w14:paraId="32FA2DAD">
            <w:pPr>
              <w:pStyle w:val="21"/>
              <w:jc w:val="center"/>
              <w:rPr>
                <w:color w:val="auto"/>
              </w:rPr>
            </w:pPr>
          </w:p>
        </w:tc>
        <w:tc>
          <w:tcPr>
            <w:tcW w:w="1548" w:type="dxa"/>
            <w:noWrap w:val="0"/>
            <w:vAlign w:val="center"/>
          </w:tcPr>
          <w:p w14:paraId="548F7623">
            <w:pPr>
              <w:pStyle w:val="21"/>
              <w:jc w:val="center"/>
              <w:rPr>
                <w:color w:val="auto"/>
              </w:rPr>
            </w:pPr>
          </w:p>
        </w:tc>
        <w:tc>
          <w:tcPr>
            <w:tcW w:w="1547" w:type="dxa"/>
            <w:gridSpan w:val="2"/>
            <w:noWrap w:val="0"/>
            <w:vAlign w:val="center"/>
          </w:tcPr>
          <w:p w14:paraId="09F79D8A">
            <w:pPr>
              <w:pStyle w:val="21"/>
              <w:jc w:val="center"/>
              <w:rPr>
                <w:color w:val="auto"/>
              </w:rPr>
            </w:pPr>
          </w:p>
        </w:tc>
        <w:tc>
          <w:tcPr>
            <w:tcW w:w="1548" w:type="dxa"/>
            <w:gridSpan w:val="2"/>
            <w:noWrap w:val="0"/>
            <w:vAlign w:val="center"/>
          </w:tcPr>
          <w:p w14:paraId="2DC997CC">
            <w:pPr>
              <w:pStyle w:val="21"/>
              <w:jc w:val="center"/>
              <w:rPr>
                <w:color w:val="auto"/>
              </w:rPr>
            </w:pPr>
          </w:p>
        </w:tc>
        <w:tc>
          <w:tcPr>
            <w:tcW w:w="1547" w:type="dxa"/>
            <w:gridSpan w:val="2"/>
            <w:noWrap w:val="0"/>
            <w:vAlign w:val="center"/>
          </w:tcPr>
          <w:p w14:paraId="6CA973DD">
            <w:pPr>
              <w:pStyle w:val="21"/>
              <w:jc w:val="center"/>
              <w:rPr>
                <w:color w:val="auto"/>
              </w:rPr>
            </w:pPr>
          </w:p>
        </w:tc>
        <w:tc>
          <w:tcPr>
            <w:tcW w:w="1548" w:type="dxa"/>
            <w:gridSpan w:val="2"/>
            <w:noWrap w:val="0"/>
            <w:vAlign w:val="center"/>
          </w:tcPr>
          <w:p w14:paraId="76CA4578">
            <w:pPr>
              <w:pStyle w:val="21"/>
              <w:jc w:val="center"/>
              <w:rPr>
                <w:color w:val="auto"/>
              </w:rPr>
            </w:pPr>
          </w:p>
        </w:tc>
      </w:tr>
      <w:tr w14:paraId="45B88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noWrap w:val="0"/>
            <w:vAlign w:val="center"/>
          </w:tcPr>
          <w:p w14:paraId="4D327C38">
            <w:pPr>
              <w:pStyle w:val="21"/>
              <w:jc w:val="center"/>
              <w:rPr>
                <w:color w:val="auto"/>
              </w:rPr>
            </w:pPr>
          </w:p>
        </w:tc>
        <w:tc>
          <w:tcPr>
            <w:tcW w:w="1548" w:type="dxa"/>
            <w:noWrap w:val="0"/>
            <w:vAlign w:val="center"/>
          </w:tcPr>
          <w:p w14:paraId="1E08697A">
            <w:pPr>
              <w:pStyle w:val="21"/>
              <w:jc w:val="center"/>
              <w:rPr>
                <w:color w:val="auto"/>
              </w:rPr>
            </w:pPr>
          </w:p>
        </w:tc>
        <w:tc>
          <w:tcPr>
            <w:tcW w:w="1547" w:type="dxa"/>
            <w:gridSpan w:val="2"/>
            <w:noWrap w:val="0"/>
            <w:vAlign w:val="center"/>
          </w:tcPr>
          <w:p w14:paraId="414D86AC">
            <w:pPr>
              <w:pStyle w:val="21"/>
              <w:jc w:val="center"/>
              <w:rPr>
                <w:color w:val="auto"/>
              </w:rPr>
            </w:pPr>
          </w:p>
        </w:tc>
        <w:tc>
          <w:tcPr>
            <w:tcW w:w="1548" w:type="dxa"/>
            <w:gridSpan w:val="2"/>
            <w:noWrap w:val="0"/>
            <w:vAlign w:val="center"/>
          </w:tcPr>
          <w:p w14:paraId="50475C43">
            <w:pPr>
              <w:pStyle w:val="21"/>
              <w:jc w:val="center"/>
              <w:rPr>
                <w:color w:val="auto"/>
              </w:rPr>
            </w:pPr>
          </w:p>
        </w:tc>
        <w:tc>
          <w:tcPr>
            <w:tcW w:w="1547" w:type="dxa"/>
            <w:gridSpan w:val="2"/>
            <w:noWrap w:val="0"/>
            <w:vAlign w:val="center"/>
          </w:tcPr>
          <w:p w14:paraId="01CC9899">
            <w:pPr>
              <w:pStyle w:val="21"/>
              <w:jc w:val="center"/>
              <w:rPr>
                <w:color w:val="auto"/>
              </w:rPr>
            </w:pPr>
          </w:p>
        </w:tc>
        <w:tc>
          <w:tcPr>
            <w:tcW w:w="1548" w:type="dxa"/>
            <w:gridSpan w:val="2"/>
            <w:noWrap w:val="0"/>
            <w:vAlign w:val="center"/>
          </w:tcPr>
          <w:p w14:paraId="68CA94BB">
            <w:pPr>
              <w:pStyle w:val="21"/>
              <w:jc w:val="center"/>
              <w:rPr>
                <w:color w:val="auto"/>
              </w:rPr>
            </w:pPr>
          </w:p>
        </w:tc>
      </w:tr>
      <w:tr w14:paraId="1D6F2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noWrap w:val="0"/>
            <w:vAlign w:val="center"/>
          </w:tcPr>
          <w:p w14:paraId="5D6D2A5F">
            <w:pPr>
              <w:pStyle w:val="21"/>
              <w:jc w:val="center"/>
              <w:rPr>
                <w:color w:val="auto"/>
              </w:rPr>
            </w:pPr>
          </w:p>
        </w:tc>
        <w:tc>
          <w:tcPr>
            <w:tcW w:w="1548" w:type="dxa"/>
            <w:noWrap w:val="0"/>
            <w:vAlign w:val="center"/>
          </w:tcPr>
          <w:p w14:paraId="74244120">
            <w:pPr>
              <w:pStyle w:val="21"/>
              <w:jc w:val="center"/>
              <w:rPr>
                <w:color w:val="auto"/>
              </w:rPr>
            </w:pPr>
          </w:p>
        </w:tc>
        <w:tc>
          <w:tcPr>
            <w:tcW w:w="1547" w:type="dxa"/>
            <w:gridSpan w:val="2"/>
            <w:noWrap w:val="0"/>
            <w:vAlign w:val="center"/>
          </w:tcPr>
          <w:p w14:paraId="5D47B0AF">
            <w:pPr>
              <w:pStyle w:val="21"/>
              <w:jc w:val="center"/>
              <w:rPr>
                <w:color w:val="auto"/>
              </w:rPr>
            </w:pPr>
          </w:p>
        </w:tc>
        <w:tc>
          <w:tcPr>
            <w:tcW w:w="1548" w:type="dxa"/>
            <w:gridSpan w:val="2"/>
            <w:noWrap w:val="0"/>
            <w:vAlign w:val="center"/>
          </w:tcPr>
          <w:p w14:paraId="0950D3FB">
            <w:pPr>
              <w:pStyle w:val="21"/>
              <w:jc w:val="center"/>
              <w:rPr>
                <w:color w:val="auto"/>
              </w:rPr>
            </w:pPr>
          </w:p>
        </w:tc>
        <w:tc>
          <w:tcPr>
            <w:tcW w:w="1547" w:type="dxa"/>
            <w:gridSpan w:val="2"/>
            <w:noWrap w:val="0"/>
            <w:vAlign w:val="center"/>
          </w:tcPr>
          <w:p w14:paraId="18E3E260">
            <w:pPr>
              <w:pStyle w:val="21"/>
              <w:jc w:val="center"/>
              <w:rPr>
                <w:color w:val="auto"/>
              </w:rPr>
            </w:pPr>
          </w:p>
        </w:tc>
        <w:tc>
          <w:tcPr>
            <w:tcW w:w="1548" w:type="dxa"/>
            <w:gridSpan w:val="2"/>
            <w:noWrap w:val="0"/>
            <w:vAlign w:val="center"/>
          </w:tcPr>
          <w:p w14:paraId="49E0BB87">
            <w:pPr>
              <w:pStyle w:val="21"/>
              <w:jc w:val="center"/>
              <w:rPr>
                <w:color w:val="auto"/>
              </w:rPr>
            </w:pPr>
          </w:p>
        </w:tc>
      </w:tr>
    </w:tbl>
    <w:p w14:paraId="6CA80C9E">
      <w:pPr>
        <w:pStyle w:val="21"/>
        <w:spacing w:line="360" w:lineRule="auto"/>
        <w:rPr>
          <w:color w:val="auto"/>
          <w:szCs w:val="21"/>
        </w:rPr>
      </w:pPr>
    </w:p>
    <w:p w14:paraId="74FCA85F">
      <w:pPr>
        <w:pStyle w:val="21"/>
        <w:ind w:firstLine="630" w:firstLineChars="300"/>
        <w:rPr>
          <w:color w:val="auto"/>
        </w:rPr>
      </w:pPr>
      <w:r>
        <w:rPr>
          <w:rFonts w:hint="eastAsia"/>
          <w:color w:val="auto"/>
        </w:rPr>
        <w:t>【备注：附项目经理注册建造师执业资格证书和安全生产考核合格证书（B类）的复印件，</w:t>
      </w:r>
      <w:r>
        <w:rPr>
          <w:color w:val="auto"/>
          <w:szCs w:val="21"/>
        </w:rPr>
        <w:t>以</w:t>
      </w:r>
      <w:r>
        <w:rPr>
          <w:rFonts w:hint="eastAsia"/>
          <w:color w:val="auto"/>
          <w:szCs w:val="21"/>
        </w:rPr>
        <w:t>上复印件</w:t>
      </w:r>
      <w:r>
        <w:rPr>
          <w:color w:val="auto"/>
          <w:szCs w:val="21"/>
        </w:rPr>
        <w:t>均须加盖</w:t>
      </w:r>
      <w:r>
        <w:rPr>
          <w:rFonts w:hint="eastAsia"/>
          <w:color w:val="auto"/>
          <w:szCs w:val="21"/>
        </w:rPr>
        <w:t>供应商</w:t>
      </w:r>
      <w:r>
        <w:rPr>
          <w:color w:val="auto"/>
          <w:szCs w:val="21"/>
        </w:rPr>
        <w:t>公章</w:t>
      </w:r>
      <w:r>
        <w:rPr>
          <w:rFonts w:hint="eastAsia"/>
          <w:color w:val="auto"/>
          <w:szCs w:val="21"/>
        </w:rPr>
        <w:t>。</w:t>
      </w:r>
      <w:r>
        <w:rPr>
          <w:rFonts w:hint="eastAsia"/>
          <w:color w:val="auto"/>
        </w:rPr>
        <w:t>】</w:t>
      </w:r>
    </w:p>
    <w:p w14:paraId="5E558D5C">
      <w:pPr>
        <w:pStyle w:val="21"/>
        <w:spacing w:before="120" w:beforeLines="50"/>
        <w:ind w:firstLine="420" w:firstLineChars="200"/>
        <w:rPr>
          <w:rFonts w:eastAsia="楷体_GB2312"/>
          <w:color w:val="auto"/>
        </w:rPr>
      </w:pPr>
    </w:p>
    <w:p w14:paraId="7B4381A6">
      <w:pPr>
        <w:pStyle w:val="21"/>
        <w:spacing w:line="360" w:lineRule="auto"/>
        <w:ind w:firstLine="525" w:firstLineChars="250"/>
        <w:rPr>
          <w:color w:val="auto"/>
        </w:rPr>
      </w:pPr>
    </w:p>
    <w:p w14:paraId="383DF08F">
      <w:pPr>
        <w:pStyle w:val="21"/>
        <w:spacing w:line="360" w:lineRule="auto"/>
        <w:ind w:firstLine="525" w:firstLineChars="250"/>
        <w:rPr>
          <w:color w:val="auto"/>
        </w:rPr>
      </w:pPr>
    </w:p>
    <w:p w14:paraId="250135E4">
      <w:pPr>
        <w:pStyle w:val="21"/>
        <w:spacing w:line="360" w:lineRule="auto"/>
        <w:ind w:firstLine="525" w:firstLineChars="250"/>
        <w:rPr>
          <w:color w:val="auto"/>
        </w:rPr>
      </w:pPr>
    </w:p>
    <w:p w14:paraId="12CF970A">
      <w:pPr>
        <w:pStyle w:val="21"/>
        <w:spacing w:line="360" w:lineRule="auto"/>
        <w:ind w:firstLine="525" w:firstLineChars="250"/>
        <w:rPr>
          <w:color w:val="auto"/>
        </w:rPr>
      </w:pPr>
    </w:p>
    <w:p w14:paraId="20B9974D">
      <w:pPr>
        <w:pStyle w:val="24"/>
        <w:ind w:firstLine="480"/>
        <w:jc w:val="center"/>
        <w:rPr>
          <w:b/>
          <w:color w:val="auto"/>
          <w:sz w:val="24"/>
        </w:rPr>
      </w:pPr>
    </w:p>
    <w:p w14:paraId="4D051AF4">
      <w:pPr>
        <w:pStyle w:val="24"/>
        <w:ind w:firstLine="480"/>
        <w:jc w:val="center"/>
        <w:rPr>
          <w:b/>
          <w:color w:val="auto"/>
          <w:sz w:val="24"/>
        </w:rPr>
      </w:pPr>
    </w:p>
    <w:p w14:paraId="044BCB96">
      <w:pPr>
        <w:pStyle w:val="24"/>
        <w:ind w:firstLine="480"/>
        <w:jc w:val="center"/>
        <w:rPr>
          <w:b/>
          <w:color w:val="auto"/>
          <w:sz w:val="24"/>
        </w:rPr>
      </w:pPr>
    </w:p>
    <w:p w14:paraId="1900E139">
      <w:pPr>
        <w:pStyle w:val="24"/>
        <w:ind w:firstLine="480"/>
        <w:jc w:val="center"/>
        <w:rPr>
          <w:b/>
          <w:color w:val="auto"/>
          <w:sz w:val="24"/>
        </w:rPr>
      </w:pPr>
    </w:p>
    <w:p w14:paraId="30048CDB">
      <w:pPr>
        <w:pStyle w:val="24"/>
        <w:ind w:firstLine="480"/>
        <w:jc w:val="center"/>
        <w:rPr>
          <w:b/>
          <w:color w:val="auto"/>
          <w:sz w:val="24"/>
        </w:rPr>
      </w:pPr>
    </w:p>
    <w:p w14:paraId="2EFA3F17">
      <w:pPr>
        <w:pStyle w:val="24"/>
        <w:ind w:firstLine="480"/>
        <w:jc w:val="center"/>
        <w:rPr>
          <w:b/>
          <w:color w:val="auto"/>
          <w:sz w:val="24"/>
        </w:rPr>
      </w:pPr>
    </w:p>
    <w:p w14:paraId="20A92254">
      <w:pPr>
        <w:pStyle w:val="24"/>
        <w:ind w:firstLine="480"/>
        <w:jc w:val="center"/>
        <w:rPr>
          <w:b/>
          <w:color w:val="auto"/>
          <w:sz w:val="24"/>
        </w:rPr>
      </w:pPr>
    </w:p>
    <w:p w14:paraId="29093D3B">
      <w:pPr>
        <w:pStyle w:val="24"/>
        <w:ind w:firstLine="480"/>
        <w:jc w:val="center"/>
        <w:rPr>
          <w:b/>
          <w:color w:val="auto"/>
          <w:sz w:val="24"/>
        </w:rPr>
      </w:pPr>
    </w:p>
    <w:p w14:paraId="32A80C79">
      <w:pPr>
        <w:pStyle w:val="24"/>
        <w:ind w:firstLine="480"/>
        <w:jc w:val="center"/>
        <w:rPr>
          <w:b/>
          <w:color w:val="auto"/>
          <w:sz w:val="24"/>
        </w:rPr>
      </w:pPr>
    </w:p>
    <w:p w14:paraId="55B8D649">
      <w:pPr>
        <w:pStyle w:val="24"/>
        <w:ind w:firstLine="480"/>
        <w:jc w:val="center"/>
        <w:rPr>
          <w:b/>
          <w:color w:val="auto"/>
          <w:sz w:val="24"/>
        </w:rPr>
      </w:pPr>
    </w:p>
    <w:p w14:paraId="5C302A77">
      <w:pPr>
        <w:pStyle w:val="24"/>
        <w:ind w:firstLine="480"/>
        <w:jc w:val="center"/>
        <w:rPr>
          <w:b/>
          <w:color w:val="auto"/>
          <w:sz w:val="24"/>
        </w:rPr>
      </w:pPr>
    </w:p>
    <w:p w14:paraId="46AB9959">
      <w:pPr>
        <w:pStyle w:val="24"/>
        <w:ind w:firstLine="480"/>
        <w:jc w:val="center"/>
        <w:rPr>
          <w:b/>
          <w:color w:val="auto"/>
          <w:sz w:val="24"/>
        </w:rPr>
      </w:pPr>
    </w:p>
    <w:p w14:paraId="04DB7B3B">
      <w:pPr>
        <w:pStyle w:val="24"/>
        <w:ind w:firstLine="480"/>
        <w:jc w:val="center"/>
        <w:rPr>
          <w:b/>
          <w:color w:val="auto"/>
          <w:sz w:val="24"/>
        </w:rPr>
      </w:pPr>
    </w:p>
    <w:p w14:paraId="7FEA731C">
      <w:pPr>
        <w:pStyle w:val="24"/>
        <w:ind w:firstLine="480"/>
        <w:jc w:val="center"/>
        <w:rPr>
          <w:rFonts w:hint="eastAsia"/>
          <w:b/>
          <w:color w:val="auto"/>
          <w:spacing w:val="-11"/>
          <w:w w:val="95"/>
          <w:sz w:val="32"/>
        </w:rPr>
      </w:pPr>
      <w:r>
        <w:rPr>
          <w:rFonts w:hint="eastAsia"/>
          <w:b/>
          <w:color w:val="auto"/>
          <w:spacing w:val="-11"/>
          <w:w w:val="95"/>
          <w:sz w:val="32"/>
          <w:lang w:val="en-US" w:eastAsia="zh-CN"/>
        </w:rPr>
        <w:t>项目</w:t>
      </w:r>
      <w:r>
        <w:rPr>
          <w:rFonts w:hint="eastAsia"/>
          <w:b/>
          <w:color w:val="auto"/>
          <w:spacing w:val="-11"/>
          <w:w w:val="95"/>
          <w:sz w:val="32"/>
        </w:rPr>
        <w:t>技术负责人简历表</w:t>
      </w:r>
    </w:p>
    <w:p w14:paraId="098F5BD0">
      <w:pPr>
        <w:pStyle w:val="24"/>
        <w:rPr>
          <w:color w:val="auto"/>
          <w:u w:val="single"/>
        </w:rPr>
      </w:pPr>
    </w:p>
    <w:p w14:paraId="0C61049A">
      <w:pPr>
        <w:pStyle w:val="24"/>
        <w:rPr>
          <w:rFonts w:hint="eastAsia"/>
          <w:color w:val="auto"/>
        </w:rPr>
      </w:pPr>
      <w:r>
        <w:rPr>
          <w:color w:val="auto"/>
          <w:u w:val="none"/>
        </w:rPr>
        <w:t>项目名称</w:t>
      </w:r>
      <w:r>
        <w:rPr>
          <w:rFonts w:hint="eastAsia"/>
          <w:color w:val="auto"/>
          <w:u w:val="none"/>
          <w:lang w:eastAsia="zh-CN"/>
        </w:rPr>
        <w:t>：</w:t>
      </w:r>
      <w:r>
        <w:rPr>
          <w:rFonts w:hint="eastAsia"/>
          <w:color w:val="auto"/>
        </w:rPr>
        <w:t xml:space="preserve">                             </w:t>
      </w:r>
    </w:p>
    <w:p w14:paraId="4ECADC69">
      <w:pPr>
        <w:pStyle w:val="24"/>
        <w:ind w:firstLine="630" w:firstLineChars="300"/>
        <w:rPr>
          <w:rFonts w:hint="eastAsia"/>
          <w:color w:val="auto"/>
        </w:rPr>
      </w:pPr>
    </w:p>
    <w:p w14:paraId="2FF2453F">
      <w:pPr>
        <w:pStyle w:val="24"/>
        <w:rPr>
          <w:rFonts w:hint="eastAsia"/>
          <w:color w:val="auto"/>
        </w:rPr>
      </w:pPr>
      <w:r>
        <w:rPr>
          <w:rFonts w:hint="eastAsia"/>
          <w:color w:val="auto"/>
        </w:rPr>
        <w:t>项目编号：</w:t>
      </w:r>
    </w:p>
    <w:p w14:paraId="5DBDBA59">
      <w:pPr>
        <w:pStyle w:val="24"/>
        <w:ind w:firstLine="315" w:firstLineChars="150"/>
        <w:rPr>
          <w:color w:val="auto"/>
        </w:rPr>
      </w:pPr>
      <w:r>
        <w:rPr>
          <w:rFonts w:hint="eastAsia"/>
          <w:color w:val="auto"/>
        </w:rPr>
        <w:t xml:space="preserve">                        </w:t>
      </w:r>
    </w:p>
    <w:tbl>
      <w:tblPr>
        <w:tblStyle w:val="15"/>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1DC2B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noWrap w:val="0"/>
            <w:vAlign w:val="center"/>
          </w:tcPr>
          <w:p w14:paraId="153EA2CA">
            <w:pPr>
              <w:pStyle w:val="21"/>
              <w:jc w:val="center"/>
              <w:rPr>
                <w:color w:val="auto"/>
              </w:rPr>
            </w:pPr>
            <w:r>
              <w:rPr>
                <w:color w:val="auto"/>
              </w:rPr>
              <w:t>姓名</w:t>
            </w:r>
          </w:p>
        </w:tc>
        <w:tc>
          <w:tcPr>
            <w:tcW w:w="2340" w:type="dxa"/>
            <w:gridSpan w:val="3"/>
            <w:noWrap w:val="0"/>
            <w:vAlign w:val="center"/>
          </w:tcPr>
          <w:p w14:paraId="11488CCD">
            <w:pPr>
              <w:pStyle w:val="21"/>
              <w:jc w:val="center"/>
              <w:rPr>
                <w:color w:val="auto"/>
              </w:rPr>
            </w:pPr>
          </w:p>
        </w:tc>
        <w:tc>
          <w:tcPr>
            <w:tcW w:w="1893" w:type="dxa"/>
            <w:gridSpan w:val="2"/>
            <w:noWrap w:val="0"/>
            <w:vAlign w:val="center"/>
          </w:tcPr>
          <w:p w14:paraId="50CEE9B4">
            <w:pPr>
              <w:pStyle w:val="21"/>
              <w:jc w:val="center"/>
              <w:rPr>
                <w:color w:val="auto"/>
              </w:rPr>
            </w:pPr>
            <w:r>
              <w:rPr>
                <w:color w:val="auto"/>
              </w:rPr>
              <w:t>性别</w:t>
            </w:r>
          </w:p>
        </w:tc>
        <w:tc>
          <w:tcPr>
            <w:tcW w:w="1585" w:type="dxa"/>
            <w:gridSpan w:val="2"/>
            <w:noWrap w:val="0"/>
            <w:vAlign w:val="center"/>
          </w:tcPr>
          <w:p w14:paraId="685645F8">
            <w:pPr>
              <w:pStyle w:val="21"/>
              <w:jc w:val="center"/>
              <w:rPr>
                <w:color w:val="auto"/>
              </w:rPr>
            </w:pPr>
          </w:p>
        </w:tc>
        <w:tc>
          <w:tcPr>
            <w:tcW w:w="1108" w:type="dxa"/>
            <w:gridSpan w:val="2"/>
            <w:noWrap w:val="0"/>
            <w:vAlign w:val="center"/>
          </w:tcPr>
          <w:p w14:paraId="626B1C81">
            <w:pPr>
              <w:pStyle w:val="21"/>
              <w:jc w:val="center"/>
              <w:rPr>
                <w:color w:val="auto"/>
              </w:rPr>
            </w:pPr>
            <w:r>
              <w:rPr>
                <w:color w:val="auto"/>
              </w:rPr>
              <w:t>年龄</w:t>
            </w:r>
          </w:p>
        </w:tc>
        <w:tc>
          <w:tcPr>
            <w:tcW w:w="1276" w:type="dxa"/>
            <w:noWrap w:val="0"/>
            <w:vAlign w:val="center"/>
          </w:tcPr>
          <w:p w14:paraId="573D4135">
            <w:pPr>
              <w:pStyle w:val="21"/>
              <w:jc w:val="center"/>
              <w:rPr>
                <w:color w:val="auto"/>
              </w:rPr>
            </w:pPr>
          </w:p>
        </w:tc>
      </w:tr>
      <w:tr w14:paraId="4958F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noWrap w:val="0"/>
            <w:vAlign w:val="center"/>
          </w:tcPr>
          <w:p w14:paraId="3541225F">
            <w:pPr>
              <w:pStyle w:val="21"/>
              <w:jc w:val="center"/>
              <w:rPr>
                <w:color w:val="auto"/>
              </w:rPr>
            </w:pPr>
            <w:r>
              <w:rPr>
                <w:color w:val="auto"/>
              </w:rPr>
              <w:t>职务</w:t>
            </w:r>
          </w:p>
        </w:tc>
        <w:tc>
          <w:tcPr>
            <w:tcW w:w="2340" w:type="dxa"/>
            <w:gridSpan w:val="3"/>
            <w:noWrap w:val="0"/>
            <w:vAlign w:val="center"/>
          </w:tcPr>
          <w:p w14:paraId="7893E31F">
            <w:pPr>
              <w:pStyle w:val="21"/>
              <w:jc w:val="center"/>
              <w:rPr>
                <w:color w:val="auto"/>
              </w:rPr>
            </w:pPr>
          </w:p>
        </w:tc>
        <w:tc>
          <w:tcPr>
            <w:tcW w:w="1893" w:type="dxa"/>
            <w:gridSpan w:val="2"/>
            <w:noWrap w:val="0"/>
            <w:vAlign w:val="center"/>
          </w:tcPr>
          <w:p w14:paraId="527F1D16">
            <w:pPr>
              <w:pStyle w:val="21"/>
              <w:jc w:val="center"/>
              <w:rPr>
                <w:color w:val="auto"/>
              </w:rPr>
            </w:pPr>
            <w:r>
              <w:rPr>
                <w:color w:val="auto"/>
              </w:rPr>
              <w:t>职称</w:t>
            </w:r>
          </w:p>
        </w:tc>
        <w:tc>
          <w:tcPr>
            <w:tcW w:w="1585" w:type="dxa"/>
            <w:gridSpan w:val="2"/>
            <w:noWrap w:val="0"/>
            <w:vAlign w:val="center"/>
          </w:tcPr>
          <w:p w14:paraId="1218CAD4">
            <w:pPr>
              <w:pStyle w:val="21"/>
              <w:jc w:val="center"/>
              <w:rPr>
                <w:color w:val="auto"/>
              </w:rPr>
            </w:pPr>
          </w:p>
        </w:tc>
        <w:tc>
          <w:tcPr>
            <w:tcW w:w="1108" w:type="dxa"/>
            <w:gridSpan w:val="2"/>
            <w:noWrap w:val="0"/>
            <w:vAlign w:val="center"/>
          </w:tcPr>
          <w:p w14:paraId="366D130D">
            <w:pPr>
              <w:pStyle w:val="21"/>
              <w:jc w:val="center"/>
              <w:rPr>
                <w:color w:val="auto"/>
              </w:rPr>
            </w:pPr>
            <w:r>
              <w:rPr>
                <w:color w:val="auto"/>
              </w:rPr>
              <w:t>学历</w:t>
            </w:r>
          </w:p>
        </w:tc>
        <w:tc>
          <w:tcPr>
            <w:tcW w:w="1276" w:type="dxa"/>
            <w:noWrap w:val="0"/>
            <w:vAlign w:val="center"/>
          </w:tcPr>
          <w:p w14:paraId="004FFBBE">
            <w:pPr>
              <w:pStyle w:val="21"/>
              <w:jc w:val="center"/>
              <w:rPr>
                <w:color w:val="auto"/>
              </w:rPr>
            </w:pPr>
          </w:p>
        </w:tc>
      </w:tr>
      <w:tr w14:paraId="7407D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noWrap w:val="0"/>
            <w:vAlign w:val="center"/>
          </w:tcPr>
          <w:p w14:paraId="100BE3A1">
            <w:pPr>
              <w:pStyle w:val="21"/>
              <w:jc w:val="center"/>
              <w:rPr>
                <w:color w:val="auto"/>
              </w:rPr>
            </w:pPr>
            <w:r>
              <w:rPr>
                <w:color w:val="auto"/>
              </w:rPr>
              <w:t>参加工作时间</w:t>
            </w:r>
          </w:p>
        </w:tc>
        <w:tc>
          <w:tcPr>
            <w:tcW w:w="1893" w:type="dxa"/>
            <w:gridSpan w:val="2"/>
            <w:noWrap w:val="0"/>
            <w:vAlign w:val="center"/>
          </w:tcPr>
          <w:p w14:paraId="5110073A">
            <w:pPr>
              <w:pStyle w:val="21"/>
              <w:jc w:val="center"/>
              <w:rPr>
                <w:color w:val="auto"/>
              </w:rPr>
            </w:pPr>
          </w:p>
        </w:tc>
        <w:tc>
          <w:tcPr>
            <w:tcW w:w="2693" w:type="dxa"/>
            <w:gridSpan w:val="4"/>
            <w:noWrap w:val="0"/>
            <w:vAlign w:val="center"/>
          </w:tcPr>
          <w:p w14:paraId="719376A1">
            <w:pPr>
              <w:pStyle w:val="21"/>
              <w:jc w:val="center"/>
              <w:rPr>
                <w:color w:val="auto"/>
              </w:rPr>
            </w:pPr>
            <w:r>
              <w:rPr>
                <w:color w:val="auto"/>
              </w:rPr>
              <w:t>担任</w:t>
            </w:r>
            <w:r>
              <w:rPr>
                <w:rFonts w:hint="eastAsia"/>
                <w:color w:val="auto"/>
              </w:rPr>
              <w:t>技术负责人</w:t>
            </w:r>
            <w:r>
              <w:rPr>
                <w:color w:val="auto"/>
              </w:rPr>
              <w:t>年限</w:t>
            </w:r>
          </w:p>
        </w:tc>
        <w:tc>
          <w:tcPr>
            <w:tcW w:w="1276" w:type="dxa"/>
            <w:noWrap w:val="0"/>
            <w:vAlign w:val="center"/>
          </w:tcPr>
          <w:p w14:paraId="73DA72DC">
            <w:pPr>
              <w:pStyle w:val="21"/>
              <w:jc w:val="center"/>
              <w:rPr>
                <w:color w:val="auto"/>
              </w:rPr>
            </w:pPr>
          </w:p>
        </w:tc>
      </w:tr>
      <w:tr w14:paraId="74A69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noWrap w:val="0"/>
            <w:vAlign w:val="center"/>
          </w:tcPr>
          <w:p w14:paraId="2A004571">
            <w:pPr>
              <w:pStyle w:val="21"/>
              <w:jc w:val="center"/>
              <w:rPr>
                <w:color w:val="auto"/>
              </w:rPr>
            </w:pPr>
            <w:r>
              <w:rPr>
                <w:color w:val="auto"/>
              </w:rPr>
              <w:t>在建和已完工程项目情况</w:t>
            </w:r>
          </w:p>
        </w:tc>
      </w:tr>
      <w:tr w14:paraId="079ED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noWrap w:val="0"/>
            <w:vAlign w:val="center"/>
          </w:tcPr>
          <w:p w14:paraId="7C753BA7">
            <w:pPr>
              <w:pStyle w:val="21"/>
              <w:jc w:val="center"/>
              <w:rPr>
                <w:color w:val="auto"/>
              </w:rPr>
            </w:pPr>
            <w:r>
              <w:rPr>
                <w:color w:val="auto"/>
              </w:rPr>
              <w:t>建设单位</w:t>
            </w:r>
          </w:p>
        </w:tc>
        <w:tc>
          <w:tcPr>
            <w:tcW w:w="1548" w:type="dxa"/>
            <w:noWrap w:val="0"/>
            <w:vAlign w:val="center"/>
          </w:tcPr>
          <w:p w14:paraId="73C552FA">
            <w:pPr>
              <w:pStyle w:val="21"/>
              <w:jc w:val="center"/>
              <w:rPr>
                <w:color w:val="auto"/>
              </w:rPr>
            </w:pPr>
            <w:r>
              <w:rPr>
                <w:color w:val="auto"/>
              </w:rPr>
              <w:t>项目名称</w:t>
            </w:r>
          </w:p>
        </w:tc>
        <w:tc>
          <w:tcPr>
            <w:tcW w:w="1547" w:type="dxa"/>
            <w:gridSpan w:val="2"/>
            <w:noWrap w:val="0"/>
            <w:vAlign w:val="center"/>
          </w:tcPr>
          <w:p w14:paraId="58036E43">
            <w:pPr>
              <w:pStyle w:val="21"/>
              <w:jc w:val="center"/>
              <w:rPr>
                <w:color w:val="auto"/>
              </w:rPr>
            </w:pPr>
            <w:r>
              <w:rPr>
                <w:color w:val="auto"/>
              </w:rPr>
              <w:t>建设规模</w:t>
            </w:r>
          </w:p>
        </w:tc>
        <w:tc>
          <w:tcPr>
            <w:tcW w:w="1548" w:type="dxa"/>
            <w:gridSpan w:val="2"/>
            <w:noWrap w:val="0"/>
            <w:vAlign w:val="center"/>
          </w:tcPr>
          <w:p w14:paraId="43592811">
            <w:pPr>
              <w:pStyle w:val="21"/>
              <w:jc w:val="center"/>
              <w:rPr>
                <w:color w:val="auto"/>
              </w:rPr>
            </w:pPr>
            <w:r>
              <w:rPr>
                <w:color w:val="auto"/>
              </w:rPr>
              <w:t>开、竣工日期</w:t>
            </w:r>
          </w:p>
        </w:tc>
        <w:tc>
          <w:tcPr>
            <w:tcW w:w="1547" w:type="dxa"/>
            <w:gridSpan w:val="2"/>
            <w:noWrap w:val="0"/>
            <w:vAlign w:val="center"/>
          </w:tcPr>
          <w:p w14:paraId="4F4BE795">
            <w:pPr>
              <w:pStyle w:val="21"/>
              <w:jc w:val="center"/>
              <w:rPr>
                <w:color w:val="auto"/>
              </w:rPr>
            </w:pPr>
            <w:r>
              <w:rPr>
                <w:color w:val="auto"/>
              </w:rPr>
              <w:t>在建或已完</w:t>
            </w:r>
          </w:p>
        </w:tc>
        <w:tc>
          <w:tcPr>
            <w:tcW w:w="1548" w:type="dxa"/>
            <w:gridSpan w:val="2"/>
            <w:noWrap w:val="0"/>
            <w:vAlign w:val="center"/>
          </w:tcPr>
          <w:p w14:paraId="17F3155D">
            <w:pPr>
              <w:pStyle w:val="21"/>
              <w:jc w:val="center"/>
              <w:rPr>
                <w:color w:val="auto"/>
              </w:rPr>
            </w:pPr>
            <w:r>
              <w:rPr>
                <w:color w:val="auto"/>
              </w:rPr>
              <w:t>工程质量</w:t>
            </w:r>
          </w:p>
        </w:tc>
      </w:tr>
      <w:tr w14:paraId="3E401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noWrap w:val="0"/>
            <w:vAlign w:val="center"/>
          </w:tcPr>
          <w:p w14:paraId="7DABEB14">
            <w:pPr>
              <w:pStyle w:val="21"/>
              <w:jc w:val="center"/>
              <w:rPr>
                <w:color w:val="auto"/>
              </w:rPr>
            </w:pPr>
          </w:p>
        </w:tc>
        <w:tc>
          <w:tcPr>
            <w:tcW w:w="1548" w:type="dxa"/>
            <w:noWrap w:val="0"/>
            <w:vAlign w:val="center"/>
          </w:tcPr>
          <w:p w14:paraId="68AD7806">
            <w:pPr>
              <w:pStyle w:val="21"/>
              <w:jc w:val="center"/>
              <w:rPr>
                <w:color w:val="auto"/>
              </w:rPr>
            </w:pPr>
          </w:p>
        </w:tc>
        <w:tc>
          <w:tcPr>
            <w:tcW w:w="1547" w:type="dxa"/>
            <w:gridSpan w:val="2"/>
            <w:noWrap w:val="0"/>
            <w:vAlign w:val="center"/>
          </w:tcPr>
          <w:p w14:paraId="51AF7AE2">
            <w:pPr>
              <w:pStyle w:val="21"/>
              <w:jc w:val="center"/>
              <w:rPr>
                <w:color w:val="auto"/>
              </w:rPr>
            </w:pPr>
          </w:p>
        </w:tc>
        <w:tc>
          <w:tcPr>
            <w:tcW w:w="1548" w:type="dxa"/>
            <w:gridSpan w:val="2"/>
            <w:noWrap w:val="0"/>
            <w:vAlign w:val="center"/>
          </w:tcPr>
          <w:p w14:paraId="10B24518">
            <w:pPr>
              <w:pStyle w:val="21"/>
              <w:jc w:val="center"/>
              <w:rPr>
                <w:color w:val="auto"/>
              </w:rPr>
            </w:pPr>
          </w:p>
        </w:tc>
        <w:tc>
          <w:tcPr>
            <w:tcW w:w="1547" w:type="dxa"/>
            <w:gridSpan w:val="2"/>
            <w:noWrap w:val="0"/>
            <w:vAlign w:val="center"/>
          </w:tcPr>
          <w:p w14:paraId="389542EC">
            <w:pPr>
              <w:pStyle w:val="21"/>
              <w:jc w:val="center"/>
              <w:rPr>
                <w:color w:val="auto"/>
              </w:rPr>
            </w:pPr>
          </w:p>
        </w:tc>
        <w:tc>
          <w:tcPr>
            <w:tcW w:w="1548" w:type="dxa"/>
            <w:gridSpan w:val="2"/>
            <w:noWrap w:val="0"/>
            <w:vAlign w:val="center"/>
          </w:tcPr>
          <w:p w14:paraId="4301922D">
            <w:pPr>
              <w:pStyle w:val="21"/>
              <w:jc w:val="center"/>
              <w:rPr>
                <w:color w:val="auto"/>
              </w:rPr>
            </w:pPr>
          </w:p>
        </w:tc>
      </w:tr>
      <w:tr w14:paraId="483E3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noWrap w:val="0"/>
            <w:vAlign w:val="center"/>
          </w:tcPr>
          <w:p w14:paraId="32316EFA">
            <w:pPr>
              <w:pStyle w:val="21"/>
              <w:jc w:val="center"/>
              <w:rPr>
                <w:color w:val="auto"/>
              </w:rPr>
            </w:pPr>
          </w:p>
        </w:tc>
        <w:tc>
          <w:tcPr>
            <w:tcW w:w="1548" w:type="dxa"/>
            <w:noWrap w:val="0"/>
            <w:vAlign w:val="center"/>
          </w:tcPr>
          <w:p w14:paraId="1420ABBC">
            <w:pPr>
              <w:pStyle w:val="21"/>
              <w:jc w:val="center"/>
              <w:rPr>
                <w:color w:val="auto"/>
              </w:rPr>
            </w:pPr>
          </w:p>
        </w:tc>
        <w:tc>
          <w:tcPr>
            <w:tcW w:w="1547" w:type="dxa"/>
            <w:gridSpan w:val="2"/>
            <w:noWrap w:val="0"/>
            <w:vAlign w:val="center"/>
          </w:tcPr>
          <w:p w14:paraId="0EB82C93">
            <w:pPr>
              <w:pStyle w:val="21"/>
              <w:jc w:val="center"/>
              <w:rPr>
                <w:color w:val="auto"/>
              </w:rPr>
            </w:pPr>
          </w:p>
        </w:tc>
        <w:tc>
          <w:tcPr>
            <w:tcW w:w="1548" w:type="dxa"/>
            <w:gridSpan w:val="2"/>
            <w:noWrap w:val="0"/>
            <w:vAlign w:val="center"/>
          </w:tcPr>
          <w:p w14:paraId="0E9DDE42">
            <w:pPr>
              <w:pStyle w:val="21"/>
              <w:jc w:val="center"/>
              <w:rPr>
                <w:color w:val="auto"/>
              </w:rPr>
            </w:pPr>
          </w:p>
        </w:tc>
        <w:tc>
          <w:tcPr>
            <w:tcW w:w="1547" w:type="dxa"/>
            <w:gridSpan w:val="2"/>
            <w:noWrap w:val="0"/>
            <w:vAlign w:val="center"/>
          </w:tcPr>
          <w:p w14:paraId="7B337072">
            <w:pPr>
              <w:pStyle w:val="21"/>
              <w:jc w:val="center"/>
              <w:rPr>
                <w:color w:val="auto"/>
              </w:rPr>
            </w:pPr>
          </w:p>
        </w:tc>
        <w:tc>
          <w:tcPr>
            <w:tcW w:w="1548" w:type="dxa"/>
            <w:gridSpan w:val="2"/>
            <w:noWrap w:val="0"/>
            <w:vAlign w:val="center"/>
          </w:tcPr>
          <w:p w14:paraId="65A3168B">
            <w:pPr>
              <w:pStyle w:val="21"/>
              <w:jc w:val="center"/>
              <w:rPr>
                <w:color w:val="auto"/>
              </w:rPr>
            </w:pPr>
          </w:p>
        </w:tc>
      </w:tr>
      <w:tr w14:paraId="78E22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noWrap w:val="0"/>
            <w:vAlign w:val="center"/>
          </w:tcPr>
          <w:p w14:paraId="75B90E84">
            <w:pPr>
              <w:pStyle w:val="21"/>
              <w:jc w:val="center"/>
              <w:rPr>
                <w:color w:val="auto"/>
              </w:rPr>
            </w:pPr>
          </w:p>
        </w:tc>
        <w:tc>
          <w:tcPr>
            <w:tcW w:w="1548" w:type="dxa"/>
            <w:noWrap w:val="0"/>
            <w:vAlign w:val="center"/>
          </w:tcPr>
          <w:p w14:paraId="115A3BD9">
            <w:pPr>
              <w:pStyle w:val="21"/>
              <w:jc w:val="center"/>
              <w:rPr>
                <w:color w:val="auto"/>
              </w:rPr>
            </w:pPr>
          </w:p>
        </w:tc>
        <w:tc>
          <w:tcPr>
            <w:tcW w:w="1547" w:type="dxa"/>
            <w:gridSpan w:val="2"/>
            <w:noWrap w:val="0"/>
            <w:vAlign w:val="center"/>
          </w:tcPr>
          <w:p w14:paraId="1CD571FA">
            <w:pPr>
              <w:pStyle w:val="21"/>
              <w:jc w:val="center"/>
              <w:rPr>
                <w:color w:val="auto"/>
              </w:rPr>
            </w:pPr>
          </w:p>
        </w:tc>
        <w:tc>
          <w:tcPr>
            <w:tcW w:w="1548" w:type="dxa"/>
            <w:gridSpan w:val="2"/>
            <w:noWrap w:val="0"/>
            <w:vAlign w:val="center"/>
          </w:tcPr>
          <w:p w14:paraId="4F91020F">
            <w:pPr>
              <w:pStyle w:val="21"/>
              <w:jc w:val="center"/>
              <w:rPr>
                <w:color w:val="auto"/>
              </w:rPr>
            </w:pPr>
          </w:p>
        </w:tc>
        <w:tc>
          <w:tcPr>
            <w:tcW w:w="1547" w:type="dxa"/>
            <w:gridSpan w:val="2"/>
            <w:noWrap w:val="0"/>
            <w:vAlign w:val="center"/>
          </w:tcPr>
          <w:p w14:paraId="3CFDC7CE">
            <w:pPr>
              <w:pStyle w:val="21"/>
              <w:jc w:val="center"/>
              <w:rPr>
                <w:color w:val="auto"/>
              </w:rPr>
            </w:pPr>
          </w:p>
        </w:tc>
        <w:tc>
          <w:tcPr>
            <w:tcW w:w="1548" w:type="dxa"/>
            <w:gridSpan w:val="2"/>
            <w:noWrap w:val="0"/>
            <w:vAlign w:val="center"/>
          </w:tcPr>
          <w:p w14:paraId="3FA8D846">
            <w:pPr>
              <w:pStyle w:val="21"/>
              <w:jc w:val="center"/>
              <w:rPr>
                <w:color w:val="auto"/>
              </w:rPr>
            </w:pPr>
          </w:p>
        </w:tc>
      </w:tr>
      <w:tr w14:paraId="1A6D4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noWrap w:val="0"/>
            <w:vAlign w:val="center"/>
          </w:tcPr>
          <w:p w14:paraId="18BF27E8">
            <w:pPr>
              <w:pStyle w:val="21"/>
              <w:jc w:val="center"/>
              <w:rPr>
                <w:color w:val="auto"/>
              </w:rPr>
            </w:pPr>
          </w:p>
        </w:tc>
        <w:tc>
          <w:tcPr>
            <w:tcW w:w="1548" w:type="dxa"/>
            <w:noWrap w:val="0"/>
            <w:vAlign w:val="center"/>
          </w:tcPr>
          <w:p w14:paraId="5C3BC46F">
            <w:pPr>
              <w:pStyle w:val="21"/>
              <w:jc w:val="center"/>
              <w:rPr>
                <w:color w:val="auto"/>
              </w:rPr>
            </w:pPr>
          </w:p>
        </w:tc>
        <w:tc>
          <w:tcPr>
            <w:tcW w:w="1547" w:type="dxa"/>
            <w:gridSpan w:val="2"/>
            <w:noWrap w:val="0"/>
            <w:vAlign w:val="center"/>
          </w:tcPr>
          <w:p w14:paraId="3D1977DF">
            <w:pPr>
              <w:pStyle w:val="21"/>
              <w:jc w:val="center"/>
              <w:rPr>
                <w:color w:val="auto"/>
              </w:rPr>
            </w:pPr>
          </w:p>
        </w:tc>
        <w:tc>
          <w:tcPr>
            <w:tcW w:w="1548" w:type="dxa"/>
            <w:gridSpan w:val="2"/>
            <w:noWrap w:val="0"/>
            <w:vAlign w:val="center"/>
          </w:tcPr>
          <w:p w14:paraId="7B1FD19F">
            <w:pPr>
              <w:pStyle w:val="21"/>
              <w:jc w:val="center"/>
              <w:rPr>
                <w:color w:val="auto"/>
              </w:rPr>
            </w:pPr>
          </w:p>
        </w:tc>
        <w:tc>
          <w:tcPr>
            <w:tcW w:w="1547" w:type="dxa"/>
            <w:gridSpan w:val="2"/>
            <w:noWrap w:val="0"/>
            <w:vAlign w:val="center"/>
          </w:tcPr>
          <w:p w14:paraId="1D7C2C08">
            <w:pPr>
              <w:pStyle w:val="21"/>
              <w:jc w:val="center"/>
              <w:rPr>
                <w:color w:val="auto"/>
              </w:rPr>
            </w:pPr>
          </w:p>
        </w:tc>
        <w:tc>
          <w:tcPr>
            <w:tcW w:w="1548" w:type="dxa"/>
            <w:gridSpan w:val="2"/>
            <w:noWrap w:val="0"/>
            <w:vAlign w:val="center"/>
          </w:tcPr>
          <w:p w14:paraId="20FBDCB8">
            <w:pPr>
              <w:pStyle w:val="21"/>
              <w:jc w:val="center"/>
              <w:rPr>
                <w:color w:val="auto"/>
              </w:rPr>
            </w:pPr>
          </w:p>
        </w:tc>
      </w:tr>
    </w:tbl>
    <w:p w14:paraId="75502E6E">
      <w:pPr>
        <w:pStyle w:val="21"/>
        <w:ind w:firstLine="630" w:firstLineChars="300"/>
        <w:rPr>
          <w:rFonts w:hint="eastAsia"/>
          <w:color w:val="auto"/>
        </w:rPr>
      </w:pPr>
    </w:p>
    <w:p w14:paraId="1E34E8EA">
      <w:pPr>
        <w:pStyle w:val="21"/>
        <w:ind w:firstLine="210" w:firstLineChars="100"/>
        <w:rPr>
          <w:color w:val="auto"/>
        </w:rPr>
      </w:pPr>
      <w:r>
        <w:rPr>
          <w:rFonts w:hint="eastAsia"/>
          <w:color w:val="auto"/>
        </w:rPr>
        <w:t>【备注：附技术负责人中级工程师或以上等级职称证书的复印件，</w:t>
      </w:r>
      <w:r>
        <w:rPr>
          <w:color w:val="auto"/>
          <w:szCs w:val="21"/>
        </w:rPr>
        <w:t>以</w:t>
      </w:r>
      <w:r>
        <w:rPr>
          <w:rFonts w:hint="eastAsia"/>
          <w:color w:val="auto"/>
          <w:szCs w:val="21"/>
        </w:rPr>
        <w:t>上复印件</w:t>
      </w:r>
      <w:r>
        <w:rPr>
          <w:color w:val="auto"/>
          <w:szCs w:val="21"/>
        </w:rPr>
        <w:t>均须加盖</w:t>
      </w:r>
      <w:r>
        <w:rPr>
          <w:rFonts w:hint="eastAsia"/>
          <w:color w:val="auto"/>
          <w:szCs w:val="21"/>
        </w:rPr>
        <w:t>供应商</w:t>
      </w:r>
      <w:r>
        <w:rPr>
          <w:color w:val="auto"/>
          <w:szCs w:val="21"/>
        </w:rPr>
        <w:t>公章</w:t>
      </w:r>
      <w:r>
        <w:rPr>
          <w:rFonts w:hint="eastAsia"/>
          <w:color w:val="auto"/>
          <w:szCs w:val="21"/>
        </w:rPr>
        <w:t>。</w:t>
      </w:r>
      <w:r>
        <w:rPr>
          <w:rFonts w:hint="eastAsia"/>
          <w:color w:val="auto"/>
        </w:rPr>
        <w:t>】</w:t>
      </w:r>
    </w:p>
    <w:p w14:paraId="5A1B1891">
      <w:pPr>
        <w:pStyle w:val="21"/>
        <w:spacing w:before="120" w:beforeLines="50"/>
        <w:ind w:firstLine="420" w:firstLineChars="200"/>
        <w:rPr>
          <w:rFonts w:eastAsia="楷体_GB2312"/>
          <w:color w:val="auto"/>
        </w:rPr>
      </w:pPr>
    </w:p>
    <w:p w14:paraId="0D679913">
      <w:pPr>
        <w:pStyle w:val="21"/>
        <w:spacing w:line="360" w:lineRule="auto"/>
        <w:rPr>
          <w:color w:val="auto"/>
          <w:szCs w:val="21"/>
        </w:rPr>
      </w:pPr>
    </w:p>
    <w:p w14:paraId="56CA2566">
      <w:pPr>
        <w:rPr>
          <w:rFonts w:hint="eastAsia" w:ascii="宋体" w:hAnsi="宋体" w:eastAsia="宋体" w:cs="Times New Roman"/>
          <w:b/>
          <w:color w:val="000000"/>
          <w:sz w:val="36"/>
          <w:szCs w:val="36"/>
          <w:highlight w:val="none"/>
          <w:lang w:val="en-US" w:eastAsia="zh-CN"/>
        </w:rPr>
      </w:pPr>
      <w:r>
        <w:rPr>
          <w:rFonts w:hint="eastAsia" w:ascii="宋体" w:hAnsi="宋体" w:eastAsia="宋体" w:cs="Times New Roman"/>
          <w:b/>
          <w:color w:val="000000"/>
          <w:sz w:val="36"/>
          <w:szCs w:val="36"/>
          <w:highlight w:val="none"/>
          <w:lang w:val="en-US" w:eastAsia="zh-CN"/>
        </w:rPr>
        <w:br w:type="page"/>
      </w:r>
    </w:p>
    <w:p w14:paraId="420AC118">
      <w:pPr>
        <w:keepNext w:val="0"/>
        <w:keepLines w:val="0"/>
        <w:pageBreakBefore w:val="0"/>
        <w:widowControl w:val="0"/>
        <w:kinsoku/>
        <w:wordWrap/>
        <w:overflowPunct/>
        <w:topLinePunct w:val="0"/>
        <w:autoSpaceDE/>
        <w:autoSpaceDN/>
        <w:bidi w:val="0"/>
        <w:adjustRightInd/>
        <w:snapToGrid w:val="0"/>
        <w:spacing w:line="460" w:lineRule="exact"/>
        <w:ind w:firstLine="723" w:firstLineChars="200"/>
        <w:jc w:val="center"/>
        <w:textAlignment w:val="auto"/>
        <w:rPr>
          <w:b/>
          <w:color w:val="auto"/>
          <w:sz w:val="28"/>
          <w:szCs w:val="28"/>
        </w:rPr>
      </w:pPr>
      <w:r>
        <w:rPr>
          <w:rFonts w:hint="eastAsia" w:ascii="宋体" w:hAnsi="宋体" w:eastAsia="宋体" w:cs="Times New Roman"/>
          <w:b/>
          <w:color w:val="000000"/>
          <w:sz w:val="36"/>
          <w:szCs w:val="36"/>
          <w:highlight w:val="none"/>
          <w:lang w:val="en-US" w:eastAsia="zh-CN"/>
        </w:rPr>
        <w:t>项目管理机构配备情况表</w:t>
      </w:r>
    </w:p>
    <w:p w14:paraId="18CEE665">
      <w:pPr>
        <w:pStyle w:val="24"/>
        <w:ind w:firstLine="480"/>
        <w:jc w:val="center"/>
        <w:rPr>
          <w:b/>
          <w:bCs/>
          <w:color w:val="auto"/>
          <w:sz w:val="24"/>
        </w:rPr>
      </w:pPr>
    </w:p>
    <w:p w14:paraId="2B5C964C">
      <w:pPr>
        <w:pStyle w:val="24"/>
        <w:rPr>
          <w:color w:val="auto"/>
          <w:u w:val="single"/>
        </w:rPr>
      </w:pPr>
    </w:p>
    <w:p w14:paraId="13F3B087">
      <w:pPr>
        <w:spacing w:line="360" w:lineRule="auto"/>
        <w:contextualSpacing/>
        <w:rPr>
          <w:rFonts w:ascii="宋体" w:hAnsi="宋体" w:cs="仿宋_GB2312"/>
          <w:color w:val="000000"/>
          <w:sz w:val="24"/>
          <w:highlight w:val="none"/>
          <w:u w:val="single"/>
        </w:rPr>
      </w:pPr>
      <w:r>
        <w:rPr>
          <w:rFonts w:hint="eastAsia" w:ascii="宋体" w:hAnsi="宋体" w:cs="仿宋_GB2312"/>
          <w:color w:val="000000"/>
          <w:sz w:val="24"/>
          <w:highlight w:val="none"/>
        </w:rPr>
        <w:t>项目</w:t>
      </w:r>
      <w:r>
        <w:rPr>
          <w:rFonts w:hint="eastAsia" w:ascii="宋体" w:hAnsi="宋体" w:cs="仿宋_GB2312"/>
          <w:color w:val="000000"/>
          <w:sz w:val="24"/>
          <w:highlight w:val="none"/>
          <w:lang w:val="en-US" w:eastAsia="zh-CN"/>
        </w:rPr>
        <w:t>名称</w:t>
      </w:r>
      <w:r>
        <w:rPr>
          <w:rFonts w:hint="eastAsia" w:ascii="宋体" w:hAnsi="宋体" w:cs="仿宋_GB2312"/>
          <w:color w:val="000000"/>
          <w:sz w:val="24"/>
          <w:highlight w:val="none"/>
        </w:rPr>
        <w:t>：</w:t>
      </w:r>
    </w:p>
    <w:p w14:paraId="347EFB81">
      <w:pPr>
        <w:spacing w:line="360" w:lineRule="auto"/>
        <w:contextualSpacing/>
        <w:rPr>
          <w:rFonts w:ascii="宋体" w:hAnsi="宋体" w:cs="仿宋_GB2312"/>
          <w:color w:val="000000"/>
          <w:kern w:val="0"/>
          <w:sz w:val="24"/>
          <w:highlight w:val="none"/>
        </w:rPr>
      </w:pPr>
      <w:r>
        <w:rPr>
          <w:rFonts w:hint="eastAsia" w:ascii="宋体" w:hAnsi="宋体" w:cs="仿宋_GB2312"/>
          <w:color w:val="000000"/>
          <w:sz w:val="24"/>
          <w:highlight w:val="none"/>
        </w:rPr>
        <w:t>项目</w:t>
      </w:r>
      <w:r>
        <w:rPr>
          <w:rFonts w:hint="eastAsia" w:ascii="宋体" w:hAnsi="宋体" w:cs="仿宋_GB2312"/>
          <w:color w:val="000000"/>
          <w:sz w:val="24"/>
          <w:highlight w:val="none"/>
          <w:lang w:val="en-US" w:eastAsia="zh-CN"/>
        </w:rPr>
        <w:t>编号</w:t>
      </w:r>
      <w:r>
        <w:rPr>
          <w:rFonts w:hint="eastAsia" w:ascii="宋体" w:hAnsi="宋体" w:cs="仿宋_GB2312"/>
          <w:color w:val="000000"/>
          <w:sz w:val="24"/>
          <w:highlight w:val="none"/>
        </w:rPr>
        <w:t>：</w:t>
      </w:r>
    </w:p>
    <w:p w14:paraId="736D1F4E">
      <w:pPr>
        <w:pStyle w:val="24"/>
        <w:ind w:firstLine="420" w:firstLineChars="200"/>
        <w:rPr>
          <w:color w:val="auto"/>
        </w:rPr>
      </w:pPr>
      <w:r>
        <w:rPr>
          <w:rFonts w:hint="eastAsia"/>
          <w:color w:val="auto"/>
        </w:rPr>
        <w:t xml:space="preserve">              </w:t>
      </w:r>
    </w:p>
    <w:tbl>
      <w:tblPr>
        <w:tblStyle w:val="15"/>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29"/>
        <w:gridCol w:w="816"/>
        <w:gridCol w:w="1148"/>
        <w:gridCol w:w="1148"/>
        <w:gridCol w:w="1148"/>
        <w:gridCol w:w="1148"/>
        <w:gridCol w:w="850"/>
        <w:gridCol w:w="1276"/>
      </w:tblGrid>
      <w:tr w14:paraId="39C15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93" w:type="dxa"/>
            <w:vMerge w:val="restart"/>
            <w:noWrap w:val="0"/>
            <w:vAlign w:val="center"/>
          </w:tcPr>
          <w:p w14:paraId="3CA09E86">
            <w:pPr>
              <w:pStyle w:val="21"/>
              <w:ind w:left="223" w:hanging="222" w:hangingChars="106"/>
              <w:jc w:val="center"/>
              <w:rPr>
                <w:color w:val="auto"/>
              </w:rPr>
            </w:pPr>
            <w:r>
              <w:rPr>
                <w:color w:val="auto"/>
              </w:rPr>
              <w:t>岗位</w:t>
            </w:r>
          </w:p>
        </w:tc>
        <w:tc>
          <w:tcPr>
            <w:tcW w:w="829" w:type="dxa"/>
            <w:vMerge w:val="restart"/>
            <w:noWrap w:val="0"/>
            <w:vAlign w:val="center"/>
          </w:tcPr>
          <w:p w14:paraId="7D2FBEBA">
            <w:pPr>
              <w:pStyle w:val="21"/>
              <w:ind w:left="223" w:hanging="222" w:hangingChars="106"/>
              <w:jc w:val="center"/>
              <w:rPr>
                <w:color w:val="auto"/>
              </w:rPr>
            </w:pPr>
            <w:bookmarkStart w:id="73" w:name="_Toc251052187"/>
            <w:r>
              <w:rPr>
                <w:color w:val="auto"/>
              </w:rPr>
              <w:t>姓名</w:t>
            </w:r>
            <w:bookmarkEnd w:id="73"/>
          </w:p>
        </w:tc>
        <w:tc>
          <w:tcPr>
            <w:tcW w:w="816" w:type="dxa"/>
            <w:vMerge w:val="restart"/>
            <w:noWrap w:val="0"/>
            <w:vAlign w:val="center"/>
          </w:tcPr>
          <w:p w14:paraId="3C34F00E">
            <w:pPr>
              <w:pStyle w:val="21"/>
              <w:ind w:left="223" w:hanging="222" w:hangingChars="106"/>
              <w:jc w:val="center"/>
              <w:rPr>
                <w:color w:val="auto"/>
              </w:rPr>
            </w:pPr>
            <w:bookmarkStart w:id="74" w:name="_Toc251052188"/>
            <w:r>
              <w:rPr>
                <w:color w:val="auto"/>
              </w:rPr>
              <w:t>职称</w:t>
            </w:r>
            <w:bookmarkEnd w:id="74"/>
          </w:p>
        </w:tc>
        <w:tc>
          <w:tcPr>
            <w:tcW w:w="4592" w:type="dxa"/>
            <w:gridSpan w:val="4"/>
            <w:noWrap w:val="0"/>
            <w:vAlign w:val="center"/>
          </w:tcPr>
          <w:p w14:paraId="2B4A9EB7">
            <w:pPr>
              <w:pStyle w:val="21"/>
              <w:ind w:left="223" w:hanging="222" w:hangingChars="106"/>
              <w:jc w:val="center"/>
              <w:rPr>
                <w:color w:val="auto"/>
              </w:rPr>
            </w:pPr>
            <w:bookmarkStart w:id="75" w:name="_Toc251052189"/>
            <w:r>
              <w:rPr>
                <w:color w:val="auto"/>
              </w:rPr>
              <w:t>执业或职业资格证明</w:t>
            </w:r>
            <w:bookmarkEnd w:id="75"/>
          </w:p>
        </w:tc>
        <w:tc>
          <w:tcPr>
            <w:tcW w:w="2126" w:type="dxa"/>
            <w:gridSpan w:val="2"/>
            <w:noWrap w:val="0"/>
            <w:vAlign w:val="center"/>
          </w:tcPr>
          <w:p w14:paraId="0A7E75EE">
            <w:pPr>
              <w:pStyle w:val="21"/>
              <w:ind w:left="223" w:hanging="222" w:hangingChars="106"/>
              <w:jc w:val="center"/>
              <w:rPr>
                <w:color w:val="auto"/>
              </w:rPr>
            </w:pPr>
            <w:bookmarkStart w:id="76" w:name="_Toc251052190"/>
            <w:r>
              <w:rPr>
                <w:color w:val="auto"/>
              </w:rPr>
              <w:t>承担完工</w:t>
            </w:r>
            <w:bookmarkEnd w:id="76"/>
            <w:bookmarkStart w:id="77" w:name="_Toc251052191"/>
            <w:r>
              <w:rPr>
                <w:color w:val="auto"/>
              </w:rPr>
              <w:t>工程情况</w:t>
            </w:r>
            <w:bookmarkEnd w:id="77"/>
          </w:p>
        </w:tc>
      </w:tr>
      <w:tr w14:paraId="5A238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93" w:type="dxa"/>
            <w:vMerge w:val="continue"/>
            <w:noWrap w:val="0"/>
            <w:vAlign w:val="center"/>
          </w:tcPr>
          <w:p w14:paraId="4C87BE66">
            <w:pPr>
              <w:pStyle w:val="21"/>
              <w:ind w:left="223" w:hanging="222" w:hangingChars="106"/>
              <w:jc w:val="center"/>
              <w:rPr>
                <w:color w:val="auto"/>
              </w:rPr>
            </w:pPr>
          </w:p>
        </w:tc>
        <w:tc>
          <w:tcPr>
            <w:tcW w:w="829" w:type="dxa"/>
            <w:vMerge w:val="continue"/>
            <w:noWrap w:val="0"/>
            <w:vAlign w:val="center"/>
          </w:tcPr>
          <w:p w14:paraId="6FB60943">
            <w:pPr>
              <w:pStyle w:val="21"/>
              <w:ind w:left="223" w:hanging="222" w:hangingChars="106"/>
              <w:jc w:val="center"/>
              <w:rPr>
                <w:color w:val="auto"/>
              </w:rPr>
            </w:pPr>
          </w:p>
        </w:tc>
        <w:tc>
          <w:tcPr>
            <w:tcW w:w="816" w:type="dxa"/>
            <w:vMerge w:val="continue"/>
            <w:noWrap w:val="0"/>
            <w:vAlign w:val="center"/>
          </w:tcPr>
          <w:p w14:paraId="6008523E">
            <w:pPr>
              <w:pStyle w:val="21"/>
              <w:ind w:left="223" w:hanging="222" w:hangingChars="106"/>
              <w:jc w:val="center"/>
              <w:rPr>
                <w:color w:val="auto"/>
              </w:rPr>
            </w:pPr>
          </w:p>
        </w:tc>
        <w:tc>
          <w:tcPr>
            <w:tcW w:w="1148" w:type="dxa"/>
            <w:noWrap w:val="0"/>
            <w:vAlign w:val="center"/>
          </w:tcPr>
          <w:p w14:paraId="3421BFB6">
            <w:pPr>
              <w:pStyle w:val="21"/>
              <w:ind w:left="223" w:hanging="222" w:hangingChars="106"/>
              <w:jc w:val="center"/>
              <w:rPr>
                <w:color w:val="auto"/>
              </w:rPr>
            </w:pPr>
            <w:bookmarkStart w:id="78" w:name="_Toc251052192"/>
            <w:r>
              <w:rPr>
                <w:color w:val="auto"/>
              </w:rPr>
              <w:t>证书名称</w:t>
            </w:r>
            <w:bookmarkEnd w:id="78"/>
          </w:p>
        </w:tc>
        <w:tc>
          <w:tcPr>
            <w:tcW w:w="1148" w:type="dxa"/>
            <w:noWrap w:val="0"/>
            <w:vAlign w:val="center"/>
          </w:tcPr>
          <w:p w14:paraId="535AC93B">
            <w:pPr>
              <w:pStyle w:val="21"/>
              <w:ind w:left="223" w:hanging="222" w:hangingChars="106"/>
              <w:jc w:val="center"/>
              <w:rPr>
                <w:color w:val="auto"/>
              </w:rPr>
            </w:pPr>
            <w:bookmarkStart w:id="79" w:name="_Toc251052193"/>
            <w:r>
              <w:rPr>
                <w:color w:val="auto"/>
              </w:rPr>
              <w:t>级别</w:t>
            </w:r>
            <w:bookmarkEnd w:id="79"/>
          </w:p>
        </w:tc>
        <w:tc>
          <w:tcPr>
            <w:tcW w:w="1148" w:type="dxa"/>
            <w:noWrap w:val="0"/>
            <w:vAlign w:val="center"/>
          </w:tcPr>
          <w:p w14:paraId="4AD421FF">
            <w:pPr>
              <w:pStyle w:val="21"/>
              <w:ind w:left="223" w:hanging="222" w:hangingChars="106"/>
              <w:jc w:val="center"/>
              <w:rPr>
                <w:color w:val="auto"/>
              </w:rPr>
            </w:pPr>
            <w:bookmarkStart w:id="80" w:name="_Toc251052194"/>
            <w:r>
              <w:rPr>
                <w:color w:val="auto"/>
              </w:rPr>
              <w:t>证号</w:t>
            </w:r>
            <w:bookmarkEnd w:id="80"/>
          </w:p>
        </w:tc>
        <w:tc>
          <w:tcPr>
            <w:tcW w:w="1148" w:type="dxa"/>
            <w:noWrap w:val="0"/>
            <w:vAlign w:val="center"/>
          </w:tcPr>
          <w:p w14:paraId="54329102">
            <w:pPr>
              <w:pStyle w:val="21"/>
              <w:ind w:left="223" w:hanging="222" w:hangingChars="106"/>
              <w:jc w:val="center"/>
              <w:rPr>
                <w:color w:val="auto"/>
              </w:rPr>
            </w:pPr>
            <w:bookmarkStart w:id="81" w:name="_Toc251052195"/>
            <w:r>
              <w:rPr>
                <w:color w:val="auto"/>
              </w:rPr>
              <w:t>专业</w:t>
            </w:r>
            <w:bookmarkEnd w:id="81"/>
          </w:p>
        </w:tc>
        <w:tc>
          <w:tcPr>
            <w:tcW w:w="850" w:type="dxa"/>
            <w:noWrap w:val="0"/>
            <w:vAlign w:val="center"/>
          </w:tcPr>
          <w:p w14:paraId="1D7B2569">
            <w:pPr>
              <w:pStyle w:val="21"/>
              <w:ind w:left="223" w:hanging="222" w:hangingChars="106"/>
              <w:jc w:val="center"/>
              <w:rPr>
                <w:color w:val="auto"/>
              </w:rPr>
            </w:pPr>
            <w:bookmarkStart w:id="82" w:name="_Toc251052197"/>
            <w:r>
              <w:rPr>
                <w:color w:val="auto"/>
              </w:rPr>
              <w:t>项目数</w:t>
            </w:r>
            <w:bookmarkEnd w:id="82"/>
          </w:p>
        </w:tc>
        <w:tc>
          <w:tcPr>
            <w:tcW w:w="1276" w:type="dxa"/>
            <w:noWrap w:val="0"/>
            <w:vAlign w:val="center"/>
          </w:tcPr>
          <w:p w14:paraId="13F80441">
            <w:pPr>
              <w:pStyle w:val="21"/>
              <w:ind w:left="223" w:hanging="222" w:hangingChars="106"/>
              <w:jc w:val="center"/>
              <w:rPr>
                <w:color w:val="auto"/>
              </w:rPr>
            </w:pPr>
            <w:bookmarkStart w:id="83" w:name="_Toc251052198"/>
            <w:r>
              <w:rPr>
                <w:color w:val="auto"/>
              </w:rPr>
              <w:t>主要项目</w:t>
            </w:r>
          </w:p>
          <w:p w14:paraId="222C2091">
            <w:pPr>
              <w:pStyle w:val="21"/>
              <w:ind w:left="223" w:hanging="222" w:hangingChars="106"/>
              <w:jc w:val="center"/>
              <w:rPr>
                <w:color w:val="auto"/>
              </w:rPr>
            </w:pPr>
            <w:r>
              <w:rPr>
                <w:color w:val="auto"/>
              </w:rPr>
              <w:t>名称</w:t>
            </w:r>
            <w:bookmarkEnd w:id="83"/>
          </w:p>
        </w:tc>
      </w:tr>
      <w:tr w14:paraId="6E2B3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noWrap w:val="0"/>
            <w:vAlign w:val="center"/>
          </w:tcPr>
          <w:p w14:paraId="751E8C05">
            <w:pPr>
              <w:pStyle w:val="21"/>
              <w:ind w:left="223" w:hanging="222" w:hangingChars="106"/>
              <w:jc w:val="center"/>
              <w:rPr>
                <w:color w:val="auto"/>
                <w:szCs w:val="21"/>
              </w:rPr>
            </w:pPr>
          </w:p>
        </w:tc>
        <w:tc>
          <w:tcPr>
            <w:tcW w:w="829" w:type="dxa"/>
            <w:noWrap w:val="0"/>
            <w:vAlign w:val="center"/>
          </w:tcPr>
          <w:p w14:paraId="1214401C">
            <w:pPr>
              <w:pStyle w:val="21"/>
              <w:ind w:left="223" w:hanging="222" w:hangingChars="106"/>
              <w:jc w:val="center"/>
              <w:rPr>
                <w:color w:val="auto"/>
              </w:rPr>
            </w:pPr>
          </w:p>
        </w:tc>
        <w:tc>
          <w:tcPr>
            <w:tcW w:w="816" w:type="dxa"/>
            <w:noWrap w:val="0"/>
            <w:vAlign w:val="center"/>
          </w:tcPr>
          <w:p w14:paraId="284BCE5D">
            <w:pPr>
              <w:pStyle w:val="21"/>
              <w:ind w:left="223" w:hanging="222" w:hangingChars="106"/>
              <w:jc w:val="center"/>
              <w:rPr>
                <w:color w:val="auto"/>
              </w:rPr>
            </w:pPr>
          </w:p>
        </w:tc>
        <w:tc>
          <w:tcPr>
            <w:tcW w:w="1148" w:type="dxa"/>
            <w:noWrap w:val="0"/>
            <w:vAlign w:val="center"/>
          </w:tcPr>
          <w:p w14:paraId="0C19601F">
            <w:pPr>
              <w:pStyle w:val="21"/>
              <w:ind w:left="223" w:hanging="222" w:hangingChars="106"/>
              <w:jc w:val="center"/>
              <w:rPr>
                <w:color w:val="auto"/>
              </w:rPr>
            </w:pPr>
          </w:p>
        </w:tc>
        <w:tc>
          <w:tcPr>
            <w:tcW w:w="1148" w:type="dxa"/>
            <w:noWrap w:val="0"/>
            <w:vAlign w:val="center"/>
          </w:tcPr>
          <w:p w14:paraId="4CB8A14E">
            <w:pPr>
              <w:pStyle w:val="21"/>
              <w:ind w:left="223" w:hanging="222" w:hangingChars="106"/>
              <w:jc w:val="center"/>
              <w:rPr>
                <w:color w:val="auto"/>
              </w:rPr>
            </w:pPr>
          </w:p>
        </w:tc>
        <w:tc>
          <w:tcPr>
            <w:tcW w:w="1148" w:type="dxa"/>
            <w:noWrap w:val="0"/>
            <w:vAlign w:val="center"/>
          </w:tcPr>
          <w:p w14:paraId="1EE75EA3">
            <w:pPr>
              <w:pStyle w:val="21"/>
              <w:ind w:left="223" w:hanging="222" w:hangingChars="106"/>
              <w:jc w:val="center"/>
              <w:rPr>
                <w:color w:val="auto"/>
              </w:rPr>
            </w:pPr>
          </w:p>
        </w:tc>
        <w:tc>
          <w:tcPr>
            <w:tcW w:w="1148" w:type="dxa"/>
            <w:noWrap w:val="0"/>
            <w:vAlign w:val="center"/>
          </w:tcPr>
          <w:p w14:paraId="60D2C0D0">
            <w:pPr>
              <w:pStyle w:val="21"/>
              <w:ind w:left="223" w:hanging="222" w:hangingChars="106"/>
              <w:jc w:val="center"/>
              <w:rPr>
                <w:color w:val="auto"/>
              </w:rPr>
            </w:pPr>
          </w:p>
        </w:tc>
        <w:tc>
          <w:tcPr>
            <w:tcW w:w="850" w:type="dxa"/>
            <w:noWrap w:val="0"/>
            <w:vAlign w:val="center"/>
          </w:tcPr>
          <w:p w14:paraId="21CD58CA">
            <w:pPr>
              <w:pStyle w:val="21"/>
              <w:ind w:left="223" w:hanging="222" w:hangingChars="106"/>
              <w:jc w:val="center"/>
              <w:rPr>
                <w:color w:val="auto"/>
              </w:rPr>
            </w:pPr>
          </w:p>
        </w:tc>
        <w:tc>
          <w:tcPr>
            <w:tcW w:w="1276" w:type="dxa"/>
            <w:noWrap w:val="0"/>
            <w:vAlign w:val="center"/>
          </w:tcPr>
          <w:p w14:paraId="269D654A">
            <w:pPr>
              <w:pStyle w:val="21"/>
              <w:ind w:left="223" w:hanging="222" w:hangingChars="106"/>
              <w:jc w:val="center"/>
              <w:rPr>
                <w:color w:val="auto"/>
              </w:rPr>
            </w:pPr>
          </w:p>
        </w:tc>
      </w:tr>
      <w:tr w14:paraId="51D6C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noWrap w:val="0"/>
            <w:vAlign w:val="center"/>
          </w:tcPr>
          <w:p w14:paraId="51C5722C">
            <w:pPr>
              <w:pStyle w:val="21"/>
              <w:ind w:left="223" w:hanging="222" w:hangingChars="106"/>
              <w:jc w:val="center"/>
              <w:rPr>
                <w:color w:val="auto"/>
                <w:szCs w:val="21"/>
              </w:rPr>
            </w:pPr>
          </w:p>
        </w:tc>
        <w:tc>
          <w:tcPr>
            <w:tcW w:w="829" w:type="dxa"/>
            <w:noWrap w:val="0"/>
            <w:vAlign w:val="center"/>
          </w:tcPr>
          <w:p w14:paraId="106B0292">
            <w:pPr>
              <w:pStyle w:val="21"/>
              <w:ind w:left="223" w:hanging="222" w:hangingChars="106"/>
              <w:jc w:val="center"/>
              <w:rPr>
                <w:color w:val="auto"/>
              </w:rPr>
            </w:pPr>
          </w:p>
        </w:tc>
        <w:tc>
          <w:tcPr>
            <w:tcW w:w="816" w:type="dxa"/>
            <w:noWrap w:val="0"/>
            <w:vAlign w:val="center"/>
          </w:tcPr>
          <w:p w14:paraId="23B79CB6">
            <w:pPr>
              <w:pStyle w:val="21"/>
              <w:ind w:left="223" w:hanging="222" w:hangingChars="106"/>
              <w:jc w:val="center"/>
              <w:rPr>
                <w:color w:val="auto"/>
              </w:rPr>
            </w:pPr>
          </w:p>
        </w:tc>
        <w:tc>
          <w:tcPr>
            <w:tcW w:w="1148" w:type="dxa"/>
            <w:noWrap w:val="0"/>
            <w:vAlign w:val="center"/>
          </w:tcPr>
          <w:p w14:paraId="3231C672">
            <w:pPr>
              <w:pStyle w:val="21"/>
              <w:ind w:left="223" w:hanging="222" w:hangingChars="106"/>
              <w:jc w:val="center"/>
              <w:rPr>
                <w:color w:val="auto"/>
              </w:rPr>
            </w:pPr>
          </w:p>
        </w:tc>
        <w:tc>
          <w:tcPr>
            <w:tcW w:w="1148" w:type="dxa"/>
            <w:noWrap w:val="0"/>
            <w:vAlign w:val="center"/>
          </w:tcPr>
          <w:p w14:paraId="668D8C24">
            <w:pPr>
              <w:pStyle w:val="21"/>
              <w:ind w:left="223" w:hanging="222" w:hangingChars="106"/>
              <w:jc w:val="center"/>
              <w:rPr>
                <w:color w:val="auto"/>
              </w:rPr>
            </w:pPr>
          </w:p>
        </w:tc>
        <w:tc>
          <w:tcPr>
            <w:tcW w:w="1148" w:type="dxa"/>
            <w:noWrap w:val="0"/>
            <w:vAlign w:val="center"/>
          </w:tcPr>
          <w:p w14:paraId="7EF58F7F">
            <w:pPr>
              <w:pStyle w:val="21"/>
              <w:ind w:left="223" w:hanging="222" w:hangingChars="106"/>
              <w:jc w:val="center"/>
              <w:rPr>
                <w:color w:val="auto"/>
              </w:rPr>
            </w:pPr>
          </w:p>
        </w:tc>
        <w:tc>
          <w:tcPr>
            <w:tcW w:w="1148" w:type="dxa"/>
            <w:noWrap w:val="0"/>
            <w:vAlign w:val="center"/>
          </w:tcPr>
          <w:p w14:paraId="1783DFC5">
            <w:pPr>
              <w:pStyle w:val="21"/>
              <w:ind w:left="223" w:hanging="222" w:hangingChars="106"/>
              <w:jc w:val="center"/>
              <w:rPr>
                <w:color w:val="auto"/>
              </w:rPr>
            </w:pPr>
          </w:p>
        </w:tc>
        <w:tc>
          <w:tcPr>
            <w:tcW w:w="850" w:type="dxa"/>
            <w:noWrap w:val="0"/>
            <w:vAlign w:val="center"/>
          </w:tcPr>
          <w:p w14:paraId="160E75DA">
            <w:pPr>
              <w:pStyle w:val="21"/>
              <w:ind w:left="223" w:hanging="222" w:hangingChars="106"/>
              <w:jc w:val="center"/>
              <w:rPr>
                <w:color w:val="auto"/>
              </w:rPr>
            </w:pPr>
          </w:p>
        </w:tc>
        <w:tc>
          <w:tcPr>
            <w:tcW w:w="1276" w:type="dxa"/>
            <w:noWrap w:val="0"/>
            <w:vAlign w:val="center"/>
          </w:tcPr>
          <w:p w14:paraId="4E788A34">
            <w:pPr>
              <w:pStyle w:val="21"/>
              <w:ind w:left="223" w:hanging="222" w:hangingChars="106"/>
              <w:jc w:val="center"/>
              <w:rPr>
                <w:color w:val="auto"/>
              </w:rPr>
            </w:pPr>
          </w:p>
        </w:tc>
      </w:tr>
      <w:tr w14:paraId="6DC7D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noWrap w:val="0"/>
            <w:vAlign w:val="center"/>
          </w:tcPr>
          <w:p w14:paraId="2D5044D5">
            <w:pPr>
              <w:pStyle w:val="21"/>
              <w:ind w:left="223" w:hanging="222" w:hangingChars="106"/>
              <w:jc w:val="center"/>
              <w:rPr>
                <w:color w:val="auto"/>
                <w:szCs w:val="21"/>
              </w:rPr>
            </w:pPr>
          </w:p>
        </w:tc>
        <w:tc>
          <w:tcPr>
            <w:tcW w:w="829" w:type="dxa"/>
            <w:noWrap w:val="0"/>
            <w:vAlign w:val="center"/>
          </w:tcPr>
          <w:p w14:paraId="7541B0CA">
            <w:pPr>
              <w:pStyle w:val="21"/>
              <w:ind w:left="223" w:hanging="222" w:hangingChars="106"/>
              <w:jc w:val="center"/>
              <w:rPr>
                <w:color w:val="auto"/>
              </w:rPr>
            </w:pPr>
          </w:p>
        </w:tc>
        <w:tc>
          <w:tcPr>
            <w:tcW w:w="816" w:type="dxa"/>
            <w:noWrap w:val="0"/>
            <w:vAlign w:val="center"/>
          </w:tcPr>
          <w:p w14:paraId="729632B9">
            <w:pPr>
              <w:pStyle w:val="21"/>
              <w:ind w:left="223" w:hanging="222" w:hangingChars="106"/>
              <w:jc w:val="center"/>
              <w:rPr>
                <w:color w:val="auto"/>
              </w:rPr>
            </w:pPr>
          </w:p>
        </w:tc>
        <w:tc>
          <w:tcPr>
            <w:tcW w:w="1148" w:type="dxa"/>
            <w:noWrap w:val="0"/>
            <w:vAlign w:val="center"/>
          </w:tcPr>
          <w:p w14:paraId="6D7D86C6">
            <w:pPr>
              <w:pStyle w:val="21"/>
              <w:ind w:left="223" w:hanging="222" w:hangingChars="106"/>
              <w:jc w:val="center"/>
              <w:rPr>
                <w:color w:val="auto"/>
              </w:rPr>
            </w:pPr>
          </w:p>
        </w:tc>
        <w:tc>
          <w:tcPr>
            <w:tcW w:w="1148" w:type="dxa"/>
            <w:noWrap w:val="0"/>
            <w:vAlign w:val="center"/>
          </w:tcPr>
          <w:p w14:paraId="7C07FB79">
            <w:pPr>
              <w:pStyle w:val="21"/>
              <w:ind w:left="223" w:hanging="222" w:hangingChars="106"/>
              <w:jc w:val="center"/>
              <w:rPr>
                <w:color w:val="auto"/>
              </w:rPr>
            </w:pPr>
          </w:p>
        </w:tc>
        <w:tc>
          <w:tcPr>
            <w:tcW w:w="1148" w:type="dxa"/>
            <w:noWrap w:val="0"/>
            <w:vAlign w:val="center"/>
          </w:tcPr>
          <w:p w14:paraId="5E6382B4">
            <w:pPr>
              <w:pStyle w:val="21"/>
              <w:ind w:left="223" w:hanging="222" w:hangingChars="106"/>
              <w:jc w:val="center"/>
              <w:rPr>
                <w:color w:val="auto"/>
              </w:rPr>
            </w:pPr>
          </w:p>
        </w:tc>
        <w:tc>
          <w:tcPr>
            <w:tcW w:w="1148" w:type="dxa"/>
            <w:noWrap w:val="0"/>
            <w:vAlign w:val="center"/>
          </w:tcPr>
          <w:p w14:paraId="0AD4AB3D">
            <w:pPr>
              <w:pStyle w:val="21"/>
              <w:ind w:left="223" w:hanging="222" w:hangingChars="106"/>
              <w:jc w:val="center"/>
              <w:rPr>
                <w:color w:val="auto"/>
              </w:rPr>
            </w:pPr>
          </w:p>
        </w:tc>
        <w:tc>
          <w:tcPr>
            <w:tcW w:w="850" w:type="dxa"/>
            <w:noWrap w:val="0"/>
            <w:vAlign w:val="center"/>
          </w:tcPr>
          <w:p w14:paraId="482558C2">
            <w:pPr>
              <w:pStyle w:val="21"/>
              <w:ind w:left="223" w:hanging="222" w:hangingChars="106"/>
              <w:jc w:val="center"/>
              <w:rPr>
                <w:color w:val="auto"/>
              </w:rPr>
            </w:pPr>
          </w:p>
        </w:tc>
        <w:tc>
          <w:tcPr>
            <w:tcW w:w="1276" w:type="dxa"/>
            <w:noWrap w:val="0"/>
            <w:vAlign w:val="center"/>
          </w:tcPr>
          <w:p w14:paraId="0D7DEC5A">
            <w:pPr>
              <w:pStyle w:val="21"/>
              <w:ind w:left="223" w:hanging="222" w:hangingChars="106"/>
              <w:jc w:val="center"/>
              <w:rPr>
                <w:color w:val="auto"/>
              </w:rPr>
            </w:pPr>
          </w:p>
        </w:tc>
      </w:tr>
      <w:tr w14:paraId="5CABD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noWrap w:val="0"/>
            <w:vAlign w:val="center"/>
          </w:tcPr>
          <w:p w14:paraId="30CCC7AA">
            <w:pPr>
              <w:pStyle w:val="21"/>
              <w:ind w:left="223" w:hanging="222" w:hangingChars="106"/>
              <w:jc w:val="center"/>
              <w:rPr>
                <w:color w:val="auto"/>
                <w:szCs w:val="21"/>
              </w:rPr>
            </w:pPr>
          </w:p>
        </w:tc>
        <w:tc>
          <w:tcPr>
            <w:tcW w:w="829" w:type="dxa"/>
            <w:noWrap w:val="0"/>
            <w:vAlign w:val="center"/>
          </w:tcPr>
          <w:p w14:paraId="6FFE9448">
            <w:pPr>
              <w:pStyle w:val="21"/>
              <w:ind w:left="223" w:hanging="222" w:hangingChars="106"/>
              <w:jc w:val="center"/>
              <w:rPr>
                <w:color w:val="auto"/>
              </w:rPr>
            </w:pPr>
          </w:p>
        </w:tc>
        <w:tc>
          <w:tcPr>
            <w:tcW w:w="816" w:type="dxa"/>
            <w:noWrap w:val="0"/>
            <w:vAlign w:val="center"/>
          </w:tcPr>
          <w:p w14:paraId="51D08558">
            <w:pPr>
              <w:pStyle w:val="21"/>
              <w:ind w:left="223" w:hanging="222" w:hangingChars="106"/>
              <w:jc w:val="center"/>
              <w:rPr>
                <w:color w:val="auto"/>
              </w:rPr>
            </w:pPr>
          </w:p>
        </w:tc>
        <w:tc>
          <w:tcPr>
            <w:tcW w:w="1148" w:type="dxa"/>
            <w:noWrap w:val="0"/>
            <w:vAlign w:val="center"/>
          </w:tcPr>
          <w:p w14:paraId="46BBF5C6">
            <w:pPr>
              <w:pStyle w:val="21"/>
              <w:ind w:left="223" w:hanging="222" w:hangingChars="106"/>
              <w:jc w:val="center"/>
              <w:rPr>
                <w:color w:val="auto"/>
              </w:rPr>
            </w:pPr>
          </w:p>
        </w:tc>
        <w:tc>
          <w:tcPr>
            <w:tcW w:w="1148" w:type="dxa"/>
            <w:noWrap w:val="0"/>
            <w:vAlign w:val="center"/>
          </w:tcPr>
          <w:p w14:paraId="1BD63862">
            <w:pPr>
              <w:pStyle w:val="21"/>
              <w:ind w:left="223" w:hanging="222" w:hangingChars="106"/>
              <w:jc w:val="center"/>
              <w:rPr>
                <w:color w:val="auto"/>
              </w:rPr>
            </w:pPr>
          </w:p>
        </w:tc>
        <w:tc>
          <w:tcPr>
            <w:tcW w:w="1148" w:type="dxa"/>
            <w:noWrap w:val="0"/>
            <w:vAlign w:val="center"/>
          </w:tcPr>
          <w:p w14:paraId="52B9D55A">
            <w:pPr>
              <w:pStyle w:val="21"/>
              <w:ind w:left="223" w:hanging="222" w:hangingChars="106"/>
              <w:jc w:val="center"/>
              <w:rPr>
                <w:color w:val="auto"/>
              </w:rPr>
            </w:pPr>
          </w:p>
        </w:tc>
        <w:tc>
          <w:tcPr>
            <w:tcW w:w="1148" w:type="dxa"/>
            <w:noWrap w:val="0"/>
            <w:vAlign w:val="center"/>
          </w:tcPr>
          <w:p w14:paraId="06926201">
            <w:pPr>
              <w:pStyle w:val="21"/>
              <w:ind w:left="223" w:hanging="222" w:hangingChars="106"/>
              <w:jc w:val="center"/>
              <w:rPr>
                <w:color w:val="auto"/>
              </w:rPr>
            </w:pPr>
          </w:p>
        </w:tc>
        <w:tc>
          <w:tcPr>
            <w:tcW w:w="850" w:type="dxa"/>
            <w:noWrap w:val="0"/>
            <w:vAlign w:val="center"/>
          </w:tcPr>
          <w:p w14:paraId="7E78338E">
            <w:pPr>
              <w:pStyle w:val="21"/>
              <w:ind w:left="223" w:hanging="222" w:hangingChars="106"/>
              <w:jc w:val="center"/>
              <w:rPr>
                <w:color w:val="auto"/>
              </w:rPr>
            </w:pPr>
          </w:p>
        </w:tc>
        <w:tc>
          <w:tcPr>
            <w:tcW w:w="1276" w:type="dxa"/>
            <w:noWrap w:val="0"/>
            <w:vAlign w:val="center"/>
          </w:tcPr>
          <w:p w14:paraId="658A5A78">
            <w:pPr>
              <w:pStyle w:val="21"/>
              <w:ind w:left="223" w:hanging="222" w:hangingChars="106"/>
              <w:jc w:val="center"/>
              <w:rPr>
                <w:color w:val="auto"/>
              </w:rPr>
            </w:pPr>
          </w:p>
        </w:tc>
      </w:tr>
      <w:tr w14:paraId="4BF80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noWrap w:val="0"/>
            <w:vAlign w:val="center"/>
          </w:tcPr>
          <w:p w14:paraId="1256BF36">
            <w:pPr>
              <w:pStyle w:val="21"/>
              <w:ind w:left="223" w:hanging="222" w:hangingChars="106"/>
              <w:jc w:val="center"/>
              <w:rPr>
                <w:color w:val="auto"/>
                <w:szCs w:val="21"/>
              </w:rPr>
            </w:pPr>
          </w:p>
        </w:tc>
        <w:tc>
          <w:tcPr>
            <w:tcW w:w="829" w:type="dxa"/>
            <w:noWrap w:val="0"/>
            <w:vAlign w:val="center"/>
          </w:tcPr>
          <w:p w14:paraId="4D32DD47">
            <w:pPr>
              <w:pStyle w:val="21"/>
              <w:ind w:left="223" w:hanging="222" w:hangingChars="106"/>
              <w:jc w:val="center"/>
              <w:rPr>
                <w:color w:val="auto"/>
              </w:rPr>
            </w:pPr>
          </w:p>
        </w:tc>
        <w:tc>
          <w:tcPr>
            <w:tcW w:w="816" w:type="dxa"/>
            <w:noWrap w:val="0"/>
            <w:vAlign w:val="center"/>
          </w:tcPr>
          <w:p w14:paraId="6FF8B754">
            <w:pPr>
              <w:pStyle w:val="21"/>
              <w:ind w:left="223" w:hanging="222" w:hangingChars="106"/>
              <w:jc w:val="center"/>
              <w:rPr>
                <w:color w:val="auto"/>
              </w:rPr>
            </w:pPr>
          </w:p>
        </w:tc>
        <w:tc>
          <w:tcPr>
            <w:tcW w:w="1148" w:type="dxa"/>
            <w:noWrap w:val="0"/>
            <w:vAlign w:val="center"/>
          </w:tcPr>
          <w:p w14:paraId="607694DF">
            <w:pPr>
              <w:pStyle w:val="21"/>
              <w:ind w:left="223" w:hanging="222" w:hangingChars="106"/>
              <w:jc w:val="center"/>
              <w:rPr>
                <w:color w:val="auto"/>
              </w:rPr>
            </w:pPr>
          </w:p>
        </w:tc>
        <w:tc>
          <w:tcPr>
            <w:tcW w:w="1148" w:type="dxa"/>
            <w:noWrap w:val="0"/>
            <w:vAlign w:val="center"/>
          </w:tcPr>
          <w:p w14:paraId="42B38F8F">
            <w:pPr>
              <w:pStyle w:val="21"/>
              <w:ind w:left="223" w:hanging="222" w:hangingChars="106"/>
              <w:jc w:val="center"/>
              <w:rPr>
                <w:color w:val="auto"/>
              </w:rPr>
            </w:pPr>
          </w:p>
        </w:tc>
        <w:tc>
          <w:tcPr>
            <w:tcW w:w="1148" w:type="dxa"/>
            <w:noWrap w:val="0"/>
            <w:vAlign w:val="center"/>
          </w:tcPr>
          <w:p w14:paraId="28C34798">
            <w:pPr>
              <w:pStyle w:val="21"/>
              <w:ind w:left="223" w:hanging="222" w:hangingChars="106"/>
              <w:jc w:val="center"/>
              <w:rPr>
                <w:color w:val="auto"/>
              </w:rPr>
            </w:pPr>
          </w:p>
        </w:tc>
        <w:tc>
          <w:tcPr>
            <w:tcW w:w="1148" w:type="dxa"/>
            <w:noWrap w:val="0"/>
            <w:vAlign w:val="center"/>
          </w:tcPr>
          <w:p w14:paraId="14E8C89E">
            <w:pPr>
              <w:pStyle w:val="21"/>
              <w:ind w:left="223" w:hanging="222" w:hangingChars="106"/>
              <w:jc w:val="center"/>
              <w:rPr>
                <w:color w:val="auto"/>
              </w:rPr>
            </w:pPr>
          </w:p>
        </w:tc>
        <w:tc>
          <w:tcPr>
            <w:tcW w:w="850" w:type="dxa"/>
            <w:noWrap w:val="0"/>
            <w:vAlign w:val="center"/>
          </w:tcPr>
          <w:p w14:paraId="64DE480B">
            <w:pPr>
              <w:pStyle w:val="21"/>
              <w:ind w:left="223" w:hanging="222" w:hangingChars="106"/>
              <w:jc w:val="center"/>
              <w:rPr>
                <w:color w:val="auto"/>
              </w:rPr>
            </w:pPr>
          </w:p>
        </w:tc>
        <w:tc>
          <w:tcPr>
            <w:tcW w:w="1276" w:type="dxa"/>
            <w:noWrap w:val="0"/>
            <w:vAlign w:val="center"/>
          </w:tcPr>
          <w:p w14:paraId="20CC8BC5">
            <w:pPr>
              <w:pStyle w:val="21"/>
              <w:ind w:left="223" w:hanging="222" w:hangingChars="106"/>
              <w:jc w:val="center"/>
              <w:rPr>
                <w:color w:val="auto"/>
              </w:rPr>
            </w:pPr>
          </w:p>
        </w:tc>
      </w:tr>
      <w:tr w14:paraId="04CED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noWrap w:val="0"/>
            <w:vAlign w:val="center"/>
          </w:tcPr>
          <w:p w14:paraId="51C40DA9">
            <w:pPr>
              <w:pStyle w:val="21"/>
              <w:ind w:left="223" w:hanging="222" w:hangingChars="106"/>
              <w:jc w:val="center"/>
              <w:rPr>
                <w:color w:val="auto"/>
                <w:szCs w:val="21"/>
              </w:rPr>
            </w:pPr>
          </w:p>
        </w:tc>
        <w:tc>
          <w:tcPr>
            <w:tcW w:w="829" w:type="dxa"/>
            <w:noWrap w:val="0"/>
            <w:vAlign w:val="center"/>
          </w:tcPr>
          <w:p w14:paraId="0D8349A0">
            <w:pPr>
              <w:pStyle w:val="21"/>
              <w:ind w:left="223" w:hanging="222" w:hangingChars="106"/>
              <w:jc w:val="center"/>
              <w:rPr>
                <w:color w:val="auto"/>
              </w:rPr>
            </w:pPr>
          </w:p>
        </w:tc>
        <w:tc>
          <w:tcPr>
            <w:tcW w:w="816" w:type="dxa"/>
            <w:noWrap w:val="0"/>
            <w:vAlign w:val="center"/>
          </w:tcPr>
          <w:p w14:paraId="29B97B99">
            <w:pPr>
              <w:pStyle w:val="21"/>
              <w:ind w:left="223" w:hanging="222" w:hangingChars="106"/>
              <w:jc w:val="center"/>
              <w:rPr>
                <w:color w:val="auto"/>
              </w:rPr>
            </w:pPr>
          </w:p>
        </w:tc>
        <w:tc>
          <w:tcPr>
            <w:tcW w:w="1148" w:type="dxa"/>
            <w:noWrap w:val="0"/>
            <w:vAlign w:val="center"/>
          </w:tcPr>
          <w:p w14:paraId="31E369F0">
            <w:pPr>
              <w:pStyle w:val="21"/>
              <w:ind w:left="223" w:hanging="222" w:hangingChars="106"/>
              <w:jc w:val="center"/>
              <w:rPr>
                <w:color w:val="auto"/>
              </w:rPr>
            </w:pPr>
          </w:p>
        </w:tc>
        <w:tc>
          <w:tcPr>
            <w:tcW w:w="1148" w:type="dxa"/>
            <w:noWrap w:val="0"/>
            <w:vAlign w:val="center"/>
          </w:tcPr>
          <w:p w14:paraId="17B445F5">
            <w:pPr>
              <w:pStyle w:val="21"/>
              <w:ind w:left="223" w:hanging="222" w:hangingChars="106"/>
              <w:jc w:val="center"/>
              <w:rPr>
                <w:color w:val="auto"/>
              </w:rPr>
            </w:pPr>
          </w:p>
        </w:tc>
        <w:tc>
          <w:tcPr>
            <w:tcW w:w="1148" w:type="dxa"/>
            <w:noWrap w:val="0"/>
            <w:vAlign w:val="center"/>
          </w:tcPr>
          <w:p w14:paraId="4AEB3818">
            <w:pPr>
              <w:pStyle w:val="21"/>
              <w:ind w:left="223" w:hanging="222" w:hangingChars="106"/>
              <w:jc w:val="center"/>
              <w:rPr>
                <w:color w:val="auto"/>
              </w:rPr>
            </w:pPr>
          </w:p>
        </w:tc>
        <w:tc>
          <w:tcPr>
            <w:tcW w:w="1148" w:type="dxa"/>
            <w:noWrap w:val="0"/>
            <w:vAlign w:val="center"/>
          </w:tcPr>
          <w:p w14:paraId="3EBDA7FC">
            <w:pPr>
              <w:pStyle w:val="21"/>
              <w:ind w:left="223" w:hanging="222" w:hangingChars="106"/>
              <w:jc w:val="center"/>
              <w:rPr>
                <w:color w:val="auto"/>
              </w:rPr>
            </w:pPr>
          </w:p>
        </w:tc>
        <w:tc>
          <w:tcPr>
            <w:tcW w:w="850" w:type="dxa"/>
            <w:noWrap w:val="0"/>
            <w:vAlign w:val="center"/>
          </w:tcPr>
          <w:p w14:paraId="4CCBE1C3">
            <w:pPr>
              <w:pStyle w:val="21"/>
              <w:ind w:left="223" w:hanging="222" w:hangingChars="106"/>
              <w:jc w:val="center"/>
              <w:rPr>
                <w:color w:val="auto"/>
              </w:rPr>
            </w:pPr>
          </w:p>
        </w:tc>
        <w:tc>
          <w:tcPr>
            <w:tcW w:w="1276" w:type="dxa"/>
            <w:noWrap w:val="0"/>
            <w:vAlign w:val="center"/>
          </w:tcPr>
          <w:p w14:paraId="145F1CB1">
            <w:pPr>
              <w:pStyle w:val="21"/>
              <w:ind w:left="223" w:hanging="222" w:hangingChars="106"/>
              <w:jc w:val="center"/>
              <w:rPr>
                <w:color w:val="auto"/>
              </w:rPr>
            </w:pPr>
          </w:p>
        </w:tc>
      </w:tr>
      <w:tr w14:paraId="6F53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noWrap w:val="0"/>
            <w:vAlign w:val="center"/>
          </w:tcPr>
          <w:p w14:paraId="0CF10601">
            <w:pPr>
              <w:pStyle w:val="21"/>
              <w:ind w:left="223" w:hanging="222" w:hangingChars="106"/>
              <w:jc w:val="center"/>
              <w:rPr>
                <w:color w:val="auto"/>
                <w:szCs w:val="21"/>
              </w:rPr>
            </w:pPr>
          </w:p>
        </w:tc>
        <w:tc>
          <w:tcPr>
            <w:tcW w:w="829" w:type="dxa"/>
            <w:noWrap w:val="0"/>
            <w:vAlign w:val="center"/>
          </w:tcPr>
          <w:p w14:paraId="7F36057B">
            <w:pPr>
              <w:pStyle w:val="21"/>
              <w:ind w:left="223" w:hanging="222" w:hangingChars="106"/>
              <w:jc w:val="center"/>
              <w:rPr>
                <w:color w:val="auto"/>
              </w:rPr>
            </w:pPr>
          </w:p>
        </w:tc>
        <w:tc>
          <w:tcPr>
            <w:tcW w:w="816" w:type="dxa"/>
            <w:noWrap w:val="0"/>
            <w:vAlign w:val="center"/>
          </w:tcPr>
          <w:p w14:paraId="547DFF1D">
            <w:pPr>
              <w:pStyle w:val="21"/>
              <w:ind w:left="223" w:hanging="222" w:hangingChars="106"/>
              <w:jc w:val="center"/>
              <w:rPr>
                <w:color w:val="auto"/>
              </w:rPr>
            </w:pPr>
          </w:p>
        </w:tc>
        <w:tc>
          <w:tcPr>
            <w:tcW w:w="1148" w:type="dxa"/>
            <w:noWrap w:val="0"/>
            <w:vAlign w:val="center"/>
          </w:tcPr>
          <w:p w14:paraId="63139D9C">
            <w:pPr>
              <w:pStyle w:val="21"/>
              <w:ind w:left="223" w:hanging="222" w:hangingChars="106"/>
              <w:jc w:val="center"/>
              <w:rPr>
                <w:color w:val="auto"/>
              </w:rPr>
            </w:pPr>
          </w:p>
        </w:tc>
        <w:tc>
          <w:tcPr>
            <w:tcW w:w="1148" w:type="dxa"/>
            <w:noWrap w:val="0"/>
            <w:vAlign w:val="center"/>
          </w:tcPr>
          <w:p w14:paraId="5E1AD2A5">
            <w:pPr>
              <w:pStyle w:val="21"/>
              <w:ind w:left="223" w:hanging="222" w:hangingChars="106"/>
              <w:jc w:val="center"/>
              <w:rPr>
                <w:color w:val="auto"/>
              </w:rPr>
            </w:pPr>
          </w:p>
        </w:tc>
        <w:tc>
          <w:tcPr>
            <w:tcW w:w="1148" w:type="dxa"/>
            <w:noWrap w:val="0"/>
            <w:vAlign w:val="center"/>
          </w:tcPr>
          <w:p w14:paraId="67163B8D">
            <w:pPr>
              <w:pStyle w:val="21"/>
              <w:ind w:left="223" w:hanging="222" w:hangingChars="106"/>
              <w:jc w:val="center"/>
              <w:rPr>
                <w:color w:val="auto"/>
              </w:rPr>
            </w:pPr>
          </w:p>
        </w:tc>
        <w:tc>
          <w:tcPr>
            <w:tcW w:w="1148" w:type="dxa"/>
            <w:noWrap w:val="0"/>
            <w:vAlign w:val="center"/>
          </w:tcPr>
          <w:p w14:paraId="096EAF23">
            <w:pPr>
              <w:pStyle w:val="21"/>
              <w:ind w:left="223" w:hanging="222" w:hangingChars="106"/>
              <w:jc w:val="center"/>
              <w:rPr>
                <w:color w:val="auto"/>
              </w:rPr>
            </w:pPr>
          </w:p>
        </w:tc>
        <w:tc>
          <w:tcPr>
            <w:tcW w:w="850" w:type="dxa"/>
            <w:noWrap w:val="0"/>
            <w:vAlign w:val="center"/>
          </w:tcPr>
          <w:p w14:paraId="1F4D169D">
            <w:pPr>
              <w:pStyle w:val="21"/>
              <w:ind w:left="223" w:hanging="222" w:hangingChars="106"/>
              <w:jc w:val="center"/>
              <w:rPr>
                <w:color w:val="auto"/>
              </w:rPr>
            </w:pPr>
          </w:p>
        </w:tc>
        <w:tc>
          <w:tcPr>
            <w:tcW w:w="1276" w:type="dxa"/>
            <w:noWrap w:val="0"/>
            <w:vAlign w:val="center"/>
          </w:tcPr>
          <w:p w14:paraId="3A14A41C">
            <w:pPr>
              <w:pStyle w:val="21"/>
              <w:ind w:left="223" w:hanging="222" w:hangingChars="106"/>
              <w:jc w:val="center"/>
              <w:rPr>
                <w:color w:val="auto"/>
              </w:rPr>
            </w:pPr>
          </w:p>
        </w:tc>
      </w:tr>
      <w:tr w14:paraId="63DAF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noWrap w:val="0"/>
            <w:vAlign w:val="center"/>
          </w:tcPr>
          <w:p w14:paraId="444A4FF6">
            <w:pPr>
              <w:pStyle w:val="21"/>
              <w:ind w:left="223" w:hanging="222" w:hangingChars="106"/>
              <w:jc w:val="center"/>
              <w:rPr>
                <w:color w:val="auto"/>
              </w:rPr>
            </w:pPr>
            <w:r>
              <w:rPr>
                <w:color w:val="auto"/>
              </w:rPr>
              <w:t>……</w:t>
            </w:r>
          </w:p>
        </w:tc>
        <w:tc>
          <w:tcPr>
            <w:tcW w:w="829" w:type="dxa"/>
            <w:noWrap w:val="0"/>
            <w:vAlign w:val="center"/>
          </w:tcPr>
          <w:p w14:paraId="617C22EC">
            <w:pPr>
              <w:pStyle w:val="21"/>
              <w:ind w:left="223" w:hanging="222" w:hangingChars="106"/>
              <w:jc w:val="center"/>
              <w:rPr>
                <w:color w:val="auto"/>
              </w:rPr>
            </w:pPr>
          </w:p>
        </w:tc>
        <w:tc>
          <w:tcPr>
            <w:tcW w:w="816" w:type="dxa"/>
            <w:noWrap w:val="0"/>
            <w:vAlign w:val="center"/>
          </w:tcPr>
          <w:p w14:paraId="37E1C6C7">
            <w:pPr>
              <w:pStyle w:val="21"/>
              <w:ind w:left="223" w:hanging="222" w:hangingChars="106"/>
              <w:jc w:val="center"/>
              <w:rPr>
                <w:color w:val="auto"/>
              </w:rPr>
            </w:pPr>
          </w:p>
        </w:tc>
        <w:tc>
          <w:tcPr>
            <w:tcW w:w="1148" w:type="dxa"/>
            <w:noWrap w:val="0"/>
            <w:vAlign w:val="center"/>
          </w:tcPr>
          <w:p w14:paraId="3C1E1E18">
            <w:pPr>
              <w:pStyle w:val="21"/>
              <w:ind w:left="223" w:hanging="222" w:hangingChars="106"/>
              <w:jc w:val="center"/>
              <w:rPr>
                <w:color w:val="auto"/>
              </w:rPr>
            </w:pPr>
          </w:p>
        </w:tc>
        <w:tc>
          <w:tcPr>
            <w:tcW w:w="1148" w:type="dxa"/>
            <w:noWrap w:val="0"/>
            <w:vAlign w:val="center"/>
          </w:tcPr>
          <w:p w14:paraId="10DD8E58">
            <w:pPr>
              <w:pStyle w:val="21"/>
              <w:ind w:left="223" w:hanging="222" w:hangingChars="106"/>
              <w:jc w:val="center"/>
              <w:rPr>
                <w:color w:val="auto"/>
              </w:rPr>
            </w:pPr>
          </w:p>
        </w:tc>
        <w:tc>
          <w:tcPr>
            <w:tcW w:w="1148" w:type="dxa"/>
            <w:noWrap w:val="0"/>
            <w:vAlign w:val="center"/>
          </w:tcPr>
          <w:p w14:paraId="4ABAAF65">
            <w:pPr>
              <w:pStyle w:val="21"/>
              <w:ind w:left="223" w:hanging="222" w:hangingChars="106"/>
              <w:jc w:val="center"/>
              <w:rPr>
                <w:color w:val="auto"/>
              </w:rPr>
            </w:pPr>
          </w:p>
        </w:tc>
        <w:tc>
          <w:tcPr>
            <w:tcW w:w="1148" w:type="dxa"/>
            <w:noWrap w:val="0"/>
            <w:vAlign w:val="center"/>
          </w:tcPr>
          <w:p w14:paraId="79029C6D">
            <w:pPr>
              <w:pStyle w:val="21"/>
              <w:ind w:left="223" w:hanging="222" w:hangingChars="106"/>
              <w:jc w:val="center"/>
              <w:rPr>
                <w:color w:val="auto"/>
              </w:rPr>
            </w:pPr>
          </w:p>
        </w:tc>
        <w:tc>
          <w:tcPr>
            <w:tcW w:w="850" w:type="dxa"/>
            <w:noWrap w:val="0"/>
            <w:vAlign w:val="center"/>
          </w:tcPr>
          <w:p w14:paraId="3AC8D189">
            <w:pPr>
              <w:pStyle w:val="21"/>
              <w:ind w:left="223" w:hanging="222" w:hangingChars="106"/>
              <w:jc w:val="center"/>
              <w:rPr>
                <w:color w:val="auto"/>
              </w:rPr>
            </w:pPr>
          </w:p>
        </w:tc>
        <w:tc>
          <w:tcPr>
            <w:tcW w:w="1276" w:type="dxa"/>
            <w:noWrap w:val="0"/>
            <w:vAlign w:val="center"/>
          </w:tcPr>
          <w:p w14:paraId="1CADE69E">
            <w:pPr>
              <w:pStyle w:val="21"/>
              <w:ind w:left="223" w:hanging="222" w:hangingChars="106"/>
              <w:jc w:val="center"/>
              <w:rPr>
                <w:color w:val="auto"/>
              </w:rPr>
            </w:pPr>
          </w:p>
        </w:tc>
      </w:tr>
      <w:tr w14:paraId="0877D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9356" w:type="dxa"/>
            <w:gridSpan w:val="9"/>
            <w:noWrap w:val="0"/>
            <w:vAlign w:val="center"/>
          </w:tcPr>
          <w:p w14:paraId="057D5BBC">
            <w:pPr>
              <w:pStyle w:val="21"/>
              <w:spacing w:line="360" w:lineRule="auto"/>
              <w:rPr>
                <w:color w:val="auto"/>
                <w:szCs w:val="21"/>
              </w:rPr>
            </w:pPr>
            <w:bookmarkStart w:id="84" w:name="_Toc251052199"/>
            <w:r>
              <w:rPr>
                <w:rFonts w:hint="eastAsia"/>
                <w:color w:val="auto"/>
                <w:szCs w:val="21"/>
              </w:rPr>
              <w:t>一旦我单位成交</w:t>
            </w:r>
            <w:r>
              <w:rPr>
                <w:color w:val="auto"/>
                <w:szCs w:val="21"/>
              </w:rPr>
              <w:t>，将实行项目经理负责制，我方保证并配备上述项目管理机构。上述填报内容真实，若不真实，愿按有关规定接受处理。项目管理班子机构设置、职责分工等情况另附资料说明。</w:t>
            </w:r>
            <w:bookmarkEnd w:id="84"/>
          </w:p>
        </w:tc>
      </w:tr>
    </w:tbl>
    <w:p w14:paraId="0EEAAD71">
      <w:pPr>
        <w:pStyle w:val="21"/>
        <w:tabs>
          <w:tab w:val="left" w:pos="0"/>
        </w:tabs>
        <w:spacing w:line="360" w:lineRule="auto"/>
        <w:ind w:right="-210"/>
        <w:rPr>
          <w:color w:val="auto"/>
        </w:rPr>
      </w:pPr>
    </w:p>
    <w:p w14:paraId="518119E6">
      <w:pPr>
        <w:tabs>
          <w:tab w:val="left" w:pos="0"/>
        </w:tabs>
        <w:spacing w:line="360" w:lineRule="auto"/>
        <w:ind w:right="-210"/>
        <w:rPr>
          <w:rFonts w:eastAsia="楷体_GB2312"/>
          <w:b/>
          <w:bCs/>
          <w:color w:val="auto"/>
        </w:rPr>
      </w:pPr>
      <w:r>
        <w:rPr>
          <w:rFonts w:eastAsia="楷体_GB2312"/>
          <w:b/>
          <w:bCs/>
          <w:color w:val="auto"/>
        </w:rPr>
        <w:t>【</w:t>
      </w:r>
      <w:r>
        <w:rPr>
          <w:rFonts w:hint="eastAsia" w:ascii="Calibri" w:hAnsi="Calibri"/>
          <w:b/>
          <w:bCs/>
          <w:color w:val="auto"/>
          <w:szCs w:val="21"/>
        </w:rPr>
        <w:t>备注：</w:t>
      </w:r>
      <w:r>
        <w:rPr>
          <w:rFonts w:hint="eastAsia" w:ascii="Calibri" w:hAnsi="Calibri"/>
          <w:b/>
          <w:bCs/>
          <w:color w:val="auto"/>
          <w:szCs w:val="21"/>
          <w:lang w:val="en-US" w:eastAsia="zh-CN"/>
        </w:rPr>
        <w:t>须</w:t>
      </w:r>
      <w:r>
        <w:rPr>
          <w:rFonts w:hint="eastAsia" w:ascii="宋体" w:hAnsi="宋体" w:eastAsia="宋体" w:cs="宋体"/>
          <w:b/>
          <w:bCs/>
          <w:color w:val="000000"/>
          <w:sz w:val="21"/>
          <w:szCs w:val="21"/>
          <w:highlight w:val="none"/>
        </w:rPr>
        <w:t>项目经理、技术负责人</w:t>
      </w:r>
      <w:r>
        <w:rPr>
          <w:rFonts w:hint="eastAsia" w:ascii="宋体" w:hAnsi="宋体" w:cs="宋体"/>
          <w:b/>
          <w:bCs/>
          <w:color w:val="000000"/>
          <w:sz w:val="21"/>
          <w:szCs w:val="21"/>
          <w:highlight w:val="none"/>
          <w:lang w:eastAsia="zh-CN"/>
        </w:rPr>
        <w:t>、</w:t>
      </w:r>
      <w:r>
        <w:rPr>
          <w:rFonts w:hint="eastAsia" w:ascii="宋体" w:hAnsi="宋体" w:eastAsia="宋体" w:cs="宋体"/>
          <w:b/>
          <w:bCs/>
          <w:color w:val="000000"/>
          <w:sz w:val="21"/>
          <w:szCs w:val="21"/>
          <w:highlight w:val="none"/>
        </w:rPr>
        <w:t>专职安全生产管理人员和主要管理人员情况</w:t>
      </w:r>
      <w:r>
        <w:rPr>
          <w:rFonts w:hint="eastAsia" w:ascii="宋体" w:hAnsi="宋体" w:cs="宋体"/>
          <w:b/>
          <w:bCs/>
          <w:color w:val="000000"/>
          <w:sz w:val="21"/>
          <w:szCs w:val="21"/>
          <w:highlight w:val="none"/>
          <w:lang w:eastAsia="zh-CN"/>
        </w:rPr>
        <w:t>（含</w:t>
      </w:r>
      <w:r>
        <w:rPr>
          <w:rFonts w:hint="eastAsia" w:ascii="宋体" w:hAnsi="宋体" w:eastAsia="宋体" w:cs="宋体"/>
          <w:b/>
          <w:bCs/>
          <w:color w:val="000000"/>
          <w:kern w:val="2"/>
          <w:sz w:val="21"/>
          <w:szCs w:val="21"/>
          <w:highlight w:val="none"/>
          <w:lang w:val="en-US" w:eastAsia="zh-CN" w:bidi="ar-SA"/>
        </w:rPr>
        <w:t>施工员、质量员、材料员</w:t>
      </w:r>
      <w:r>
        <w:rPr>
          <w:rFonts w:hint="eastAsia" w:ascii="宋体" w:hAnsi="宋体" w:eastAsia="宋体" w:cs="宋体"/>
          <w:b/>
          <w:bCs/>
          <w:color w:val="000000"/>
          <w:sz w:val="21"/>
          <w:szCs w:val="21"/>
          <w:highlight w:val="none"/>
        </w:rPr>
        <w:t>）</w:t>
      </w:r>
      <w:r>
        <w:rPr>
          <w:rFonts w:hint="eastAsia" w:ascii="宋体" w:hAnsi="宋体" w:cs="宋体"/>
          <w:b/>
          <w:bCs/>
          <w:color w:val="000000"/>
          <w:sz w:val="21"/>
          <w:szCs w:val="21"/>
          <w:highlight w:val="none"/>
          <w:lang w:eastAsia="zh-CN"/>
        </w:rPr>
        <w:t>】</w:t>
      </w:r>
      <w:r>
        <w:rPr>
          <w:rFonts w:hint="eastAsia" w:ascii="Calibri" w:hAnsi="Calibri"/>
          <w:b/>
          <w:bCs/>
          <w:color w:val="auto"/>
          <w:szCs w:val="21"/>
        </w:rPr>
        <w:t>各岗位人员资格证件的复印件，以及供应商认为需要的其他证明材料复印件。以上复印件均须加盖供应商公章</w:t>
      </w:r>
      <w:r>
        <w:rPr>
          <w:rFonts w:eastAsia="楷体_GB2312"/>
          <w:b/>
          <w:bCs/>
          <w:color w:val="auto"/>
        </w:rPr>
        <w:t>】</w:t>
      </w:r>
    </w:p>
    <w:p w14:paraId="4D05FE3C">
      <w:pPr>
        <w:pStyle w:val="21"/>
        <w:tabs>
          <w:tab w:val="left" w:pos="0"/>
        </w:tabs>
        <w:spacing w:line="360" w:lineRule="auto"/>
        <w:ind w:right="-210"/>
        <w:rPr>
          <w:color w:val="auto"/>
        </w:rPr>
      </w:pPr>
    </w:p>
    <w:p w14:paraId="68FAE613">
      <w:pPr>
        <w:autoSpaceDE w:val="0"/>
        <w:autoSpaceDN w:val="0"/>
        <w:spacing w:line="360" w:lineRule="auto"/>
        <w:rPr>
          <w:rFonts w:hint="default" w:ascii="仿宋_GB2312" w:hAnsi="仿宋" w:eastAsia="宋体" w:cs="仿宋_GB2312"/>
          <w:color w:val="000000"/>
          <w:kern w:val="0"/>
          <w:sz w:val="24"/>
          <w:highlight w:val="none"/>
          <w:lang w:val="en-US" w:eastAsia="zh-CN"/>
        </w:rPr>
      </w:pPr>
    </w:p>
    <w:p w14:paraId="622C5379">
      <w:pPr>
        <w:spacing w:line="500" w:lineRule="exact"/>
        <w:rPr>
          <w:rFonts w:hint="eastAsia" w:ascii="仿宋_GB2312" w:hAnsi="仿宋_GB2312" w:eastAsia="仿宋_GB2312" w:cs="仿宋_GB2312"/>
          <w:color w:val="000000"/>
          <w:sz w:val="32"/>
          <w:szCs w:val="32"/>
          <w:highlight w:val="none"/>
        </w:rPr>
      </w:pPr>
    </w:p>
    <w:p w14:paraId="0BE8CAE4">
      <w:pPr>
        <w:snapToGrid w:val="0"/>
        <w:spacing w:line="360" w:lineRule="auto"/>
        <w:ind w:firstLine="5280" w:firstLineChars="2200"/>
        <w:rPr>
          <w:rFonts w:ascii="宋体" w:hAnsi="宋体" w:cs="仿宋_GB2312"/>
          <w:color w:val="000000"/>
          <w:kern w:val="0"/>
          <w:sz w:val="24"/>
          <w:highlight w:val="none"/>
        </w:rPr>
      </w:pPr>
      <w:r>
        <w:rPr>
          <w:rFonts w:hint="eastAsia" w:ascii="宋体" w:hAnsi="宋体" w:cs="仿宋_GB2312"/>
          <w:color w:val="000000"/>
          <w:kern w:val="0"/>
          <w:sz w:val="24"/>
          <w:highlight w:val="none"/>
          <w:lang w:val="en-US" w:eastAsia="zh-CN"/>
        </w:rPr>
        <w:t>供</w:t>
      </w:r>
      <w:r>
        <w:rPr>
          <w:rFonts w:hint="eastAsia" w:ascii="宋体" w:hAnsi="宋体" w:cs="仿宋_GB2312"/>
          <w:color w:val="000000"/>
          <w:kern w:val="0"/>
          <w:sz w:val="24"/>
          <w:highlight w:val="none"/>
          <w:lang w:val="zh-CN"/>
        </w:rPr>
        <w:t>应商名称(电子签章)：</w:t>
      </w:r>
    </w:p>
    <w:p w14:paraId="4ACB035A">
      <w:pPr>
        <w:spacing w:line="500" w:lineRule="exact"/>
        <w:jc w:val="center"/>
        <w:rPr>
          <w:rFonts w:hint="eastAsia" w:ascii="宋体" w:hAnsi="宋体" w:cs="仿宋_GB2312"/>
          <w:color w:val="000000"/>
          <w:kern w:val="0"/>
          <w:sz w:val="24"/>
          <w:highlight w:val="none"/>
          <w:lang w:val="zh-CN"/>
        </w:rPr>
      </w:pPr>
      <w:r>
        <w:rPr>
          <w:rFonts w:hint="eastAsia" w:ascii="宋体" w:hAnsi="宋体" w:cs="仿宋_GB2312"/>
          <w:color w:val="000000"/>
          <w:kern w:val="0"/>
          <w:sz w:val="24"/>
          <w:highlight w:val="none"/>
          <w:lang w:val="zh-CN"/>
        </w:rPr>
        <w:t xml:space="preserve">                                                     日期</w:t>
      </w:r>
      <w:r>
        <w:rPr>
          <w:rFonts w:hint="eastAsia" w:ascii="宋体" w:hAnsi="宋体" w:cs="仿宋_GB2312"/>
          <w:color w:val="000000"/>
          <w:kern w:val="0"/>
          <w:sz w:val="24"/>
          <w:highlight w:val="none"/>
        </w:rPr>
        <w:t xml:space="preserve">：  年  </w:t>
      </w:r>
      <w:r>
        <w:rPr>
          <w:rFonts w:hint="eastAsia" w:ascii="宋体" w:hAnsi="宋体" w:cs="仿宋_GB2312"/>
          <w:color w:val="000000"/>
          <w:kern w:val="0"/>
          <w:sz w:val="24"/>
          <w:highlight w:val="none"/>
          <w:lang w:val="zh-CN"/>
        </w:rPr>
        <w:t>月</w:t>
      </w:r>
      <w:r>
        <w:rPr>
          <w:rFonts w:hint="eastAsia" w:ascii="宋体" w:hAnsi="宋体" w:cs="仿宋_GB2312"/>
          <w:color w:val="000000"/>
          <w:kern w:val="0"/>
          <w:sz w:val="24"/>
          <w:highlight w:val="none"/>
          <w:lang w:val="en-US" w:eastAsia="zh-CN"/>
        </w:rPr>
        <w:t xml:space="preserve"> </w:t>
      </w:r>
      <w:r>
        <w:rPr>
          <w:rFonts w:hint="eastAsia" w:ascii="宋体" w:hAnsi="宋体" w:cs="仿宋_GB2312"/>
          <w:color w:val="000000"/>
          <w:kern w:val="0"/>
          <w:sz w:val="24"/>
          <w:highlight w:val="none"/>
          <w:lang w:val="zh-CN"/>
        </w:rPr>
        <w:t>日</w:t>
      </w:r>
    </w:p>
    <w:p w14:paraId="1EBED5A0">
      <w:pPr>
        <w:rPr>
          <w:rFonts w:hint="eastAsia" w:ascii="宋体" w:hAnsi="宋体" w:cs="仿宋_GB2312"/>
          <w:color w:val="000000"/>
          <w:kern w:val="0"/>
          <w:sz w:val="24"/>
          <w:highlight w:val="none"/>
          <w:lang w:val="zh-CN"/>
        </w:rPr>
      </w:pPr>
      <w:r>
        <w:rPr>
          <w:rFonts w:hint="eastAsia" w:ascii="宋体" w:hAnsi="宋体" w:cs="仿宋_GB2312"/>
          <w:color w:val="000000"/>
          <w:kern w:val="0"/>
          <w:sz w:val="24"/>
          <w:highlight w:val="none"/>
          <w:lang w:val="zh-CN"/>
        </w:rPr>
        <w:br w:type="page"/>
      </w:r>
    </w:p>
    <w:p w14:paraId="60CC4DC1">
      <w:pPr>
        <w:numPr>
          <w:ilvl w:val="0"/>
          <w:numId w:val="0"/>
        </w:numPr>
        <w:jc w:val="center"/>
        <w:rPr>
          <w:highlight w:val="none"/>
        </w:rPr>
      </w:pPr>
      <w:r>
        <w:rPr>
          <w:rFonts w:hint="eastAsia" w:ascii="宋体" w:hAnsi="宋体" w:eastAsia="宋体" w:cs="宋体"/>
          <w:b/>
          <w:color w:val="auto"/>
          <w:kern w:val="0"/>
          <w:sz w:val="36"/>
          <w:szCs w:val="36"/>
          <w:highlight w:val="none"/>
          <w:lang w:val="en-US" w:eastAsia="zh-CN" w:bidi="ar-SA"/>
        </w:rPr>
        <w:t>建设工程项目管理承诺书</w:t>
      </w:r>
    </w:p>
    <w:p w14:paraId="7385FE78">
      <w:pPr>
        <w:keepNext w:val="0"/>
        <w:keepLines w:val="0"/>
        <w:pageBreakBefore w:val="0"/>
        <w:widowControl w:val="0"/>
        <w:kinsoku/>
        <w:wordWrap/>
        <w:overflowPunct/>
        <w:topLinePunct w:val="0"/>
        <w:autoSpaceDE/>
        <w:autoSpaceDN/>
        <w:bidi w:val="0"/>
        <w:adjustRightInd/>
        <w:snapToGrid/>
        <w:spacing w:line="500" w:lineRule="exact"/>
        <w:jc w:val="left"/>
        <w:textAlignment w:val="auto"/>
        <w:rPr>
          <w:sz w:val="24"/>
          <w:szCs w:val="24"/>
          <w:highlight w:val="none"/>
        </w:rPr>
      </w:pPr>
      <w:r>
        <w:rPr>
          <w:rFonts w:hint="eastAsia" w:cs="宋体"/>
          <w:sz w:val="24"/>
          <w:szCs w:val="24"/>
          <w:highlight w:val="none"/>
        </w:rPr>
        <w:t>致</w:t>
      </w:r>
      <w:r>
        <w:rPr>
          <w:sz w:val="24"/>
          <w:szCs w:val="24"/>
          <w:highlight w:val="none"/>
          <w:u w:val="single"/>
        </w:rPr>
        <w:t xml:space="preserve">                        </w:t>
      </w:r>
      <w:r>
        <w:rPr>
          <w:rFonts w:hint="eastAsia" w:cs="宋体"/>
          <w:sz w:val="24"/>
          <w:szCs w:val="24"/>
          <w:highlight w:val="none"/>
        </w:rPr>
        <w:t>（</w:t>
      </w:r>
      <w:r>
        <w:rPr>
          <w:rFonts w:hint="eastAsia" w:cs="宋体"/>
          <w:sz w:val="24"/>
          <w:szCs w:val="24"/>
          <w:highlight w:val="none"/>
          <w:lang w:eastAsia="zh-CN"/>
        </w:rPr>
        <w:t>采购人</w:t>
      </w:r>
      <w:r>
        <w:rPr>
          <w:rFonts w:hint="eastAsia" w:cs="宋体"/>
          <w:sz w:val="24"/>
          <w:szCs w:val="24"/>
          <w:highlight w:val="none"/>
        </w:rPr>
        <w:t>名称）：</w:t>
      </w:r>
    </w:p>
    <w:p w14:paraId="536267B8">
      <w:pPr>
        <w:keepNext w:val="0"/>
        <w:keepLines w:val="0"/>
        <w:pageBreakBefore w:val="0"/>
        <w:widowControl w:val="0"/>
        <w:kinsoku/>
        <w:wordWrap/>
        <w:overflowPunct/>
        <w:topLinePunct w:val="0"/>
        <w:autoSpaceDE/>
        <w:autoSpaceDN/>
        <w:bidi w:val="0"/>
        <w:adjustRightInd/>
        <w:snapToGrid/>
        <w:spacing w:line="500" w:lineRule="exact"/>
        <w:ind w:left="-10" w:firstLine="520" w:firstLineChars="217"/>
        <w:jc w:val="left"/>
        <w:textAlignment w:val="auto"/>
        <w:rPr>
          <w:sz w:val="24"/>
          <w:szCs w:val="24"/>
          <w:highlight w:val="none"/>
        </w:rPr>
      </w:pPr>
      <w:r>
        <w:rPr>
          <w:rFonts w:hint="eastAsia" w:cs="宋体"/>
          <w:sz w:val="24"/>
          <w:szCs w:val="24"/>
          <w:highlight w:val="none"/>
        </w:rPr>
        <w:t>作为参与</w:t>
      </w:r>
      <w:r>
        <w:rPr>
          <w:sz w:val="24"/>
          <w:szCs w:val="24"/>
          <w:highlight w:val="none"/>
          <w:u w:val="single"/>
        </w:rPr>
        <w:t xml:space="preserve">                  </w:t>
      </w:r>
      <w:r>
        <w:rPr>
          <w:rFonts w:hint="eastAsia" w:cs="宋体"/>
          <w:sz w:val="24"/>
          <w:szCs w:val="24"/>
          <w:highlight w:val="none"/>
        </w:rPr>
        <w:t>（</w:t>
      </w:r>
      <w:r>
        <w:rPr>
          <w:rFonts w:hint="eastAsia" w:cs="宋体"/>
          <w:sz w:val="24"/>
          <w:szCs w:val="24"/>
          <w:highlight w:val="none"/>
          <w:lang w:eastAsia="zh-CN"/>
        </w:rPr>
        <w:t>工程项目</w:t>
      </w:r>
      <w:r>
        <w:rPr>
          <w:rFonts w:hint="eastAsia" w:cs="宋体"/>
          <w:sz w:val="24"/>
          <w:szCs w:val="24"/>
          <w:highlight w:val="none"/>
        </w:rPr>
        <w:t>名称）项目的</w:t>
      </w:r>
      <w:r>
        <w:rPr>
          <w:rFonts w:hint="eastAsia" w:cs="宋体"/>
          <w:sz w:val="24"/>
          <w:szCs w:val="24"/>
          <w:highlight w:val="none"/>
          <w:lang w:val="en-US" w:eastAsia="zh-CN"/>
        </w:rPr>
        <w:t>竞标</w:t>
      </w:r>
      <w:r>
        <w:rPr>
          <w:rFonts w:hint="eastAsia" w:cs="宋体"/>
          <w:sz w:val="24"/>
          <w:szCs w:val="24"/>
          <w:highlight w:val="none"/>
        </w:rPr>
        <w:t>方，根据国家、自治区相关文件规定，我方在此向</w:t>
      </w:r>
      <w:r>
        <w:rPr>
          <w:rFonts w:hint="eastAsia" w:cs="宋体"/>
          <w:sz w:val="24"/>
          <w:szCs w:val="24"/>
          <w:highlight w:val="none"/>
          <w:lang w:eastAsia="zh-CN"/>
        </w:rPr>
        <w:t>采购</w:t>
      </w:r>
      <w:r>
        <w:rPr>
          <w:rFonts w:hint="eastAsia" w:cs="宋体"/>
          <w:sz w:val="24"/>
          <w:szCs w:val="24"/>
          <w:highlight w:val="none"/>
        </w:rPr>
        <w:t>人承诺：</w:t>
      </w:r>
    </w:p>
    <w:p w14:paraId="7D37671A">
      <w:pPr>
        <w:keepNext w:val="0"/>
        <w:keepLines w:val="0"/>
        <w:pageBreakBefore w:val="0"/>
        <w:widowControl w:val="0"/>
        <w:kinsoku/>
        <w:wordWrap/>
        <w:overflowPunct/>
        <w:topLinePunct w:val="0"/>
        <w:autoSpaceDE/>
        <w:autoSpaceDN/>
        <w:bidi w:val="0"/>
        <w:adjustRightInd/>
        <w:snapToGrid/>
        <w:spacing w:line="500" w:lineRule="exact"/>
        <w:ind w:left="-10" w:firstLine="520" w:firstLineChars="217"/>
        <w:jc w:val="left"/>
        <w:textAlignment w:val="auto"/>
        <w:rPr>
          <w:sz w:val="24"/>
          <w:szCs w:val="24"/>
          <w:highlight w:val="none"/>
        </w:rPr>
      </w:pPr>
      <w:r>
        <w:rPr>
          <w:sz w:val="24"/>
          <w:szCs w:val="24"/>
          <w:highlight w:val="none"/>
        </w:rPr>
        <w:t>1、一旦中标，我方保证按照政府相关部门的规定，</w:t>
      </w:r>
      <w:r>
        <w:rPr>
          <w:rFonts w:hint="eastAsia" w:ascii="宋体" w:hAnsi="宋体"/>
          <w:sz w:val="24"/>
          <w:szCs w:val="24"/>
          <w:highlight w:val="none"/>
        </w:rPr>
        <w:t>在中标后7个工作日内，按照《保障农民工工资支付条例》规定及广西壮族自治区有关规定开设农民工工资专用账户，并按</w:t>
      </w:r>
      <w:r>
        <w:rPr>
          <w:rFonts w:hint="eastAsia" w:ascii="宋体" w:hAnsi="宋体"/>
          <w:sz w:val="24"/>
          <w:szCs w:val="24"/>
          <w:highlight w:val="none"/>
          <w:u w:val="none"/>
        </w:rPr>
        <w:t>要求</w:t>
      </w:r>
      <w:r>
        <w:rPr>
          <w:rFonts w:hint="eastAsia" w:ascii="宋体" w:hAnsi="宋体"/>
          <w:sz w:val="24"/>
          <w:szCs w:val="24"/>
          <w:highlight w:val="none"/>
        </w:rPr>
        <w:t>比例将农民工工资保证金存入帐户</w:t>
      </w:r>
      <w:r>
        <w:rPr>
          <w:rFonts w:hint="eastAsia"/>
          <w:sz w:val="24"/>
          <w:szCs w:val="24"/>
          <w:highlight w:val="none"/>
        </w:rPr>
        <w:t>，专项用于支付本工程提供劳动的农民工被拖欠的工资。</w:t>
      </w:r>
      <w:r>
        <w:rPr>
          <w:sz w:val="24"/>
          <w:szCs w:val="24"/>
          <w:highlight w:val="none"/>
        </w:rPr>
        <w:t>按照与农民工依法约定的工资支付周期和具体支付日期支付工资</w:t>
      </w:r>
      <w:r>
        <w:rPr>
          <w:rFonts w:hint="eastAsia"/>
          <w:sz w:val="24"/>
          <w:szCs w:val="24"/>
          <w:highlight w:val="none"/>
        </w:rPr>
        <w:t>，保证</w:t>
      </w:r>
      <w:r>
        <w:rPr>
          <w:sz w:val="24"/>
          <w:szCs w:val="24"/>
          <w:highlight w:val="none"/>
        </w:rPr>
        <w:t>每月至少向农民工足额支付一次工资。</w:t>
      </w:r>
    </w:p>
    <w:p w14:paraId="56BAE7FA">
      <w:pPr>
        <w:keepNext w:val="0"/>
        <w:keepLines w:val="0"/>
        <w:pageBreakBefore w:val="0"/>
        <w:widowControl w:val="0"/>
        <w:kinsoku/>
        <w:wordWrap/>
        <w:overflowPunct/>
        <w:topLinePunct w:val="0"/>
        <w:autoSpaceDE/>
        <w:autoSpaceDN/>
        <w:bidi w:val="0"/>
        <w:adjustRightInd/>
        <w:snapToGrid/>
        <w:spacing w:line="500" w:lineRule="exact"/>
        <w:ind w:left="-10" w:firstLine="520" w:firstLineChars="217"/>
        <w:jc w:val="left"/>
        <w:textAlignment w:val="auto"/>
        <w:rPr>
          <w:sz w:val="24"/>
          <w:szCs w:val="24"/>
          <w:highlight w:val="none"/>
        </w:rPr>
      </w:pPr>
      <w:r>
        <w:rPr>
          <w:sz w:val="24"/>
          <w:szCs w:val="24"/>
          <w:highlight w:val="none"/>
        </w:rPr>
        <w:t>2、一旦中标，我方保证在施工过程中，严格执行《广西壮族自治区建筑工程安全文明施工费使用管理细则》（桂建质〔20</w:t>
      </w:r>
      <w:r>
        <w:rPr>
          <w:rFonts w:hint="eastAsia"/>
          <w:sz w:val="24"/>
          <w:szCs w:val="24"/>
          <w:highlight w:val="none"/>
        </w:rPr>
        <w:t>15</w:t>
      </w:r>
      <w:r>
        <w:rPr>
          <w:sz w:val="24"/>
          <w:szCs w:val="24"/>
          <w:highlight w:val="none"/>
        </w:rPr>
        <w:t>〕</w:t>
      </w:r>
      <w:r>
        <w:rPr>
          <w:rFonts w:hint="eastAsia"/>
          <w:sz w:val="24"/>
          <w:szCs w:val="24"/>
          <w:highlight w:val="none"/>
        </w:rPr>
        <w:t>16</w:t>
      </w:r>
      <w:r>
        <w:rPr>
          <w:sz w:val="24"/>
          <w:szCs w:val="24"/>
          <w:highlight w:val="none"/>
        </w:rPr>
        <w:t>号）的有关规定，确保建设工程各项安全防护、文明施工措施落实到位。如我方在该项目的承包中出现未按桂建质〔20</w:t>
      </w:r>
      <w:r>
        <w:rPr>
          <w:rFonts w:hint="eastAsia"/>
          <w:sz w:val="24"/>
          <w:szCs w:val="24"/>
          <w:highlight w:val="none"/>
        </w:rPr>
        <w:t>15</w:t>
      </w:r>
      <w:r>
        <w:rPr>
          <w:sz w:val="24"/>
          <w:szCs w:val="24"/>
          <w:highlight w:val="none"/>
        </w:rPr>
        <w:t>〕</w:t>
      </w:r>
      <w:r>
        <w:rPr>
          <w:rFonts w:hint="eastAsia"/>
          <w:sz w:val="24"/>
          <w:szCs w:val="24"/>
          <w:highlight w:val="none"/>
        </w:rPr>
        <w:t>16</w:t>
      </w:r>
      <w:r>
        <w:rPr>
          <w:sz w:val="24"/>
          <w:szCs w:val="24"/>
          <w:highlight w:val="none"/>
        </w:rPr>
        <w:t>号文附件一规定执行的情形，我方愿意按照相关规定接受建设单位及有关主管部门的处罚。</w:t>
      </w:r>
    </w:p>
    <w:p w14:paraId="76CF3982">
      <w:pPr>
        <w:keepNext w:val="0"/>
        <w:keepLines w:val="0"/>
        <w:pageBreakBefore w:val="0"/>
        <w:widowControl w:val="0"/>
        <w:kinsoku/>
        <w:wordWrap/>
        <w:overflowPunct/>
        <w:topLinePunct w:val="0"/>
        <w:autoSpaceDE/>
        <w:autoSpaceDN/>
        <w:bidi w:val="0"/>
        <w:adjustRightInd/>
        <w:snapToGrid/>
        <w:spacing w:line="500" w:lineRule="exact"/>
        <w:ind w:left="-2" w:leftChars="-1" w:firstLine="513" w:firstLineChars="214"/>
        <w:jc w:val="left"/>
        <w:textAlignment w:val="auto"/>
        <w:rPr>
          <w:sz w:val="24"/>
          <w:szCs w:val="24"/>
          <w:highlight w:val="none"/>
        </w:rPr>
      </w:pPr>
      <w:r>
        <w:rPr>
          <w:sz w:val="24"/>
          <w:szCs w:val="24"/>
          <w:highlight w:val="none"/>
        </w:rPr>
        <w:t>3、一旦中标，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166763F3">
      <w:pPr>
        <w:keepNext w:val="0"/>
        <w:keepLines w:val="0"/>
        <w:pageBreakBefore w:val="0"/>
        <w:widowControl w:val="0"/>
        <w:kinsoku/>
        <w:wordWrap/>
        <w:overflowPunct/>
        <w:topLinePunct w:val="0"/>
        <w:autoSpaceDE/>
        <w:autoSpaceDN/>
        <w:bidi w:val="0"/>
        <w:adjustRightInd/>
        <w:snapToGrid/>
        <w:spacing w:line="500" w:lineRule="exact"/>
        <w:ind w:left="-10" w:firstLine="520" w:firstLineChars="217"/>
        <w:jc w:val="left"/>
        <w:textAlignment w:val="auto"/>
        <w:rPr>
          <w:sz w:val="24"/>
          <w:szCs w:val="24"/>
          <w:highlight w:val="none"/>
        </w:rPr>
      </w:pPr>
      <w:r>
        <w:rPr>
          <w:rFonts w:hint="eastAsia"/>
          <w:sz w:val="24"/>
          <w:szCs w:val="24"/>
          <w:highlight w:val="none"/>
        </w:rPr>
        <w:t>4、一旦中标，我方保证在施工过程中，严格执行《关于禁止使用不符合规范要求的竹脚手架的通知》（</w:t>
      </w:r>
      <w:r>
        <w:rPr>
          <w:sz w:val="24"/>
          <w:szCs w:val="24"/>
          <w:highlight w:val="none"/>
        </w:rPr>
        <w:t>桂建</w:t>
      </w:r>
      <w:r>
        <w:rPr>
          <w:rFonts w:hint="eastAsia"/>
          <w:sz w:val="24"/>
          <w:szCs w:val="24"/>
          <w:highlight w:val="none"/>
        </w:rPr>
        <w:t>管字</w:t>
      </w:r>
      <w:r>
        <w:rPr>
          <w:sz w:val="24"/>
          <w:szCs w:val="24"/>
          <w:highlight w:val="none"/>
        </w:rPr>
        <w:t>〔200</w:t>
      </w:r>
      <w:r>
        <w:rPr>
          <w:rFonts w:hint="eastAsia"/>
          <w:sz w:val="24"/>
          <w:szCs w:val="24"/>
          <w:highlight w:val="none"/>
        </w:rPr>
        <w:t>3</w:t>
      </w:r>
      <w:r>
        <w:rPr>
          <w:sz w:val="24"/>
          <w:szCs w:val="24"/>
          <w:highlight w:val="none"/>
        </w:rPr>
        <w:t>〕</w:t>
      </w:r>
      <w:r>
        <w:rPr>
          <w:rFonts w:hint="eastAsia"/>
          <w:sz w:val="24"/>
          <w:szCs w:val="24"/>
          <w:highlight w:val="none"/>
        </w:rPr>
        <w:t>40</w:t>
      </w:r>
      <w:r>
        <w:rPr>
          <w:sz w:val="24"/>
          <w:szCs w:val="24"/>
          <w:highlight w:val="none"/>
        </w:rPr>
        <w:t>号</w:t>
      </w:r>
      <w:r>
        <w:rPr>
          <w:rFonts w:hint="eastAsia"/>
          <w:sz w:val="24"/>
          <w:szCs w:val="24"/>
          <w:highlight w:val="none"/>
        </w:rPr>
        <w:t>）的有关规定，不使用竹脚手架。如我方在该</w:t>
      </w:r>
      <w:r>
        <w:rPr>
          <w:sz w:val="24"/>
          <w:szCs w:val="24"/>
          <w:highlight w:val="none"/>
        </w:rPr>
        <w:t>项目的承包中出现未按规定执行的情形，我方愿意按照相关规定接受建设单位及有关主管部门的处罚。</w:t>
      </w:r>
    </w:p>
    <w:p w14:paraId="6E3658A0">
      <w:pPr>
        <w:keepNext w:val="0"/>
        <w:keepLines w:val="0"/>
        <w:pageBreakBefore w:val="0"/>
        <w:widowControl w:val="0"/>
        <w:kinsoku/>
        <w:wordWrap/>
        <w:overflowPunct/>
        <w:topLinePunct w:val="0"/>
        <w:autoSpaceDE/>
        <w:autoSpaceDN/>
        <w:bidi w:val="0"/>
        <w:adjustRightInd/>
        <w:snapToGrid/>
        <w:spacing w:line="500" w:lineRule="exact"/>
        <w:ind w:left="-10" w:firstLine="520" w:firstLineChars="217"/>
        <w:jc w:val="left"/>
        <w:textAlignment w:val="auto"/>
        <w:rPr>
          <w:rFonts w:hint="eastAsia"/>
          <w:sz w:val="24"/>
          <w:szCs w:val="24"/>
          <w:highlight w:val="none"/>
        </w:rPr>
      </w:pPr>
      <w:r>
        <w:rPr>
          <w:rFonts w:hint="eastAsia"/>
          <w:sz w:val="24"/>
          <w:szCs w:val="24"/>
          <w:highlight w:val="none"/>
        </w:rPr>
        <w:t>5、一旦中标，我方保证严格执行《危险性较大的分部分项工程安全管理规定》（建办质〔2018〕31号）的规定，强化对深基坑、高切坡、高大模板、人工挖孔桩、起重吊装、临时活动板房等重大危险源的专项施工方案的编制、论证、审批、实施、检测的风险管理。</w:t>
      </w:r>
    </w:p>
    <w:p w14:paraId="579CC73E">
      <w:pPr>
        <w:spacing w:line="520" w:lineRule="exact"/>
        <w:jc w:val="left"/>
        <w:rPr>
          <w:sz w:val="24"/>
          <w:szCs w:val="24"/>
          <w:highlight w:val="none"/>
        </w:rPr>
      </w:pPr>
    </w:p>
    <w:p w14:paraId="65BE4117">
      <w:pPr>
        <w:pageBreakBefore w:val="0"/>
        <w:kinsoku/>
        <w:overflowPunct/>
        <w:topLinePunct w:val="0"/>
        <w:autoSpaceDE w:val="0"/>
        <w:autoSpaceDN w:val="0"/>
        <w:bidi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5442D20A">
      <w:pPr>
        <w:pageBreakBefore w:val="0"/>
        <w:kinsoku/>
        <w:overflowPunct/>
        <w:topLinePunct w:val="0"/>
        <w:autoSpaceDE w:val="0"/>
        <w:autoSpaceDN w:val="0"/>
        <w:bidi w:val="0"/>
        <w:spacing w:line="360" w:lineRule="auto"/>
        <w:ind w:firstLine="6480" w:firstLineChars="2700"/>
        <w:rPr>
          <w:rFonts w:hint="eastAsia" w:ascii="宋体" w:hAnsi="宋体" w:eastAsia="宋体" w:cs="宋体"/>
          <w:color w:val="auto"/>
          <w:kern w:val="0"/>
          <w:sz w:val="24"/>
          <w:highlight w:val="none"/>
          <w:lang w:val="zh-CN"/>
        </w:rPr>
        <w:sectPr>
          <w:pgSz w:w="11910" w:h="16840"/>
          <w:pgMar w:top="1417" w:right="1417" w:bottom="1417" w:left="1417" w:header="720" w:footer="720" w:gutter="0"/>
          <w:pgNumType w:fmt="decimal"/>
          <w:cols w:space="720" w:num="1"/>
          <w:rtlGutter w:val="0"/>
        </w:sectPr>
      </w:pPr>
      <w:r>
        <w:rPr>
          <w:rFonts w:hint="eastAsia" w:ascii="宋体" w:hAnsi="宋体" w:eastAsia="宋体" w:cs="宋体"/>
          <w:color w:val="auto"/>
          <w:kern w:val="0"/>
          <w:sz w:val="24"/>
          <w:highlight w:val="none"/>
          <w:lang w:val="zh-CN"/>
        </w:rPr>
        <w:t>日期：  年  月   日</w:t>
      </w:r>
    </w:p>
    <w:p w14:paraId="1345E418">
      <w:pPr>
        <w:spacing w:line="360" w:lineRule="auto"/>
        <w:jc w:val="center"/>
        <w:rPr>
          <w:highlight w:val="none"/>
        </w:rPr>
      </w:pPr>
      <w:r>
        <w:rPr>
          <w:rFonts w:hint="eastAsia" w:cs="宋体"/>
          <w:b/>
          <w:bCs/>
          <w:sz w:val="28"/>
          <w:szCs w:val="28"/>
          <w:highlight w:val="none"/>
        </w:rPr>
        <w:t>广西壮族自治区建筑工程安全文明施工措施项目清单内容</w:t>
      </w:r>
    </w:p>
    <w:p w14:paraId="3EC8B6EE">
      <w:pPr>
        <w:spacing w:line="360" w:lineRule="auto"/>
        <w:ind w:firstLine="600" w:firstLineChars="250"/>
        <w:jc w:val="center"/>
        <w:rPr>
          <w:sz w:val="24"/>
          <w:szCs w:val="24"/>
          <w:highlight w:val="none"/>
        </w:rPr>
      </w:pPr>
      <w:r>
        <w:rPr>
          <w:rFonts w:hint="eastAsia" w:cs="宋体"/>
          <w:sz w:val="24"/>
          <w:szCs w:val="24"/>
          <w:highlight w:val="none"/>
        </w:rPr>
        <w:t>（桂建质〔</w:t>
      </w:r>
      <w:r>
        <w:rPr>
          <w:sz w:val="24"/>
          <w:szCs w:val="24"/>
          <w:highlight w:val="none"/>
        </w:rPr>
        <w:t>2015</w:t>
      </w:r>
      <w:r>
        <w:rPr>
          <w:rFonts w:hint="eastAsia" w:cs="宋体"/>
          <w:sz w:val="24"/>
          <w:szCs w:val="24"/>
          <w:highlight w:val="none"/>
        </w:rPr>
        <w:t>〕</w:t>
      </w:r>
      <w:r>
        <w:rPr>
          <w:sz w:val="24"/>
          <w:szCs w:val="24"/>
          <w:highlight w:val="none"/>
        </w:rPr>
        <w:t>16</w:t>
      </w:r>
      <w:r>
        <w:rPr>
          <w:rFonts w:hint="eastAsia" w:cs="宋体"/>
          <w:sz w:val="24"/>
          <w:szCs w:val="24"/>
          <w:highlight w:val="none"/>
        </w:rPr>
        <w:t>号文附件一）</w:t>
      </w:r>
    </w:p>
    <w:p w14:paraId="33E50C86">
      <w:pPr>
        <w:pStyle w:val="25"/>
        <w:spacing w:line="240" w:lineRule="atLeast"/>
        <w:jc w:val="center"/>
        <w:rPr>
          <w:rFonts w:ascii="宋体"/>
          <w:b/>
          <w:bCs/>
          <w:sz w:val="24"/>
          <w:szCs w:val="24"/>
          <w:highlight w:val="none"/>
        </w:rPr>
      </w:pPr>
      <w:r>
        <w:rPr>
          <w:rFonts w:hint="eastAsia" w:ascii="宋体" w:hAnsi="宋体" w:cs="宋体"/>
          <w:b/>
          <w:bCs/>
          <w:sz w:val="24"/>
          <w:szCs w:val="24"/>
          <w:highlight w:val="none"/>
        </w:rPr>
        <w:t>广西壮族自治区</w:t>
      </w:r>
    </w:p>
    <w:p w14:paraId="46DBF0E5">
      <w:pPr>
        <w:pStyle w:val="25"/>
        <w:spacing w:line="240" w:lineRule="atLeast"/>
        <w:ind w:firstLine="546"/>
        <w:jc w:val="center"/>
        <w:rPr>
          <w:b/>
          <w:bCs/>
          <w:w w:val="90"/>
          <w:sz w:val="24"/>
          <w:szCs w:val="24"/>
          <w:highlight w:val="none"/>
        </w:rPr>
      </w:pPr>
      <w:r>
        <w:rPr>
          <w:rFonts w:hint="eastAsia" w:cs="宋体"/>
          <w:b/>
          <w:bCs/>
          <w:w w:val="90"/>
          <w:sz w:val="24"/>
          <w:szCs w:val="24"/>
          <w:highlight w:val="none"/>
        </w:rPr>
        <w:t>建设工程安全文明施工措施项目清单内容</w:t>
      </w:r>
    </w:p>
    <w:p w14:paraId="189D50B4">
      <w:pPr>
        <w:pStyle w:val="25"/>
        <w:spacing w:line="240" w:lineRule="atLeast"/>
        <w:ind w:firstLine="546"/>
        <w:jc w:val="center"/>
        <w:rPr>
          <w:b/>
          <w:bCs/>
          <w:w w:val="90"/>
          <w:sz w:val="24"/>
          <w:szCs w:val="24"/>
          <w:highlight w:val="none"/>
        </w:rPr>
      </w:pPr>
    </w:p>
    <w:tbl>
      <w:tblPr>
        <w:tblStyle w:val="15"/>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525"/>
        <w:gridCol w:w="1545"/>
        <w:gridCol w:w="6645"/>
      </w:tblGrid>
      <w:tr w14:paraId="2147C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1" w:hRule="exact"/>
        </w:trPr>
        <w:tc>
          <w:tcPr>
            <w:tcW w:w="738" w:type="dxa"/>
            <w:tcBorders>
              <w:top w:val="single" w:color="auto" w:sz="12" w:space="0"/>
            </w:tcBorders>
            <w:noWrap w:val="0"/>
            <w:vAlign w:val="center"/>
          </w:tcPr>
          <w:p w14:paraId="3E8157EF">
            <w:pPr>
              <w:pStyle w:val="25"/>
              <w:spacing w:line="300" w:lineRule="exact"/>
              <w:jc w:val="center"/>
              <w:rPr>
                <w:rFonts w:ascii="方正仿宋_GBK" w:eastAsia="方正仿宋_GBK"/>
                <w:b/>
                <w:bCs/>
                <w:highlight w:val="none"/>
              </w:rPr>
            </w:pPr>
            <w:r>
              <w:rPr>
                <w:rFonts w:hint="eastAsia" w:ascii="方正仿宋_GBK" w:eastAsia="方正仿宋_GBK" w:cs="方正仿宋_GBK"/>
                <w:b/>
                <w:bCs/>
                <w:highlight w:val="none"/>
              </w:rPr>
              <w:t>类别</w:t>
            </w:r>
          </w:p>
        </w:tc>
        <w:tc>
          <w:tcPr>
            <w:tcW w:w="2070" w:type="dxa"/>
            <w:gridSpan w:val="2"/>
            <w:tcBorders>
              <w:top w:val="single" w:color="auto" w:sz="12" w:space="0"/>
            </w:tcBorders>
            <w:noWrap w:val="0"/>
            <w:vAlign w:val="center"/>
          </w:tcPr>
          <w:p w14:paraId="2E8C0C66">
            <w:pPr>
              <w:pStyle w:val="25"/>
              <w:spacing w:line="300" w:lineRule="exact"/>
              <w:jc w:val="center"/>
              <w:rPr>
                <w:rFonts w:ascii="方正仿宋_GBK" w:eastAsia="方正仿宋_GBK"/>
                <w:b/>
                <w:bCs/>
                <w:highlight w:val="none"/>
              </w:rPr>
            </w:pPr>
            <w:r>
              <w:rPr>
                <w:rFonts w:hint="eastAsia" w:ascii="方正仿宋_GBK" w:eastAsia="方正仿宋_GBK" w:cs="方正仿宋_GBK"/>
                <w:b/>
                <w:bCs/>
                <w:highlight w:val="none"/>
              </w:rPr>
              <w:t>项目名称</w:t>
            </w:r>
          </w:p>
        </w:tc>
        <w:tc>
          <w:tcPr>
            <w:tcW w:w="6645" w:type="dxa"/>
            <w:tcBorders>
              <w:top w:val="single" w:color="auto" w:sz="12" w:space="0"/>
            </w:tcBorders>
            <w:noWrap w:val="0"/>
            <w:vAlign w:val="center"/>
          </w:tcPr>
          <w:p w14:paraId="4E992109">
            <w:pPr>
              <w:pStyle w:val="25"/>
              <w:spacing w:line="300" w:lineRule="exact"/>
              <w:jc w:val="center"/>
              <w:rPr>
                <w:rFonts w:ascii="方正仿宋_GBK" w:eastAsia="方正仿宋_GBK"/>
                <w:b/>
                <w:bCs/>
                <w:highlight w:val="none"/>
              </w:rPr>
            </w:pPr>
            <w:r>
              <w:rPr>
                <w:rFonts w:hint="eastAsia" w:ascii="方正仿宋_GBK" w:eastAsia="方正仿宋_GBK" w:cs="方正仿宋_GBK"/>
                <w:b/>
                <w:bCs/>
                <w:highlight w:val="none"/>
              </w:rPr>
              <w:t>主要内容和要求</w:t>
            </w:r>
          </w:p>
        </w:tc>
      </w:tr>
      <w:tr w14:paraId="2C6092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1B98D1F6">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文明</w:t>
            </w:r>
          </w:p>
          <w:p w14:paraId="72F96101">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施工</w:t>
            </w:r>
          </w:p>
          <w:p w14:paraId="49138982">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与</w:t>
            </w:r>
          </w:p>
          <w:p w14:paraId="60C18763">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环境</w:t>
            </w:r>
          </w:p>
          <w:p w14:paraId="3C32CBB1">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保护</w:t>
            </w:r>
          </w:p>
        </w:tc>
        <w:tc>
          <w:tcPr>
            <w:tcW w:w="2070" w:type="dxa"/>
            <w:gridSpan w:val="2"/>
            <w:noWrap w:val="0"/>
            <w:vAlign w:val="center"/>
          </w:tcPr>
          <w:p w14:paraId="063016CF">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安全警示</w:t>
            </w:r>
          </w:p>
          <w:p w14:paraId="25ABD0EC">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标志牌</w:t>
            </w:r>
          </w:p>
        </w:tc>
        <w:tc>
          <w:tcPr>
            <w:tcW w:w="6645" w:type="dxa"/>
            <w:noWrap w:val="0"/>
            <w:vAlign w:val="center"/>
          </w:tcPr>
          <w:p w14:paraId="01C333E5">
            <w:pPr>
              <w:pStyle w:val="25"/>
              <w:spacing w:line="300" w:lineRule="exact"/>
              <w:rPr>
                <w:rFonts w:ascii="方正仿宋_GBK" w:eastAsia="方正仿宋_GBK"/>
                <w:highlight w:val="none"/>
              </w:rPr>
            </w:pPr>
            <w:r>
              <w:rPr>
                <w:rFonts w:hint="eastAsia" w:ascii="方正仿宋_GBK" w:eastAsia="方正仿宋_GBK" w:cs="方正仿宋_GBK"/>
                <w:highlight w:val="none"/>
              </w:rPr>
              <w:t>在易发伤亡事故（或危险）处设置明显的、符合国家标准要求的安全警示标志牌。</w:t>
            </w:r>
          </w:p>
        </w:tc>
      </w:tr>
      <w:tr w14:paraId="207F61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1AC6551">
            <w:pPr>
              <w:pStyle w:val="25"/>
              <w:spacing w:line="300" w:lineRule="exact"/>
              <w:jc w:val="center"/>
              <w:rPr>
                <w:rFonts w:ascii="方正仿宋_GBK" w:eastAsia="方正仿宋_GBK"/>
                <w:highlight w:val="none"/>
              </w:rPr>
            </w:pPr>
          </w:p>
        </w:tc>
        <w:tc>
          <w:tcPr>
            <w:tcW w:w="2070" w:type="dxa"/>
            <w:gridSpan w:val="2"/>
            <w:noWrap w:val="0"/>
            <w:vAlign w:val="center"/>
          </w:tcPr>
          <w:p w14:paraId="41FBC1A6">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现场围挡</w:t>
            </w:r>
          </w:p>
        </w:tc>
        <w:tc>
          <w:tcPr>
            <w:tcW w:w="6645" w:type="dxa"/>
            <w:noWrap w:val="0"/>
            <w:vAlign w:val="center"/>
          </w:tcPr>
          <w:p w14:paraId="341C5CFE">
            <w:pPr>
              <w:pStyle w:val="25"/>
              <w:spacing w:line="300" w:lineRule="exact"/>
              <w:rPr>
                <w:rFonts w:ascii="方正仿宋_GBK" w:eastAsia="方正仿宋_GBK"/>
                <w:highlight w:val="none"/>
              </w:rPr>
            </w:pPr>
            <w:r>
              <w:rPr>
                <w:rFonts w:ascii="方正仿宋_GBK" w:eastAsia="方正仿宋_GBK" w:cs="方正仿宋_GBK"/>
                <w:highlight w:val="none"/>
              </w:rPr>
              <w:t xml:space="preserve">1. </w:t>
            </w:r>
            <w:r>
              <w:rPr>
                <w:rFonts w:hint="eastAsia" w:ascii="方正仿宋_GBK" w:eastAsia="方正仿宋_GBK" w:cs="方正仿宋_GBK"/>
                <w:highlight w:val="none"/>
              </w:rPr>
              <w:t>现场采用封闭围挡，高度不小于</w:t>
            </w:r>
            <w:r>
              <w:rPr>
                <w:rFonts w:ascii="方正仿宋_GBK" w:eastAsia="方正仿宋_GBK" w:cs="方正仿宋_GBK"/>
                <w:highlight w:val="none"/>
              </w:rPr>
              <w:t>1.8m</w:t>
            </w:r>
            <w:r>
              <w:rPr>
                <w:rFonts w:hint="eastAsia" w:ascii="方正仿宋_GBK" w:eastAsia="方正仿宋_GBK" w:cs="方正仿宋_GBK"/>
                <w:highlight w:val="none"/>
              </w:rPr>
              <w:t>。</w:t>
            </w:r>
          </w:p>
          <w:p w14:paraId="73DE8ED5">
            <w:pPr>
              <w:pStyle w:val="25"/>
              <w:spacing w:line="300" w:lineRule="exact"/>
              <w:rPr>
                <w:rFonts w:ascii="方正仿宋_GBK" w:eastAsia="方正仿宋_GBK"/>
                <w:highlight w:val="none"/>
              </w:rPr>
            </w:pPr>
            <w:r>
              <w:rPr>
                <w:rFonts w:ascii="方正仿宋_GBK" w:eastAsia="方正仿宋_GBK" w:cs="方正仿宋_GBK"/>
                <w:highlight w:val="none"/>
              </w:rPr>
              <w:t xml:space="preserve">2. </w:t>
            </w:r>
            <w:r>
              <w:rPr>
                <w:rFonts w:hint="eastAsia" w:ascii="方正仿宋_GBK" w:eastAsia="方正仿宋_GBK" w:cs="方正仿宋_GBK"/>
                <w:highlight w:val="none"/>
              </w:rPr>
              <w:t>围挡材料可用彩色、定型钢板，砌块等墙体。</w:t>
            </w:r>
          </w:p>
        </w:tc>
      </w:tr>
      <w:tr w14:paraId="3FA847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63E9350">
            <w:pPr>
              <w:pStyle w:val="25"/>
              <w:spacing w:line="300" w:lineRule="exact"/>
              <w:jc w:val="center"/>
              <w:rPr>
                <w:rFonts w:ascii="方正仿宋_GBK" w:eastAsia="方正仿宋_GBK"/>
                <w:highlight w:val="none"/>
              </w:rPr>
            </w:pPr>
          </w:p>
        </w:tc>
        <w:tc>
          <w:tcPr>
            <w:tcW w:w="2070" w:type="dxa"/>
            <w:gridSpan w:val="2"/>
            <w:noWrap w:val="0"/>
            <w:vAlign w:val="center"/>
          </w:tcPr>
          <w:p w14:paraId="03694DE5">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七牌二图</w:t>
            </w:r>
          </w:p>
        </w:tc>
        <w:tc>
          <w:tcPr>
            <w:tcW w:w="6645" w:type="dxa"/>
            <w:noWrap w:val="0"/>
            <w:vAlign w:val="center"/>
          </w:tcPr>
          <w:p w14:paraId="5031764A">
            <w:pPr>
              <w:pStyle w:val="25"/>
              <w:spacing w:line="300" w:lineRule="exact"/>
              <w:rPr>
                <w:rFonts w:ascii="方正仿宋_GBK" w:eastAsia="方正仿宋_GBK"/>
                <w:highlight w:val="none"/>
              </w:rPr>
            </w:pPr>
            <w:r>
              <w:rPr>
                <w:rFonts w:hint="eastAsia" w:ascii="方正仿宋_GBK" w:eastAsia="方正仿宋_GBK" w:cs="方正仿宋_GBK"/>
                <w:highlight w:val="none"/>
              </w:rPr>
              <w:t>在进门处悬挂工程概况、现场出入制度、管理人员名单及监督电话、安全生产规定、文明施工、消防保卫、节能公示等七牌以及施工现场总平面图、工程效果图。</w:t>
            </w:r>
          </w:p>
        </w:tc>
      </w:tr>
      <w:tr w14:paraId="733456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738" w:type="dxa"/>
            <w:vMerge w:val="continue"/>
            <w:noWrap w:val="0"/>
            <w:vAlign w:val="center"/>
          </w:tcPr>
          <w:p w14:paraId="59D21F34">
            <w:pPr>
              <w:pStyle w:val="25"/>
              <w:spacing w:line="300" w:lineRule="exact"/>
              <w:jc w:val="center"/>
              <w:rPr>
                <w:rFonts w:ascii="方正仿宋_GBK" w:eastAsia="方正仿宋_GBK"/>
                <w:highlight w:val="none"/>
              </w:rPr>
            </w:pPr>
          </w:p>
        </w:tc>
        <w:tc>
          <w:tcPr>
            <w:tcW w:w="2070" w:type="dxa"/>
            <w:gridSpan w:val="2"/>
            <w:noWrap w:val="0"/>
            <w:vAlign w:val="center"/>
          </w:tcPr>
          <w:p w14:paraId="09887B60">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企业标志</w:t>
            </w:r>
          </w:p>
        </w:tc>
        <w:tc>
          <w:tcPr>
            <w:tcW w:w="6645" w:type="dxa"/>
            <w:noWrap w:val="0"/>
            <w:vAlign w:val="center"/>
          </w:tcPr>
          <w:p w14:paraId="1690D918">
            <w:pPr>
              <w:pStyle w:val="25"/>
              <w:spacing w:line="300" w:lineRule="exact"/>
              <w:rPr>
                <w:rFonts w:ascii="方正仿宋_GBK" w:eastAsia="方正仿宋_GBK"/>
                <w:highlight w:val="none"/>
              </w:rPr>
            </w:pPr>
            <w:r>
              <w:rPr>
                <w:rFonts w:hint="eastAsia" w:ascii="方正仿宋_GBK" w:eastAsia="方正仿宋_GBK" w:cs="方正仿宋_GBK"/>
                <w:highlight w:val="none"/>
              </w:rPr>
              <w:t>现场出入的大门应设有本企业标志或企业标识。</w:t>
            </w:r>
          </w:p>
        </w:tc>
      </w:tr>
      <w:tr w14:paraId="43D9D2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6B8E6EF">
            <w:pPr>
              <w:pStyle w:val="25"/>
              <w:spacing w:line="300" w:lineRule="exact"/>
              <w:jc w:val="center"/>
              <w:rPr>
                <w:rFonts w:ascii="方正仿宋_GBK" w:eastAsia="方正仿宋_GBK"/>
                <w:highlight w:val="none"/>
              </w:rPr>
            </w:pPr>
          </w:p>
        </w:tc>
        <w:tc>
          <w:tcPr>
            <w:tcW w:w="2070" w:type="dxa"/>
            <w:gridSpan w:val="2"/>
            <w:noWrap w:val="0"/>
            <w:vAlign w:val="center"/>
          </w:tcPr>
          <w:p w14:paraId="2AA6693C">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场容场貌</w:t>
            </w:r>
          </w:p>
        </w:tc>
        <w:tc>
          <w:tcPr>
            <w:tcW w:w="6645" w:type="dxa"/>
            <w:noWrap w:val="0"/>
            <w:vAlign w:val="center"/>
          </w:tcPr>
          <w:p w14:paraId="0989FA75">
            <w:pPr>
              <w:pStyle w:val="25"/>
              <w:spacing w:line="300" w:lineRule="exact"/>
              <w:rPr>
                <w:rFonts w:ascii="方正仿宋_GBK" w:eastAsia="方正仿宋_GBK"/>
                <w:highlight w:val="none"/>
              </w:rPr>
            </w:pPr>
            <w:r>
              <w:rPr>
                <w:rFonts w:ascii="方正仿宋_GBK" w:eastAsia="方正仿宋_GBK" w:cs="方正仿宋_GBK"/>
                <w:highlight w:val="none"/>
              </w:rPr>
              <w:t xml:space="preserve">1. </w:t>
            </w:r>
            <w:r>
              <w:rPr>
                <w:rFonts w:hint="eastAsia" w:ascii="方正仿宋_GBK" w:eastAsia="方正仿宋_GBK" w:cs="方正仿宋_GBK"/>
                <w:highlight w:val="none"/>
              </w:rPr>
              <w:t>道路畅通。</w:t>
            </w:r>
          </w:p>
          <w:p w14:paraId="4A1FC2A9">
            <w:pPr>
              <w:pStyle w:val="25"/>
              <w:spacing w:line="300" w:lineRule="exact"/>
              <w:rPr>
                <w:rFonts w:ascii="方正仿宋_GBK" w:eastAsia="方正仿宋_GBK"/>
                <w:highlight w:val="none"/>
              </w:rPr>
            </w:pPr>
            <w:r>
              <w:rPr>
                <w:rFonts w:ascii="方正仿宋_GBK" w:eastAsia="方正仿宋_GBK" w:cs="方正仿宋_GBK"/>
                <w:highlight w:val="none"/>
              </w:rPr>
              <w:t xml:space="preserve">2. </w:t>
            </w:r>
            <w:r>
              <w:rPr>
                <w:rFonts w:hint="eastAsia" w:ascii="方正仿宋_GBK" w:eastAsia="方正仿宋_GBK" w:cs="方正仿宋_GBK"/>
                <w:highlight w:val="none"/>
              </w:rPr>
              <w:t>排水设施齐全畅通。</w:t>
            </w:r>
          </w:p>
          <w:p w14:paraId="6A73AEAA">
            <w:pPr>
              <w:pStyle w:val="25"/>
              <w:spacing w:line="300" w:lineRule="exact"/>
              <w:rPr>
                <w:rFonts w:ascii="方正仿宋_GBK" w:eastAsia="方正仿宋_GBK"/>
                <w:highlight w:val="none"/>
              </w:rPr>
            </w:pPr>
            <w:r>
              <w:rPr>
                <w:rFonts w:ascii="方正仿宋_GBK" w:eastAsia="方正仿宋_GBK" w:cs="方正仿宋_GBK"/>
                <w:highlight w:val="none"/>
              </w:rPr>
              <w:t xml:space="preserve">3. </w:t>
            </w:r>
            <w:r>
              <w:rPr>
                <w:rFonts w:hint="eastAsia" w:ascii="方正仿宋_GBK" w:eastAsia="方正仿宋_GBK" w:cs="方正仿宋_GBK"/>
                <w:highlight w:val="none"/>
              </w:rPr>
              <w:t>工地地面硬化处理（办公区、生活区、现场道路、材料堆放、混凝土搅拌、砂浆搅拌、钢筋加工等场地和外脚手架基础等）。</w:t>
            </w:r>
          </w:p>
        </w:tc>
      </w:tr>
      <w:tr w14:paraId="4CA361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499A521">
            <w:pPr>
              <w:pStyle w:val="25"/>
              <w:spacing w:line="300" w:lineRule="exact"/>
              <w:jc w:val="center"/>
              <w:rPr>
                <w:rFonts w:ascii="方正仿宋_GBK" w:eastAsia="方正仿宋_GBK"/>
                <w:highlight w:val="none"/>
              </w:rPr>
            </w:pPr>
          </w:p>
        </w:tc>
        <w:tc>
          <w:tcPr>
            <w:tcW w:w="2070" w:type="dxa"/>
            <w:gridSpan w:val="2"/>
            <w:noWrap w:val="0"/>
            <w:vAlign w:val="center"/>
          </w:tcPr>
          <w:p w14:paraId="425D062B">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材料堆放</w:t>
            </w:r>
          </w:p>
        </w:tc>
        <w:tc>
          <w:tcPr>
            <w:tcW w:w="6645" w:type="dxa"/>
            <w:noWrap w:val="0"/>
            <w:vAlign w:val="center"/>
          </w:tcPr>
          <w:p w14:paraId="5A764611">
            <w:pPr>
              <w:pStyle w:val="25"/>
              <w:numPr>
                <w:ilvl w:val="0"/>
                <w:numId w:val="4"/>
              </w:numPr>
              <w:spacing w:line="300" w:lineRule="exact"/>
              <w:rPr>
                <w:rFonts w:ascii="方正仿宋_GBK" w:eastAsia="方正仿宋_GBK"/>
                <w:highlight w:val="none"/>
              </w:rPr>
            </w:pPr>
            <w:r>
              <w:rPr>
                <w:rFonts w:hint="eastAsia" w:ascii="方正仿宋_GBK" w:eastAsia="方正仿宋_GBK" w:cs="方正仿宋_GBK"/>
                <w:highlight w:val="none"/>
              </w:rPr>
              <w:t>材料、构件、料具等堆放时，应有名称、品种、规格等标牌。</w:t>
            </w:r>
          </w:p>
          <w:p w14:paraId="3C72A6DB">
            <w:pPr>
              <w:pStyle w:val="25"/>
              <w:spacing w:line="300" w:lineRule="exact"/>
              <w:rPr>
                <w:rFonts w:ascii="方正仿宋_GBK" w:eastAsia="方正仿宋_GBK"/>
                <w:highlight w:val="none"/>
              </w:rPr>
            </w:pPr>
            <w:r>
              <w:rPr>
                <w:rFonts w:ascii="方正仿宋_GBK" w:eastAsia="方正仿宋_GBK" w:cs="方正仿宋_GBK"/>
                <w:highlight w:val="none"/>
              </w:rPr>
              <w:t xml:space="preserve">2. </w:t>
            </w:r>
            <w:r>
              <w:rPr>
                <w:rFonts w:hint="eastAsia" w:ascii="方正仿宋_GBK" w:eastAsia="方正仿宋_GBK" w:cs="方正仿宋_GBK"/>
                <w:highlight w:val="none"/>
              </w:rPr>
              <w:t>水泥和其它易飞扬细颗粒建筑材料应封闭存放或采取覆盖等措施。</w:t>
            </w:r>
          </w:p>
          <w:p w14:paraId="6BD0FB9D">
            <w:pPr>
              <w:pStyle w:val="25"/>
              <w:spacing w:line="300" w:lineRule="exact"/>
              <w:rPr>
                <w:rFonts w:ascii="方正仿宋_GBK" w:eastAsia="方正仿宋_GBK"/>
                <w:highlight w:val="none"/>
              </w:rPr>
            </w:pPr>
            <w:r>
              <w:rPr>
                <w:rFonts w:ascii="方正仿宋_GBK" w:eastAsia="方正仿宋_GBK" w:cs="方正仿宋_GBK"/>
                <w:highlight w:val="none"/>
              </w:rPr>
              <w:t xml:space="preserve">3. </w:t>
            </w:r>
            <w:r>
              <w:rPr>
                <w:rFonts w:hint="eastAsia" w:ascii="方正仿宋_GBK" w:eastAsia="方正仿宋_GBK" w:cs="方正仿宋_GBK"/>
                <w:highlight w:val="none"/>
              </w:rPr>
              <w:t>易燃、易爆和有毒有害物品分类存放。</w:t>
            </w:r>
          </w:p>
        </w:tc>
      </w:tr>
      <w:tr w14:paraId="3B40AF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7C5E6CF6">
            <w:pPr>
              <w:pStyle w:val="25"/>
              <w:spacing w:line="300" w:lineRule="exact"/>
              <w:jc w:val="center"/>
              <w:rPr>
                <w:rFonts w:ascii="方正仿宋_GBK" w:eastAsia="方正仿宋_GBK"/>
                <w:highlight w:val="none"/>
              </w:rPr>
            </w:pPr>
          </w:p>
        </w:tc>
        <w:tc>
          <w:tcPr>
            <w:tcW w:w="2070" w:type="dxa"/>
            <w:gridSpan w:val="2"/>
            <w:noWrap w:val="0"/>
            <w:vAlign w:val="center"/>
          </w:tcPr>
          <w:p w14:paraId="6C742665">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现场防火</w:t>
            </w:r>
          </w:p>
        </w:tc>
        <w:tc>
          <w:tcPr>
            <w:tcW w:w="6645" w:type="dxa"/>
            <w:noWrap w:val="0"/>
            <w:vAlign w:val="center"/>
          </w:tcPr>
          <w:p w14:paraId="06F14E2F">
            <w:pPr>
              <w:pStyle w:val="25"/>
              <w:spacing w:line="300" w:lineRule="exact"/>
              <w:rPr>
                <w:rFonts w:ascii="方正仿宋_GBK" w:eastAsia="方正仿宋_GBK"/>
                <w:highlight w:val="none"/>
              </w:rPr>
            </w:pPr>
            <w:r>
              <w:rPr>
                <w:rFonts w:hint="eastAsia" w:ascii="方正仿宋_GBK" w:eastAsia="方正仿宋_GBK" w:cs="方正仿宋_GBK"/>
                <w:highlight w:val="none"/>
              </w:rPr>
              <w:t>消防器材配置合理，符合消防要求。</w:t>
            </w:r>
          </w:p>
        </w:tc>
      </w:tr>
      <w:tr w14:paraId="4D9EED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3D23BDC">
            <w:pPr>
              <w:pStyle w:val="25"/>
              <w:spacing w:line="300" w:lineRule="exact"/>
              <w:jc w:val="center"/>
              <w:rPr>
                <w:rFonts w:ascii="方正仿宋_GBK" w:eastAsia="方正仿宋_GBK"/>
                <w:highlight w:val="none"/>
              </w:rPr>
            </w:pPr>
          </w:p>
        </w:tc>
        <w:tc>
          <w:tcPr>
            <w:tcW w:w="2070" w:type="dxa"/>
            <w:gridSpan w:val="2"/>
            <w:noWrap w:val="0"/>
            <w:vAlign w:val="center"/>
          </w:tcPr>
          <w:p w14:paraId="3F9C9AAF">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垃圾清运</w:t>
            </w:r>
          </w:p>
        </w:tc>
        <w:tc>
          <w:tcPr>
            <w:tcW w:w="6645" w:type="dxa"/>
            <w:noWrap w:val="0"/>
            <w:vAlign w:val="center"/>
          </w:tcPr>
          <w:p w14:paraId="26E01E60">
            <w:pPr>
              <w:pStyle w:val="25"/>
              <w:spacing w:line="300" w:lineRule="exact"/>
              <w:rPr>
                <w:rFonts w:ascii="方正仿宋_GBK" w:eastAsia="方正仿宋_GBK"/>
                <w:highlight w:val="none"/>
              </w:rPr>
            </w:pPr>
            <w:r>
              <w:rPr>
                <w:rFonts w:ascii="方正仿宋_GBK" w:eastAsia="方正仿宋_GBK" w:cs="方正仿宋_GBK"/>
                <w:highlight w:val="none"/>
              </w:rPr>
              <w:t xml:space="preserve">1. </w:t>
            </w:r>
            <w:r>
              <w:rPr>
                <w:rFonts w:hint="eastAsia" w:ascii="方正仿宋_GBK" w:eastAsia="方正仿宋_GBK" w:cs="方正仿宋_GBK"/>
                <w:highlight w:val="none"/>
              </w:rPr>
              <w:t>施工现场应设置密闭式垃圾站，施工垃圾、生活垃圾应分类存放。</w:t>
            </w:r>
          </w:p>
          <w:p w14:paraId="2C04D531">
            <w:pPr>
              <w:pStyle w:val="25"/>
              <w:spacing w:line="300" w:lineRule="exact"/>
              <w:rPr>
                <w:rFonts w:ascii="方正仿宋_GBK" w:eastAsia="方正仿宋_GBK"/>
                <w:highlight w:val="none"/>
              </w:rPr>
            </w:pPr>
            <w:r>
              <w:rPr>
                <w:rFonts w:ascii="方正仿宋_GBK" w:eastAsia="方正仿宋_GBK" w:cs="方正仿宋_GBK"/>
                <w:highlight w:val="none"/>
              </w:rPr>
              <w:t xml:space="preserve">2. </w:t>
            </w:r>
            <w:r>
              <w:rPr>
                <w:rFonts w:hint="eastAsia" w:ascii="方正仿宋_GBK" w:eastAsia="方正仿宋_GBK" w:cs="方正仿宋_GBK"/>
                <w:highlight w:val="none"/>
              </w:rPr>
              <w:t>施工垃圾必须采用相应容器或管道运输。</w:t>
            </w:r>
          </w:p>
        </w:tc>
      </w:tr>
      <w:tr w14:paraId="065948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7D7D4CF">
            <w:pPr>
              <w:pStyle w:val="25"/>
              <w:spacing w:line="300" w:lineRule="exact"/>
              <w:jc w:val="center"/>
              <w:rPr>
                <w:rFonts w:ascii="方正仿宋_GBK" w:eastAsia="方正仿宋_GBK"/>
                <w:highlight w:val="none"/>
              </w:rPr>
            </w:pPr>
          </w:p>
        </w:tc>
        <w:tc>
          <w:tcPr>
            <w:tcW w:w="2070" w:type="dxa"/>
            <w:gridSpan w:val="2"/>
            <w:noWrap w:val="0"/>
            <w:vAlign w:val="center"/>
          </w:tcPr>
          <w:p w14:paraId="1FCE7B37">
            <w:pPr>
              <w:pStyle w:val="25"/>
              <w:spacing w:line="300" w:lineRule="exact"/>
              <w:rPr>
                <w:rFonts w:ascii="方正仿宋_GBK" w:eastAsia="方正仿宋_GBK"/>
                <w:highlight w:val="none"/>
              </w:rPr>
            </w:pPr>
            <w:r>
              <w:rPr>
                <w:rFonts w:hint="eastAsia" w:ascii="方正仿宋_GBK" w:eastAsia="方正仿宋_GBK" w:cs="方正仿宋_GBK"/>
                <w:highlight w:val="none"/>
              </w:rPr>
              <w:t>宣传栏、环保及不扰民措施</w:t>
            </w:r>
          </w:p>
        </w:tc>
        <w:tc>
          <w:tcPr>
            <w:tcW w:w="6645" w:type="dxa"/>
            <w:noWrap w:val="0"/>
            <w:vAlign w:val="center"/>
          </w:tcPr>
          <w:p w14:paraId="5F7D87A0">
            <w:pPr>
              <w:pStyle w:val="25"/>
              <w:spacing w:line="300" w:lineRule="exact"/>
              <w:rPr>
                <w:rFonts w:ascii="方正仿宋_GBK" w:eastAsia="方正仿宋_GBK"/>
                <w:highlight w:val="none"/>
              </w:rPr>
            </w:pPr>
            <w:r>
              <w:rPr>
                <w:rFonts w:hint="eastAsia" w:ascii="方正仿宋_GBK" w:eastAsia="方正仿宋_GBK" w:cs="方正仿宋_GBK"/>
                <w:highlight w:val="none"/>
              </w:rPr>
              <w:t>宣传栏、安全宣传标语等，洗车（防止污染市区道路）、粉尘、噪声控制和排污（污水、废气）措施等。</w:t>
            </w:r>
          </w:p>
        </w:tc>
      </w:tr>
      <w:tr w14:paraId="583306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26B1249B">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临时设施</w:t>
            </w:r>
          </w:p>
        </w:tc>
        <w:tc>
          <w:tcPr>
            <w:tcW w:w="2070" w:type="dxa"/>
            <w:gridSpan w:val="2"/>
            <w:noWrap w:val="0"/>
            <w:vAlign w:val="center"/>
          </w:tcPr>
          <w:p w14:paraId="55556179">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现场办公</w:t>
            </w:r>
          </w:p>
          <w:p w14:paraId="74B15AD1">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生活设施</w:t>
            </w:r>
          </w:p>
        </w:tc>
        <w:tc>
          <w:tcPr>
            <w:tcW w:w="6645" w:type="dxa"/>
            <w:noWrap w:val="0"/>
            <w:vAlign w:val="center"/>
          </w:tcPr>
          <w:p w14:paraId="7746472D">
            <w:pPr>
              <w:pStyle w:val="25"/>
              <w:spacing w:line="300" w:lineRule="exact"/>
              <w:rPr>
                <w:rFonts w:ascii="方正仿宋_GBK" w:eastAsia="方正仿宋_GBK"/>
                <w:highlight w:val="none"/>
              </w:rPr>
            </w:pPr>
            <w:r>
              <w:rPr>
                <w:rFonts w:ascii="方正仿宋_GBK" w:eastAsia="方正仿宋_GBK" w:cs="方正仿宋_GBK"/>
                <w:highlight w:val="none"/>
              </w:rPr>
              <w:t xml:space="preserve">1. </w:t>
            </w:r>
            <w:r>
              <w:rPr>
                <w:rFonts w:hint="eastAsia" w:ascii="方正仿宋_GBK" w:eastAsia="方正仿宋_GBK" w:cs="方正仿宋_GBK"/>
                <w:highlight w:val="none"/>
              </w:rPr>
              <w:t>施工现场办公、生活区与作业区分开设置，保持安全距离。</w:t>
            </w:r>
          </w:p>
          <w:p w14:paraId="6C184886">
            <w:pPr>
              <w:pStyle w:val="25"/>
              <w:spacing w:line="300" w:lineRule="exact"/>
              <w:rPr>
                <w:rFonts w:ascii="方正仿宋_GBK" w:eastAsia="方正仿宋_GBK"/>
                <w:highlight w:val="none"/>
              </w:rPr>
            </w:pPr>
            <w:r>
              <w:rPr>
                <w:rFonts w:ascii="方正仿宋_GBK" w:eastAsia="方正仿宋_GBK" w:cs="方正仿宋_GBK"/>
                <w:highlight w:val="none"/>
              </w:rPr>
              <w:t xml:space="preserve">2. </w:t>
            </w:r>
            <w:r>
              <w:rPr>
                <w:rFonts w:hint="eastAsia" w:ascii="方正仿宋_GBK" w:eastAsia="方正仿宋_GBK" w:cs="方正仿宋_GBK"/>
                <w:highlight w:val="none"/>
              </w:rPr>
              <w:t>工地办公室、现场宿舍、食堂、厕所、饮水、沐浴、休息场所等符合卫生、消防安全要求。</w:t>
            </w:r>
          </w:p>
        </w:tc>
      </w:tr>
      <w:tr w14:paraId="686AB4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39E30C3">
            <w:pPr>
              <w:pStyle w:val="25"/>
              <w:spacing w:line="300" w:lineRule="exact"/>
              <w:jc w:val="center"/>
              <w:rPr>
                <w:rFonts w:ascii="方正仿宋_GBK" w:eastAsia="方正仿宋_GBK"/>
                <w:highlight w:val="none"/>
              </w:rPr>
            </w:pPr>
          </w:p>
        </w:tc>
        <w:tc>
          <w:tcPr>
            <w:tcW w:w="525" w:type="dxa"/>
            <w:vMerge w:val="restart"/>
            <w:noWrap w:val="0"/>
            <w:vAlign w:val="center"/>
          </w:tcPr>
          <w:p w14:paraId="5EE22F43">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施工现场</w:t>
            </w:r>
          </w:p>
          <w:p w14:paraId="765D0843">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临时用电</w:t>
            </w:r>
          </w:p>
        </w:tc>
        <w:tc>
          <w:tcPr>
            <w:tcW w:w="1545" w:type="dxa"/>
            <w:noWrap w:val="0"/>
            <w:vAlign w:val="center"/>
          </w:tcPr>
          <w:p w14:paraId="168FCE34">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配电线路</w:t>
            </w:r>
          </w:p>
        </w:tc>
        <w:tc>
          <w:tcPr>
            <w:tcW w:w="6645" w:type="dxa"/>
            <w:noWrap w:val="0"/>
            <w:vAlign w:val="center"/>
          </w:tcPr>
          <w:p w14:paraId="137E3843">
            <w:pPr>
              <w:pStyle w:val="25"/>
              <w:spacing w:line="300" w:lineRule="exact"/>
              <w:rPr>
                <w:rFonts w:ascii="方正仿宋_GBK" w:eastAsia="方正仿宋_GBK"/>
                <w:highlight w:val="none"/>
              </w:rPr>
            </w:pPr>
            <w:r>
              <w:rPr>
                <w:rFonts w:ascii="方正仿宋_GBK" w:eastAsia="方正仿宋_GBK" w:cs="方正仿宋_GBK"/>
                <w:highlight w:val="none"/>
              </w:rPr>
              <w:t xml:space="preserve">1. </w:t>
            </w:r>
            <w:r>
              <w:rPr>
                <w:rFonts w:hint="eastAsia" w:ascii="方正仿宋_GBK" w:eastAsia="方正仿宋_GBK" w:cs="方正仿宋_GBK"/>
                <w:highlight w:val="none"/>
              </w:rPr>
              <w:t>按照</w:t>
            </w:r>
            <w:r>
              <w:rPr>
                <w:rFonts w:ascii="方正仿宋_GBK" w:eastAsia="方正仿宋_GBK" w:cs="方正仿宋_GBK"/>
                <w:highlight w:val="none"/>
              </w:rPr>
              <w:t>TN-S</w:t>
            </w:r>
            <w:r>
              <w:rPr>
                <w:rFonts w:hint="eastAsia" w:ascii="方正仿宋_GBK" w:eastAsia="方正仿宋_GBK" w:cs="方正仿宋_GBK"/>
                <w:highlight w:val="none"/>
              </w:rPr>
              <w:t>系统要求配备五芯电缆、四芯电缆和三芯电缆。</w:t>
            </w:r>
          </w:p>
          <w:p w14:paraId="182D9893">
            <w:pPr>
              <w:pStyle w:val="25"/>
              <w:spacing w:line="300" w:lineRule="exact"/>
              <w:rPr>
                <w:rFonts w:ascii="方正仿宋_GBK" w:eastAsia="方正仿宋_GBK"/>
                <w:highlight w:val="none"/>
              </w:rPr>
            </w:pPr>
            <w:r>
              <w:rPr>
                <w:rFonts w:ascii="方正仿宋_GBK" w:eastAsia="方正仿宋_GBK" w:cs="方正仿宋_GBK"/>
                <w:highlight w:val="none"/>
              </w:rPr>
              <w:t xml:space="preserve">2. </w:t>
            </w:r>
            <w:r>
              <w:rPr>
                <w:rFonts w:hint="eastAsia" w:ascii="方正仿宋_GBK" w:eastAsia="方正仿宋_GBK" w:cs="方正仿宋_GBK"/>
                <w:highlight w:val="none"/>
              </w:rPr>
              <w:t>按要求架设临时用电线路的电杆、横担、瓷夹、瓷瓶等，或电缆埋地的地沟。</w:t>
            </w:r>
          </w:p>
          <w:p w14:paraId="0406CFA6">
            <w:pPr>
              <w:pStyle w:val="25"/>
              <w:spacing w:line="300" w:lineRule="exact"/>
              <w:rPr>
                <w:rFonts w:ascii="方正仿宋_GBK" w:eastAsia="方正仿宋_GBK"/>
                <w:highlight w:val="none"/>
              </w:rPr>
            </w:pPr>
            <w:r>
              <w:rPr>
                <w:rFonts w:ascii="方正仿宋_GBK" w:eastAsia="方正仿宋_GBK" w:cs="方正仿宋_GBK"/>
                <w:highlight w:val="none"/>
              </w:rPr>
              <w:t xml:space="preserve">3. </w:t>
            </w:r>
            <w:r>
              <w:rPr>
                <w:rFonts w:hint="eastAsia" w:ascii="方正仿宋_GBK" w:eastAsia="方正仿宋_GBK" w:cs="方正仿宋_GBK"/>
                <w:highlight w:val="none"/>
              </w:rPr>
              <w:t>对靠近施工现场的外电线路，设置木质、塑料等绝缘体的防护设施。</w:t>
            </w:r>
          </w:p>
        </w:tc>
      </w:tr>
      <w:tr w14:paraId="587C8B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BF7B2BF">
            <w:pPr>
              <w:pStyle w:val="25"/>
              <w:spacing w:line="300" w:lineRule="exact"/>
              <w:jc w:val="center"/>
              <w:rPr>
                <w:rFonts w:ascii="方正仿宋_GBK" w:eastAsia="方正仿宋_GBK"/>
                <w:highlight w:val="none"/>
              </w:rPr>
            </w:pPr>
          </w:p>
        </w:tc>
        <w:tc>
          <w:tcPr>
            <w:tcW w:w="525" w:type="dxa"/>
            <w:vMerge w:val="continue"/>
            <w:noWrap w:val="0"/>
            <w:vAlign w:val="center"/>
          </w:tcPr>
          <w:p w14:paraId="04648607">
            <w:pPr>
              <w:pStyle w:val="25"/>
              <w:spacing w:line="300" w:lineRule="exact"/>
              <w:jc w:val="center"/>
              <w:rPr>
                <w:rFonts w:ascii="方正仿宋_GBK" w:eastAsia="方正仿宋_GBK"/>
                <w:highlight w:val="none"/>
              </w:rPr>
            </w:pPr>
          </w:p>
        </w:tc>
        <w:tc>
          <w:tcPr>
            <w:tcW w:w="1545" w:type="dxa"/>
            <w:noWrap w:val="0"/>
            <w:vAlign w:val="center"/>
          </w:tcPr>
          <w:p w14:paraId="5DFDC9F4">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配电箱</w:t>
            </w:r>
          </w:p>
          <w:p w14:paraId="6D33C8DF">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开关箱</w:t>
            </w:r>
          </w:p>
        </w:tc>
        <w:tc>
          <w:tcPr>
            <w:tcW w:w="6645" w:type="dxa"/>
            <w:noWrap w:val="0"/>
            <w:vAlign w:val="center"/>
          </w:tcPr>
          <w:p w14:paraId="3CAE2292">
            <w:pPr>
              <w:pStyle w:val="25"/>
              <w:spacing w:line="300" w:lineRule="exact"/>
              <w:rPr>
                <w:rFonts w:ascii="方正仿宋_GBK" w:eastAsia="方正仿宋_GBK"/>
                <w:highlight w:val="none"/>
              </w:rPr>
            </w:pPr>
            <w:r>
              <w:rPr>
                <w:rFonts w:ascii="方正仿宋_GBK" w:eastAsia="方正仿宋_GBK" w:cs="方正仿宋_GBK"/>
                <w:highlight w:val="none"/>
              </w:rPr>
              <w:t xml:space="preserve">1. </w:t>
            </w:r>
            <w:r>
              <w:rPr>
                <w:rFonts w:hint="eastAsia" w:ascii="方正仿宋_GBK" w:eastAsia="方正仿宋_GBK" w:cs="方正仿宋_GBK"/>
                <w:highlight w:val="none"/>
              </w:rPr>
              <w:t>按三级配电要求，配备总配电箱、分配电箱、开关箱三类（铁质）标准电箱，开关箱应符合“一机、一箱、一闸、一漏”，三类电箱中的各类电器应是合格品。</w:t>
            </w:r>
          </w:p>
          <w:p w14:paraId="05290F8C">
            <w:pPr>
              <w:pStyle w:val="25"/>
              <w:spacing w:line="300" w:lineRule="exact"/>
              <w:rPr>
                <w:rFonts w:ascii="方正仿宋_GBK" w:eastAsia="方正仿宋_GBK"/>
                <w:highlight w:val="none"/>
              </w:rPr>
            </w:pPr>
            <w:r>
              <w:rPr>
                <w:rFonts w:ascii="方正仿宋_GBK" w:eastAsia="方正仿宋_GBK" w:cs="方正仿宋_GBK"/>
                <w:highlight w:val="none"/>
              </w:rPr>
              <w:t xml:space="preserve">2. </w:t>
            </w:r>
            <w:r>
              <w:rPr>
                <w:rFonts w:hint="eastAsia" w:ascii="方正仿宋_GBK" w:eastAsia="方正仿宋_GBK" w:cs="方正仿宋_GBK"/>
                <w:highlight w:val="none"/>
              </w:rPr>
              <w:t>按两级保护的要求，选取符合容量要求和质量合格的总配电箱和开关箱中的漏电保护器。</w:t>
            </w:r>
          </w:p>
          <w:p w14:paraId="5A24439E">
            <w:pPr>
              <w:pStyle w:val="25"/>
              <w:spacing w:line="300" w:lineRule="exact"/>
              <w:rPr>
                <w:rFonts w:ascii="方正仿宋_GBK" w:eastAsia="方正仿宋_GBK"/>
                <w:highlight w:val="none"/>
              </w:rPr>
            </w:pPr>
            <w:r>
              <w:rPr>
                <w:rFonts w:ascii="方正仿宋_GBK" w:eastAsia="方正仿宋_GBK" w:cs="方正仿宋_GBK"/>
                <w:highlight w:val="none"/>
              </w:rPr>
              <w:t xml:space="preserve">3. </w:t>
            </w:r>
            <w:r>
              <w:rPr>
                <w:rFonts w:hint="eastAsia" w:ascii="方正仿宋_GBK" w:eastAsia="方正仿宋_GBK" w:cs="方正仿宋_GBK"/>
                <w:highlight w:val="none"/>
              </w:rPr>
              <w:t>对大型、落地式分配电箱、开关箱设置防护棚和通透式围挡。</w:t>
            </w:r>
          </w:p>
        </w:tc>
      </w:tr>
      <w:tr w14:paraId="4FA3ED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738" w:type="dxa"/>
            <w:vMerge w:val="continue"/>
            <w:noWrap w:val="0"/>
            <w:vAlign w:val="center"/>
          </w:tcPr>
          <w:p w14:paraId="77F499E0">
            <w:pPr>
              <w:pStyle w:val="25"/>
              <w:spacing w:line="300" w:lineRule="exact"/>
              <w:jc w:val="center"/>
              <w:rPr>
                <w:rFonts w:ascii="方正仿宋_GBK" w:eastAsia="方正仿宋_GBK"/>
                <w:highlight w:val="none"/>
              </w:rPr>
            </w:pPr>
          </w:p>
        </w:tc>
        <w:tc>
          <w:tcPr>
            <w:tcW w:w="525" w:type="dxa"/>
            <w:vMerge w:val="continue"/>
            <w:noWrap w:val="0"/>
            <w:vAlign w:val="center"/>
          </w:tcPr>
          <w:p w14:paraId="7F85D8EC">
            <w:pPr>
              <w:pStyle w:val="25"/>
              <w:spacing w:line="300" w:lineRule="exact"/>
              <w:jc w:val="center"/>
              <w:rPr>
                <w:rFonts w:ascii="方正仿宋_GBK" w:eastAsia="方正仿宋_GBK"/>
                <w:highlight w:val="none"/>
              </w:rPr>
            </w:pPr>
          </w:p>
        </w:tc>
        <w:tc>
          <w:tcPr>
            <w:tcW w:w="1545" w:type="dxa"/>
            <w:noWrap w:val="0"/>
            <w:vAlign w:val="center"/>
          </w:tcPr>
          <w:p w14:paraId="5803DA95">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接地装置</w:t>
            </w:r>
          </w:p>
        </w:tc>
        <w:tc>
          <w:tcPr>
            <w:tcW w:w="6645" w:type="dxa"/>
            <w:noWrap w:val="0"/>
            <w:vAlign w:val="center"/>
          </w:tcPr>
          <w:p w14:paraId="73EAA598">
            <w:pPr>
              <w:pStyle w:val="25"/>
              <w:spacing w:line="300" w:lineRule="exact"/>
              <w:rPr>
                <w:rFonts w:ascii="方正仿宋_GBK" w:eastAsia="方正仿宋_GBK"/>
                <w:highlight w:val="none"/>
              </w:rPr>
            </w:pPr>
            <w:r>
              <w:rPr>
                <w:rFonts w:hint="eastAsia" w:ascii="方正仿宋_GBK" w:eastAsia="方正仿宋_GBK" w:cs="方正仿宋_GBK"/>
                <w:highlight w:val="none"/>
              </w:rPr>
              <w:t>施工现场应设置不少于三处的重复接地装置。</w:t>
            </w:r>
          </w:p>
        </w:tc>
      </w:tr>
      <w:tr w14:paraId="08899B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738" w:type="dxa"/>
            <w:vMerge w:val="continue"/>
            <w:noWrap w:val="0"/>
            <w:vAlign w:val="center"/>
          </w:tcPr>
          <w:p w14:paraId="0223347A">
            <w:pPr>
              <w:pStyle w:val="25"/>
              <w:spacing w:line="300" w:lineRule="exact"/>
              <w:jc w:val="center"/>
              <w:rPr>
                <w:rFonts w:ascii="方正仿宋_GBK" w:eastAsia="方正仿宋_GBK"/>
                <w:highlight w:val="none"/>
              </w:rPr>
            </w:pPr>
          </w:p>
        </w:tc>
        <w:tc>
          <w:tcPr>
            <w:tcW w:w="525" w:type="dxa"/>
            <w:vMerge w:val="continue"/>
            <w:noWrap w:val="0"/>
            <w:vAlign w:val="center"/>
          </w:tcPr>
          <w:p w14:paraId="6F2E426C">
            <w:pPr>
              <w:pStyle w:val="25"/>
              <w:spacing w:line="300" w:lineRule="exact"/>
              <w:jc w:val="center"/>
              <w:rPr>
                <w:rFonts w:ascii="方正仿宋_GBK" w:eastAsia="方正仿宋_GBK"/>
                <w:highlight w:val="none"/>
              </w:rPr>
            </w:pPr>
          </w:p>
        </w:tc>
        <w:tc>
          <w:tcPr>
            <w:tcW w:w="1545" w:type="dxa"/>
            <w:noWrap w:val="0"/>
            <w:vAlign w:val="center"/>
          </w:tcPr>
          <w:p w14:paraId="4F80972D">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现场变配电装置</w:t>
            </w:r>
          </w:p>
        </w:tc>
        <w:tc>
          <w:tcPr>
            <w:tcW w:w="6645" w:type="dxa"/>
            <w:noWrap w:val="0"/>
            <w:vAlign w:val="center"/>
          </w:tcPr>
          <w:p w14:paraId="20B1A414">
            <w:pPr>
              <w:pStyle w:val="25"/>
              <w:spacing w:line="300" w:lineRule="exact"/>
              <w:rPr>
                <w:rFonts w:ascii="方正仿宋_GBK" w:eastAsia="方正仿宋_GBK"/>
                <w:highlight w:val="none"/>
              </w:rPr>
            </w:pPr>
            <w:r>
              <w:rPr>
                <w:rFonts w:hint="eastAsia" w:ascii="方正仿宋_GBK" w:eastAsia="方正仿宋_GBK" w:cs="方正仿宋_GBK"/>
                <w:highlight w:val="none"/>
              </w:rPr>
              <w:t>总配电房建筑材料必须达到消防防火要求，室内做硬地坪、电缆沟。</w:t>
            </w:r>
          </w:p>
        </w:tc>
      </w:tr>
      <w:tr w14:paraId="53B24B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738" w:type="dxa"/>
            <w:noWrap w:val="0"/>
            <w:vAlign w:val="center"/>
          </w:tcPr>
          <w:p w14:paraId="0EFD5835">
            <w:pPr>
              <w:pStyle w:val="25"/>
              <w:spacing w:line="300" w:lineRule="exact"/>
              <w:jc w:val="center"/>
              <w:rPr>
                <w:rFonts w:ascii="方正仿宋_GBK" w:eastAsia="方正仿宋_GBK"/>
                <w:b/>
                <w:bCs/>
                <w:highlight w:val="none"/>
              </w:rPr>
            </w:pPr>
            <w:r>
              <w:rPr>
                <w:rFonts w:hint="eastAsia" w:ascii="方正仿宋_GBK" w:eastAsia="方正仿宋_GBK" w:cs="方正仿宋_GBK"/>
                <w:b/>
                <w:bCs/>
                <w:highlight w:val="none"/>
              </w:rPr>
              <w:t>类别</w:t>
            </w:r>
          </w:p>
        </w:tc>
        <w:tc>
          <w:tcPr>
            <w:tcW w:w="2070" w:type="dxa"/>
            <w:gridSpan w:val="2"/>
            <w:noWrap w:val="0"/>
            <w:vAlign w:val="center"/>
          </w:tcPr>
          <w:p w14:paraId="2B7ED436">
            <w:pPr>
              <w:pStyle w:val="25"/>
              <w:spacing w:line="300" w:lineRule="exact"/>
              <w:jc w:val="center"/>
              <w:rPr>
                <w:rFonts w:ascii="方正仿宋_GBK" w:eastAsia="方正仿宋_GBK"/>
                <w:b/>
                <w:bCs/>
                <w:highlight w:val="none"/>
              </w:rPr>
            </w:pPr>
            <w:r>
              <w:rPr>
                <w:rFonts w:hint="eastAsia" w:ascii="方正仿宋_GBK" w:eastAsia="方正仿宋_GBK" w:cs="方正仿宋_GBK"/>
                <w:b/>
                <w:bCs/>
                <w:highlight w:val="none"/>
              </w:rPr>
              <w:t>项目名称</w:t>
            </w:r>
          </w:p>
        </w:tc>
        <w:tc>
          <w:tcPr>
            <w:tcW w:w="6645" w:type="dxa"/>
            <w:noWrap w:val="0"/>
            <w:vAlign w:val="center"/>
          </w:tcPr>
          <w:p w14:paraId="48071A97">
            <w:pPr>
              <w:pStyle w:val="25"/>
              <w:spacing w:line="300" w:lineRule="exact"/>
              <w:jc w:val="center"/>
              <w:rPr>
                <w:rFonts w:ascii="方正仿宋_GBK" w:eastAsia="方正仿宋_GBK"/>
                <w:b/>
                <w:bCs/>
                <w:highlight w:val="none"/>
              </w:rPr>
            </w:pPr>
            <w:r>
              <w:rPr>
                <w:rFonts w:hint="eastAsia" w:ascii="方正仿宋_GBK" w:eastAsia="方正仿宋_GBK" w:cs="方正仿宋_GBK"/>
                <w:b/>
                <w:bCs/>
                <w:highlight w:val="none"/>
              </w:rPr>
              <w:t>主要内容和要求</w:t>
            </w:r>
          </w:p>
        </w:tc>
      </w:tr>
      <w:tr w14:paraId="2B80ED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0BCA771A">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安全施工</w:t>
            </w:r>
          </w:p>
        </w:tc>
        <w:tc>
          <w:tcPr>
            <w:tcW w:w="525" w:type="dxa"/>
            <w:vMerge w:val="restart"/>
            <w:noWrap w:val="0"/>
            <w:vAlign w:val="center"/>
          </w:tcPr>
          <w:p w14:paraId="478B668B">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高处作业防护</w:t>
            </w:r>
          </w:p>
        </w:tc>
        <w:tc>
          <w:tcPr>
            <w:tcW w:w="1545" w:type="dxa"/>
            <w:noWrap w:val="0"/>
            <w:vAlign w:val="center"/>
          </w:tcPr>
          <w:p w14:paraId="5A592DF0">
            <w:pPr>
              <w:pStyle w:val="25"/>
              <w:spacing w:line="300" w:lineRule="exact"/>
              <w:rPr>
                <w:rFonts w:ascii="方正仿宋_GBK" w:eastAsia="方正仿宋_GBK"/>
                <w:highlight w:val="none"/>
              </w:rPr>
            </w:pPr>
            <w:r>
              <w:rPr>
                <w:rFonts w:hint="eastAsia" w:ascii="方正仿宋_GBK" w:eastAsia="方正仿宋_GBK" w:cs="方正仿宋_GBK"/>
                <w:highlight w:val="none"/>
              </w:rPr>
              <w:t>楼层、屋面、阳台等临边</w:t>
            </w:r>
          </w:p>
        </w:tc>
        <w:tc>
          <w:tcPr>
            <w:tcW w:w="6645" w:type="dxa"/>
            <w:noWrap w:val="0"/>
            <w:vAlign w:val="center"/>
          </w:tcPr>
          <w:p w14:paraId="1862B5A7">
            <w:pPr>
              <w:pStyle w:val="25"/>
              <w:spacing w:line="300" w:lineRule="exact"/>
              <w:rPr>
                <w:rFonts w:ascii="方正仿宋_GBK" w:eastAsia="方正仿宋_GBK"/>
                <w:highlight w:val="none"/>
              </w:rPr>
            </w:pPr>
            <w:r>
              <w:rPr>
                <w:rFonts w:hint="eastAsia" w:ascii="方正仿宋_GBK" w:eastAsia="方正仿宋_GBK" w:cs="方正仿宋_GBK"/>
                <w:highlight w:val="none"/>
              </w:rPr>
              <w:t>设两道防护栏杆和</w:t>
            </w:r>
            <w:r>
              <w:rPr>
                <w:rFonts w:ascii="方正仿宋_GBK" w:eastAsia="方正仿宋_GBK" w:cs="方正仿宋_GBK"/>
                <w:highlight w:val="none"/>
              </w:rPr>
              <w:t>18cm</w:t>
            </w:r>
            <w:r>
              <w:rPr>
                <w:rFonts w:hint="eastAsia" w:ascii="方正仿宋_GBK" w:eastAsia="方正仿宋_GBK" w:cs="方正仿宋_GBK"/>
                <w:highlight w:val="none"/>
              </w:rPr>
              <w:t>高的踢脚板，用密目式安全立网全封闭。</w:t>
            </w:r>
          </w:p>
        </w:tc>
      </w:tr>
      <w:tr w14:paraId="5981FD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745CBEA">
            <w:pPr>
              <w:pStyle w:val="25"/>
              <w:spacing w:line="300" w:lineRule="exact"/>
              <w:jc w:val="center"/>
              <w:rPr>
                <w:rFonts w:ascii="方正仿宋_GBK" w:eastAsia="方正仿宋_GBK"/>
                <w:highlight w:val="none"/>
              </w:rPr>
            </w:pPr>
          </w:p>
        </w:tc>
        <w:tc>
          <w:tcPr>
            <w:tcW w:w="525" w:type="dxa"/>
            <w:vMerge w:val="continue"/>
            <w:noWrap w:val="0"/>
            <w:vAlign w:val="center"/>
          </w:tcPr>
          <w:p w14:paraId="59AABF3D">
            <w:pPr>
              <w:pStyle w:val="25"/>
              <w:spacing w:line="300" w:lineRule="exact"/>
              <w:jc w:val="center"/>
              <w:rPr>
                <w:rFonts w:ascii="方正仿宋_GBK" w:eastAsia="方正仿宋_GBK"/>
                <w:highlight w:val="none"/>
              </w:rPr>
            </w:pPr>
          </w:p>
        </w:tc>
        <w:tc>
          <w:tcPr>
            <w:tcW w:w="1545" w:type="dxa"/>
            <w:noWrap w:val="0"/>
            <w:vAlign w:val="center"/>
          </w:tcPr>
          <w:p w14:paraId="034E89A4">
            <w:pPr>
              <w:pStyle w:val="25"/>
              <w:spacing w:line="300" w:lineRule="exact"/>
              <w:rPr>
                <w:rFonts w:ascii="方正仿宋_GBK" w:eastAsia="方正仿宋_GBK"/>
                <w:highlight w:val="none"/>
              </w:rPr>
            </w:pPr>
            <w:r>
              <w:rPr>
                <w:rFonts w:hint="eastAsia" w:ascii="方正仿宋_GBK" w:eastAsia="方正仿宋_GBK" w:cs="方正仿宋_GBK"/>
                <w:highlight w:val="none"/>
              </w:rPr>
              <w:t>通道口</w:t>
            </w:r>
          </w:p>
        </w:tc>
        <w:tc>
          <w:tcPr>
            <w:tcW w:w="6645" w:type="dxa"/>
            <w:noWrap w:val="0"/>
            <w:vAlign w:val="center"/>
          </w:tcPr>
          <w:p w14:paraId="5E5648A5">
            <w:pPr>
              <w:pStyle w:val="25"/>
              <w:spacing w:line="300" w:lineRule="exact"/>
              <w:rPr>
                <w:rFonts w:ascii="方正仿宋_GBK" w:eastAsia="方正仿宋_GBK"/>
                <w:highlight w:val="none"/>
              </w:rPr>
            </w:pPr>
            <w:r>
              <w:rPr>
                <w:rFonts w:hint="eastAsia" w:ascii="方正仿宋_GBK" w:eastAsia="方正仿宋_GBK" w:cs="方正仿宋_GBK"/>
                <w:highlight w:val="none"/>
              </w:rPr>
              <w:t>设防护棚，防护棚应为不小于</w:t>
            </w:r>
            <w:r>
              <w:rPr>
                <w:rFonts w:ascii="方正仿宋_GBK" w:eastAsia="方正仿宋_GBK" w:cs="方正仿宋_GBK"/>
                <w:highlight w:val="none"/>
              </w:rPr>
              <w:t>5cm</w:t>
            </w:r>
            <w:r>
              <w:rPr>
                <w:rFonts w:hint="eastAsia" w:ascii="方正仿宋_GBK" w:eastAsia="方正仿宋_GBK" w:cs="方正仿宋_GBK"/>
                <w:highlight w:val="none"/>
              </w:rPr>
              <w:t>厚的木板或两道相距</w:t>
            </w:r>
            <w:r>
              <w:rPr>
                <w:rFonts w:ascii="方正仿宋_GBK" w:eastAsia="方正仿宋_GBK" w:cs="方正仿宋_GBK"/>
                <w:highlight w:val="none"/>
              </w:rPr>
              <w:t>50cm</w:t>
            </w:r>
            <w:r>
              <w:rPr>
                <w:rFonts w:hint="eastAsia" w:ascii="方正仿宋_GBK" w:eastAsia="方正仿宋_GBK" w:cs="方正仿宋_GBK"/>
                <w:highlight w:val="none"/>
              </w:rPr>
              <w:t>的竹笆。两侧应沿栏杆架用密目式安全网封闭。</w:t>
            </w:r>
          </w:p>
        </w:tc>
      </w:tr>
      <w:tr w14:paraId="2D5623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1FCC909">
            <w:pPr>
              <w:pStyle w:val="25"/>
              <w:spacing w:line="300" w:lineRule="exact"/>
              <w:jc w:val="center"/>
              <w:rPr>
                <w:rFonts w:ascii="方正仿宋_GBK" w:eastAsia="方正仿宋_GBK"/>
                <w:highlight w:val="none"/>
              </w:rPr>
            </w:pPr>
          </w:p>
        </w:tc>
        <w:tc>
          <w:tcPr>
            <w:tcW w:w="525" w:type="dxa"/>
            <w:vMerge w:val="continue"/>
            <w:noWrap w:val="0"/>
            <w:vAlign w:val="center"/>
          </w:tcPr>
          <w:p w14:paraId="4C19B091">
            <w:pPr>
              <w:pStyle w:val="25"/>
              <w:spacing w:line="300" w:lineRule="exact"/>
              <w:jc w:val="center"/>
              <w:rPr>
                <w:rFonts w:ascii="方正仿宋_GBK" w:eastAsia="方正仿宋_GBK"/>
                <w:highlight w:val="none"/>
              </w:rPr>
            </w:pPr>
          </w:p>
        </w:tc>
        <w:tc>
          <w:tcPr>
            <w:tcW w:w="1545" w:type="dxa"/>
            <w:noWrap w:val="0"/>
            <w:vAlign w:val="center"/>
          </w:tcPr>
          <w:p w14:paraId="58230E70">
            <w:pPr>
              <w:pStyle w:val="25"/>
              <w:spacing w:line="300" w:lineRule="exact"/>
              <w:rPr>
                <w:rFonts w:ascii="方正仿宋_GBK" w:eastAsia="方正仿宋_GBK"/>
                <w:highlight w:val="none"/>
              </w:rPr>
            </w:pPr>
            <w:r>
              <w:rPr>
                <w:rFonts w:hint="eastAsia" w:ascii="方正仿宋_GBK" w:eastAsia="方正仿宋_GBK" w:cs="方正仿宋_GBK"/>
                <w:highlight w:val="none"/>
              </w:rPr>
              <w:t>预留洞口</w:t>
            </w:r>
          </w:p>
        </w:tc>
        <w:tc>
          <w:tcPr>
            <w:tcW w:w="6645" w:type="dxa"/>
            <w:noWrap w:val="0"/>
            <w:vAlign w:val="center"/>
          </w:tcPr>
          <w:p w14:paraId="008A24F9">
            <w:pPr>
              <w:pStyle w:val="25"/>
              <w:spacing w:line="300" w:lineRule="exact"/>
              <w:rPr>
                <w:rFonts w:ascii="方正仿宋_GBK" w:eastAsia="方正仿宋_GBK"/>
                <w:highlight w:val="none"/>
              </w:rPr>
            </w:pPr>
            <w:r>
              <w:rPr>
                <w:rFonts w:hint="eastAsia" w:ascii="方正仿宋_GBK" w:eastAsia="方正仿宋_GBK" w:cs="方正仿宋_GBK"/>
                <w:highlight w:val="none"/>
              </w:rPr>
              <w:t>用硬质材料全封闭，短边超过</w:t>
            </w:r>
            <w:r>
              <w:rPr>
                <w:rFonts w:ascii="方正仿宋_GBK" w:eastAsia="方正仿宋_GBK" w:cs="方正仿宋_GBK"/>
                <w:highlight w:val="none"/>
              </w:rPr>
              <w:t>1.5m</w:t>
            </w:r>
            <w:r>
              <w:rPr>
                <w:rFonts w:hint="eastAsia" w:ascii="方正仿宋_GBK" w:eastAsia="方正仿宋_GBK" w:cs="方正仿宋_GBK"/>
                <w:highlight w:val="none"/>
              </w:rPr>
              <w:t>长的洞口，除封闭外四周还应设有防护栏杆。</w:t>
            </w:r>
          </w:p>
        </w:tc>
      </w:tr>
      <w:tr w14:paraId="61BCEF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738" w:type="dxa"/>
            <w:vMerge w:val="continue"/>
            <w:noWrap w:val="0"/>
            <w:vAlign w:val="center"/>
          </w:tcPr>
          <w:p w14:paraId="67E28B9E">
            <w:pPr>
              <w:pStyle w:val="25"/>
              <w:spacing w:line="300" w:lineRule="exact"/>
              <w:jc w:val="center"/>
              <w:rPr>
                <w:rFonts w:ascii="方正仿宋_GBK" w:eastAsia="方正仿宋_GBK"/>
                <w:highlight w:val="none"/>
              </w:rPr>
            </w:pPr>
          </w:p>
        </w:tc>
        <w:tc>
          <w:tcPr>
            <w:tcW w:w="525" w:type="dxa"/>
            <w:vMerge w:val="continue"/>
            <w:noWrap w:val="0"/>
            <w:vAlign w:val="center"/>
          </w:tcPr>
          <w:p w14:paraId="5B1B0087">
            <w:pPr>
              <w:pStyle w:val="25"/>
              <w:spacing w:line="300" w:lineRule="exact"/>
              <w:jc w:val="center"/>
              <w:rPr>
                <w:rFonts w:ascii="方正仿宋_GBK" w:eastAsia="方正仿宋_GBK"/>
                <w:highlight w:val="none"/>
              </w:rPr>
            </w:pPr>
          </w:p>
        </w:tc>
        <w:tc>
          <w:tcPr>
            <w:tcW w:w="1545" w:type="dxa"/>
            <w:noWrap w:val="0"/>
            <w:vAlign w:val="center"/>
          </w:tcPr>
          <w:p w14:paraId="0545FA7D">
            <w:pPr>
              <w:pStyle w:val="25"/>
              <w:spacing w:line="300" w:lineRule="exact"/>
              <w:rPr>
                <w:rFonts w:ascii="方正仿宋_GBK" w:eastAsia="方正仿宋_GBK"/>
                <w:highlight w:val="none"/>
              </w:rPr>
            </w:pPr>
            <w:r>
              <w:rPr>
                <w:rFonts w:hint="eastAsia" w:ascii="方正仿宋_GBK" w:eastAsia="方正仿宋_GBK" w:cs="方正仿宋_GBK"/>
                <w:highlight w:val="none"/>
              </w:rPr>
              <w:t>电梯井口</w:t>
            </w:r>
          </w:p>
        </w:tc>
        <w:tc>
          <w:tcPr>
            <w:tcW w:w="6645" w:type="dxa"/>
            <w:noWrap w:val="0"/>
            <w:vAlign w:val="center"/>
          </w:tcPr>
          <w:p w14:paraId="791C485C">
            <w:pPr>
              <w:pStyle w:val="25"/>
              <w:spacing w:line="300" w:lineRule="exact"/>
              <w:rPr>
                <w:rFonts w:ascii="方正仿宋_GBK" w:eastAsia="方正仿宋_GBK"/>
                <w:highlight w:val="none"/>
              </w:rPr>
            </w:pPr>
            <w:r>
              <w:rPr>
                <w:rFonts w:hint="eastAsia" w:ascii="方正仿宋_GBK" w:eastAsia="方正仿宋_GBK" w:cs="方正仿宋_GBK"/>
                <w:highlight w:val="none"/>
              </w:rPr>
              <w:t>设置定型化、工具化的防护门，在电梯井内每隔</w:t>
            </w:r>
            <w:r>
              <w:rPr>
                <w:rFonts w:ascii="方正仿宋_GBK" w:eastAsia="方正仿宋_GBK" w:cs="方正仿宋_GBK"/>
                <w:highlight w:val="none"/>
              </w:rPr>
              <w:t>2</w:t>
            </w:r>
            <w:r>
              <w:rPr>
                <w:rFonts w:hint="eastAsia" w:ascii="方正仿宋_GBK" w:eastAsia="方正仿宋_GBK" w:cs="方正仿宋_GBK"/>
                <w:highlight w:val="none"/>
              </w:rPr>
              <w:t>层（不大于</w:t>
            </w:r>
            <w:r>
              <w:rPr>
                <w:rFonts w:ascii="方正仿宋_GBK" w:eastAsia="方正仿宋_GBK" w:cs="方正仿宋_GBK"/>
                <w:highlight w:val="none"/>
              </w:rPr>
              <w:t>10m</w:t>
            </w:r>
            <w:r>
              <w:rPr>
                <w:rFonts w:hint="eastAsia" w:ascii="方正仿宋_GBK" w:eastAsia="方正仿宋_GBK" w:cs="方正仿宋_GBK"/>
                <w:highlight w:val="none"/>
              </w:rPr>
              <w:t>）设置一道水平防护。</w:t>
            </w:r>
          </w:p>
        </w:tc>
      </w:tr>
      <w:tr w14:paraId="6B96CC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42DDAF56">
            <w:pPr>
              <w:pStyle w:val="25"/>
              <w:spacing w:line="300" w:lineRule="exact"/>
              <w:jc w:val="center"/>
              <w:rPr>
                <w:rFonts w:ascii="方正仿宋_GBK" w:eastAsia="方正仿宋_GBK"/>
                <w:highlight w:val="none"/>
              </w:rPr>
            </w:pPr>
          </w:p>
        </w:tc>
        <w:tc>
          <w:tcPr>
            <w:tcW w:w="525" w:type="dxa"/>
            <w:vMerge w:val="continue"/>
            <w:noWrap w:val="0"/>
            <w:vAlign w:val="center"/>
          </w:tcPr>
          <w:p w14:paraId="36E3FAEC">
            <w:pPr>
              <w:pStyle w:val="25"/>
              <w:spacing w:line="300" w:lineRule="exact"/>
              <w:jc w:val="center"/>
              <w:rPr>
                <w:rFonts w:ascii="方正仿宋_GBK" w:eastAsia="方正仿宋_GBK"/>
                <w:highlight w:val="none"/>
              </w:rPr>
            </w:pPr>
          </w:p>
        </w:tc>
        <w:tc>
          <w:tcPr>
            <w:tcW w:w="1545" w:type="dxa"/>
            <w:noWrap w:val="0"/>
            <w:vAlign w:val="center"/>
          </w:tcPr>
          <w:p w14:paraId="15F189EC">
            <w:pPr>
              <w:pStyle w:val="25"/>
              <w:spacing w:line="300" w:lineRule="exact"/>
              <w:rPr>
                <w:rFonts w:ascii="方正仿宋_GBK" w:eastAsia="方正仿宋_GBK"/>
                <w:highlight w:val="none"/>
              </w:rPr>
            </w:pPr>
            <w:r>
              <w:rPr>
                <w:rFonts w:hint="eastAsia" w:ascii="方正仿宋_GBK" w:eastAsia="方正仿宋_GBK" w:cs="方正仿宋_GBK"/>
                <w:highlight w:val="none"/>
              </w:rPr>
              <w:t>楼梯边</w:t>
            </w:r>
          </w:p>
        </w:tc>
        <w:tc>
          <w:tcPr>
            <w:tcW w:w="6645" w:type="dxa"/>
            <w:noWrap w:val="0"/>
            <w:vAlign w:val="center"/>
          </w:tcPr>
          <w:p w14:paraId="03730592">
            <w:pPr>
              <w:pStyle w:val="25"/>
              <w:spacing w:line="300" w:lineRule="exact"/>
              <w:rPr>
                <w:rFonts w:ascii="方正仿宋_GBK" w:eastAsia="方正仿宋_GBK"/>
                <w:highlight w:val="none"/>
              </w:rPr>
            </w:pPr>
            <w:r>
              <w:rPr>
                <w:rFonts w:hint="eastAsia" w:ascii="方正仿宋_GBK" w:eastAsia="方正仿宋_GBK" w:cs="方正仿宋_GBK"/>
                <w:highlight w:val="none"/>
              </w:rPr>
              <w:t>设</w:t>
            </w:r>
            <w:r>
              <w:rPr>
                <w:rFonts w:ascii="方正仿宋_GBK" w:eastAsia="方正仿宋_GBK" w:cs="方正仿宋_GBK"/>
                <w:highlight w:val="none"/>
              </w:rPr>
              <w:t>1.2m</w:t>
            </w:r>
            <w:r>
              <w:rPr>
                <w:rFonts w:hint="eastAsia" w:ascii="方正仿宋_GBK" w:eastAsia="方正仿宋_GBK" w:cs="方正仿宋_GBK"/>
                <w:highlight w:val="none"/>
              </w:rPr>
              <w:t>高的定型化、工具化的防护栏，</w:t>
            </w:r>
            <w:r>
              <w:rPr>
                <w:rFonts w:ascii="方正仿宋_GBK" w:eastAsia="方正仿宋_GBK" w:cs="方正仿宋_GBK"/>
                <w:highlight w:val="none"/>
              </w:rPr>
              <w:t>18cm</w:t>
            </w:r>
            <w:r>
              <w:rPr>
                <w:rFonts w:hint="eastAsia" w:ascii="方正仿宋_GBK" w:eastAsia="方正仿宋_GBK" w:cs="方正仿宋_GBK"/>
                <w:highlight w:val="none"/>
              </w:rPr>
              <w:t>高的踢脚板。</w:t>
            </w:r>
          </w:p>
        </w:tc>
      </w:tr>
      <w:tr w14:paraId="080159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60F23814">
            <w:pPr>
              <w:pStyle w:val="25"/>
              <w:spacing w:line="300" w:lineRule="exact"/>
              <w:jc w:val="center"/>
              <w:rPr>
                <w:rFonts w:ascii="方正仿宋_GBK" w:eastAsia="方正仿宋_GBK"/>
                <w:highlight w:val="none"/>
              </w:rPr>
            </w:pPr>
          </w:p>
        </w:tc>
        <w:tc>
          <w:tcPr>
            <w:tcW w:w="525" w:type="dxa"/>
            <w:vMerge w:val="continue"/>
            <w:noWrap w:val="0"/>
            <w:vAlign w:val="center"/>
          </w:tcPr>
          <w:p w14:paraId="0EB6F740">
            <w:pPr>
              <w:pStyle w:val="25"/>
              <w:spacing w:line="300" w:lineRule="exact"/>
              <w:jc w:val="center"/>
              <w:rPr>
                <w:rFonts w:ascii="方正仿宋_GBK" w:eastAsia="方正仿宋_GBK"/>
                <w:highlight w:val="none"/>
              </w:rPr>
            </w:pPr>
          </w:p>
        </w:tc>
        <w:tc>
          <w:tcPr>
            <w:tcW w:w="1545" w:type="dxa"/>
            <w:noWrap w:val="0"/>
            <w:vAlign w:val="center"/>
          </w:tcPr>
          <w:p w14:paraId="144304CC">
            <w:pPr>
              <w:pStyle w:val="25"/>
              <w:spacing w:line="300" w:lineRule="exact"/>
              <w:rPr>
                <w:rFonts w:ascii="方正仿宋_GBK" w:eastAsia="方正仿宋_GBK"/>
                <w:highlight w:val="none"/>
              </w:rPr>
            </w:pPr>
            <w:r>
              <w:rPr>
                <w:rFonts w:hint="eastAsia" w:ascii="方正仿宋_GBK" w:eastAsia="方正仿宋_GBK" w:cs="方正仿宋_GBK"/>
                <w:highlight w:val="none"/>
              </w:rPr>
              <w:t>垂直方向交叉作业</w:t>
            </w:r>
          </w:p>
        </w:tc>
        <w:tc>
          <w:tcPr>
            <w:tcW w:w="6645" w:type="dxa"/>
            <w:noWrap w:val="0"/>
            <w:vAlign w:val="center"/>
          </w:tcPr>
          <w:p w14:paraId="39BC593D">
            <w:pPr>
              <w:pStyle w:val="25"/>
              <w:spacing w:line="300" w:lineRule="exact"/>
              <w:rPr>
                <w:rFonts w:ascii="方正仿宋_GBK" w:eastAsia="方正仿宋_GBK"/>
                <w:highlight w:val="none"/>
              </w:rPr>
            </w:pPr>
            <w:r>
              <w:rPr>
                <w:rFonts w:hint="eastAsia" w:ascii="方正仿宋_GBK" w:eastAsia="方正仿宋_GBK" w:cs="方正仿宋_GBK"/>
                <w:highlight w:val="none"/>
              </w:rPr>
              <w:t>设置防护隔离棚或其它设施。</w:t>
            </w:r>
          </w:p>
        </w:tc>
      </w:tr>
      <w:tr w14:paraId="0D4C06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34D9700">
            <w:pPr>
              <w:pStyle w:val="25"/>
              <w:spacing w:line="300" w:lineRule="exact"/>
              <w:jc w:val="center"/>
              <w:rPr>
                <w:rFonts w:ascii="方正仿宋_GBK" w:eastAsia="方正仿宋_GBK"/>
                <w:highlight w:val="none"/>
              </w:rPr>
            </w:pPr>
          </w:p>
        </w:tc>
        <w:tc>
          <w:tcPr>
            <w:tcW w:w="525" w:type="dxa"/>
            <w:vMerge w:val="continue"/>
            <w:noWrap w:val="0"/>
            <w:vAlign w:val="center"/>
          </w:tcPr>
          <w:p w14:paraId="3F15E9BF">
            <w:pPr>
              <w:pStyle w:val="25"/>
              <w:spacing w:line="300" w:lineRule="exact"/>
              <w:jc w:val="center"/>
              <w:rPr>
                <w:rFonts w:ascii="方正仿宋_GBK" w:eastAsia="方正仿宋_GBK"/>
                <w:highlight w:val="none"/>
              </w:rPr>
            </w:pPr>
          </w:p>
        </w:tc>
        <w:tc>
          <w:tcPr>
            <w:tcW w:w="1545" w:type="dxa"/>
            <w:noWrap w:val="0"/>
            <w:vAlign w:val="center"/>
          </w:tcPr>
          <w:p w14:paraId="69D68C05">
            <w:pPr>
              <w:pStyle w:val="25"/>
              <w:spacing w:line="300" w:lineRule="exact"/>
              <w:rPr>
                <w:rFonts w:ascii="方正仿宋_GBK" w:eastAsia="方正仿宋_GBK"/>
                <w:highlight w:val="none"/>
              </w:rPr>
            </w:pPr>
            <w:r>
              <w:rPr>
                <w:rFonts w:hint="eastAsia" w:ascii="方正仿宋_GBK" w:eastAsia="方正仿宋_GBK" w:cs="方正仿宋_GBK"/>
                <w:highlight w:val="none"/>
              </w:rPr>
              <w:t>高处作业</w:t>
            </w:r>
          </w:p>
        </w:tc>
        <w:tc>
          <w:tcPr>
            <w:tcW w:w="6645" w:type="dxa"/>
            <w:noWrap w:val="0"/>
            <w:vAlign w:val="center"/>
          </w:tcPr>
          <w:p w14:paraId="0A96FE78">
            <w:pPr>
              <w:pStyle w:val="25"/>
              <w:spacing w:line="300" w:lineRule="exact"/>
              <w:rPr>
                <w:rFonts w:ascii="方正仿宋_GBK" w:eastAsia="方正仿宋_GBK"/>
                <w:highlight w:val="none"/>
              </w:rPr>
            </w:pPr>
            <w:r>
              <w:rPr>
                <w:rFonts w:hint="eastAsia" w:ascii="方正仿宋_GBK" w:eastAsia="方正仿宋_GBK" w:cs="方正仿宋_GBK"/>
                <w:highlight w:val="none"/>
              </w:rPr>
              <w:t>有悬挂安全带的悬索或其它设施，有操作平台，有上下的梯子或其它形式的通道。</w:t>
            </w:r>
          </w:p>
        </w:tc>
      </w:tr>
      <w:tr w14:paraId="44CD0A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611BEC2">
            <w:pPr>
              <w:pStyle w:val="25"/>
              <w:spacing w:line="300" w:lineRule="exact"/>
              <w:jc w:val="center"/>
              <w:rPr>
                <w:rFonts w:ascii="方正仿宋_GBK" w:eastAsia="方正仿宋_GBK"/>
                <w:highlight w:val="none"/>
              </w:rPr>
            </w:pPr>
          </w:p>
        </w:tc>
        <w:tc>
          <w:tcPr>
            <w:tcW w:w="525" w:type="dxa"/>
            <w:vMerge w:val="continue"/>
            <w:noWrap w:val="0"/>
            <w:vAlign w:val="center"/>
          </w:tcPr>
          <w:p w14:paraId="7C352D1E">
            <w:pPr>
              <w:pStyle w:val="25"/>
              <w:spacing w:line="300" w:lineRule="exact"/>
              <w:jc w:val="center"/>
              <w:rPr>
                <w:rFonts w:ascii="方正仿宋_GBK" w:eastAsia="方正仿宋_GBK"/>
                <w:highlight w:val="none"/>
              </w:rPr>
            </w:pPr>
          </w:p>
        </w:tc>
        <w:tc>
          <w:tcPr>
            <w:tcW w:w="1545" w:type="dxa"/>
            <w:noWrap w:val="0"/>
            <w:vAlign w:val="center"/>
          </w:tcPr>
          <w:p w14:paraId="35FBD5E3">
            <w:pPr>
              <w:pStyle w:val="25"/>
              <w:spacing w:line="300" w:lineRule="exact"/>
              <w:rPr>
                <w:rFonts w:ascii="方正仿宋_GBK" w:eastAsia="方正仿宋_GBK"/>
                <w:highlight w:val="none"/>
              </w:rPr>
            </w:pPr>
            <w:r>
              <w:rPr>
                <w:rFonts w:hint="eastAsia" w:ascii="方正仿宋_GBK" w:eastAsia="方正仿宋_GBK" w:cs="方正仿宋_GBK"/>
                <w:highlight w:val="none"/>
              </w:rPr>
              <w:t>基坑、物料平台</w:t>
            </w:r>
          </w:p>
        </w:tc>
        <w:tc>
          <w:tcPr>
            <w:tcW w:w="6645" w:type="dxa"/>
            <w:noWrap w:val="0"/>
            <w:vAlign w:val="center"/>
          </w:tcPr>
          <w:p w14:paraId="0C75C217">
            <w:pPr>
              <w:pStyle w:val="25"/>
              <w:spacing w:line="300" w:lineRule="exact"/>
              <w:rPr>
                <w:rFonts w:ascii="方正仿宋_GBK" w:eastAsia="方正仿宋_GBK"/>
                <w:highlight w:val="none"/>
              </w:rPr>
            </w:pPr>
            <w:r>
              <w:rPr>
                <w:rFonts w:hint="eastAsia" w:ascii="方正仿宋_GBK" w:eastAsia="方正仿宋_GBK" w:cs="方正仿宋_GBK"/>
                <w:highlight w:val="none"/>
              </w:rPr>
              <w:t>设</w:t>
            </w:r>
            <w:r>
              <w:rPr>
                <w:rFonts w:ascii="方正仿宋_GBK" w:eastAsia="方正仿宋_GBK" w:cs="方正仿宋_GBK"/>
                <w:highlight w:val="none"/>
              </w:rPr>
              <w:t>1.2m</w:t>
            </w:r>
            <w:r>
              <w:rPr>
                <w:rFonts w:hint="eastAsia" w:ascii="方正仿宋_GBK" w:eastAsia="方正仿宋_GBK" w:cs="方正仿宋_GBK"/>
                <w:highlight w:val="none"/>
              </w:rPr>
              <w:t>高标准化的防护栏，用密目式安全立网封闭，悬挂标识。</w:t>
            </w:r>
          </w:p>
        </w:tc>
      </w:tr>
      <w:tr w14:paraId="2B449A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6EC10902">
            <w:pPr>
              <w:pStyle w:val="25"/>
              <w:spacing w:line="300" w:lineRule="exact"/>
              <w:jc w:val="center"/>
              <w:rPr>
                <w:rFonts w:ascii="方正仿宋_GBK" w:eastAsia="方正仿宋_GBK"/>
                <w:highlight w:val="none"/>
              </w:rPr>
            </w:pPr>
          </w:p>
        </w:tc>
        <w:tc>
          <w:tcPr>
            <w:tcW w:w="2070" w:type="dxa"/>
            <w:gridSpan w:val="2"/>
            <w:noWrap w:val="0"/>
            <w:vAlign w:val="center"/>
          </w:tcPr>
          <w:p w14:paraId="5F9C56D6">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安全防护用品</w:t>
            </w:r>
          </w:p>
        </w:tc>
        <w:tc>
          <w:tcPr>
            <w:tcW w:w="6645" w:type="dxa"/>
            <w:noWrap w:val="0"/>
            <w:vAlign w:val="center"/>
          </w:tcPr>
          <w:p w14:paraId="66CDA208">
            <w:pPr>
              <w:pStyle w:val="25"/>
              <w:spacing w:line="300" w:lineRule="exact"/>
              <w:rPr>
                <w:rFonts w:ascii="方正仿宋_GBK" w:eastAsia="方正仿宋_GBK"/>
                <w:highlight w:val="none"/>
              </w:rPr>
            </w:pPr>
            <w:r>
              <w:rPr>
                <w:rFonts w:hint="eastAsia" w:ascii="方正仿宋_GBK" w:eastAsia="方正仿宋_GBK" w:cs="方正仿宋_GBK"/>
                <w:highlight w:val="none"/>
              </w:rPr>
              <w:t>安全帽、安全带、特种作业人员（电工、焊工、架子工等）防护服装、用品等。</w:t>
            </w:r>
          </w:p>
        </w:tc>
      </w:tr>
      <w:tr w14:paraId="06E5C0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5" w:hRule="atLeast"/>
        </w:trPr>
        <w:tc>
          <w:tcPr>
            <w:tcW w:w="738" w:type="dxa"/>
            <w:vMerge w:val="restart"/>
            <w:noWrap w:val="0"/>
            <w:vAlign w:val="center"/>
          </w:tcPr>
          <w:p w14:paraId="330317F9">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其它</w:t>
            </w:r>
          </w:p>
        </w:tc>
        <w:tc>
          <w:tcPr>
            <w:tcW w:w="525" w:type="dxa"/>
            <w:vMerge w:val="restart"/>
            <w:noWrap w:val="0"/>
            <w:vAlign w:val="center"/>
          </w:tcPr>
          <w:p w14:paraId="60834890">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机械设备防护</w:t>
            </w:r>
          </w:p>
        </w:tc>
        <w:tc>
          <w:tcPr>
            <w:tcW w:w="1545" w:type="dxa"/>
            <w:noWrap w:val="0"/>
            <w:vAlign w:val="center"/>
          </w:tcPr>
          <w:p w14:paraId="48994368">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中小型机械</w:t>
            </w:r>
          </w:p>
        </w:tc>
        <w:tc>
          <w:tcPr>
            <w:tcW w:w="6645" w:type="dxa"/>
            <w:noWrap w:val="0"/>
            <w:vAlign w:val="center"/>
          </w:tcPr>
          <w:p w14:paraId="518751FF">
            <w:pPr>
              <w:pStyle w:val="25"/>
              <w:spacing w:line="300" w:lineRule="exact"/>
              <w:rPr>
                <w:rFonts w:ascii="方正仿宋_GBK" w:eastAsia="方正仿宋_GBK"/>
                <w:highlight w:val="none"/>
              </w:rPr>
            </w:pPr>
            <w:r>
              <w:rPr>
                <w:rFonts w:hint="eastAsia" w:ascii="方正仿宋_GBK" w:eastAsia="方正仿宋_GBK" w:cs="方正仿宋_GBK"/>
                <w:highlight w:val="none"/>
              </w:rPr>
              <w:t>设防护棚（同通道口防护并有防雨措施）。</w:t>
            </w:r>
          </w:p>
        </w:tc>
      </w:tr>
      <w:tr w14:paraId="5CC1F5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DF2A468">
            <w:pPr>
              <w:pStyle w:val="25"/>
              <w:spacing w:line="300" w:lineRule="exact"/>
              <w:jc w:val="center"/>
              <w:rPr>
                <w:rFonts w:ascii="方正仿宋_GBK" w:eastAsia="方正仿宋_GBK"/>
                <w:highlight w:val="none"/>
              </w:rPr>
            </w:pPr>
          </w:p>
        </w:tc>
        <w:tc>
          <w:tcPr>
            <w:tcW w:w="525" w:type="dxa"/>
            <w:vMerge w:val="continue"/>
            <w:noWrap w:val="0"/>
            <w:vAlign w:val="center"/>
          </w:tcPr>
          <w:p w14:paraId="3BE8E0DB">
            <w:pPr>
              <w:pStyle w:val="25"/>
              <w:spacing w:line="300" w:lineRule="exact"/>
              <w:jc w:val="center"/>
              <w:rPr>
                <w:rFonts w:ascii="方正仿宋_GBK" w:eastAsia="方正仿宋_GBK"/>
                <w:highlight w:val="none"/>
              </w:rPr>
            </w:pPr>
          </w:p>
        </w:tc>
        <w:tc>
          <w:tcPr>
            <w:tcW w:w="1545" w:type="dxa"/>
            <w:noWrap w:val="0"/>
            <w:vAlign w:val="center"/>
          </w:tcPr>
          <w:p w14:paraId="72C6B0EF">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垂直运输设备</w:t>
            </w:r>
          </w:p>
        </w:tc>
        <w:tc>
          <w:tcPr>
            <w:tcW w:w="6645" w:type="dxa"/>
            <w:noWrap w:val="0"/>
            <w:vAlign w:val="center"/>
          </w:tcPr>
          <w:p w14:paraId="0D36394D">
            <w:pPr>
              <w:pStyle w:val="25"/>
              <w:spacing w:line="300" w:lineRule="exact"/>
              <w:rPr>
                <w:rFonts w:ascii="方正仿宋_GBK" w:eastAsia="方正仿宋_GBK"/>
                <w:highlight w:val="none"/>
              </w:rPr>
            </w:pPr>
            <w:r>
              <w:rPr>
                <w:rFonts w:ascii="方正仿宋_GBK" w:eastAsia="方正仿宋_GBK" w:cs="方正仿宋_GBK"/>
                <w:highlight w:val="none"/>
              </w:rPr>
              <w:t xml:space="preserve">1. </w:t>
            </w:r>
            <w:r>
              <w:rPr>
                <w:rFonts w:hint="eastAsia" w:ascii="方正仿宋_GBK" w:eastAsia="方正仿宋_GBK" w:cs="方正仿宋_GBK"/>
                <w:highlight w:val="none"/>
              </w:rPr>
              <w:t>垂直运输设备检测、检验、日常维护、保养等。</w:t>
            </w:r>
          </w:p>
          <w:p w14:paraId="28E2A71C">
            <w:pPr>
              <w:pStyle w:val="25"/>
              <w:spacing w:line="300" w:lineRule="exact"/>
              <w:rPr>
                <w:rFonts w:ascii="方正仿宋_GBK" w:eastAsia="方正仿宋_GBK"/>
                <w:highlight w:val="none"/>
              </w:rPr>
            </w:pPr>
            <w:r>
              <w:rPr>
                <w:rFonts w:ascii="方正仿宋_GBK" w:eastAsia="方正仿宋_GBK" w:cs="方正仿宋_GBK"/>
                <w:highlight w:val="none"/>
              </w:rPr>
              <w:t xml:space="preserve">2. </w:t>
            </w:r>
            <w:r>
              <w:rPr>
                <w:rFonts w:hint="eastAsia" w:ascii="方正仿宋_GBK" w:eastAsia="方正仿宋_GBK" w:cs="方正仿宋_GBK"/>
                <w:highlight w:val="none"/>
              </w:rPr>
              <w:t>物料提升机、施工电梯等物料平台搭设、外侧用密目式安全立网全封闭，有安全通道、安全防护门、防护棚等。</w:t>
            </w:r>
          </w:p>
        </w:tc>
      </w:tr>
      <w:tr w14:paraId="00AA69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243CF4A2">
            <w:pPr>
              <w:pStyle w:val="25"/>
              <w:spacing w:line="300" w:lineRule="exact"/>
              <w:jc w:val="center"/>
              <w:rPr>
                <w:rFonts w:ascii="方正仿宋_GBK" w:eastAsia="方正仿宋_GBK"/>
                <w:highlight w:val="none"/>
              </w:rPr>
            </w:pPr>
          </w:p>
        </w:tc>
        <w:tc>
          <w:tcPr>
            <w:tcW w:w="2070" w:type="dxa"/>
            <w:gridSpan w:val="2"/>
            <w:noWrap w:val="0"/>
            <w:vAlign w:val="center"/>
          </w:tcPr>
          <w:p w14:paraId="68848E10">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专家论证审查</w:t>
            </w:r>
          </w:p>
        </w:tc>
        <w:tc>
          <w:tcPr>
            <w:tcW w:w="6645" w:type="dxa"/>
            <w:noWrap w:val="0"/>
            <w:vAlign w:val="center"/>
          </w:tcPr>
          <w:p w14:paraId="4C64C5E0">
            <w:pPr>
              <w:pStyle w:val="25"/>
              <w:spacing w:line="300" w:lineRule="exact"/>
              <w:rPr>
                <w:rFonts w:ascii="方正仿宋_GBK" w:eastAsia="方正仿宋_GBK"/>
                <w:highlight w:val="none"/>
              </w:rPr>
            </w:pPr>
            <w:r>
              <w:rPr>
                <w:rFonts w:hint="eastAsia" w:ascii="方正仿宋_GBK" w:eastAsia="方正仿宋_GBK" w:cs="方正仿宋_GBK"/>
                <w:highlight w:val="none"/>
              </w:rPr>
              <w:t>超过一定规模的危险性较大分部分项工程专家论证审查。</w:t>
            </w:r>
          </w:p>
        </w:tc>
      </w:tr>
      <w:tr w14:paraId="12D864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31FB76C0">
            <w:pPr>
              <w:pStyle w:val="25"/>
              <w:spacing w:line="300" w:lineRule="exact"/>
              <w:jc w:val="center"/>
              <w:rPr>
                <w:rFonts w:ascii="方正仿宋_GBK" w:eastAsia="方正仿宋_GBK"/>
                <w:highlight w:val="none"/>
              </w:rPr>
            </w:pPr>
          </w:p>
        </w:tc>
        <w:tc>
          <w:tcPr>
            <w:tcW w:w="2070" w:type="dxa"/>
            <w:gridSpan w:val="2"/>
            <w:noWrap w:val="0"/>
            <w:vAlign w:val="center"/>
          </w:tcPr>
          <w:p w14:paraId="7B66FDB7">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应急救援预案</w:t>
            </w:r>
          </w:p>
        </w:tc>
        <w:tc>
          <w:tcPr>
            <w:tcW w:w="6645" w:type="dxa"/>
            <w:noWrap w:val="0"/>
            <w:vAlign w:val="center"/>
          </w:tcPr>
          <w:p w14:paraId="15F36793">
            <w:pPr>
              <w:pStyle w:val="25"/>
              <w:spacing w:line="300" w:lineRule="exact"/>
              <w:rPr>
                <w:rFonts w:ascii="方正仿宋_GBK" w:eastAsia="方正仿宋_GBK"/>
                <w:highlight w:val="none"/>
              </w:rPr>
            </w:pPr>
            <w:r>
              <w:rPr>
                <w:rFonts w:hint="eastAsia" w:ascii="方正仿宋_GBK" w:eastAsia="方正仿宋_GBK" w:cs="方正仿宋_GBK"/>
                <w:highlight w:val="none"/>
              </w:rPr>
              <w:t>救援器材准备及演练等。</w:t>
            </w:r>
          </w:p>
        </w:tc>
      </w:tr>
      <w:tr w14:paraId="5B021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bottom w:val="single" w:color="auto" w:sz="12" w:space="0"/>
            </w:tcBorders>
            <w:noWrap w:val="0"/>
            <w:vAlign w:val="center"/>
          </w:tcPr>
          <w:p w14:paraId="016A7537">
            <w:pPr>
              <w:pStyle w:val="25"/>
              <w:spacing w:line="300" w:lineRule="exact"/>
              <w:jc w:val="center"/>
              <w:rPr>
                <w:rFonts w:ascii="方正仿宋_GBK" w:eastAsia="方正仿宋_GBK"/>
                <w:highlight w:val="none"/>
              </w:rPr>
            </w:pPr>
          </w:p>
        </w:tc>
        <w:tc>
          <w:tcPr>
            <w:tcW w:w="2070" w:type="dxa"/>
            <w:gridSpan w:val="2"/>
            <w:tcBorders>
              <w:bottom w:val="single" w:color="auto" w:sz="12" w:space="0"/>
            </w:tcBorders>
            <w:noWrap w:val="0"/>
            <w:vAlign w:val="center"/>
          </w:tcPr>
          <w:p w14:paraId="7F5778A1">
            <w:pPr>
              <w:pStyle w:val="25"/>
              <w:spacing w:line="300" w:lineRule="exact"/>
              <w:jc w:val="center"/>
              <w:rPr>
                <w:rFonts w:ascii="方正仿宋_GBK" w:eastAsia="方正仿宋_GBK"/>
                <w:highlight w:val="none"/>
              </w:rPr>
            </w:pPr>
            <w:r>
              <w:rPr>
                <w:rFonts w:hint="eastAsia" w:ascii="方正仿宋_GBK" w:eastAsia="方正仿宋_GBK" w:cs="方正仿宋_GBK"/>
                <w:highlight w:val="none"/>
              </w:rPr>
              <w:t>非正常情况施工</w:t>
            </w:r>
          </w:p>
        </w:tc>
        <w:tc>
          <w:tcPr>
            <w:tcW w:w="6645" w:type="dxa"/>
            <w:tcBorders>
              <w:bottom w:val="single" w:color="auto" w:sz="12" w:space="0"/>
            </w:tcBorders>
            <w:noWrap w:val="0"/>
            <w:vAlign w:val="center"/>
          </w:tcPr>
          <w:p w14:paraId="5B2FFDFD">
            <w:pPr>
              <w:pStyle w:val="25"/>
              <w:spacing w:line="300" w:lineRule="exact"/>
              <w:rPr>
                <w:rFonts w:ascii="方正仿宋_GBK" w:eastAsia="方正仿宋_GBK"/>
                <w:highlight w:val="none"/>
              </w:rPr>
            </w:pPr>
            <w:r>
              <w:rPr>
                <w:rFonts w:hint="eastAsia" w:ascii="方正仿宋_GBK" w:eastAsia="方正仿宋_GBK" w:cs="方正仿宋_GBK"/>
                <w:highlight w:val="none"/>
              </w:rPr>
              <w:t>其它特殊情况下的防护费用，如：城市主干道、人流密集、河边等处施工及文物、古建筑、古树保护等。</w:t>
            </w:r>
          </w:p>
        </w:tc>
      </w:tr>
    </w:tbl>
    <w:p w14:paraId="7F123A17">
      <w:pPr>
        <w:pStyle w:val="25"/>
        <w:spacing w:line="240" w:lineRule="atLeast"/>
        <w:ind w:firstLine="546"/>
        <w:jc w:val="center"/>
        <w:rPr>
          <w:rFonts w:hint="eastAsia"/>
          <w:b/>
          <w:bCs/>
          <w:w w:val="90"/>
          <w:sz w:val="24"/>
          <w:szCs w:val="24"/>
          <w:highlight w:val="none"/>
        </w:rPr>
      </w:pPr>
    </w:p>
    <w:p w14:paraId="69A70BCF">
      <w:pPr>
        <w:spacing w:before="120" w:beforeLines="50"/>
        <w:ind w:firstLine="420" w:firstLineChars="200"/>
        <w:rPr>
          <w:rFonts w:cs="宋体"/>
          <w:highlight w:val="none"/>
        </w:rPr>
      </w:pPr>
      <w:r>
        <w:rPr>
          <w:rFonts w:hint="eastAsia" w:cs="宋体"/>
          <w:highlight w:val="none"/>
        </w:rPr>
        <w:t>注：本表所列建筑工程安全文明施工费，是依据现行法律法规及标准规范确定的。如法律法规和标准规范修订，本表所列项目应按照修订后的法律法规和标准规范进行调整。</w:t>
      </w:r>
    </w:p>
    <w:p w14:paraId="53800D54">
      <w:pPr>
        <w:spacing w:line="500" w:lineRule="exact"/>
        <w:jc w:val="center"/>
        <w:rPr>
          <w:rFonts w:hint="eastAsia" w:ascii="宋体" w:hAnsi="宋体" w:cs="仿宋_GB2312"/>
          <w:color w:val="000000"/>
          <w:kern w:val="0"/>
          <w:sz w:val="24"/>
          <w:highlight w:val="none"/>
          <w:lang w:val="zh-CN"/>
        </w:rPr>
        <w:sectPr>
          <w:pgSz w:w="11910" w:h="16840"/>
          <w:pgMar w:top="1417" w:right="1417" w:bottom="1417" w:left="1417" w:header="720" w:footer="720" w:gutter="0"/>
          <w:pgNumType w:fmt="decimal"/>
          <w:cols w:space="720" w:num="1"/>
          <w:rtlGutter w:val="0"/>
        </w:sectPr>
      </w:pPr>
      <w:r>
        <w:rPr>
          <w:rFonts w:hint="eastAsia" w:ascii="宋体" w:hAnsi="宋体" w:eastAsia="宋体" w:cs="宋体"/>
          <w:b/>
          <w:color w:val="auto"/>
          <w:kern w:val="2"/>
          <w:sz w:val="30"/>
          <w:szCs w:val="30"/>
          <w:lang w:val="en-US" w:eastAsia="zh-CN" w:bidi="ar-SA"/>
        </w:rPr>
        <w:br w:type="page"/>
      </w:r>
    </w:p>
    <w:p w14:paraId="5BDF8074">
      <w:pPr>
        <w:autoSpaceDE w:val="0"/>
        <w:autoSpaceDN w:val="0"/>
        <w:spacing w:line="360" w:lineRule="auto"/>
        <w:ind w:firstLine="6505" w:firstLineChars="2700"/>
        <w:rPr>
          <w:rFonts w:ascii="宋体" w:hAnsi="宋体" w:cs="仿宋_GB2312"/>
          <w:b/>
          <w:bCs/>
          <w:color w:val="000000"/>
          <w:sz w:val="24"/>
          <w:highlight w:val="none"/>
        </w:rPr>
      </w:pPr>
    </w:p>
    <w:p w14:paraId="5C7F3952">
      <w:pPr>
        <w:keepNext/>
        <w:keepLines/>
        <w:spacing w:before="260" w:after="260" w:line="416" w:lineRule="auto"/>
        <w:jc w:val="center"/>
        <w:outlineLvl w:val="1"/>
        <w:rPr>
          <w:rFonts w:ascii="宋体" w:hAnsi="宋体"/>
          <w:b/>
          <w:bCs/>
          <w:color w:val="000000"/>
          <w:sz w:val="32"/>
          <w:szCs w:val="32"/>
          <w:highlight w:val="none"/>
        </w:rPr>
      </w:pPr>
      <w:bookmarkStart w:id="85" w:name="_Toc7630"/>
      <w:bookmarkStart w:id="86" w:name="_Toc80205941"/>
      <w:r>
        <w:rPr>
          <w:rFonts w:hint="eastAsia" w:ascii="宋体" w:hAnsi="宋体"/>
          <w:b/>
          <w:bCs/>
          <w:color w:val="000000"/>
          <w:sz w:val="32"/>
          <w:szCs w:val="32"/>
          <w:highlight w:val="none"/>
        </w:rPr>
        <w:t>第四节 报价文件格式</w:t>
      </w:r>
      <w:bookmarkEnd w:id="85"/>
      <w:bookmarkEnd w:id="86"/>
    </w:p>
    <w:p w14:paraId="5DFBC598">
      <w:pPr>
        <w:snapToGrid w:val="0"/>
        <w:spacing w:before="120" w:beforeLines="50" w:after="50"/>
        <w:rPr>
          <w:rFonts w:ascii="宋体" w:hAnsi="宋体"/>
          <w:bCs/>
          <w:color w:val="000000"/>
          <w:sz w:val="32"/>
          <w:szCs w:val="20"/>
          <w:highlight w:val="none"/>
        </w:rPr>
      </w:pPr>
      <w:r>
        <w:rPr>
          <w:rFonts w:hint="eastAsia" w:ascii="宋体" w:hAnsi="宋体"/>
          <w:bCs/>
          <w:color w:val="000000"/>
          <w:highlight w:val="none"/>
        </w:rPr>
        <w:t>全流程电子文件</w:t>
      </w:r>
    </w:p>
    <w:p w14:paraId="6E9ACB5A">
      <w:pPr>
        <w:snapToGrid w:val="0"/>
        <w:spacing w:before="120" w:beforeLines="50" w:after="50"/>
        <w:rPr>
          <w:rFonts w:ascii="宋体" w:hAnsi="宋体"/>
          <w:color w:val="000000"/>
          <w:sz w:val="24"/>
          <w:szCs w:val="20"/>
          <w:highlight w:val="none"/>
        </w:rPr>
      </w:pPr>
    </w:p>
    <w:p w14:paraId="29283AB7">
      <w:pPr>
        <w:snapToGrid w:val="0"/>
        <w:spacing w:before="120" w:beforeLines="50" w:after="50"/>
        <w:rPr>
          <w:rFonts w:ascii="宋体" w:hAnsi="宋体"/>
          <w:color w:val="000000"/>
          <w:sz w:val="24"/>
          <w:szCs w:val="20"/>
          <w:highlight w:val="none"/>
        </w:rPr>
      </w:pPr>
    </w:p>
    <w:p w14:paraId="1AB07B96">
      <w:pPr>
        <w:snapToGrid w:val="0"/>
        <w:spacing w:before="120" w:beforeLines="50" w:after="50"/>
        <w:rPr>
          <w:rFonts w:ascii="宋体" w:hAnsi="宋体"/>
          <w:color w:val="000000"/>
          <w:sz w:val="24"/>
          <w:szCs w:val="20"/>
          <w:highlight w:val="none"/>
        </w:rPr>
      </w:pPr>
    </w:p>
    <w:p w14:paraId="771B0979">
      <w:pPr>
        <w:snapToGrid w:val="0"/>
        <w:spacing w:before="120" w:beforeLines="50" w:after="50"/>
        <w:jc w:val="center"/>
        <w:rPr>
          <w:rFonts w:ascii="宋体" w:hAnsi="宋体" w:cs="方正小标宋简体"/>
          <w:bCs/>
          <w:color w:val="000000"/>
          <w:sz w:val="44"/>
          <w:szCs w:val="44"/>
          <w:highlight w:val="none"/>
        </w:rPr>
      </w:pPr>
      <w:r>
        <w:rPr>
          <w:rFonts w:hint="eastAsia" w:ascii="宋体" w:hAnsi="宋体" w:cs="方正小标宋简体"/>
          <w:bCs/>
          <w:color w:val="000000"/>
          <w:sz w:val="44"/>
          <w:szCs w:val="44"/>
          <w:highlight w:val="none"/>
        </w:rPr>
        <w:t>报价文件（封面）</w:t>
      </w:r>
    </w:p>
    <w:p w14:paraId="526AB1BD">
      <w:pPr>
        <w:snapToGrid w:val="0"/>
        <w:spacing w:before="120" w:beforeLines="50" w:after="50"/>
        <w:rPr>
          <w:rFonts w:ascii="宋体" w:hAnsi="宋体"/>
          <w:bCs/>
          <w:color w:val="000000"/>
          <w:sz w:val="24"/>
          <w:szCs w:val="20"/>
          <w:highlight w:val="none"/>
        </w:rPr>
      </w:pPr>
    </w:p>
    <w:p w14:paraId="5438C899">
      <w:pPr>
        <w:snapToGrid w:val="0"/>
        <w:spacing w:before="120" w:beforeLines="50" w:after="50"/>
        <w:rPr>
          <w:rFonts w:ascii="宋体" w:hAnsi="宋体"/>
          <w:bCs/>
          <w:color w:val="000000"/>
          <w:sz w:val="24"/>
          <w:szCs w:val="20"/>
          <w:highlight w:val="none"/>
        </w:rPr>
      </w:pPr>
    </w:p>
    <w:p w14:paraId="1143C18B">
      <w:pPr>
        <w:snapToGrid w:val="0"/>
        <w:spacing w:before="120" w:beforeLines="50" w:after="50"/>
        <w:rPr>
          <w:rFonts w:ascii="宋体" w:hAnsi="宋体"/>
          <w:bCs/>
          <w:color w:val="000000"/>
          <w:sz w:val="24"/>
          <w:szCs w:val="20"/>
          <w:highlight w:val="none"/>
        </w:rPr>
      </w:pPr>
    </w:p>
    <w:p w14:paraId="11B8E1CB">
      <w:pPr>
        <w:snapToGrid w:val="0"/>
        <w:spacing w:before="120" w:beforeLines="50" w:after="50"/>
        <w:rPr>
          <w:rFonts w:ascii="宋体" w:hAnsi="宋体"/>
          <w:bCs/>
          <w:color w:val="000000"/>
          <w:sz w:val="24"/>
          <w:szCs w:val="20"/>
          <w:highlight w:val="none"/>
        </w:rPr>
      </w:pPr>
    </w:p>
    <w:p w14:paraId="072B96CE">
      <w:pPr>
        <w:snapToGrid w:val="0"/>
        <w:spacing w:before="120" w:beforeLines="50" w:after="50"/>
        <w:rPr>
          <w:rFonts w:ascii="宋体" w:hAnsi="宋体"/>
          <w:bCs/>
          <w:color w:val="000000"/>
          <w:sz w:val="24"/>
          <w:szCs w:val="20"/>
          <w:highlight w:val="none"/>
        </w:rPr>
      </w:pPr>
    </w:p>
    <w:p w14:paraId="21C790C7">
      <w:pPr>
        <w:snapToGrid w:val="0"/>
        <w:spacing w:before="120" w:beforeLines="50" w:after="50"/>
        <w:ind w:firstLine="640" w:firstLineChars="200"/>
        <w:rPr>
          <w:rFonts w:ascii="宋体" w:hAnsi="宋体" w:cs="仿宋_GB2312"/>
          <w:bCs/>
          <w:color w:val="000000"/>
          <w:sz w:val="32"/>
          <w:szCs w:val="32"/>
          <w:highlight w:val="none"/>
        </w:rPr>
      </w:pPr>
      <w:r>
        <w:rPr>
          <w:rFonts w:hint="eastAsia" w:ascii="宋体" w:hAnsi="宋体" w:cs="仿宋_GB2312"/>
          <w:bCs/>
          <w:color w:val="000000"/>
          <w:sz w:val="32"/>
          <w:szCs w:val="32"/>
          <w:highlight w:val="none"/>
        </w:rPr>
        <w:t>项目名称：</w:t>
      </w:r>
    </w:p>
    <w:p w14:paraId="457C3663">
      <w:pPr>
        <w:snapToGrid w:val="0"/>
        <w:spacing w:before="120" w:beforeLines="50" w:after="50"/>
        <w:ind w:firstLine="720" w:firstLineChars="225"/>
        <w:rPr>
          <w:rFonts w:ascii="宋体" w:hAnsi="宋体" w:cs="仿宋_GB2312"/>
          <w:bCs/>
          <w:color w:val="000000"/>
          <w:sz w:val="32"/>
          <w:szCs w:val="32"/>
          <w:highlight w:val="none"/>
        </w:rPr>
      </w:pPr>
    </w:p>
    <w:p w14:paraId="16378BAF">
      <w:pPr>
        <w:snapToGrid w:val="0"/>
        <w:spacing w:before="120" w:beforeLines="50" w:after="50"/>
        <w:ind w:firstLine="640" w:firstLineChars="200"/>
        <w:rPr>
          <w:rFonts w:ascii="宋体" w:hAnsi="宋体" w:cs="仿宋_GB2312"/>
          <w:bCs/>
          <w:color w:val="000000"/>
          <w:sz w:val="32"/>
          <w:szCs w:val="32"/>
          <w:highlight w:val="none"/>
        </w:rPr>
      </w:pPr>
      <w:r>
        <w:rPr>
          <w:rFonts w:hint="eastAsia" w:ascii="宋体" w:hAnsi="宋体" w:cs="仿宋_GB2312"/>
          <w:bCs/>
          <w:color w:val="000000"/>
          <w:sz w:val="32"/>
          <w:szCs w:val="32"/>
          <w:highlight w:val="none"/>
        </w:rPr>
        <w:t>项目编号：</w:t>
      </w:r>
    </w:p>
    <w:p w14:paraId="13A6E673">
      <w:pPr>
        <w:snapToGrid w:val="0"/>
        <w:spacing w:before="120" w:beforeLines="50" w:after="50"/>
        <w:ind w:firstLine="720" w:firstLineChars="225"/>
        <w:rPr>
          <w:rFonts w:ascii="宋体" w:hAnsi="宋体" w:cs="仿宋_GB2312"/>
          <w:bCs/>
          <w:color w:val="000000"/>
          <w:sz w:val="32"/>
          <w:szCs w:val="32"/>
          <w:highlight w:val="none"/>
        </w:rPr>
      </w:pPr>
    </w:p>
    <w:p w14:paraId="792D8429">
      <w:pPr>
        <w:snapToGrid w:val="0"/>
        <w:spacing w:before="120" w:beforeLines="50" w:after="50"/>
        <w:ind w:firstLine="640" w:firstLineChars="200"/>
        <w:rPr>
          <w:rFonts w:ascii="宋体" w:hAnsi="宋体" w:cs="仿宋_GB2312"/>
          <w:bCs/>
          <w:color w:val="000000"/>
          <w:sz w:val="32"/>
          <w:szCs w:val="32"/>
          <w:highlight w:val="none"/>
        </w:rPr>
      </w:pPr>
      <w:r>
        <w:rPr>
          <w:rFonts w:hint="eastAsia" w:ascii="宋体" w:hAnsi="宋体" w:cs="仿宋_GB2312"/>
          <w:bCs/>
          <w:color w:val="000000"/>
          <w:sz w:val="32"/>
          <w:szCs w:val="32"/>
          <w:highlight w:val="none"/>
        </w:rPr>
        <w:t>所竞分标（如有则填写，无分标时填写“无”或者留空）：</w:t>
      </w:r>
    </w:p>
    <w:p w14:paraId="50143CF2">
      <w:pPr>
        <w:snapToGrid w:val="0"/>
        <w:spacing w:before="120" w:beforeLines="50" w:after="50"/>
        <w:ind w:firstLine="720" w:firstLineChars="225"/>
        <w:rPr>
          <w:rFonts w:ascii="宋体" w:hAnsi="宋体" w:cs="仿宋_GB2312"/>
          <w:bCs/>
          <w:color w:val="000000"/>
          <w:sz w:val="32"/>
          <w:szCs w:val="32"/>
          <w:highlight w:val="none"/>
        </w:rPr>
      </w:pPr>
    </w:p>
    <w:p w14:paraId="3840259B">
      <w:pPr>
        <w:snapToGrid w:val="0"/>
        <w:spacing w:before="50" w:after="50"/>
        <w:ind w:firstLine="640" w:firstLineChars="200"/>
        <w:rPr>
          <w:rFonts w:ascii="宋体" w:hAnsi="宋体" w:cs="仿宋_GB2312"/>
          <w:bCs/>
          <w:color w:val="000000"/>
          <w:sz w:val="32"/>
          <w:szCs w:val="32"/>
          <w:highlight w:val="none"/>
        </w:rPr>
      </w:pPr>
      <w:r>
        <w:rPr>
          <w:rFonts w:hint="eastAsia" w:ascii="宋体" w:hAnsi="宋体" w:cs="仿宋_GB2312"/>
          <w:bCs/>
          <w:color w:val="000000"/>
          <w:sz w:val="32"/>
          <w:szCs w:val="32"/>
          <w:highlight w:val="none"/>
        </w:rPr>
        <w:t>供应商名称：</w:t>
      </w:r>
    </w:p>
    <w:p w14:paraId="3C9F6B89">
      <w:pPr>
        <w:snapToGrid w:val="0"/>
        <w:spacing w:before="50" w:after="50"/>
        <w:ind w:firstLine="720" w:firstLineChars="225"/>
        <w:rPr>
          <w:rFonts w:ascii="宋体" w:hAnsi="宋体" w:cs="仿宋_GB2312"/>
          <w:bCs/>
          <w:color w:val="000000"/>
          <w:sz w:val="32"/>
          <w:szCs w:val="32"/>
          <w:highlight w:val="none"/>
        </w:rPr>
      </w:pPr>
    </w:p>
    <w:p w14:paraId="0C01E12D">
      <w:pPr>
        <w:snapToGrid w:val="0"/>
        <w:spacing w:before="50" w:after="50"/>
        <w:ind w:firstLine="720" w:firstLineChars="225"/>
        <w:rPr>
          <w:rFonts w:ascii="宋体" w:hAnsi="宋体" w:cs="仿宋_GB2312"/>
          <w:bCs/>
          <w:color w:val="000000"/>
          <w:sz w:val="32"/>
          <w:szCs w:val="32"/>
          <w:highlight w:val="none"/>
        </w:rPr>
      </w:pPr>
    </w:p>
    <w:p w14:paraId="3D5E9324">
      <w:pPr>
        <w:snapToGrid w:val="0"/>
        <w:spacing w:before="50" w:after="50"/>
        <w:ind w:firstLine="1280" w:firstLineChars="400"/>
        <w:rPr>
          <w:rFonts w:ascii="宋体" w:hAnsi="宋体" w:cs="仿宋_GB2312"/>
          <w:bCs/>
          <w:color w:val="000000"/>
          <w:sz w:val="32"/>
          <w:szCs w:val="32"/>
          <w:highlight w:val="none"/>
        </w:rPr>
      </w:pPr>
    </w:p>
    <w:p w14:paraId="46F3F657">
      <w:pPr>
        <w:snapToGrid w:val="0"/>
        <w:spacing w:before="120" w:beforeLines="50" w:after="50"/>
        <w:jc w:val="center"/>
        <w:rPr>
          <w:rFonts w:ascii="宋体" w:hAnsi="宋体" w:cs="仿宋_GB2312"/>
          <w:color w:val="000000"/>
          <w:sz w:val="32"/>
          <w:szCs w:val="32"/>
          <w:highlight w:val="none"/>
        </w:rPr>
      </w:pPr>
      <w:r>
        <w:rPr>
          <w:rFonts w:hint="eastAsia" w:ascii="宋体" w:hAnsi="宋体" w:cs="仿宋_GB2312"/>
          <w:color w:val="000000"/>
          <w:sz w:val="32"/>
          <w:szCs w:val="32"/>
          <w:highlight w:val="none"/>
        </w:rPr>
        <w:t>年    月    日</w:t>
      </w:r>
    </w:p>
    <w:p w14:paraId="3A46CABD">
      <w:pPr>
        <w:snapToGrid w:val="0"/>
        <w:spacing w:before="120" w:beforeLines="50" w:after="50" w:line="400" w:lineRule="exact"/>
        <w:jc w:val="center"/>
        <w:rPr>
          <w:rFonts w:ascii="宋体" w:hAnsi="宋体"/>
          <w:b/>
          <w:bCs/>
          <w:color w:val="000000"/>
          <w:sz w:val="32"/>
          <w:szCs w:val="32"/>
          <w:highlight w:val="none"/>
        </w:rPr>
      </w:pPr>
      <w:r>
        <w:rPr>
          <w:rFonts w:ascii="宋体" w:hAnsi="宋体"/>
          <w:color w:val="000000"/>
          <w:sz w:val="24"/>
          <w:highlight w:val="none"/>
        </w:rPr>
        <w:br w:type="page"/>
      </w:r>
      <w:r>
        <w:rPr>
          <w:rFonts w:hint="eastAsia" w:ascii="宋体" w:hAnsi="宋体"/>
          <w:b/>
          <w:bCs/>
          <w:color w:val="000000"/>
          <w:sz w:val="32"/>
          <w:szCs w:val="32"/>
          <w:highlight w:val="none"/>
        </w:rPr>
        <w:t>报价文件目录</w:t>
      </w:r>
    </w:p>
    <w:p w14:paraId="7BB764EB">
      <w:pPr>
        <w:rPr>
          <w:rFonts w:ascii="宋体" w:hAnsi="宋体" w:cs="宋体"/>
          <w:color w:val="000000"/>
          <w:highlight w:val="none"/>
        </w:rPr>
      </w:pPr>
    </w:p>
    <w:p w14:paraId="2153D64F">
      <w:pPr>
        <w:spacing w:line="360" w:lineRule="auto"/>
        <w:jc w:val="center"/>
        <w:rPr>
          <w:rFonts w:hint="eastAsia" w:ascii="仿宋_GB2312" w:hAnsi="仿宋" w:eastAsia="仿宋_GB2312" w:cs="仿宋_GB2312"/>
          <w:b/>
          <w:bCs/>
          <w:color w:val="auto"/>
          <w:sz w:val="28"/>
          <w:szCs w:val="28"/>
          <w:highlight w:val="none"/>
        </w:rPr>
      </w:pPr>
      <w:r>
        <w:rPr>
          <w:rFonts w:hint="eastAsia" w:ascii="宋体" w:hAnsi="宋体"/>
          <w:color w:val="auto"/>
          <w:sz w:val="28"/>
          <w:szCs w:val="28"/>
          <w:highlight w:val="none"/>
        </w:rPr>
        <w:t>根据</w:t>
      </w:r>
      <w:r>
        <w:rPr>
          <w:rFonts w:hint="eastAsia" w:ascii="宋体" w:hAnsi="宋体"/>
          <w:color w:val="auto"/>
          <w:sz w:val="28"/>
          <w:szCs w:val="28"/>
          <w:highlight w:val="none"/>
          <w:lang w:eastAsia="zh-CN"/>
        </w:rPr>
        <w:t>采购文件“</w:t>
      </w:r>
      <w:r>
        <w:rPr>
          <w:rFonts w:hint="eastAsia" w:ascii="宋体" w:hAnsi="宋体"/>
          <w:color w:val="auto"/>
          <w:sz w:val="28"/>
          <w:szCs w:val="28"/>
          <w:highlight w:val="none"/>
        </w:rPr>
        <w:t xml:space="preserve">第三章  </w:t>
      </w:r>
      <w:r>
        <w:rPr>
          <w:rFonts w:hint="eastAsia" w:ascii="宋体" w:hAnsi="宋体"/>
          <w:color w:val="auto"/>
          <w:sz w:val="28"/>
          <w:szCs w:val="28"/>
          <w:highlight w:val="none"/>
          <w:lang w:eastAsia="zh-CN"/>
        </w:rPr>
        <w:t>供应商</w:t>
      </w:r>
      <w:r>
        <w:rPr>
          <w:rFonts w:hint="eastAsia" w:ascii="宋体" w:hAnsi="宋体"/>
          <w:color w:val="auto"/>
          <w:sz w:val="28"/>
          <w:szCs w:val="28"/>
          <w:highlight w:val="none"/>
        </w:rPr>
        <w:t xml:space="preserve">须知 </w:t>
      </w:r>
      <w:r>
        <w:rPr>
          <w:rFonts w:hint="eastAsia" w:ascii="宋体" w:hAnsi="宋体"/>
          <w:color w:val="auto"/>
          <w:sz w:val="28"/>
          <w:szCs w:val="28"/>
          <w:highlight w:val="none"/>
          <w:lang w:val="en-US" w:eastAsia="zh-CN"/>
        </w:rPr>
        <w:t>12.1</w:t>
      </w:r>
      <w:r>
        <w:rPr>
          <w:rFonts w:hint="eastAsia" w:ascii="宋体" w:hAnsi="宋体"/>
          <w:color w:val="auto"/>
          <w:sz w:val="28"/>
          <w:szCs w:val="28"/>
          <w:highlight w:val="none"/>
        </w:rPr>
        <w:t>.</w:t>
      </w:r>
      <w:r>
        <w:rPr>
          <w:rFonts w:hint="eastAsia" w:ascii="宋体" w:hAnsi="宋体"/>
          <w:color w:val="auto"/>
          <w:sz w:val="28"/>
          <w:szCs w:val="28"/>
          <w:highlight w:val="none"/>
          <w:lang w:val="en-US" w:eastAsia="zh-CN"/>
        </w:rPr>
        <w:t xml:space="preserve">3 </w:t>
      </w:r>
      <w:r>
        <w:rPr>
          <w:rFonts w:hint="eastAsia" w:ascii="宋体" w:hAnsi="宋体"/>
          <w:color w:val="auto"/>
          <w:sz w:val="28"/>
          <w:szCs w:val="28"/>
          <w:highlight w:val="none"/>
          <w:lang w:eastAsia="zh-CN"/>
        </w:rPr>
        <w:t>报价</w:t>
      </w:r>
      <w:r>
        <w:rPr>
          <w:rFonts w:hint="eastAsia" w:ascii="宋体" w:hAnsi="宋体"/>
          <w:color w:val="auto"/>
          <w:sz w:val="28"/>
          <w:szCs w:val="28"/>
          <w:highlight w:val="none"/>
        </w:rPr>
        <w:t>文件组成</w:t>
      </w:r>
      <w:r>
        <w:rPr>
          <w:rFonts w:hint="eastAsia" w:ascii="宋体" w:hAnsi="宋体"/>
          <w:color w:val="auto"/>
          <w:sz w:val="28"/>
          <w:szCs w:val="28"/>
          <w:highlight w:val="none"/>
          <w:lang w:val="en-US" w:eastAsia="zh-CN"/>
        </w:rPr>
        <w:t xml:space="preserve"> ”的规定</w:t>
      </w:r>
      <w:r>
        <w:rPr>
          <w:rFonts w:hint="eastAsia" w:ascii="宋体" w:hAnsi="宋体"/>
          <w:color w:val="auto"/>
          <w:sz w:val="28"/>
          <w:szCs w:val="28"/>
          <w:highlight w:val="none"/>
        </w:rPr>
        <w:t>及</w:t>
      </w:r>
      <w:r>
        <w:rPr>
          <w:rFonts w:hint="eastAsia" w:ascii="宋体" w:hAnsi="宋体"/>
          <w:color w:val="auto"/>
          <w:sz w:val="28"/>
          <w:szCs w:val="28"/>
          <w:highlight w:val="none"/>
          <w:lang w:eastAsia="zh-CN"/>
        </w:rPr>
        <w:t>供应商</w:t>
      </w:r>
      <w:r>
        <w:rPr>
          <w:rFonts w:hint="eastAsia" w:ascii="宋体" w:hAnsi="宋体"/>
          <w:color w:val="auto"/>
          <w:sz w:val="28"/>
          <w:szCs w:val="28"/>
          <w:highlight w:val="none"/>
        </w:rPr>
        <w:t>提供的材料自行编写目录。</w:t>
      </w:r>
    </w:p>
    <w:p w14:paraId="37B12B49">
      <w:pPr>
        <w:pStyle w:val="9"/>
        <w:spacing w:line="360" w:lineRule="auto"/>
        <w:ind w:firstLine="420"/>
        <w:rPr>
          <w:rFonts w:hAnsi="宋体"/>
          <w:color w:val="auto"/>
          <w:sz w:val="30"/>
          <w:highlight w:val="none"/>
        </w:rPr>
      </w:pPr>
    </w:p>
    <w:p w14:paraId="7F5DEF26">
      <w:pPr>
        <w:rPr>
          <w:rFonts w:hAnsi="宋体"/>
          <w:color w:val="auto"/>
          <w:sz w:val="30"/>
          <w:highlight w:val="none"/>
        </w:rPr>
      </w:pPr>
    </w:p>
    <w:p w14:paraId="02F30D17">
      <w:pPr>
        <w:snapToGrid w:val="0"/>
        <w:spacing w:before="120" w:beforeLines="50" w:after="50" w:line="360" w:lineRule="auto"/>
        <w:ind w:left="142" w:firstLine="640" w:firstLineChars="200"/>
        <w:jc w:val="left"/>
        <w:rPr>
          <w:rFonts w:ascii="宋体" w:hAnsi="宋体" w:cs="仿宋_GB2312"/>
          <w:color w:val="000000"/>
          <w:sz w:val="32"/>
          <w:szCs w:val="32"/>
          <w:highlight w:val="none"/>
        </w:rPr>
      </w:pPr>
    </w:p>
    <w:p w14:paraId="05057CDB">
      <w:pPr>
        <w:snapToGrid w:val="0"/>
        <w:spacing w:before="120" w:beforeLines="50" w:after="50" w:line="360" w:lineRule="auto"/>
        <w:ind w:left="142" w:firstLine="480" w:firstLineChars="200"/>
        <w:jc w:val="center"/>
        <w:rPr>
          <w:rFonts w:ascii="宋体" w:hAnsi="宋体"/>
          <w:b/>
          <w:bCs/>
          <w:color w:val="000000"/>
          <w:kern w:val="0"/>
          <w:sz w:val="30"/>
          <w:szCs w:val="30"/>
          <w:highlight w:val="none"/>
        </w:rPr>
      </w:pPr>
      <w:r>
        <w:rPr>
          <w:rFonts w:ascii="宋体" w:hAnsi="宋体" w:cs="仿宋_GB2312"/>
          <w:color w:val="000000"/>
          <w:sz w:val="24"/>
          <w:highlight w:val="none"/>
        </w:rPr>
        <w:br w:type="page"/>
      </w:r>
      <w:r>
        <w:rPr>
          <w:rFonts w:hint="eastAsia" w:ascii="宋体" w:hAnsi="宋体"/>
          <w:b/>
          <w:bCs/>
          <w:color w:val="000000"/>
          <w:kern w:val="0"/>
          <w:sz w:val="36"/>
          <w:szCs w:val="36"/>
          <w:highlight w:val="none"/>
        </w:rPr>
        <w:t>响应函</w:t>
      </w:r>
    </w:p>
    <w:p w14:paraId="04F06556">
      <w:pPr>
        <w:spacing w:line="360" w:lineRule="auto"/>
        <w:rPr>
          <w:rFonts w:hint="default" w:ascii="宋体" w:hAnsi="宋体" w:eastAsia="宋体"/>
          <w:color w:val="000000"/>
          <w:kern w:val="0"/>
          <w:sz w:val="24"/>
          <w:szCs w:val="24"/>
          <w:highlight w:val="none"/>
          <w:lang w:val="en-US" w:eastAsia="zh-CN"/>
        </w:rPr>
      </w:pPr>
      <w:r>
        <w:rPr>
          <w:rFonts w:hint="eastAsia" w:ascii="宋体" w:hAnsi="宋体"/>
          <w:color w:val="000000"/>
          <w:kern w:val="0"/>
          <w:sz w:val="24"/>
          <w:szCs w:val="24"/>
          <w:highlight w:val="none"/>
        </w:rPr>
        <w:t>致：</w:t>
      </w:r>
      <w:r>
        <w:rPr>
          <w:rFonts w:hint="eastAsia" w:ascii="宋体" w:hAnsi="宋体"/>
          <w:color w:val="000000"/>
          <w:kern w:val="0"/>
          <w:sz w:val="24"/>
          <w:szCs w:val="24"/>
          <w:highlight w:val="none"/>
          <w:u w:val="single"/>
          <w:lang w:val="en-US" w:eastAsia="zh-CN"/>
        </w:rPr>
        <w:t xml:space="preserve">          </w:t>
      </w:r>
      <w:r>
        <w:rPr>
          <w:rFonts w:hint="eastAsia" w:ascii="宋体" w:hAnsi="宋体" w:eastAsia="宋体" w:cs="宋体"/>
          <w:color w:val="000000"/>
          <w:sz w:val="24"/>
          <w:szCs w:val="24"/>
          <w:highlight w:val="none"/>
        </w:rPr>
        <w:t>（采购代理机构名称）</w:t>
      </w:r>
    </w:p>
    <w:p w14:paraId="112A8F3F">
      <w:pPr>
        <w:spacing w:line="360" w:lineRule="auto"/>
        <w:ind w:firstLine="480" w:firstLineChars="200"/>
        <w:rPr>
          <w:rFonts w:ascii="宋体" w:hAnsi="宋体"/>
          <w:color w:val="000000"/>
          <w:kern w:val="0"/>
          <w:sz w:val="24"/>
          <w:szCs w:val="24"/>
          <w:highlight w:val="none"/>
        </w:rPr>
      </w:pPr>
      <w:r>
        <w:rPr>
          <w:rFonts w:hint="eastAsia" w:ascii="宋体" w:hAnsi="宋体"/>
          <w:color w:val="000000"/>
          <w:kern w:val="0"/>
          <w:sz w:val="24"/>
          <w:szCs w:val="24"/>
          <w:highlight w:val="none"/>
        </w:rPr>
        <w:t>我方已仔细阅读了贵方组织的</w:t>
      </w:r>
      <w:r>
        <w:rPr>
          <w:rFonts w:hint="eastAsia" w:ascii="宋体" w:hAnsi="宋体"/>
          <w:color w:val="000000"/>
          <w:kern w:val="0"/>
          <w:sz w:val="24"/>
          <w:szCs w:val="24"/>
          <w:highlight w:val="none"/>
          <w:u w:val="single"/>
          <w:lang w:val="en-US" w:eastAsia="zh-CN"/>
        </w:rPr>
        <w:t xml:space="preserve">            </w:t>
      </w:r>
      <w:r>
        <w:rPr>
          <w:rFonts w:hint="eastAsia" w:ascii="宋体" w:hAnsi="宋体"/>
          <w:color w:val="000000"/>
          <w:kern w:val="0"/>
          <w:sz w:val="24"/>
          <w:szCs w:val="24"/>
          <w:highlight w:val="none"/>
        </w:rPr>
        <w:t>项目（项目名称）（项目编号：</w:t>
      </w:r>
      <w:r>
        <w:rPr>
          <w:rFonts w:hint="eastAsia" w:ascii="宋体" w:hAnsi="宋体"/>
          <w:color w:val="000000"/>
          <w:kern w:val="0"/>
          <w:sz w:val="24"/>
          <w:szCs w:val="24"/>
          <w:highlight w:val="none"/>
          <w:u w:val="single"/>
          <w:lang w:val="en-US" w:eastAsia="zh-CN"/>
        </w:rPr>
        <w:t xml:space="preserve">     </w:t>
      </w:r>
      <w:r>
        <w:rPr>
          <w:rFonts w:hint="eastAsia" w:ascii="宋体" w:hAnsi="宋体"/>
          <w:color w:val="000000"/>
          <w:kern w:val="0"/>
          <w:sz w:val="24"/>
          <w:szCs w:val="24"/>
          <w:highlight w:val="none"/>
        </w:rPr>
        <w:t xml:space="preserve">）的竞争性磋商采购文件的全部内容，现正式递交下述文件参加贵方组织的本次政府采购活动： </w:t>
      </w:r>
    </w:p>
    <w:p w14:paraId="49F2A791">
      <w:pPr>
        <w:spacing w:line="360" w:lineRule="auto"/>
        <w:ind w:firstLine="480" w:firstLineChars="200"/>
        <w:rPr>
          <w:rFonts w:ascii="宋体" w:hAnsi="宋体"/>
          <w:color w:val="000000"/>
          <w:kern w:val="0"/>
          <w:sz w:val="24"/>
          <w:szCs w:val="24"/>
          <w:highlight w:val="none"/>
        </w:rPr>
      </w:pPr>
      <w:r>
        <w:rPr>
          <w:rFonts w:hint="eastAsia" w:ascii="宋体" w:hAnsi="宋体"/>
          <w:color w:val="000000"/>
          <w:kern w:val="0"/>
          <w:sz w:val="24"/>
          <w:szCs w:val="24"/>
          <w:highlight w:val="none"/>
        </w:rPr>
        <w:t>一、首次报价文件电子版</w:t>
      </w:r>
      <w:r>
        <w:rPr>
          <w:rFonts w:hint="eastAsia" w:ascii="宋体" w:hAnsi="宋体"/>
          <w:color w:val="000000"/>
          <w:kern w:val="0"/>
          <w:sz w:val="24"/>
          <w:szCs w:val="24"/>
          <w:highlight w:val="none"/>
          <w:u w:val="single"/>
          <w:lang w:val="en-US" w:eastAsia="zh-CN"/>
        </w:rPr>
        <w:t xml:space="preserve">    </w:t>
      </w:r>
      <w:r>
        <w:rPr>
          <w:rFonts w:hint="eastAsia" w:ascii="宋体" w:hAnsi="宋体"/>
          <w:color w:val="000000"/>
          <w:kern w:val="0"/>
          <w:sz w:val="24"/>
          <w:szCs w:val="24"/>
          <w:highlight w:val="none"/>
        </w:rPr>
        <w:t>份（包含按“第三章 供应商须知”提交的全部文件）；</w:t>
      </w:r>
    </w:p>
    <w:p w14:paraId="07EAC86C">
      <w:pPr>
        <w:spacing w:line="360" w:lineRule="auto"/>
        <w:ind w:firstLine="480" w:firstLineChars="200"/>
        <w:rPr>
          <w:rFonts w:ascii="宋体" w:hAnsi="宋体"/>
          <w:color w:val="000000"/>
          <w:kern w:val="0"/>
          <w:sz w:val="24"/>
          <w:szCs w:val="24"/>
          <w:highlight w:val="none"/>
        </w:rPr>
      </w:pPr>
      <w:r>
        <w:rPr>
          <w:rFonts w:hint="eastAsia" w:ascii="宋体" w:hAnsi="宋体"/>
          <w:color w:val="000000"/>
          <w:kern w:val="0"/>
          <w:sz w:val="24"/>
          <w:szCs w:val="24"/>
          <w:highlight w:val="none"/>
        </w:rPr>
        <w:t>二、技术文件电子版</w:t>
      </w:r>
      <w:r>
        <w:rPr>
          <w:rFonts w:hint="eastAsia" w:ascii="宋体" w:hAnsi="宋体"/>
          <w:color w:val="000000"/>
          <w:kern w:val="0"/>
          <w:sz w:val="24"/>
          <w:szCs w:val="24"/>
          <w:highlight w:val="none"/>
          <w:u w:val="single"/>
          <w:lang w:val="en-US" w:eastAsia="zh-CN"/>
        </w:rPr>
        <w:t xml:space="preserve">    </w:t>
      </w:r>
      <w:r>
        <w:rPr>
          <w:rFonts w:hint="eastAsia" w:ascii="宋体" w:hAnsi="宋体"/>
          <w:color w:val="000000"/>
          <w:kern w:val="0"/>
          <w:sz w:val="24"/>
          <w:szCs w:val="24"/>
          <w:highlight w:val="none"/>
        </w:rPr>
        <w:t>份（包含按“第三章 供应商须知”提交的全部文件）；商务文件电子版</w:t>
      </w:r>
      <w:r>
        <w:rPr>
          <w:rFonts w:hint="eastAsia" w:ascii="宋体" w:hAnsi="宋体"/>
          <w:color w:val="000000"/>
          <w:kern w:val="0"/>
          <w:sz w:val="24"/>
          <w:szCs w:val="24"/>
          <w:highlight w:val="none"/>
          <w:u w:val="single"/>
          <w:lang w:val="en-US" w:eastAsia="zh-CN"/>
        </w:rPr>
        <w:t xml:space="preserve">    </w:t>
      </w:r>
      <w:r>
        <w:rPr>
          <w:rFonts w:hint="eastAsia" w:ascii="宋体" w:hAnsi="宋体"/>
          <w:color w:val="000000"/>
          <w:kern w:val="0"/>
          <w:sz w:val="24"/>
          <w:szCs w:val="24"/>
          <w:highlight w:val="none"/>
        </w:rPr>
        <w:t>份（包含按“第三章 供应商须知”提交的全部文件）；（商务技术文件已合并装订成册）</w:t>
      </w:r>
    </w:p>
    <w:p w14:paraId="4951AB4A">
      <w:pPr>
        <w:spacing w:line="360" w:lineRule="auto"/>
        <w:ind w:firstLine="480" w:firstLineChars="200"/>
        <w:rPr>
          <w:rFonts w:ascii="宋体" w:hAnsi="宋体"/>
          <w:color w:val="000000"/>
          <w:kern w:val="0"/>
          <w:sz w:val="24"/>
          <w:szCs w:val="24"/>
          <w:highlight w:val="none"/>
        </w:rPr>
      </w:pPr>
      <w:r>
        <w:rPr>
          <w:rFonts w:hint="eastAsia" w:ascii="宋体" w:hAnsi="宋体"/>
          <w:color w:val="000000"/>
          <w:kern w:val="0"/>
          <w:sz w:val="24"/>
          <w:szCs w:val="24"/>
          <w:highlight w:val="none"/>
        </w:rPr>
        <w:t>据此函，签字人兹宣布：</w:t>
      </w:r>
    </w:p>
    <w:p w14:paraId="7409297F">
      <w:pPr>
        <w:spacing w:line="360" w:lineRule="auto"/>
        <w:ind w:firstLine="482"/>
        <w:rPr>
          <w:rFonts w:ascii="宋体" w:hAnsi="宋体"/>
          <w:color w:val="000000"/>
          <w:kern w:val="0"/>
          <w:sz w:val="24"/>
          <w:szCs w:val="24"/>
          <w:highlight w:val="none"/>
        </w:rPr>
      </w:pPr>
      <w:r>
        <w:rPr>
          <w:rFonts w:hint="eastAsia" w:ascii="宋体" w:hAnsi="宋体"/>
          <w:color w:val="000000"/>
          <w:kern w:val="0"/>
          <w:sz w:val="24"/>
          <w:szCs w:val="24"/>
          <w:highlight w:val="none"/>
        </w:rPr>
        <w:t>1、我方愿意以（大写）人民币</w:t>
      </w:r>
      <w:r>
        <w:rPr>
          <w:rFonts w:hint="eastAsia" w:ascii="宋体" w:hAnsi="宋体"/>
          <w:color w:val="000000"/>
          <w:kern w:val="0"/>
          <w:sz w:val="24"/>
          <w:szCs w:val="24"/>
          <w:highlight w:val="none"/>
          <w:u w:val="single"/>
          <w:lang w:val="en-US" w:eastAsia="zh-CN"/>
        </w:rPr>
        <w:t xml:space="preserve">      </w:t>
      </w:r>
      <w:r>
        <w:rPr>
          <w:rFonts w:hint="eastAsia" w:ascii="宋体" w:hAnsi="宋体"/>
          <w:color w:val="000000"/>
          <w:kern w:val="0"/>
          <w:sz w:val="24"/>
          <w:szCs w:val="24"/>
          <w:highlight w:val="none"/>
          <w:lang w:val="en-US" w:eastAsia="zh-CN"/>
        </w:rPr>
        <w:t xml:space="preserve"> </w:t>
      </w:r>
      <w:r>
        <w:rPr>
          <w:rFonts w:hint="eastAsia" w:ascii="宋体" w:hAnsi="宋体"/>
          <w:color w:val="000000"/>
          <w:kern w:val="0"/>
          <w:sz w:val="24"/>
          <w:szCs w:val="24"/>
          <w:highlight w:val="none"/>
        </w:rPr>
        <w:t>（￥</w:t>
      </w:r>
      <w:r>
        <w:rPr>
          <w:rFonts w:hint="eastAsia" w:ascii="宋体" w:hAnsi="宋体"/>
          <w:color w:val="000000"/>
          <w:kern w:val="0"/>
          <w:sz w:val="24"/>
          <w:szCs w:val="24"/>
          <w:highlight w:val="none"/>
          <w:u w:val="single"/>
          <w:lang w:val="en-US" w:eastAsia="zh-CN"/>
        </w:rPr>
        <w:t xml:space="preserve">          </w:t>
      </w:r>
      <w:r>
        <w:rPr>
          <w:rFonts w:hint="eastAsia" w:ascii="宋体" w:hAnsi="宋体"/>
          <w:color w:val="000000"/>
          <w:kern w:val="0"/>
          <w:sz w:val="24"/>
          <w:szCs w:val="24"/>
          <w:highlight w:val="none"/>
        </w:rPr>
        <w:t>元)的竞标总报价，工期：</w:t>
      </w:r>
      <w:r>
        <w:rPr>
          <w:rFonts w:hint="eastAsia" w:ascii="宋体" w:hAnsi="宋体"/>
          <w:color w:val="000000"/>
          <w:kern w:val="0"/>
          <w:sz w:val="24"/>
          <w:szCs w:val="24"/>
          <w:highlight w:val="none"/>
          <w:u w:val="single"/>
          <w:lang w:val="en-US" w:eastAsia="zh-CN"/>
        </w:rPr>
        <w:t xml:space="preserve">      </w:t>
      </w:r>
      <w:r>
        <w:rPr>
          <w:rFonts w:hint="eastAsia" w:ascii="宋体" w:hAnsi="宋体"/>
          <w:color w:val="000000"/>
          <w:kern w:val="0"/>
          <w:sz w:val="24"/>
          <w:szCs w:val="24"/>
          <w:highlight w:val="none"/>
        </w:rPr>
        <w:t>，</w:t>
      </w:r>
      <w:r>
        <w:rPr>
          <w:rFonts w:hint="eastAsia" w:ascii="宋体" w:hAnsi="宋体"/>
          <w:color w:val="000000"/>
          <w:kern w:val="0"/>
          <w:sz w:val="24"/>
          <w:szCs w:val="24"/>
          <w:highlight w:val="none"/>
          <w:lang w:val="en-US" w:eastAsia="zh-CN"/>
        </w:rPr>
        <w:t>工程</w:t>
      </w:r>
      <w:r>
        <w:rPr>
          <w:rFonts w:hint="eastAsia" w:ascii="宋体" w:hAnsi="宋体"/>
          <w:color w:val="000000"/>
          <w:kern w:val="0"/>
          <w:sz w:val="24"/>
          <w:szCs w:val="24"/>
          <w:highlight w:val="none"/>
        </w:rPr>
        <w:t>质量：</w:t>
      </w:r>
      <w:r>
        <w:rPr>
          <w:rFonts w:hint="eastAsia" w:ascii="宋体" w:hAnsi="宋体"/>
          <w:color w:val="000000"/>
          <w:kern w:val="0"/>
          <w:sz w:val="24"/>
          <w:szCs w:val="24"/>
          <w:highlight w:val="none"/>
          <w:u w:val="single"/>
          <w:lang w:val="en-US" w:eastAsia="zh-CN"/>
        </w:rPr>
        <w:t xml:space="preserve">          </w:t>
      </w:r>
      <w:r>
        <w:rPr>
          <w:rFonts w:hint="eastAsia" w:ascii="宋体" w:hAnsi="宋体"/>
          <w:color w:val="000000"/>
          <w:kern w:val="0"/>
          <w:sz w:val="24"/>
          <w:szCs w:val="24"/>
          <w:highlight w:val="none"/>
          <w:lang w:val="en-US" w:eastAsia="zh-CN"/>
        </w:rPr>
        <w:t xml:space="preserve"> </w:t>
      </w:r>
      <w:r>
        <w:rPr>
          <w:rFonts w:hint="eastAsia" w:ascii="宋体" w:hAnsi="宋体"/>
          <w:color w:val="000000"/>
          <w:kern w:val="0"/>
          <w:sz w:val="24"/>
          <w:szCs w:val="24"/>
          <w:highlight w:val="none"/>
        </w:rPr>
        <w:t>，提供本项目竞争性磋商采购文件第二章“采购需求一览表”中相应的采购内容。</w:t>
      </w:r>
    </w:p>
    <w:p w14:paraId="32CC6408">
      <w:pPr>
        <w:spacing w:line="360" w:lineRule="auto"/>
        <w:ind w:firstLine="482"/>
        <w:rPr>
          <w:rFonts w:ascii="宋体" w:hAnsi="宋体"/>
          <w:color w:val="000000"/>
          <w:kern w:val="0"/>
          <w:sz w:val="24"/>
          <w:szCs w:val="24"/>
          <w:highlight w:val="none"/>
        </w:rPr>
      </w:pPr>
      <w:r>
        <w:rPr>
          <w:rFonts w:hint="eastAsia" w:ascii="宋体" w:hAnsi="宋体"/>
          <w:color w:val="000000"/>
          <w:kern w:val="0"/>
          <w:sz w:val="24"/>
          <w:szCs w:val="24"/>
          <w:highlight w:val="none"/>
        </w:rPr>
        <w:t>2、我方同意自本项目竞争性磋商采购文件采购公告规定的递交响应文件截止时间起遵循本响应函，并承诺在“第三章 供应商须知”规定的响应有效期内不修改、撤销响应文件。</w:t>
      </w:r>
    </w:p>
    <w:p w14:paraId="5FC7DB8B">
      <w:pPr>
        <w:spacing w:line="360" w:lineRule="auto"/>
        <w:ind w:firstLine="482"/>
        <w:rPr>
          <w:rFonts w:ascii="宋体" w:hAnsi="宋体"/>
          <w:color w:val="000000"/>
          <w:kern w:val="0"/>
          <w:sz w:val="24"/>
          <w:szCs w:val="24"/>
          <w:highlight w:val="none"/>
        </w:rPr>
      </w:pPr>
      <w:r>
        <w:rPr>
          <w:rFonts w:hint="eastAsia" w:ascii="宋体" w:hAnsi="宋体"/>
          <w:color w:val="000000"/>
          <w:kern w:val="0"/>
          <w:sz w:val="24"/>
          <w:szCs w:val="24"/>
          <w:highlight w:val="none"/>
        </w:rPr>
        <w:t>3、我方在此声明，所递交的响应文件及有关资料内容完整、真实和准确。</w:t>
      </w:r>
    </w:p>
    <w:p w14:paraId="57DCD6B4">
      <w:pPr>
        <w:spacing w:line="360" w:lineRule="auto"/>
        <w:ind w:firstLine="482"/>
        <w:rPr>
          <w:rFonts w:ascii="宋体" w:hAnsi="宋体"/>
          <w:color w:val="000000"/>
          <w:kern w:val="0"/>
          <w:sz w:val="24"/>
          <w:szCs w:val="24"/>
          <w:highlight w:val="none"/>
        </w:rPr>
      </w:pPr>
      <w:r>
        <w:rPr>
          <w:rFonts w:hint="eastAsia" w:ascii="宋体" w:hAnsi="宋体"/>
          <w:color w:val="000000"/>
          <w:kern w:val="0"/>
          <w:sz w:val="24"/>
          <w:szCs w:val="24"/>
          <w:highlight w:val="none"/>
        </w:rPr>
        <w:t>4、如本项目采购内容涉及须符合国家强制规定的，我方承诺我方本次竞标均符合国家有关强制规定。</w:t>
      </w:r>
    </w:p>
    <w:p w14:paraId="1A8A7F83">
      <w:pPr>
        <w:spacing w:line="360" w:lineRule="auto"/>
        <w:ind w:firstLine="482"/>
        <w:rPr>
          <w:rFonts w:ascii="宋体" w:hAnsi="宋体"/>
          <w:color w:val="000000"/>
          <w:kern w:val="0"/>
          <w:sz w:val="24"/>
          <w:szCs w:val="24"/>
          <w:highlight w:val="none"/>
        </w:rPr>
      </w:pPr>
      <w:r>
        <w:rPr>
          <w:rFonts w:hint="eastAsia" w:ascii="宋体" w:hAnsi="宋体"/>
          <w:color w:val="000000"/>
          <w:kern w:val="0"/>
          <w:sz w:val="24"/>
          <w:szCs w:val="24"/>
          <w:highlight w:val="none"/>
        </w:rPr>
        <w:t>5、如我方成交，我方承诺在收到成交通知书后，在成交通知书规定的期限内，根据竞争性磋商采购文件、我方的响应文件及有关澄清承诺书的要求按第六章“合同文本”与采购人订立书面合同，并按照合同约定承担完成合同的责任和义务。</w:t>
      </w:r>
    </w:p>
    <w:p w14:paraId="6602C30E">
      <w:pPr>
        <w:spacing w:line="360" w:lineRule="auto"/>
        <w:ind w:firstLine="482"/>
        <w:rPr>
          <w:rFonts w:ascii="宋体" w:hAnsi="宋体"/>
          <w:color w:val="000000"/>
          <w:kern w:val="0"/>
          <w:sz w:val="24"/>
          <w:szCs w:val="24"/>
          <w:highlight w:val="none"/>
        </w:rPr>
      </w:pPr>
      <w:r>
        <w:rPr>
          <w:rFonts w:hint="eastAsia" w:ascii="宋体" w:hAnsi="宋体"/>
          <w:color w:val="000000"/>
          <w:kern w:val="0"/>
          <w:sz w:val="24"/>
          <w:szCs w:val="24"/>
          <w:highlight w:val="none"/>
        </w:rPr>
        <w:t>6、我方已详细审核竞争性磋商采购文件，我方知道必须放弃提出含糊不清或误解问题的权利。</w:t>
      </w:r>
    </w:p>
    <w:p w14:paraId="730C448B">
      <w:pPr>
        <w:spacing w:line="360" w:lineRule="auto"/>
        <w:ind w:firstLine="482"/>
        <w:rPr>
          <w:rFonts w:ascii="宋体" w:hAnsi="宋体"/>
          <w:color w:val="000000"/>
          <w:kern w:val="0"/>
          <w:sz w:val="24"/>
          <w:szCs w:val="24"/>
          <w:highlight w:val="none"/>
        </w:rPr>
      </w:pPr>
      <w:r>
        <w:rPr>
          <w:rFonts w:hint="eastAsia" w:ascii="宋体" w:hAnsi="宋体"/>
          <w:color w:val="000000"/>
          <w:kern w:val="0"/>
          <w:sz w:val="24"/>
          <w:szCs w:val="24"/>
          <w:highlight w:val="none"/>
        </w:rPr>
        <w:t>7、我方承诺满足竞争性磋商采购文件第六章“合同文本”的条款，承担完成合同的责任和义务。</w:t>
      </w:r>
    </w:p>
    <w:p w14:paraId="4170F1FF">
      <w:pPr>
        <w:spacing w:line="360" w:lineRule="auto"/>
        <w:ind w:firstLine="482"/>
        <w:rPr>
          <w:rFonts w:ascii="宋体" w:hAnsi="宋体"/>
          <w:color w:val="000000"/>
          <w:kern w:val="0"/>
          <w:sz w:val="24"/>
          <w:szCs w:val="24"/>
          <w:highlight w:val="none"/>
        </w:rPr>
      </w:pPr>
      <w:r>
        <w:rPr>
          <w:rFonts w:hint="eastAsia" w:ascii="宋体" w:hAnsi="宋体"/>
          <w:color w:val="000000"/>
          <w:kern w:val="0"/>
          <w:sz w:val="24"/>
          <w:szCs w:val="24"/>
          <w:highlight w:val="none"/>
        </w:rPr>
        <w:t>8、我方同意应贵方要求提供与本竞标有关的任何数据或资料。若贵方需要，我方愿意提供我方作出的一切承诺的证明材料。</w:t>
      </w:r>
    </w:p>
    <w:p w14:paraId="5D6B83F7">
      <w:pPr>
        <w:spacing w:line="360" w:lineRule="auto"/>
        <w:ind w:firstLine="482"/>
        <w:rPr>
          <w:rFonts w:ascii="宋体" w:hAnsi="宋体"/>
          <w:color w:val="000000"/>
          <w:kern w:val="0"/>
          <w:sz w:val="24"/>
          <w:szCs w:val="24"/>
          <w:highlight w:val="none"/>
        </w:rPr>
      </w:pPr>
      <w:r>
        <w:rPr>
          <w:rFonts w:hint="eastAsia" w:ascii="宋体" w:hAnsi="宋体"/>
          <w:color w:val="000000"/>
          <w:kern w:val="0"/>
          <w:sz w:val="24"/>
          <w:szCs w:val="24"/>
          <w:highlight w:val="none"/>
        </w:rPr>
        <w:t>9、我方完全理解贵方不一定接受响应报价最低的竞标人为成交供应商的行为。</w:t>
      </w:r>
    </w:p>
    <w:p w14:paraId="3395B6F6">
      <w:pPr>
        <w:spacing w:line="360" w:lineRule="auto"/>
        <w:ind w:firstLine="482"/>
        <w:rPr>
          <w:rFonts w:ascii="宋体" w:hAnsi="宋体"/>
          <w:color w:val="000000"/>
          <w:kern w:val="0"/>
          <w:sz w:val="24"/>
          <w:szCs w:val="24"/>
          <w:highlight w:val="none"/>
        </w:rPr>
      </w:pPr>
      <w:r>
        <w:rPr>
          <w:rFonts w:hint="eastAsia" w:ascii="宋体" w:hAnsi="宋体"/>
          <w:color w:val="000000"/>
          <w:kern w:val="0"/>
          <w:sz w:val="24"/>
          <w:szCs w:val="24"/>
          <w:highlight w:val="none"/>
        </w:rPr>
        <w:t>10、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28B137BE">
      <w:pPr>
        <w:numPr>
          <w:ilvl w:val="0"/>
          <w:numId w:val="5"/>
        </w:numPr>
        <w:tabs>
          <w:tab w:val="left" w:pos="945"/>
        </w:tabs>
        <w:spacing w:line="360" w:lineRule="auto"/>
        <w:rPr>
          <w:rFonts w:ascii="宋体" w:hAnsi="宋体"/>
          <w:color w:val="000000"/>
          <w:kern w:val="0"/>
          <w:sz w:val="24"/>
          <w:szCs w:val="24"/>
          <w:highlight w:val="none"/>
        </w:rPr>
      </w:pPr>
      <w:r>
        <w:rPr>
          <w:rFonts w:hint="eastAsia" w:ascii="宋体" w:hAnsi="宋体"/>
          <w:color w:val="000000"/>
          <w:kern w:val="0"/>
          <w:sz w:val="24"/>
          <w:szCs w:val="24"/>
          <w:highlight w:val="none"/>
        </w:rPr>
        <w:t>提供虚假材料谋取中标、成交的；</w:t>
      </w:r>
    </w:p>
    <w:p w14:paraId="7CFCB48F">
      <w:pPr>
        <w:numPr>
          <w:ilvl w:val="0"/>
          <w:numId w:val="5"/>
        </w:numPr>
        <w:tabs>
          <w:tab w:val="left" w:pos="945"/>
        </w:tabs>
        <w:spacing w:line="360" w:lineRule="auto"/>
        <w:rPr>
          <w:rFonts w:ascii="宋体" w:hAnsi="宋体"/>
          <w:color w:val="000000"/>
          <w:kern w:val="0"/>
          <w:sz w:val="24"/>
          <w:szCs w:val="24"/>
          <w:highlight w:val="none"/>
        </w:rPr>
      </w:pPr>
      <w:r>
        <w:rPr>
          <w:rFonts w:hint="eastAsia" w:ascii="宋体" w:hAnsi="宋体"/>
          <w:color w:val="000000"/>
          <w:kern w:val="0"/>
          <w:sz w:val="24"/>
          <w:szCs w:val="24"/>
          <w:highlight w:val="none"/>
        </w:rPr>
        <w:t>采取不正当手段诋毁、排挤其他供应商的；</w:t>
      </w:r>
    </w:p>
    <w:p w14:paraId="70DDF1E6">
      <w:pPr>
        <w:numPr>
          <w:ilvl w:val="0"/>
          <w:numId w:val="5"/>
        </w:numPr>
        <w:tabs>
          <w:tab w:val="left" w:pos="945"/>
        </w:tabs>
        <w:spacing w:line="360" w:lineRule="auto"/>
        <w:rPr>
          <w:rFonts w:ascii="宋体" w:hAnsi="宋体"/>
          <w:color w:val="000000"/>
          <w:kern w:val="0"/>
          <w:sz w:val="24"/>
          <w:szCs w:val="24"/>
          <w:highlight w:val="none"/>
        </w:rPr>
      </w:pPr>
      <w:r>
        <w:rPr>
          <w:rFonts w:hint="eastAsia" w:ascii="宋体" w:hAnsi="宋体"/>
          <w:color w:val="000000"/>
          <w:kern w:val="0"/>
          <w:sz w:val="24"/>
          <w:szCs w:val="24"/>
          <w:highlight w:val="none"/>
        </w:rPr>
        <w:t>与采购人、其他供应商或者采购代理机构恶意串通的；</w:t>
      </w:r>
    </w:p>
    <w:p w14:paraId="34AA1731">
      <w:pPr>
        <w:numPr>
          <w:ilvl w:val="0"/>
          <w:numId w:val="5"/>
        </w:numPr>
        <w:tabs>
          <w:tab w:val="left" w:pos="945"/>
        </w:tabs>
        <w:spacing w:line="360" w:lineRule="auto"/>
        <w:rPr>
          <w:rFonts w:ascii="宋体" w:hAnsi="宋体"/>
          <w:color w:val="000000"/>
          <w:kern w:val="0"/>
          <w:sz w:val="24"/>
          <w:szCs w:val="24"/>
          <w:highlight w:val="none"/>
        </w:rPr>
      </w:pPr>
      <w:r>
        <w:rPr>
          <w:rFonts w:hint="eastAsia" w:ascii="宋体" w:hAnsi="宋体"/>
          <w:color w:val="000000"/>
          <w:kern w:val="0"/>
          <w:sz w:val="24"/>
          <w:szCs w:val="24"/>
          <w:highlight w:val="none"/>
        </w:rPr>
        <w:t>向采购人、采购代理机构行贿或者提供其他不正当利益的；</w:t>
      </w:r>
    </w:p>
    <w:p w14:paraId="6C88333C">
      <w:pPr>
        <w:numPr>
          <w:ilvl w:val="0"/>
          <w:numId w:val="5"/>
        </w:numPr>
        <w:tabs>
          <w:tab w:val="left" w:pos="945"/>
        </w:tabs>
        <w:spacing w:line="360" w:lineRule="auto"/>
        <w:rPr>
          <w:rFonts w:ascii="宋体" w:hAnsi="宋体"/>
          <w:color w:val="000000"/>
          <w:kern w:val="0"/>
          <w:sz w:val="24"/>
          <w:szCs w:val="24"/>
          <w:highlight w:val="none"/>
        </w:rPr>
      </w:pPr>
      <w:r>
        <w:rPr>
          <w:rFonts w:hint="eastAsia" w:ascii="宋体" w:hAnsi="宋体"/>
          <w:color w:val="000000"/>
          <w:kern w:val="0"/>
          <w:sz w:val="24"/>
          <w:szCs w:val="24"/>
          <w:highlight w:val="none"/>
        </w:rPr>
        <w:t>在采购过程中与采购人进行协商谈判的；</w:t>
      </w:r>
    </w:p>
    <w:p w14:paraId="75BB460D">
      <w:pPr>
        <w:numPr>
          <w:ilvl w:val="0"/>
          <w:numId w:val="5"/>
        </w:numPr>
        <w:tabs>
          <w:tab w:val="left" w:pos="945"/>
        </w:tabs>
        <w:spacing w:line="360" w:lineRule="auto"/>
        <w:rPr>
          <w:rFonts w:ascii="宋体" w:hAnsi="宋体"/>
          <w:color w:val="000000"/>
          <w:kern w:val="0"/>
          <w:sz w:val="24"/>
          <w:szCs w:val="24"/>
          <w:highlight w:val="none"/>
        </w:rPr>
      </w:pPr>
      <w:r>
        <w:rPr>
          <w:rFonts w:hint="eastAsia" w:ascii="宋体" w:hAnsi="宋体"/>
          <w:color w:val="000000"/>
          <w:kern w:val="0"/>
          <w:sz w:val="24"/>
          <w:szCs w:val="24"/>
          <w:highlight w:val="none"/>
        </w:rPr>
        <w:t>拒绝有关部门监督检查或提供虚假情况的。</w:t>
      </w:r>
    </w:p>
    <w:p w14:paraId="38369CDD">
      <w:pPr>
        <w:spacing w:line="360" w:lineRule="auto"/>
        <w:ind w:firstLine="420"/>
        <w:rPr>
          <w:rFonts w:ascii="宋体" w:hAnsi="宋体"/>
          <w:color w:val="000000"/>
          <w:kern w:val="0"/>
          <w:sz w:val="24"/>
          <w:szCs w:val="24"/>
          <w:highlight w:val="none"/>
        </w:rPr>
      </w:pPr>
      <w:r>
        <w:rPr>
          <w:rFonts w:hint="eastAsia" w:ascii="宋体" w:hAnsi="宋体" w:cs="宋体"/>
          <w:color w:val="000000"/>
          <w:kern w:val="0"/>
          <w:sz w:val="24"/>
          <w:szCs w:val="24"/>
          <w:highlight w:val="none"/>
        </w:rPr>
        <w:t>11</w:t>
      </w:r>
      <w:r>
        <w:rPr>
          <w:rFonts w:hint="eastAsia" w:ascii="宋体" w:hAnsi="宋体" w:cs="宋体"/>
          <w:color w:val="000000"/>
          <w:kern w:val="0"/>
          <w:sz w:val="24"/>
          <w:szCs w:val="24"/>
          <w:highlight w:val="none"/>
          <w:lang w:eastAsia="zh-CN"/>
        </w:rPr>
        <w:t>、</w:t>
      </w:r>
      <w:r>
        <w:rPr>
          <w:rFonts w:hint="eastAsia" w:ascii="宋体" w:hAnsi="宋体" w:cs="宋体"/>
          <w:color w:val="000000"/>
          <w:kern w:val="0"/>
          <w:sz w:val="24"/>
          <w:szCs w:val="24"/>
          <w:highlight w:val="none"/>
        </w:rPr>
        <w:t>与本磋商有关的一切正式往来信函请寄</w:t>
      </w:r>
      <w:r>
        <w:rPr>
          <w:rFonts w:hint="eastAsia" w:ascii="宋体" w:hAnsi="宋体"/>
          <w:color w:val="000000"/>
          <w:kern w:val="0"/>
          <w:sz w:val="24"/>
          <w:szCs w:val="24"/>
          <w:highlight w:val="none"/>
        </w:rPr>
        <w:t>：</w:t>
      </w:r>
    </w:p>
    <w:p w14:paraId="1335053F">
      <w:pPr>
        <w:spacing w:line="360" w:lineRule="auto"/>
        <w:ind w:firstLine="420"/>
        <w:rPr>
          <w:rFonts w:ascii="宋体" w:hAnsi="宋体"/>
          <w:color w:val="000000"/>
          <w:kern w:val="0"/>
          <w:sz w:val="24"/>
          <w:szCs w:val="24"/>
          <w:highlight w:val="none"/>
        </w:rPr>
      </w:pPr>
      <w:r>
        <w:rPr>
          <w:rFonts w:hint="eastAsia" w:ascii="宋体" w:hAnsi="宋体"/>
          <w:color w:val="000000"/>
          <w:kern w:val="0"/>
          <w:sz w:val="24"/>
          <w:szCs w:val="24"/>
          <w:highlight w:val="none"/>
        </w:rPr>
        <w:t>地址：</w:t>
      </w:r>
    </w:p>
    <w:p w14:paraId="284DE6D8">
      <w:pPr>
        <w:spacing w:line="360" w:lineRule="auto"/>
        <w:ind w:firstLine="420"/>
        <w:rPr>
          <w:rFonts w:ascii="宋体" w:hAnsi="宋体"/>
          <w:color w:val="000000"/>
          <w:kern w:val="0"/>
          <w:sz w:val="24"/>
          <w:szCs w:val="24"/>
          <w:highlight w:val="none"/>
          <w:u w:val="single"/>
        </w:rPr>
      </w:pPr>
      <w:r>
        <w:rPr>
          <w:rFonts w:hint="eastAsia" w:ascii="宋体" w:hAnsi="宋体"/>
          <w:color w:val="000000"/>
          <w:kern w:val="0"/>
          <w:sz w:val="24"/>
          <w:szCs w:val="24"/>
          <w:highlight w:val="none"/>
        </w:rPr>
        <w:t>电话：</w:t>
      </w:r>
    </w:p>
    <w:p w14:paraId="0B3C9AD8">
      <w:pPr>
        <w:spacing w:line="360" w:lineRule="auto"/>
        <w:ind w:firstLine="420"/>
        <w:rPr>
          <w:rFonts w:ascii="宋体" w:hAnsi="宋体"/>
          <w:color w:val="000000"/>
          <w:kern w:val="0"/>
          <w:sz w:val="24"/>
          <w:szCs w:val="24"/>
          <w:highlight w:val="none"/>
        </w:rPr>
      </w:pPr>
      <w:r>
        <w:rPr>
          <w:rFonts w:hint="eastAsia" w:ascii="宋体" w:hAnsi="宋体"/>
          <w:color w:val="000000"/>
          <w:kern w:val="0"/>
          <w:sz w:val="24"/>
          <w:szCs w:val="24"/>
          <w:highlight w:val="none"/>
        </w:rPr>
        <w:t>传真：</w:t>
      </w:r>
    </w:p>
    <w:p w14:paraId="401B4E70">
      <w:pPr>
        <w:spacing w:line="360" w:lineRule="auto"/>
        <w:ind w:firstLine="420"/>
        <w:rPr>
          <w:rFonts w:ascii="宋体" w:hAnsi="宋体"/>
          <w:color w:val="000000"/>
          <w:kern w:val="0"/>
          <w:sz w:val="24"/>
          <w:szCs w:val="24"/>
          <w:highlight w:val="none"/>
          <w:u w:val="single"/>
        </w:rPr>
      </w:pPr>
      <w:r>
        <w:rPr>
          <w:rFonts w:hint="eastAsia" w:ascii="宋体" w:hAnsi="宋体"/>
          <w:color w:val="000000"/>
          <w:kern w:val="0"/>
          <w:sz w:val="24"/>
          <w:szCs w:val="24"/>
          <w:highlight w:val="none"/>
        </w:rPr>
        <w:t>邮政编码：</w:t>
      </w:r>
    </w:p>
    <w:p w14:paraId="60896D25">
      <w:pPr>
        <w:spacing w:line="360" w:lineRule="auto"/>
        <w:ind w:firstLine="420"/>
        <w:rPr>
          <w:rFonts w:ascii="宋体" w:hAnsi="宋体"/>
          <w:color w:val="000000"/>
          <w:kern w:val="0"/>
          <w:sz w:val="24"/>
          <w:szCs w:val="24"/>
          <w:highlight w:val="none"/>
          <w:u w:val="single"/>
        </w:rPr>
      </w:pPr>
      <w:r>
        <w:rPr>
          <w:rFonts w:hint="eastAsia" w:ascii="宋体" w:hAnsi="宋体"/>
          <w:color w:val="000000"/>
          <w:kern w:val="0"/>
          <w:sz w:val="24"/>
          <w:szCs w:val="24"/>
          <w:highlight w:val="none"/>
        </w:rPr>
        <w:t>开户名称：</w:t>
      </w:r>
    </w:p>
    <w:p w14:paraId="793A11B5">
      <w:pPr>
        <w:spacing w:line="360" w:lineRule="auto"/>
        <w:ind w:firstLine="420"/>
        <w:rPr>
          <w:rFonts w:ascii="宋体" w:hAnsi="宋体"/>
          <w:color w:val="000000"/>
          <w:kern w:val="0"/>
          <w:sz w:val="24"/>
          <w:szCs w:val="24"/>
          <w:highlight w:val="none"/>
          <w:u w:val="single"/>
        </w:rPr>
      </w:pPr>
      <w:r>
        <w:rPr>
          <w:rFonts w:hint="eastAsia" w:ascii="宋体" w:hAnsi="宋体"/>
          <w:color w:val="000000"/>
          <w:kern w:val="0"/>
          <w:sz w:val="24"/>
          <w:szCs w:val="24"/>
          <w:highlight w:val="none"/>
        </w:rPr>
        <w:t>开户银行：</w:t>
      </w:r>
    </w:p>
    <w:p w14:paraId="4E278AB9">
      <w:pPr>
        <w:spacing w:line="360" w:lineRule="auto"/>
        <w:ind w:firstLine="420"/>
        <w:rPr>
          <w:rFonts w:ascii="宋体" w:hAnsi="宋体"/>
          <w:color w:val="000000"/>
          <w:kern w:val="0"/>
          <w:sz w:val="24"/>
          <w:szCs w:val="24"/>
          <w:highlight w:val="none"/>
          <w:u w:val="single"/>
        </w:rPr>
      </w:pPr>
      <w:r>
        <w:rPr>
          <w:rFonts w:hint="eastAsia" w:ascii="宋体" w:hAnsi="宋体"/>
          <w:color w:val="000000"/>
          <w:kern w:val="0"/>
          <w:sz w:val="24"/>
          <w:szCs w:val="24"/>
          <w:highlight w:val="none"/>
        </w:rPr>
        <w:t>银行账号：</w:t>
      </w:r>
    </w:p>
    <w:p w14:paraId="2DE744CA">
      <w:pPr>
        <w:tabs>
          <w:tab w:val="left" w:pos="939"/>
        </w:tabs>
        <w:spacing w:line="360" w:lineRule="auto"/>
        <w:ind w:left="141" w:leftChars="67" w:firstLine="360" w:firstLineChars="150"/>
        <w:contextualSpacing/>
        <w:rPr>
          <w:rFonts w:ascii="宋体" w:hAnsi="宋体" w:cs="宋体"/>
          <w:color w:val="000000"/>
          <w:sz w:val="24"/>
          <w:szCs w:val="24"/>
          <w:highlight w:val="none"/>
        </w:rPr>
      </w:pPr>
      <w:r>
        <w:rPr>
          <w:rFonts w:hint="eastAsia" w:ascii="宋体" w:hAnsi="宋体" w:cs="宋体"/>
          <w:color w:val="000000"/>
          <w:sz w:val="24"/>
          <w:szCs w:val="24"/>
          <w:highlight w:val="none"/>
        </w:rPr>
        <w:t>特此承诺。</w:t>
      </w:r>
    </w:p>
    <w:p w14:paraId="0E5364BB">
      <w:pPr>
        <w:spacing w:line="360" w:lineRule="auto"/>
        <w:contextualSpacing/>
        <w:jc w:val="left"/>
        <w:rPr>
          <w:rFonts w:ascii="宋体" w:hAnsi="宋体" w:cs="宋体"/>
          <w:color w:val="000000"/>
          <w:sz w:val="24"/>
          <w:szCs w:val="24"/>
          <w:highlight w:val="none"/>
        </w:rPr>
      </w:pPr>
    </w:p>
    <w:p w14:paraId="76A4AA31">
      <w:pPr>
        <w:autoSpaceDE w:val="0"/>
        <w:autoSpaceDN w:val="0"/>
        <w:spacing w:line="360" w:lineRule="auto"/>
        <w:ind w:left="4335" w:leftChars="1950" w:hanging="240" w:hangingChars="100"/>
        <w:rPr>
          <w:rFonts w:ascii="宋体" w:hAnsi="宋体" w:cs="仿宋_GB2312"/>
          <w:color w:val="000000"/>
          <w:kern w:val="0"/>
          <w:sz w:val="24"/>
          <w:szCs w:val="24"/>
          <w:highlight w:val="none"/>
        </w:rPr>
      </w:pPr>
      <w:r>
        <w:rPr>
          <w:rFonts w:hint="eastAsia" w:ascii="宋体" w:hAnsi="宋体" w:cs="仿宋_GB2312"/>
          <w:color w:val="000000"/>
          <w:kern w:val="0"/>
          <w:sz w:val="24"/>
          <w:szCs w:val="24"/>
          <w:highlight w:val="none"/>
        </w:rPr>
        <w:t>供应商名称（电子签章）：</w:t>
      </w:r>
    </w:p>
    <w:p w14:paraId="247BF62C">
      <w:pPr>
        <w:autoSpaceDE w:val="0"/>
        <w:autoSpaceDN w:val="0"/>
        <w:spacing w:line="360" w:lineRule="auto"/>
        <w:ind w:firstLine="6480" w:firstLineChars="2700"/>
        <w:rPr>
          <w:rFonts w:ascii="宋体" w:hAnsi="宋体" w:cs="仿宋_GB2312"/>
          <w:color w:val="000000"/>
          <w:kern w:val="0"/>
          <w:sz w:val="24"/>
          <w:szCs w:val="24"/>
          <w:highlight w:val="none"/>
          <w:lang w:val="zh-CN"/>
        </w:rPr>
      </w:pPr>
      <w:r>
        <w:rPr>
          <w:rFonts w:hint="eastAsia" w:ascii="宋体" w:hAnsi="宋体" w:cs="仿宋_GB2312"/>
          <w:color w:val="000000"/>
          <w:kern w:val="0"/>
          <w:sz w:val="24"/>
          <w:szCs w:val="24"/>
          <w:highlight w:val="none"/>
          <w:lang w:val="zh-CN"/>
        </w:rPr>
        <w:t>日期：  年  月   日</w:t>
      </w:r>
    </w:p>
    <w:p w14:paraId="1A13F64D">
      <w:pPr>
        <w:rPr>
          <w:rFonts w:ascii="宋体" w:hAnsi="宋体"/>
          <w:color w:val="000000"/>
          <w:highlight w:val="none"/>
          <w:lang w:val="zh-CN"/>
        </w:rPr>
      </w:pPr>
    </w:p>
    <w:p w14:paraId="117054FE">
      <w:pPr>
        <w:rPr>
          <w:rFonts w:ascii="宋体" w:hAnsi="宋体"/>
          <w:color w:val="000000"/>
          <w:highlight w:val="none"/>
          <w:lang w:val="zh-CN"/>
        </w:rPr>
      </w:pPr>
    </w:p>
    <w:p w14:paraId="7F8C9F56">
      <w:pPr>
        <w:rPr>
          <w:rFonts w:ascii="宋体" w:hAnsi="宋体"/>
          <w:color w:val="000000"/>
          <w:highlight w:val="none"/>
          <w:lang w:val="zh-CN"/>
        </w:rPr>
      </w:pPr>
    </w:p>
    <w:p w14:paraId="5F9320E2">
      <w:pPr>
        <w:rPr>
          <w:rFonts w:ascii="宋体" w:hAnsi="宋体"/>
          <w:color w:val="000000"/>
          <w:highlight w:val="none"/>
          <w:lang w:val="zh-CN"/>
        </w:rPr>
      </w:pPr>
    </w:p>
    <w:p w14:paraId="11932A52">
      <w:pPr>
        <w:rPr>
          <w:rFonts w:ascii="宋体" w:hAnsi="宋体"/>
          <w:color w:val="000000"/>
          <w:highlight w:val="none"/>
          <w:lang w:val="zh-CN"/>
        </w:rPr>
      </w:pPr>
    </w:p>
    <w:p w14:paraId="67977F6D">
      <w:pPr>
        <w:rPr>
          <w:rFonts w:ascii="宋体" w:hAnsi="宋体"/>
          <w:color w:val="000000"/>
          <w:highlight w:val="none"/>
          <w:lang w:val="zh-CN"/>
        </w:rPr>
      </w:pPr>
    </w:p>
    <w:p w14:paraId="529F5277">
      <w:pPr>
        <w:rPr>
          <w:rFonts w:ascii="宋体" w:hAnsi="宋体"/>
          <w:color w:val="000000"/>
          <w:highlight w:val="none"/>
          <w:lang w:val="zh-CN"/>
        </w:rPr>
      </w:pPr>
    </w:p>
    <w:p w14:paraId="591AF874">
      <w:pPr>
        <w:rPr>
          <w:rFonts w:ascii="宋体" w:hAnsi="宋体"/>
          <w:color w:val="000000"/>
          <w:highlight w:val="none"/>
          <w:lang w:val="zh-CN"/>
        </w:rPr>
      </w:pPr>
    </w:p>
    <w:p w14:paraId="2502A0B8">
      <w:pPr>
        <w:rPr>
          <w:rFonts w:ascii="宋体" w:hAnsi="宋体"/>
          <w:color w:val="000000"/>
          <w:highlight w:val="none"/>
          <w:lang w:val="zh-CN"/>
        </w:rPr>
      </w:pPr>
    </w:p>
    <w:p w14:paraId="73969258">
      <w:pPr>
        <w:rPr>
          <w:rFonts w:ascii="宋体" w:hAnsi="宋体"/>
          <w:color w:val="000000"/>
          <w:highlight w:val="none"/>
          <w:lang w:val="zh-CN"/>
        </w:rPr>
      </w:pPr>
    </w:p>
    <w:p w14:paraId="4D52CB5E">
      <w:pPr>
        <w:rPr>
          <w:rFonts w:ascii="宋体" w:hAnsi="宋体"/>
          <w:color w:val="000000"/>
          <w:highlight w:val="none"/>
          <w:lang w:val="zh-CN"/>
        </w:rPr>
      </w:pPr>
    </w:p>
    <w:p w14:paraId="67BD1EC5">
      <w:pPr>
        <w:rPr>
          <w:rFonts w:ascii="宋体" w:hAnsi="宋体"/>
          <w:color w:val="000000"/>
          <w:highlight w:val="none"/>
          <w:lang w:val="zh-CN"/>
        </w:rPr>
      </w:pPr>
    </w:p>
    <w:p w14:paraId="0A0742AB">
      <w:pPr>
        <w:rPr>
          <w:rFonts w:ascii="宋体" w:hAnsi="宋体"/>
          <w:color w:val="000000"/>
          <w:highlight w:val="none"/>
          <w:lang w:val="zh-CN"/>
        </w:rPr>
      </w:pPr>
    </w:p>
    <w:p w14:paraId="3C1A1FCF">
      <w:pPr>
        <w:pStyle w:val="9"/>
        <w:spacing w:line="360" w:lineRule="auto"/>
        <w:ind w:firstLine="9577" w:firstLineChars="2650"/>
        <w:rPr>
          <w:rFonts w:hAnsi="宋体" w:cs="宋体"/>
          <w:sz w:val="24"/>
          <w:lang w:val="zh-CN"/>
        </w:rPr>
        <w:sectPr>
          <w:pgSz w:w="11910" w:h="16840"/>
          <w:pgMar w:top="1304" w:right="1304" w:bottom="1304" w:left="1304" w:header="720" w:footer="720" w:gutter="0"/>
          <w:cols w:space="720" w:num="1"/>
        </w:sectPr>
      </w:pPr>
      <w:r>
        <w:rPr>
          <w:rFonts w:hint="eastAsia" w:ascii="宋体" w:hAnsi="宋体"/>
          <w:b/>
          <w:bCs/>
          <w:color w:val="000000"/>
          <w:sz w:val="36"/>
          <w:szCs w:val="36"/>
          <w:highlight w:val="none"/>
        </w:rPr>
        <w:br w:type="page"/>
      </w:r>
    </w:p>
    <w:p w14:paraId="20C16AF0">
      <w:pPr>
        <w:spacing w:line="520" w:lineRule="exact"/>
        <w:jc w:val="center"/>
        <w:rPr>
          <w:rFonts w:hint="eastAsia" w:ascii="宋体" w:hAnsi="宋体"/>
          <w:b/>
          <w:bCs/>
          <w:color w:val="000000"/>
          <w:sz w:val="36"/>
          <w:szCs w:val="36"/>
          <w:highlight w:val="none"/>
        </w:rPr>
      </w:pPr>
      <w:r>
        <w:rPr>
          <w:rFonts w:hint="eastAsia" w:ascii="宋体" w:hAnsi="宋体"/>
          <w:b/>
          <w:bCs/>
          <w:color w:val="000000"/>
          <w:sz w:val="36"/>
          <w:szCs w:val="36"/>
          <w:highlight w:val="none"/>
        </w:rPr>
        <w:t>响应报价表</w:t>
      </w:r>
    </w:p>
    <w:p w14:paraId="0C7A88CA">
      <w:pPr>
        <w:pStyle w:val="7"/>
        <w:rPr>
          <w:color w:val="000000"/>
          <w:highlight w:val="none"/>
        </w:rPr>
      </w:pPr>
    </w:p>
    <w:p w14:paraId="41651E56">
      <w:pPr>
        <w:snapToGrid w:val="0"/>
        <w:spacing w:before="50" w:after="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3872432F">
      <w:pPr>
        <w:snapToGrid w:val="0"/>
        <w:spacing w:before="50" w:after="50"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分标：</w:t>
      </w:r>
      <w:r>
        <w:rPr>
          <w:rFonts w:hint="eastAsia" w:ascii="宋体" w:hAnsi="宋体" w:eastAsia="宋体" w:cs="宋体"/>
          <w:color w:val="auto"/>
          <w:sz w:val="24"/>
          <w:szCs w:val="24"/>
          <w:highlight w:val="none"/>
          <w:u w:val="single"/>
        </w:rPr>
        <w:t xml:space="preserve">           </w:t>
      </w:r>
    </w:p>
    <w:p w14:paraId="7A3CD4F3">
      <w:pPr>
        <w:snapToGrid w:val="0"/>
        <w:spacing w:before="50" w:after="50"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3761BF99">
      <w:pPr>
        <w:pageBreakBefore w:val="0"/>
        <w:kinsoku/>
        <w:overflowPunct/>
        <w:topLinePunct w:val="0"/>
        <w:bidi w:val="0"/>
        <w:spacing w:line="360" w:lineRule="auto"/>
        <w:ind w:left="238" w:hanging="24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币种：人民币</w:t>
      </w:r>
      <w:r>
        <w:rPr>
          <w:rFonts w:hint="eastAsia" w:ascii="宋体" w:hAnsi="宋体" w:eastAsia="宋体" w:cs="宋体"/>
          <w:color w:val="auto"/>
          <w:sz w:val="24"/>
          <w:szCs w:val="24"/>
          <w:highlight w:val="none"/>
          <w:vertAlign w:val="superscript"/>
        </w:rPr>
        <w:t xml:space="preserve"> </w:t>
      </w:r>
    </w:p>
    <w:tbl>
      <w:tblPr>
        <w:tblStyle w:val="15"/>
        <w:tblW w:w="92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6"/>
        <w:gridCol w:w="3508"/>
        <w:gridCol w:w="2717"/>
        <w:gridCol w:w="1353"/>
      </w:tblGrid>
      <w:tr w14:paraId="08659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5174" w:type="dxa"/>
            <w:gridSpan w:val="2"/>
            <w:vAlign w:val="center"/>
          </w:tcPr>
          <w:p w14:paraId="3178297D">
            <w:pPr>
              <w:keepNext w:val="0"/>
              <w:keepLines w:val="0"/>
              <w:pageBreakBefore w:val="0"/>
              <w:widowControl/>
              <w:tabs>
                <w:tab w:val="left" w:pos="2720"/>
              </w:tabs>
              <w:kinsoku/>
              <w:overflowPunct/>
              <w:topLinePunct w:val="0"/>
              <w:autoSpaceDE/>
              <w:autoSpaceDN/>
              <w:bidi w:val="0"/>
              <w:adjustRightInd w:val="0"/>
              <w:snapToGrid w:val="0"/>
              <w:spacing w:line="440" w:lineRule="exact"/>
              <w:ind w:left="180"/>
              <w:jc w:val="center"/>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磋商总报价</w:t>
            </w:r>
          </w:p>
        </w:tc>
        <w:tc>
          <w:tcPr>
            <w:tcW w:w="2717" w:type="dxa"/>
            <w:vAlign w:val="center"/>
          </w:tcPr>
          <w:p w14:paraId="1DC22C2A">
            <w:pPr>
              <w:keepNext w:val="0"/>
              <w:keepLines w:val="0"/>
              <w:pageBreakBefore w:val="0"/>
              <w:widowControl/>
              <w:tabs>
                <w:tab w:val="left" w:pos="2720"/>
              </w:tabs>
              <w:kinsoku/>
              <w:wordWrap w:val="0"/>
              <w:overflowPunct/>
              <w:topLinePunct w:val="0"/>
              <w:autoSpaceDE/>
              <w:autoSpaceDN/>
              <w:bidi w:val="0"/>
              <w:adjustRightInd w:val="0"/>
              <w:snapToGrid w:val="0"/>
              <w:spacing w:line="440" w:lineRule="exact"/>
              <w:jc w:val="righ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万元  </w:t>
            </w:r>
          </w:p>
        </w:tc>
        <w:tc>
          <w:tcPr>
            <w:tcW w:w="1353" w:type="dxa"/>
            <w:vAlign w:val="top"/>
          </w:tcPr>
          <w:p w14:paraId="163DAA01">
            <w:pPr>
              <w:keepNext w:val="0"/>
              <w:keepLines w:val="0"/>
              <w:pageBreakBefore w:val="0"/>
              <w:widowControl/>
              <w:tabs>
                <w:tab w:val="left" w:pos="2720"/>
              </w:tabs>
              <w:kinsoku/>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11F97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jc w:val="center"/>
        </w:trPr>
        <w:tc>
          <w:tcPr>
            <w:tcW w:w="1666" w:type="dxa"/>
            <w:vMerge w:val="restart"/>
            <w:vAlign w:val="center"/>
          </w:tcPr>
          <w:p w14:paraId="3D5C3D78">
            <w:pPr>
              <w:keepNext w:val="0"/>
              <w:keepLines w:val="0"/>
              <w:pageBreakBefore w:val="0"/>
              <w:widowControl/>
              <w:tabs>
                <w:tab w:val="left" w:pos="2720"/>
              </w:tabs>
              <w:kinsoku/>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其中</w:t>
            </w:r>
          </w:p>
        </w:tc>
        <w:tc>
          <w:tcPr>
            <w:tcW w:w="3508" w:type="dxa"/>
            <w:vAlign w:val="center"/>
          </w:tcPr>
          <w:p w14:paraId="03390674">
            <w:pPr>
              <w:keepNext w:val="0"/>
              <w:keepLines w:val="0"/>
              <w:pageBreakBefore w:val="0"/>
              <w:widowControl/>
              <w:tabs>
                <w:tab w:val="left" w:pos="2720"/>
              </w:tabs>
              <w:kinsoku/>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安全文明施工费</w:t>
            </w:r>
          </w:p>
        </w:tc>
        <w:tc>
          <w:tcPr>
            <w:tcW w:w="2717" w:type="dxa"/>
            <w:vAlign w:val="center"/>
          </w:tcPr>
          <w:p w14:paraId="5971D590">
            <w:pPr>
              <w:keepNext w:val="0"/>
              <w:keepLines w:val="0"/>
              <w:pageBreakBefore w:val="0"/>
              <w:widowControl/>
              <w:tabs>
                <w:tab w:val="left" w:pos="2720"/>
              </w:tabs>
              <w:kinsoku/>
              <w:wordWrap w:val="0"/>
              <w:overflowPunct/>
              <w:topLinePunct w:val="0"/>
              <w:autoSpaceDE/>
              <w:autoSpaceDN/>
              <w:bidi w:val="0"/>
              <w:adjustRightInd w:val="0"/>
              <w:snapToGrid w:val="0"/>
              <w:spacing w:line="440" w:lineRule="exact"/>
              <w:jc w:val="righ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万元  </w:t>
            </w:r>
          </w:p>
        </w:tc>
        <w:tc>
          <w:tcPr>
            <w:tcW w:w="1353" w:type="dxa"/>
            <w:vAlign w:val="top"/>
          </w:tcPr>
          <w:p w14:paraId="1D50B3A6">
            <w:pPr>
              <w:keepNext w:val="0"/>
              <w:keepLines w:val="0"/>
              <w:pageBreakBefore w:val="0"/>
              <w:widowControl/>
              <w:tabs>
                <w:tab w:val="left" w:pos="2720"/>
              </w:tabs>
              <w:kinsoku/>
              <w:wordWrap w:val="0"/>
              <w:overflowPunct/>
              <w:topLinePunct w:val="0"/>
              <w:autoSpaceDE/>
              <w:autoSpaceDN/>
              <w:bidi w:val="0"/>
              <w:adjustRightInd w:val="0"/>
              <w:snapToGrid w:val="0"/>
              <w:spacing w:line="440" w:lineRule="exact"/>
              <w:jc w:val="right"/>
              <w:textAlignment w:val="auto"/>
              <w:outlineLvl w:val="9"/>
              <w:rPr>
                <w:rFonts w:hint="eastAsia" w:ascii="宋体" w:hAnsi="宋体" w:eastAsia="宋体" w:cs="宋体"/>
                <w:color w:val="auto"/>
                <w:sz w:val="24"/>
                <w:szCs w:val="24"/>
                <w:highlight w:val="none"/>
              </w:rPr>
            </w:pPr>
          </w:p>
        </w:tc>
      </w:tr>
      <w:tr w14:paraId="3BA74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1666" w:type="dxa"/>
            <w:vMerge w:val="continue"/>
            <w:vAlign w:val="center"/>
          </w:tcPr>
          <w:p w14:paraId="3A29F507">
            <w:pPr>
              <w:keepNext w:val="0"/>
              <w:keepLines w:val="0"/>
              <w:pageBreakBefore w:val="0"/>
              <w:widowControl/>
              <w:tabs>
                <w:tab w:val="left" w:pos="2720"/>
              </w:tabs>
              <w:kinsoku/>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color w:val="auto"/>
                <w:sz w:val="24"/>
                <w:szCs w:val="24"/>
                <w:highlight w:val="none"/>
              </w:rPr>
            </w:pPr>
          </w:p>
        </w:tc>
        <w:tc>
          <w:tcPr>
            <w:tcW w:w="3508" w:type="dxa"/>
            <w:vAlign w:val="center"/>
          </w:tcPr>
          <w:p w14:paraId="6F884C4A">
            <w:pPr>
              <w:keepNext w:val="0"/>
              <w:keepLines w:val="0"/>
              <w:pageBreakBefore w:val="0"/>
              <w:widowControl/>
              <w:tabs>
                <w:tab w:val="left" w:pos="2720"/>
              </w:tabs>
              <w:kinsoku/>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发包人提供材料</w:t>
            </w:r>
            <w:r>
              <w:rPr>
                <w:rFonts w:hint="eastAsia" w:ascii="宋体" w:hAnsi="宋体" w:eastAsia="宋体" w:cs="宋体"/>
                <w:color w:val="auto"/>
                <w:sz w:val="24"/>
                <w:szCs w:val="24"/>
                <w:highlight w:val="none"/>
                <w:lang w:eastAsia="zh-CN"/>
              </w:rPr>
              <w:t>（设备）暂估价（如有）</w:t>
            </w:r>
          </w:p>
        </w:tc>
        <w:tc>
          <w:tcPr>
            <w:tcW w:w="2717" w:type="dxa"/>
            <w:vAlign w:val="center"/>
          </w:tcPr>
          <w:p w14:paraId="4ECE5A2C">
            <w:pPr>
              <w:keepNext w:val="0"/>
              <w:keepLines w:val="0"/>
              <w:pageBreakBefore w:val="0"/>
              <w:widowControl/>
              <w:tabs>
                <w:tab w:val="left" w:pos="2720"/>
              </w:tabs>
              <w:kinsoku/>
              <w:wordWrap w:val="0"/>
              <w:overflowPunct/>
              <w:topLinePunct w:val="0"/>
              <w:autoSpaceDE/>
              <w:autoSpaceDN/>
              <w:bidi w:val="0"/>
              <w:adjustRightInd w:val="0"/>
              <w:snapToGrid w:val="0"/>
              <w:spacing w:line="440" w:lineRule="exact"/>
              <w:jc w:val="righ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万元  </w:t>
            </w:r>
          </w:p>
        </w:tc>
        <w:tc>
          <w:tcPr>
            <w:tcW w:w="1353" w:type="dxa"/>
            <w:vAlign w:val="top"/>
          </w:tcPr>
          <w:p w14:paraId="417AADC8">
            <w:pPr>
              <w:keepNext w:val="0"/>
              <w:keepLines w:val="0"/>
              <w:pageBreakBefore w:val="0"/>
              <w:widowControl/>
              <w:tabs>
                <w:tab w:val="left" w:pos="2720"/>
              </w:tabs>
              <w:kinsoku/>
              <w:wordWrap w:val="0"/>
              <w:overflowPunct/>
              <w:topLinePunct w:val="0"/>
              <w:autoSpaceDE/>
              <w:autoSpaceDN/>
              <w:bidi w:val="0"/>
              <w:adjustRightInd w:val="0"/>
              <w:snapToGrid w:val="0"/>
              <w:spacing w:line="440" w:lineRule="exact"/>
              <w:jc w:val="right"/>
              <w:textAlignment w:val="auto"/>
              <w:outlineLvl w:val="9"/>
              <w:rPr>
                <w:rFonts w:hint="eastAsia" w:ascii="宋体" w:hAnsi="宋体" w:eastAsia="宋体" w:cs="宋体"/>
                <w:color w:val="auto"/>
                <w:sz w:val="24"/>
                <w:szCs w:val="24"/>
                <w:highlight w:val="none"/>
              </w:rPr>
            </w:pPr>
          </w:p>
        </w:tc>
      </w:tr>
      <w:tr w14:paraId="6D3AE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666" w:type="dxa"/>
            <w:vMerge w:val="continue"/>
            <w:vAlign w:val="center"/>
          </w:tcPr>
          <w:p w14:paraId="2AA14EB1">
            <w:pPr>
              <w:keepNext w:val="0"/>
              <w:keepLines w:val="0"/>
              <w:pageBreakBefore w:val="0"/>
              <w:widowControl/>
              <w:tabs>
                <w:tab w:val="left" w:pos="2720"/>
              </w:tabs>
              <w:kinsoku/>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color w:val="auto"/>
                <w:sz w:val="24"/>
                <w:szCs w:val="24"/>
                <w:highlight w:val="none"/>
              </w:rPr>
            </w:pPr>
          </w:p>
        </w:tc>
        <w:tc>
          <w:tcPr>
            <w:tcW w:w="3508" w:type="dxa"/>
            <w:vAlign w:val="center"/>
          </w:tcPr>
          <w:p w14:paraId="7D20425C">
            <w:pPr>
              <w:keepNext w:val="0"/>
              <w:keepLines w:val="0"/>
              <w:pageBreakBefore w:val="0"/>
              <w:widowControl/>
              <w:tabs>
                <w:tab w:val="left" w:pos="2720"/>
              </w:tabs>
              <w:kinsoku/>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专业工程暂估</w:t>
            </w:r>
            <w:r>
              <w:rPr>
                <w:rFonts w:hint="eastAsia" w:ascii="宋体" w:hAnsi="宋体" w:eastAsia="宋体" w:cs="宋体"/>
                <w:color w:val="auto"/>
                <w:sz w:val="24"/>
                <w:szCs w:val="24"/>
                <w:highlight w:val="none"/>
                <w:lang w:eastAsia="zh-CN"/>
              </w:rPr>
              <w:t>价（如有）</w:t>
            </w:r>
          </w:p>
        </w:tc>
        <w:tc>
          <w:tcPr>
            <w:tcW w:w="2717" w:type="dxa"/>
            <w:vAlign w:val="center"/>
          </w:tcPr>
          <w:p w14:paraId="2844FE03">
            <w:pPr>
              <w:keepNext w:val="0"/>
              <w:keepLines w:val="0"/>
              <w:pageBreakBefore w:val="0"/>
              <w:widowControl/>
              <w:tabs>
                <w:tab w:val="left" w:pos="2720"/>
              </w:tabs>
              <w:kinsoku/>
              <w:wordWrap w:val="0"/>
              <w:overflowPunct/>
              <w:topLinePunct w:val="0"/>
              <w:autoSpaceDE/>
              <w:autoSpaceDN/>
              <w:bidi w:val="0"/>
              <w:adjustRightInd w:val="0"/>
              <w:snapToGrid w:val="0"/>
              <w:spacing w:line="440" w:lineRule="exact"/>
              <w:jc w:val="righ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万元  </w:t>
            </w:r>
          </w:p>
        </w:tc>
        <w:tc>
          <w:tcPr>
            <w:tcW w:w="1353" w:type="dxa"/>
            <w:vAlign w:val="top"/>
          </w:tcPr>
          <w:p w14:paraId="6F1FBEEF">
            <w:pPr>
              <w:keepNext w:val="0"/>
              <w:keepLines w:val="0"/>
              <w:pageBreakBefore w:val="0"/>
              <w:widowControl/>
              <w:tabs>
                <w:tab w:val="left" w:pos="2720"/>
              </w:tabs>
              <w:kinsoku/>
              <w:wordWrap w:val="0"/>
              <w:overflowPunct/>
              <w:topLinePunct w:val="0"/>
              <w:autoSpaceDE/>
              <w:autoSpaceDN/>
              <w:bidi w:val="0"/>
              <w:adjustRightInd w:val="0"/>
              <w:snapToGrid w:val="0"/>
              <w:spacing w:line="440" w:lineRule="exact"/>
              <w:jc w:val="right"/>
              <w:textAlignment w:val="auto"/>
              <w:outlineLvl w:val="9"/>
              <w:rPr>
                <w:rFonts w:hint="eastAsia" w:ascii="宋体" w:hAnsi="宋体" w:eastAsia="宋体" w:cs="宋体"/>
                <w:color w:val="auto"/>
                <w:sz w:val="24"/>
                <w:szCs w:val="24"/>
                <w:highlight w:val="none"/>
              </w:rPr>
            </w:pPr>
          </w:p>
        </w:tc>
      </w:tr>
      <w:tr w14:paraId="6AFC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jc w:val="center"/>
        </w:trPr>
        <w:tc>
          <w:tcPr>
            <w:tcW w:w="1666" w:type="dxa"/>
            <w:vMerge w:val="continue"/>
            <w:vAlign w:val="center"/>
          </w:tcPr>
          <w:p w14:paraId="7DB0F89C">
            <w:pPr>
              <w:keepNext w:val="0"/>
              <w:keepLines w:val="0"/>
              <w:pageBreakBefore w:val="0"/>
              <w:widowControl/>
              <w:tabs>
                <w:tab w:val="left" w:pos="2720"/>
              </w:tabs>
              <w:kinsoku/>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color w:val="auto"/>
                <w:sz w:val="24"/>
                <w:szCs w:val="24"/>
                <w:highlight w:val="none"/>
              </w:rPr>
            </w:pPr>
          </w:p>
        </w:tc>
        <w:tc>
          <w:tcPr>
            <w:tcW w:w="3508" w:type="dxa"/>
            <w:vAlign w:val="center"/>
          </w:tcPr>
          <w:p w14:paraId="53FD00EE">
            <w:pPr>
              <w:keepNext w:val="0"/>
              <w:keepLines w:val="0"/>
              <w:pageBreakBefore w:val="0"/>
              <w:widowControl/>
              <w:tabs>
                <w:tab w:val="left" w:pos="2720"/>
              </w:tabs>
              <w:kinsoku/>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暂列金额</w:t>
            </w:r>
            <w:r>
              <w:rPr>
                <w:rFonts w:hint="eastAsia" w:ascii="宋体" w:hAnsi="宋体" w:eastAsia="宋体" w:cs="宋体"/>
                <w:color w:val="auto"/>
                <w:sz w:val="24"/>
                <w:szCs w:val="24"/>
                <w:highlight w:val="none"/>
                <w:lang w:eastAsia="zh-CN"/>
              </w:rPr>
              <w:t>（如有）</w:t>
            </w:r>
          </w:p>
        </w:tc>
        <w:tc>
          <w:tcPr>
            <w:tcW w:w="2717" w:type="dxa"/>
            <w:vAlign w:val="center"/>
          </w:tcPr>
          <w:p w14:paraId="47D70EFF">
            <w:pPr>
              <w:keepNext w:val="0"/>
              <w:keepLines w:val="0"/>
              <w:pageBreakBefore w:val="0"/>
              <w:widowControl/>
              <w:tabs>
                <w:tab w:val="left" w:pos="2720"/>
              </w:tabs>
              <w:kinsoku/>
              <w:wordWrap w:val="0"/>
              <w:overflowPunct/>
              <w:topLinePunct w:val="0"/>
              <w:autoSpaceDE/>
              <w:autoSpaceDN/>
              <w:bidi w:val="0"/>
              <w:adjustRightInd w:val="0"/>
              <w:snapToGrid w:val="0"/>
              <w:spacing w:line="440" w:lineRule="exact"/>
              <w:jc w:val="righ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万元  </w:t>
            </w:r>
          </w:p>
        </w:tc>
        <w:tc>
          <w:tcPr>
            <w:tcW w:w="1353" w:type="dxa"/>
            <w:vAlign w:val="top"/>
          </w:tcPr>
          <w:p w14:paraId="1B8F4C67">
            <w:pPr>
              <w:keepNext w:val="0"/>
              <w:keepLines w:val="0"/>
              <w:pageBreakBefore w:val="0"/>
              <w:widowControl/>
              <w:tabs>
                <w:tab w:val="left" w:pos="2720"/>
              </w:tabs>
              <w:kinsoku/>
              <w:wordWrap w:val="0"/>
              <w:overflowPunct/>
              <w:topLinePunct w:val="0"/>
              <w:autoSpaceDE/>
              <w:autoSpaceDN/>
              <w:bidi w:val="0"/>
              <w:adjustRightInd w:val="0"/>
              <w:snapToGrid w:val="0"/>
              <w:spacing w:line="440" w:lineRule="exact"/>
              <w:jc w:val="right"/>
              <w:textAlignment w:val="auto"/>
              <w:outlineLvl w:val="9"/>
              <w:rPr>
                <w:rFonts w:hint="eastAsia" w:ascii="宋体" w:hAnsi="宋体" w:eastAsia="宋体" w:cs="宋体"/>
                <w:color w:val="auto"/>
                <w:sz w:val="24"/>
                <w:szCs w:val="24"/>
                <w:highlight w:val="none"/>
              </w:rPr>
            </w:pPr>
          </w:p>
        </w:tc>
      </w:tr>
      <w:tr w14:paraId="5365A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666" w:type="dxa"/>
            <w:vMerge w:val="restart"/>
            <w:vAlign w:val="center"/>
          </w:tcPr>
          <w:p w14:paraId="0584365D">
            <w:pPr>
              <w:keepNext w:val="0"/>
              <w:keepLines w:val="0"/>
              <w:pageBreakBefore w:val="0"/>
              <w:widowControl/>
              <w:tabs>
                <w:tab w:val="left" w:pos="2720"/>
              </w:tabs>
              <w:kinsoku/>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主要材料用量</w:t>
            </w:r>
          </w:p>
        </w:tc>
        <w:tc>
          <w:tcPr>
            <w:tcW w:w="3508" w:type="dxa"/>
            <w:vAlign w:val="center"/>
          </w:tcPr>
          <w:p w14:paraId="629EAC6F">
            <w:pPr>
              <w:keepNext w:val="0"/>
              <w:keepLines w:val="0"/>
              <w:pageBreakBefore w:val="0"/>
              <w:widowControl/>
              <w:tabs>
                <w:tab w:val="left" w:pos="2720"/>
              </w:tabs>
              <w:kinsoku/>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钢筋</w:t>
            </w:r>
          </w:p>
        </w:tc>
        <w:tc>
          <w:tcPr>
            <w:tcW w:w="2717" w:type="dxa"/>
            <w:vAlign w:val="center"/>
          </w:tcPr>
          <w:p w14:paraId="04C3A99F">
            <w:pPr>
              <w:keepNext w:val="0"/>
              <w:keepLines w:val="0"/>
              <w:pageBreakBefore w:val="0"/>
              <w:widowControl/>
              <w:tabs>
                <w:tab w:val="left" w:pos="2720"/>
              </w:tabs>
              <w:kinsoku/>
              <w:wordWrap w:val="0"/>
              <w:overflowPunct/>
              <w:topLinePunct w:val="0"/>
              <w:autoSpaceDE/>
              <w:autoSpaceDN/>
              <w:bidi w:val="0"/>
              <w:adjustRightInd w:val="0"/>
              <w:snapToGrid w:val="0"/>
              <w:spacing w:line="440" w:lineRule="exact"/>
              <w:ind w:right="140"/>
              <w:jc w:val="righ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吨 </w:t>
            </w:r>
          </w:p>
        </w:tc>
        <w:tc>
          <w:tcPr>
            <w:tcW w:w="1353" w:type="dxa"/>
            <w:vAlign w:val="top"/>
          </w:tcPr>
          <w:p w14:paraId="1DA16B44">
            <w:pPr>
              <w:keepNext w:val="0"/>
              <w:keepLines w:val="0"/>
              <w:pageBreakBefore w:val="0"/>
              <w:widowControl/>
              <w:tabs>
                <w:tab w:val="left" w:pos="2720"/>
              </w:tabs>
              <w:kinsoku/>
              <w:wordWrap w:val="0"/>
              <w:overflowPunct/>
              <w:topLinePunct w:val="0"/>
              <w:autoSpaceDE/>
              <w:autoSpaceDN/>
              <w:bidi w:val="0"/>
              <w:adjustRightInd w:val="0"/>
              <w:snapToGrid w:val="0"/>
              <w:spacing w:line="440" w:lineRule="exact"/>
              <w:ind w:right="140"/>
              <w:jc w:val="right"/>
              <w:textAlignment w:val="auto"/>
              <w:outlineLvl w:val="9"/>
              <w:rPr>
                <w:rFonts w:hint="eastAsia" w:ascii="宋体" w:hAnsi="宋体" w:eastAsia="宋体" w:cs="宋体"/>
                <w:color w:val="auto"/>
                <w:sz w:val="24"/>
                <w:szCs w:val="24"/>
                <w:highlight w:val="none"/>
              </w:rPr>
            </w:pPr>
          </w:p>
        </w:tc>
      </w:tr>
      <w:tr w14:paraId="091DE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666" w:type="dxa"/>
            <w:vMerge w:val="continue"/>
            <w:vAlign w:val="center"/>
          </w:tcPr>
          <w:p w14:paraId="1E8F3CF1">
            <w:pPr>
              <w:keepNext w:val="0"/>
              <w:keepLines w:val="0"/>
              <w:pageBreakBefore w:val="0"/>
              <w:widowControl/>
              <w:tabs>
                <w:tab w:val="left" w:pos="2720"/>
              </w:tabs>
              <w:kinsoku/>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color w:val="auto"/>
                <w:sz w:val="24"/>
                <w:szCs w:val="24"/>
                <w:highlight w:val="none"/>
              </w:rPr>
            </w:pPr>
          </w:p>
        </w:tc>
        <w:tc>
          <w:tcPr>
            <w:tcW w:w="3508" w:type="dxa"/>
            <w:vAlign w:val="center"/>
          </w:tcPr>
          <w:p w14:paraId="73A49A9E">
            <w:pPr>
              <w:keepNext w:val="0"/>
              <w:keepLines w:val="0"/>
              <w:pageBreakBefore w:val="0"/>
              <w:widowControl/>
              <w:tabs>
                <w:tab w:val="left" w:pos="2720"/>
              </w:tabs>
              <w:kinsoku/>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水泥（不含商品混凝土用量）</w:t>
            </w:r>
          </w:p>
        </w:tc>
        <w:tc>
          <w:tcPr>
            <w:tcW w:w="2717" w:type="dxa"/>
            <w:vAlign w:val="center"/>
          </w:tcPr>
          <w:p w14:paraId="7088BD98">
            <w:pPr>
              <w:keepNext w:val="0"/>
              <w:keepLines w:val="0"/>
              <w:pageBreakBefore w:val="0"/>
              <w:widowControl/>
              <w:tabs>
                <w:tab w:val="left" w:pos="2720"/>
              </w:tabs>
              <w:kinsoku/>
              <w:wordWrap w:val="0"/>
              <w:overflowPunct/>
              <w:topLinePunct w:val="0"/>
              <w:autoSpaceDE/>
              <w:autoSpaceDN/>
              <w:bidi w:val="0"/>
              <w:adjustRightInd w:val="0"/>
              <w:snapToGrid w:val="0"/>
              <w:spacing w:line="440" w:lineRule="exact"/>
              <w:ind w:right="140"/>
              <w:jc w:val="righ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吨 </w:t>
            </w:r>
          </w:p>
        </w:tc>
        <w:tc>
          <w:tcPr>
            <w:tcW w:w="1353" w:type="dxa"/>
            <w:vAlign w:val="top"/>
          </w:tcPr>
          <w:p w14:paraId="17FE5C69">
            <w:pPr>
              <w:keepNext w:val="0"/>
              <w:keepLines w:val="0"/>
              <w:pageBreakBefore w:val="0"/>
              <w:widowControl/>
              <w:tabs>
                <w:tab w:val="left" w:pos="2720"/>
              </w:tabs>
              <w:kinsoku/>
              <w:wordWrap w:val="0"/>
              <w:overflowPunct/>
              <w:topLinePunct w:val="0"/>
              <w:autoSpaceDE/>
              <w:autoSpaceDN/>
              <w:bidi w:val="0"/>
              <w:adjustRightInd w:val="0"/>
              <w:snapToGrid w:val="0"/>
              <w:spacing w:line="440" w:lineRule="exact"/>
              <w:ind w:right="140"/>
              <w:jc w:val="right"/>
              <w:textAlignment w:val="auto"/>
              <w:outlineLvl w:val="9"/>
              <w:rPr>
                <w:rFonts w:hint="eastAsia" w:ascii="宋体" w:hAnsi="宋体" w:eastAsia="宋体" w:cs="宋体"/>
                <w:color w:val="auto"/>
                <w:sz w:val="24"/>
                <w:szCs w:val="24"/>
                <w:highlight w:val="none"/>
              </w:rPr>
            </w:pPr>
          </w:p>
        </w:tc>
      </w:tr>
      <w:tr w14:paraId="66797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666" w:type="dxa"/>
            <w:vMerge w:val="continue"/>
            <w:vAlign w:val="center"/>
          </w:tcPr>
          <w:p w14:paraId="37936289">
            <w:pPr>
              <w:keepNext w:val="0"/>
              <w:keepLines w:val="0"/>
              <w:pageBreakBefore w:val="0"/>
              <w:widowControl/>
              <w:tabs>
                <w:tab w:val="left" w:pos="2720"/>
              </w:tabs>
              <w:kinsoku/>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color w:val="auto"/>
                <w:sz w:val="24"/>
                <w:szCs w:val="24"/>
                <w:highlight w:val="none"/>
              </w:rPr>
            </w:pPr>
          </w:p>
        </w:tc>
        <w:tc>
          <w:tcPr>
            <w:tcW w:w="3508" w:type="dxa"/>
            <w:vAlign w:val="center"/>
          </w:tcPr>
          <w:p w14:paraId="59B54FFA">
            <w:pPr>
              <w:keepNext w:val="0"/>
              <w:keepLines w:val="0"/>
              <w:pageBreakBefore w:val="0"/>
              <w:widowControl/>
              <w:tabs>
                <w:tab w:val="left" w:pos="2720"/>
              </w:tabs>
              <w:kinsoku/>
              <w:overflowPunct/>
              <w:topLinePunct w:val="0"/>
              <w:autoSpaceDE/>
              <w:autoSpaceDN/>
              <w:bidi w:val="0"/>
              <w:adjustRightInd w:val="0"/>
              <w:snapToGrid w:val="0"/>
              <w:spacing w:line="440" w:lineRule="exact"/>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商品砼</w:t>
            </w:r>
          </w:p>
        </w:tc>
        <w:tc>
          <w:tcPr>
            <w:tcW w:w="2717" w:type="dxa"/>
            <w:vAlign w:val="center"/>
          </w:tcPr>
          <w:p w14:paraId="3E506F48">
            <w:pPr>
              <w:keepNext w:val="0"/>
              <w:keepLines w:val="0"/>
              <w:pageBreakBefore w:val="0"/>
              <w:widowControl/>
              <w:tabs>
                <w:tab w:val="left" w:pos="2720"/>
              </w:tabs>
              <w:kinsoku/>
              <w:wordWrap w:val="0"/>
              <w:overflowPunct/>
              <w:topLinePunct w:val="0"/>
              <w:autoSpaceDE/>
              <w:autoSpaceDN/>
              <w:bidi w:val="0"/>
              <w:adjustRightInd w:val="0"/>
              <w:snapToGrid w:val="0"/>
              <w:spacing w:line="440" w:lineRule="exact"/>
              <w:ind w:right="140"/>
              <w:jc w:val="righ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m</w:t>
            </w:r>
            <w:r>
              <w:rPr>
                <w:rFonts w:hint="eastAsia" w:ascii="宋体" w:hAnsi="宋体" w:eastAsia="宋体" w:cs="宋体"/>
                <w:color w:val="auto"/>
                <w:sz w:val="24"/>
                <w:szCs w:val="24"/>
                <w:highlight w:val="none"/>
                <w:vertAlign w:val="superscript"/>
              </w:rPr>
              <w:t>3</w:t>
            </w:r>
          </w:p>
        </w:tc>
        <w:tc>
          <w:tcPr>
            <w:tcW w:w="1353" w:type="dxa"/>
            <w:vAlign w:val="top"/>
          </w:tcPr>
          <w:p w14:paraId="4649E9B9">
            <w:pPr>
              <w:keepNext w:val="0"/>
              <w:keepLines w:val="0"/>
              <w:pageBreakBefore w:val="0"/>
              <w:widowControl/>
              <w:tabs>
                <w:tab w:val="left" w:pos="2720"/>
              </w:tabs>
              <w:kinsoku/>
              <w:wordWrap w:val="0"/>
              <w:overflowPunct/>
              <w:topLinePunct w:val="0"/>
              <w:autoSpaceDE/>
              <w:autoSpaceDN/>
              <w:bidi w:val="0"/>
              <w:adjustRightInd w:val="0"/>
              <w:snapToGrid w:val="0"/>
              <w:spacing w:line="440" w:lineRule="exact"/>
              <w:ind w:right="140"/>
              <w:jc w:val="right"/>
              <w:textAlignment w:val="auto"/>
              <w:outlineLvl w:val="9"/>
              <w:rPr>
                <w:rFonts w:hint="eastAsia" w:ascii="宋体" w:hAnsi="宋体" w:eastAsia="宋体" w:cs="宋体"/>
                <w:color w:val="auto"/>
                <w:sz w:val="24"/>
                <w:szCs w:val="24"/>
                <w:highlight w:val="none"/>
              </w:rPr>
            </w:pPr>
          </w:p>
        </w:tc>
      </w:tr>
    </w:tbl>
    <w:p w14:paraId="3B54C931">
      <w:pPr>
        <w:pageBreakBefore w:val="0"/>
        <w:kinsoku/>
        <w:overflowPunct/>
        <w:topLinePunct w:val="0"/>
        <w:bidi w:val="0"/>
        <w:spacing w:line="360" w:lineRule="auto"/>
        <w:rPr>
          <w:rFonts w:hint="eastAsia" w:ascii="宋体" w:hAnsi="宋体" w:eastAsia="宋体" w:cs="宋体"/>
          <w:color w:val="auto"/>
          <w:sz w:val="24"/>
          <w:szCs w:val="24"/>
          <w:highlight w:val="none"/>
        </w:rPr>
      </w:pPr>
    </w:p>
    <w:p w14:paraId="3F15F899">
      <w:pPr>
        <w:pageBreakBefore w:val="0"/>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备注：总报价含建安劳保费</w:t>
      </w:r>
    </w:p>
    <w:p w14:paraId="0FFB19E1">
      <w:pPr>
        <w:snapToGrid w:val="0"/>
        <w:spacing w:before="50" w:after="50"/>
        <w:ind w:firstLine="480" w:firstLineChars="200"/>
        <w:jc w:val="left"/>
        <w:rPr>
          <w:rFonts w:hint="eastAsia" w:ascii="宋体" w:hAnsi="宋体" w:eastAsia="宋体" w:cs="宋体"/>
          <w:color w:val="auto"/>
          <w:kern w:val="0"/>
          <w:sz w:val="24"/>
          <w:szCs w:val="24"/>
          <w:highlight w:val="none"/>
          <w:lang w:val="zh-CN"/>
        </w:rPr>
      </w:pPr>
    </w:p>
    <w:p w14:paraId="0E3AC153">
      <w:pPr>
        <w:snapToGrid w:val="0"/>
        <w:spacing w:before="50" w:after="50"/>
        <w:ind w:firstLine="480" w:firstLineChars="200"/>
        <w:jc w:val="left"/>
        <w:rPr>
          <w:rFonts w:hint="eastAsia" w:ascii="宋体" w:hAnsi="宋体" w:eastAsia="宋体" w:cs="宋体"/>
          <w:color w:val="auto"/>
          <w:kern w:val="0"/>
          <w:sz w:val="24"/>
          <w:szCs w:val="24"/>
          <w:highlight w:val="none"/>
          <w:lang w:val="zh-CN"/>
        </w:rPr>
      </w:pPr>
    </w:p>
    <w:p w14:paraId="3F54AD3D">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p>
    <w:p w14:paraId="07084543">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供应商名称（电子签章）：</w:t>
      </w:r>
    </w:p>
    <w:p w14:paraId="58FBB836">
      <w:pPr>
        <w:pStyle w:val="9"/>
        <w:spacing w:line="500" w:lineRule="exact"/>
        <w:ind w:firstLine="6360" w:firstLineChars="265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日期：  年  月   日</w:t>
      </w:r>
    </w:p>
    <w:p w14:paraId="50C1BFD4">
      <w:pPr>
        <w:widowControl/>
        <w:jc w:val="left"/>
        <w:rPr>
          <w:rFonts w:hint="eastAsia" w:ascii="宋体" w:hAnsi="宋体" w:eastAsia="宋体" w:cs="宋体"/>
          <w:color w:val="auto"/>
          <w:kern w:val="0"/>
          <w:sz w:val="21"/>
          <w:szCs w:val="21"/>
          <w:highlight w:val="none"/>
          <w:lang w:val="zh-CN"/>
        </w:rPr>
      </w:pPr>
    </w:p>
    <w:p w14:paraId="6CC2B679">
      <w:pPr>
        <w:widowControl/>
        <w:jc w:val="left"/>
        <w:rPr>
          <w:rFonts w:hint="eastAsia" w:ascii="宋体" w:hAnsi="宋体" w:eastAsia="宋体" w:cs="宋体"/>
          <w:b/>
          <w:color w:val="auto"/>
          <w:kern w:val="0"/>
          <w:sz w:val="21"/>
          <w:szCs w:val="21"/>
          <w:highlight w:val="none"/>
          <w:lang w:val="en-US" w:eastAsia="zh-CN"/>
        </w:rPr>
        <w:sectPr>
          <w:pgSz w:w="11910" w:h="16840"/>
          <w:pgMar w:top="1440" w:right="1080" w:bottom="1440" w:left="1080" w:header="720" w:footer="720" w:gutter="0"/>
          <w:pgNumType w:fmt="decimal"/>
          <w:cols w:space="720" w:num="1"/>
        </w:sectPr>
      </w:pPr>
    </w:p>
    <w:p w14:paraId="06E275AE">
      <w:pPr>
        <w:pStyle w:val="9"/>
        <w:numPr>
          <w:ilvl w:val="0"/>
          <w:numId w:val="0"/>
        </w:numPr>
        <w:spacing w:line="460" w:lineRule="exact"/>
        <w:ind w:firstLine="723" w:firstLineChars="200"/>
        <w:jc w:val="center"/>
        <w:rPr>
          <w:rFonts w:hint="eastAsia" w:ascii="宋体" w:hAnsi="宋体" w:eastAsia="宋体" w:cs="仿宋_GB2312"/>
          <w:b/>
          <w:bCs w:val="0"/>
          <w:color w:val="000000"/>
          <w:sz w:val="36"/>
          <w:szCs w:val="36"/>
          <w:highlight w:val="none"/>
          <w:lang w:val="zh-CN"/>
        </w:rPr>
      </w:pPr>
    </w:p>
    <w:p w14:paraId="0A158B3C">
      <w:pPr>
        <w:pStyle w:val="9"/>
        <w:numPr>
          <w:ilvl w:val="0"/>
          <w:numId w:val="0"/>
        </w:numPr>
        <w:spacing w:line="460" w:lineRule="exact"/>
        <w:ind w:firstLine="723" w:firstLineChars="200"/>
        <w:jc w:val="center"/>
        <w:rPr>
          <w:rStyle w:val="16"/>
          <w:rFonts w:ascii="Times New Roman" w:hAnsi="Times New Roman" w:eastAsia="宋体" w:cs="Times New Roman"/>
          <w:szCs w:val="21"/>
          <w:highlight w:val="none"/>
        </w:rPr>
      </w:pPr>
      <w:r>
        <w:rPr>
          <w:rFonts w:hint="eastAsia" w:ascii="宋体" w:hAnsi="宋体" w:eastAsia="宋体" w:cs="仿宋_GB2312"/>
          <w:b/>
          <w:bCs w:val="0"/>
          <w:color w:val="000000"/>
          <w:sz w:val="36"/>
          <w:szCs w:val="36"/>
          <w:highlight w:val="none"/>
          <w:lang w:val="zh-CN"/>
        </w:rPr>
        <w:t>建筑材料和设备节能环保要求承诺书</w:t>
      </w:r>
    </w:p>
    <w:p w14:paraId="5AEA53BC">
      <w:pPr>
        <w:pStyle w:val="31"/>
        <w:spacing w:line="520" w:lineRule="exact"/>
        <w:ind w:left="-10" w:firstLine="520" w:firstLineChars="217"/>
        <w:jc w:val="left"/>
        <w:rPr>
          <w:rStyle w:val="16"/>
          <w:rFonts w:hint="eastAsia" w:ascii="宋体" w:hAnsi="宋体" w:eastAsia="宋体" w:cs="宋体"/>
          <w:sz w:val="24"/>
          <w:szCs w:val="24"/>
          <w:highlight w:val="none"/>
        </w:rPr>
      </w:pPr>
    </w:p>
    <w:p w14:paraId="310A8313">
      <w:pPr>
        <w:pStyle w:val="31"/>
        <w:spacing w:line="520" w:lineRule="exact"/>
        <w:ind w:left="-10" w:firstLine="520" w:firstLineChars="217"/>
        <w:jc w:val="left"/>
        <w:rPr>
          <w:rStyle w:val="16"/>
          <w:rFonts w:hint="eastAsia" w:ascii="宋体" w:hAnsi="宋体" w:eastAsia="宋体" w:cs="宋体"/>
          <w:sz w:val="24"/>
          <w:szCs w:val="24"/>
          <w:highlight w:val="none"/>
        </w:rPr>
      </w:pPr>
      <w:r>
        <w:rPr>
          <w:rStyle w:val="16"/>
          <w:rFonts w:hint="eastAsia" w:ascii="宋体" w:hAnsi="宋体" w:eastAsia="宋体" w:cs="宋体"/>
          <w:sz w:val="24"/>
          <w:szCs w:val="24"/>
          <w:highlight w:val="none"/>
        </w:rPr>
        <w:t>我方承诺，一旦中标，我方保证严格执行《财政部 国家发展改革委关于印发《节能产品政府采购实施意见》的通知》（财库〔2004〕185号）、《财政部 发展改革委 生态环境部 市场监管总局关于调整优化节能产品、环境标志产品政府采购执行机制的通知》（财库〔2019〕9号）和《关于印发节能产品政府采购品目清单的通知》（财库〔2019〕19号）的规定，所有工程中涉及的建筑材料和设备如属于财库〔2019〕19号文中《节能产品政府采购品目清单》内标注“★”的产品，都使用政府强制采购的节能产品。如我方在该项目的承包中出现未按规定执行的情形，我方愿意按照相关规定接受建设单位及有关主管部门的处罚。</w:t>
      </w:r>
    </w:p>
    <w:p w14:paraId="3A0EA9C6">
      <w:pPr>
        <w:pStyle w:val="31"/>
        <w:spacing w:line="520" w:lineRule="exact"/>
        <w:ind w:left="-10" w:firstLine="520" w:firstLineChars="217"/>
        <w:jc w:val="left"/>
        <w:rPr>
          <w:rStyle w:val="16"/>
          <w:rFonts w:hint="eastAsia" w:ascii="宋体" w:hAnsi="宋体" w:eastAsia="宋体" w:cs="宋体"/>
          <w:sz w:val="24"/>
          <w:szCs w:val="24"/>
          <w:highlight w:val="none"/>
        </w:rPr>
      </w:pPr>
      <w:r>
        <w:rPr>
          <w:rStyle w:val="16"/>
          <w:rFonts w:hint="eastAsia" w:ascii="宋体" w:hAnsi="宋体" w:eastAsia="宋体" w:cs="宋体"/>
          <w:sz w:val="24"/>
          <w:szCs w:val="24"/>
          <w:highlight w:val="none"/>
        </w:rPr>
        <w:t>备注：附拟投标的政府强制采购的节能产品认证证书原件扫描件（如有）</w:t>
      </w:r>
    </w:p>
    <w:p w14:paraId="56A50680">
      <w:pPr>
        <w:pStyle w:val="31"/>
        <w:spacing w:line="520" w:lineRule="exact"/>
        <w:ind w:left="-10" w:firstLine="520" w:firstLineChars="217"/>
        <w:jc w:val="left"/>
        <w:rPr>
          <w:rStyle w:val="16"/>
          <w:rFonts w:hint="eastAsia" w:ascii="宋体" w:hAnsi="宋体" w:eastAsia="宋体" w:cs="宋体"/>
          <w:sz w:val="24"/>
          <w:szCs w:val="24"/>
          <w:highlight w:val="none"/>
        </w:rPr>
      </w:pPr>
    </w:p>
    <w:p w14:paraId="0D996274">
      <w:pPr>
        <w:pStyle w:val="31"/>
        <w:spacing w:line="520" w:lineRule="exact"/>
        <w:ind w:left="-10" w:firstLine="520" w:firstLineChars="217"/>
        <w:jc w:val="left"/>
        <w:rPr>
          <w:rStyle w:val="16"/>
          <w:rFonts w:hint="eastAsia" w:ascii="宋体" w:hAnsi="宋体" w:eastAsia="宋体" w:cs="宋体"/>
          <w:sz w:val="24"/>
          <w:szCs w:val="24"/>
          <w:highlight w:val="none"/>
        </w:rPr>
      </w:pPr>
    </w:p>
    <w:p w14:paraId="7C8B7FD6">
      <w:pPr>
        <w:autoSpaceDE w:val="0"/>
        <w:autoSpaceDN w:val="0"/>
        <w:spacing w:line="360" w:lineRule="auto"/>
        <w:ind w:left="0" w:leftChars="0" w:firstLine="5040" w:firstLineChars="2000"/>
        <w:rPr>
          <w:rFonts w:ascii="宋体" w:hAnsi="宋体" w:cs="宋体"/>
          <w:kern w:val="0"/>
          <w:sz w:val="24"/>
        </w:rPr>
      </w:pPr>
      <w:r>
        <w:rPr>
          <w:rStyle w:val="16"/>
          <w:rFonts w:hint="eastAsia" w:ascii="宋体" w:hAnsi="宋体" w:eastAsia="宋体" w:cs="宋体"/>
          <w:spacing w:val="6"/>
          <w:sz w:val="24"/>
          <w:szCs w:val="24"/>
          <w:highlight w:val="none"/>
        </w:rPr>
        <w:t xml:space="preserve"> </w:t>
      </w:r>
      <w:r>
        <w:rPr>
          <w:rFonts w:hint="eastAsia" w:ascii="宋体" w:hAnsi="宋体" w:cs="宋体"/>
          <w:kern w:val="0"/>
          <w:sz w:val="24"/>
        </w:rPr>
        <w:t>供应商名称（电子签章）：</w:t>
      </w:r>
    </w:p>
    <w:p w14:paraId="0248E8F6">
      <w:pPr>
        <w:pStyle w:val="9"/>
        <w:spacing w:line="360" w:lineRule="auto"/>
        <w:ind w:firstLine="6360" w:firstLineChars="2650"/>
        <w:rPr>
          <w:rFonts w:hAnsi="宋体" w:cs="宋体"/>
          <w:sz w:val="24"/>
          <w:lang w:val="zh-CN"/>
        </w:rPr>
        <w:sectPr>
          <w:pgSz w:w="11910" w:h="16840"/>
          <w:pgMar w:top="1304" w:right="1304" w:bottom="1304" w:left="1304" w:header="720" w:footer="720" w:gutter="0"/>
          <w:cols w:space="720" w:num="1"/>
        </w:sectPr>
      </w:pPr>
      <w:r>
        <w:rPr>
          <w:rFonts w:hint="eastAsia" w:hAnsi="宋体" w:cs="宋体"/>
          <w:sz w:val="24"/>
          <w:lang w:val="zh-CN"/>
        </w:rPr>
        <w:t>日期：  年  月   日</w:t>
      </w:r>
    </w:p>
    <w:p w14:paraId="7A1BE35F">
      <w:pPr>
        <w:pStyle w:val="9"/>
        <w:numPr>
          <w:ilvl w:val="0"/>
          <w:numId w:val="0"/>
        </w:numPr>
        <w:spacing w:line="460" w:lineRule="exact"/>
        <w:ind w:firstLine="723" w:firstLineChars="200"/>
        <w:jc w:val="center"/>
        <w:rPr>
          <w:rFonts w:hint="eastAsia" w:ascii="宋体" w:hAnsi="宋体" w:eastAsia="宋体" w:cs="仿宋_GB2312"/>
          <w:b/>
          <w:bCs w:val="0"/>
          <w:color w:val="000000"/>
          <w:sz w:val="36"/>
          <w:szCs w:val="36"/>
          <w:highlight w:val="none"/>
          <w:lang w:val="zh-CN"/>
        </w:rPr>
      </w:pPr>
    </w:p>
    <w:p w14:paraId="423E6A18">
      <w:pPr>
        <w:pStyle w:val="9"/>
        <w:numPr>
          <w:ilvl w:val="0"/>
          <w:numId w:val="0"/>
        </w:numPr>
        <w:spacing w:line="460" w:lineRule="exact"/>
        <w:ind w:firstLine="723" w:firstLineChars="200"/>
        <w:jc w:val="center"/>
        <w:rPr>
          <w:rStyle w:val="16"/>
          <w:rFonts w:ascii="Times New Roman" w:hAnsi="Times New Roman" w:eastAsia="宋体" w:cs="Times New Roman"/>
          <w:szCs w:val="21"/>
          <w:highlight w:val="none"/>
        </w:rPr>
      </w:pPr>
      <w:r>
        <w:rPr>
          <w:rFonts w:hint="eastAsia" w:ascii="宋体" w:hAnsi="宋体" w:eastAsia="宋体" w:cs="仿宋_GB2312"/>
          <w:b/>
          <w:bCs w:val="0"/>
          <w:color w:val="000000"/>
          <w:sz w:val="36"/>
          <w:szCs w:val="36"/>
          <w:highlight w:val="none"/>
          <w:lang w:val="zh-CN"/>
        </w:rPr>
        <w:t>建筑材料和设备</w:t>
      </w:r>
      <w:r>
        <w:rPr>
          <w:rFonts w:hint="eastAsia" w:ascii="宋体" w:hAnsi="宋体" w:eastAsia="宋体" w:cs="仿宋_GB2312"/>
          <w:b/>
          <w:bCs w:val="0"/>
          <w:color w:val="000000"/>
          <w:sz w:val="36"/>
          <w:szCs w:val="36"/>
          <w:highlight w:val="none"/>
          <w:lang w:val="en-US" w:eastAsia="zh-CN"/>
        </w:rPr>
        <w:t>绿色建材、绿色建筑</w:t>
      </w:r>
      <w:r>
        <w:rPr>
          <w:rFonts w:hint="eastAsia" w:ascii="宋体" w:hAnsi="宋体" w:eastAsia="宋体" w:cs="仿宋_GB2312"/>
          <w:b/>
          <w:bCs w:val="0"/>
          <w:color w:val="000000"/>
          <w:sz w:val="36"/>
          <w:szCs w:val="36"/>
          <w:highlight w:val="none"/>
          <w:lang w:val="zh-CN"/>
        </w:rPr>
        <w:t>要求承诺书</w:t>
      </w:r>
    </w:p>
    <w:p w14:paraId="494729A0">
      <w:pPr>
        <w:pStyle w:val="31"/>
        <w:spacing w:line="520" w:lineRule="exact"/>
        <w:ind w:left="-10" w:firstLine="520" w:firstLineChars="217"/>
        <w:jc w:val="left"/>
        <w:rPr>
          <w:rStyle w:val="16"/>
          <w:rFonts w:hint="eastAsia" w:ascii="宋体" w:hAnsi="宋体" w:eastAsia="宋体" w:cs="宋体"/>
          <w:sz w:val="24"/>
          <w:szCs w:val="24"/>
          <w:highlight w:val="none"/>
        </w:rPr>
      </w:pPr>
    </w:p>
    <w:p w14:paraId="7CD481A6">
      <w:pPr>
        <w:pStyle w:val="31"/>
        <w:spacing w:line="520" w:lineRule="exact"/>
        <w:ind w:left="-10" w:firstLine="520"/>
        <w:jc w:val="left"/>
        <w:rPr>
          <w:rStyle w:val="16"/>
          <w:rFonts w:hint="eastAsia" w:ascii="宋体" w:hAnsi="宋体" w:eastAsia="宋体" w:cs="宋体"/>
          <w:sz w:val="24"/>
          <w:szCs w:val="24"/>
          <w:highlight w:val="none"/>
        </w:rPr>
      </w:pPr>
      <w:r>
        <w:rPr>
          <w:rStyle w:val="16"/>
          <w:rFonts w:hint="eastAsia" w:ascii="宋体" w:hAnsi="宋体" w:eastAsia="宋体" w:cs="宋体"/>
          <w:sz w:val="24"/>
          <w:szCs w:val="24"/>
          <w:highlight w:val="none"/>
        </w:rPr>
        <w:t>我方承诺，一旦中标，我方保证严格执行</w:t>
      </w:r>
      <w:r>
        <w:rPr>
          <w:rStyle w:val="16"/>
          <w:rFonts w:ascii="宋体" w:hAnsi="宋体" w:eastAsia="宋体" w:cs="宋体"/>
          <w:sz w:val="24"/>
          <w:szCs w:val="24"/>
          <w:highlight w:val="none"/>
        </w:rPr>
        <w:t>《财政部办公厅 住房城乡建设部办公厅 工业和信息化部办公厅关于印发&lt;政府采购支持绿色建材促进建筑品质提升政策项目实施指南&gt;的通知》(财办库〔2023〕52号)和《财政部 住房城乡建设部 工业和信息化部关于进一步扩大政府采购支持绿色建材促进建筑品质提升政策实施范围的通知》(财库〔2024〕36号的有关规定，</w:t>
      </w:r>
      <w:r>
        <w:rPr>
          <w:rStyle w:val="16"/>
          <w:rFonts w:hint="eastAsia" w:ascii="宋体" w:hAnsi="宋体" w:eastAsia="宋体" w:cs="宋体"/>
          <w:sz w:val="24"/>
          <w:szCs w:val="24"/>
          <w:highlight w:val="none"/>
        </w:rPr>
        <w:t>工程中涉及的建筑材料和设备如</w:t>
      </w:r>
      <w:r>
        <w:rPr>
          <w:rStyle w:val="16"/>
          <w:rFonts w:ascii="宋体" w:hAnsi="宋体" w:eastAsia="宋体" w:cs="宋体"/>
          <w:sz w:val="24"/>
          <w:szCs w:val="24"/>
          <w:highlight w:val="none"/>
        </w:rPr>
        <w:t>属于《绿色建筑和绿色建材政府采购需求标准（2025年版）》规定范围内的“必选类”的，应当全部采购和使用符合相关标准的绿色建材；属于“可选类”的，选择使用性价比高的绿色建材产品且选用种类应不低于建筑项目所涉及的建材种类的40%，供应商在供货时应当出具所提供建材产品符合需求标准的证明性文件，包括国家统一推行的绿色建材产品认证证书或符合需求标准的有效检测报告等，</w:t>
      </w:r>
      <w:r>
        <w:rPr>
          <w:rStyle w:val="16"/>
          <w:rFonts w:hint="eastAsia" w:ascii="宋体" w:hAnsi="宋体" w:eastAsia="宋体" w:cs="宋体"/>
          <w:sz w:val="24"/>
          <w:szCs w:val="24"/>
          <w:highlight w:val="none"/>
        </w:rPr>
        <w:t>如我方在该项目的承包中出现未按规定执行的情形，我方愿意按照相关规定接受建设单位及有关主管部门的处罚。</w:t>
      </w:r>
    </w:p>
    <w:p w14:paraId="6A945E14">
      <w:pPr>
        <w:pStyle w:val="31"/>
        <w:spacing w:line="520" w:lineRule="exact"/>
        <w:ind w:left="-10" w:firstLine="520" w:firstLineChars="217"/>
        <w:jc w:val="left"/>
        <w:rPr>
          <w:rStyle w:val="16"/>
          <w:rFonts w:hint="eastAsia" w:ascii="宋体" w:hAnsi="宋体" w:eastAsia="宋体" w:cs="宋体"/>
          <w:sz w:val="24"/>
          <w:szCs w:val="24"/>
          <w:highlight w:val="none"/>
        </w:rPr>
      </w:pPr>
      <w:r>
        <w:rPr>
          <w:rStyle w:val="16"/>
          <w:rFonts w:hint="eastAsia" w:ascii="宋体" w:hAnsi="宋体" w:eastAsia="宋体" w:cs="宋体"/>
          <w:sz w:val="24"/>
          <w:szCs w:val="24"/>
          <w:highlight w:val="none"/>
        </w:rPr>
        <w:t>备注：附拟投标的</w:t>
      </w:r>
      <w:r>
        <w:rPr>
          <w:rStyle w:val="16"/>
          <w:rFonts w:ascii="宋体" w:hAnsi="宋体" w:eastAsia="宋体" w:cs="宋体"/>
          <w:sz w:val="24"/>
          <w:szCs w:val="24"/>
          <w:highlight w:val="none"/>
        </w:rPr>
        <w:t>建材产品符合需求标准的证明性文件，包括国家统一推行的绿色建材产品认证证书或符合需求标准的有效检测报告</w:t>
      </w:r>
      <w:r>
        <w:rPr>
          <w:rStyle w:val="16"/>
          <w:rFonts w:hint="eastAsia" w:ascii="宋体" w:hAnsi="宋体" w:eastAsia="宋体" w:cs="宋体"/>
          <w:sz w:val="24"/>
          <w:szCs w:val="24"/>
          <w:highlight w:val="none"/>
        </w:rPr>
        <w:t>（如有）</w:t>
      </w:r>
    </w:p>
    <w:p w14:paraId="6B96FF00">
      <w:pPr>
        <w:pStyle w:val="31"/>
        <w:spacing w:line="520" w:lineRule="exact"/>
        <w:ind w:left="-10" w:firstLine="520" w:firstLineChars="217"/>
        <w:jc w:val="left"/>
        <w:rPr>
          <w:rStyle w:val="16"/>
          <w:rFonts w:hint="eastAsia" w:ascii="宋体" w:hAnsi="宋体" w:eastAsia="宋体" w:cs="宋体"/>
          <w:sz w:val="24"/>
          <w:szCs w:val="24"/>
          <w:highlight w:val="none"/>
        </w:rPr>
      </w:pPr>
    </w:p>
    <w:p w14:paraId="59798003">
      <w:pPr>
        <w:pStyle w:val="31"/>
        <w:spacing w:line="520" w:lineRule="exact"/>
        <w:ind w:left="-10" w:firstLine="520" w:firstLineChars="217"/>
        <w:jc w:val="left"/>
        <w:rPr>
          <w:rStyle w:val="16"/>
          <w:rFonts w:hint="eastAsia" w:ascii="宋体" w:hAnsi="宋体" w:eastAsia="宋体" w:cs="宋体"/>
          <w:sz w:val="24"/>
          <w:szCs w:val="24"/>
          <w:highlight w:val="none"/>
        </w:rPr>
      </w:pPr>
    </w:p>
    <w:p w14:paraId="22B99083">
      <w:pPr>
        <w:autoSpaceDE w:val="0"/>
        <w:autoSpaceDN w:val="0"/>
        <w:spacing w:line="360" w:lineRule="auto"/>
        <w:ind w:left="0" w:leftChars="0" w:firstLine="5040" w:firstLineChars="2000"/>
        <w:rPr>
          <w:rFonts w:ascii="宋体" w:hAnsi="宋体" w:cs="宋体"/>
          <w:kern w:val="0"/>
          <w:sz w:val="24"/>
          <w:highlight w:val="none"/>
        </w:rPr>
      </w:pPr>
      <w:r>
        <w:rPr>
          <w:rStyle w:val="16"/>
          <w:rFonts w:hint="eastAsia" w:ascii="宋体" w:hAnsi="宋体" w:eastAsia="宋体" w:cs="宋体"/>
          <w:spacing w:val="6"/>
          <w:sz w:val="24"/>
          <w:szCs w:val="24"/>
          <w:highlight w:val="none"/>
        </w:rPr>
        <w:t xml:space="preserve"> </w:t>
      </w:r>
      <w:r>
        <w:rPr>
          <w:rFonts w:hint="eastAsia" w:ascii="宋体" w:hAnsi="宋体" w:cs="宋体"/>
          <w:kern w:val="0"/>
          <w:sz w:val="24"/>
          <w:highlight w:val="none"/>
        </w:rPr>
        <w:t>供应商名称（电子签章）：</w:t>
      </w:r>
    </w:p>
    <w:p w14:paraId="06313C3B">
      <w:pPr>
        <w:pStyle w:val="9"/>
        <w:spacing w:line="360" w:lineRule="auto"/>
        <w:ind w:firstLine="6360" w:firstLineChars="2650"/>
        <w:rPr>
          <w:rFonts w:hAnsi="宋体" w:cs="宋体"/>
          <w:sz w:val="24"/>
          <w:highlight w:val="none"/>
          <w:lang w:val="zh-CN"/>
        </w:rPr>
        <w:sectPr>
          <w:pgSz w:w="11910" w:h="16840"/>
          <w:pgMar w:top="1304" w:right="1304" w:bottom="1304" w:left="1304" w:header="720" w:footer="720" w:gutter="0"/>
          <w:cols w:space="720" w:num="1"/>
        </w:sectPr>
      </w:pPr>
      <w:r>
        <w:rPr>
          <w:rFonts w:hint="eastAsia" w:hAnsi="宋体" w:cs="宋体"/>
          <w:sz w:val="24"/>
          <w:highlight w:val="none"/>
          <w:lang w:val="zh-CN"/>
        </w:rPr>
        <w:t>日期：  年  月   日</w:t>
      </w:r>
    </w:p>
    <w:p w14:paraId="2ACA164D">
      <w:pPr>
        <w:pStyle w:val="9"/>
        <w:pageBreakBefore w:val="0"/>
        <w:numPr>
          <w:ilvl w:val="0"/>
          <w:numId w:val="0"/>
        </w:numPr>
        <w:kinsoku/>
        <w:overflowPunct/>
        <w:topLinePunct w:val="0"/>
        <w:bidi w:val="0"/>
        <w:spacing w:line="360" w:lineRule="auto"/>
        <w:jc w:val="both"/>
        <w:rPr>
          <w:rFonts w:hint="eastAsia" w:ascii="宋体" w:hAnsi="宋体" w:eastAsia="宋体" w:cs="仿宋_GB2312"/>
          <w:b/>
          <w:color w:val="000000"/>
          <w:kern w:val="0"/>
          <w:sz w:val="36"/>
          <w:szCs w:val="36"/>
          <w:highlight w:val="none"/>
          <w:lang w:val="zh-CN"/>
        </w:rPr>
      </w:pPr>
    </w:p>
    <w:p w14:paraId="0FC1E7BC">
      <w:pPr>
        <w:pStyle w:val="9"/>
        <w:pageBreakBefore w:val="0"/>
        <w:numPr>
          <w:ilvl w:val="0"/>
          <w:numId w:val="0"/>
        </w:numPr>
        <w:kinsoku/>
        <w:overflowPunct/>
        <w:topLinePunct w:val="0"/>
        <w:bidi w:val="0"/>
        <w:spacing w:line="360" w:lineRule="auto"/>
        <w:ind w:firstLine="723" w:firstLineChars="200"/>
        <w:jc w:val="center"/>
        <w:rPr>
          <w:rFonts w:hint="eastAsia" w:ascii="宋体" w:hAnsi="宋体" w:eastAsia="宋体" w:cs="宋体"/>
          <w:b/>
          <w:color w:val="auto"/>
          <w:kern w:val="2"/>
          <w:sz w:val="32"/>
          <w:szCs w:val="32"/>
          <w:highlight w:val="none"/>
        </w:rPr>
      </w:pPr>
      <w:r>
        <w:rPr>
          <w:rFonts w:hint="eastAsia" w:ascii="宋体" w:hAnsi="宋体" w:eastAsia="宋体" w:cs="仿宋_GB2312"/>
          <w:b/>
          <w:color w:val="000000"/>
          <w:kern w:val="0"/>
          <w:sz w:val="36"/>
          <w:szCs w:val="36"/>
          <w:highlight w:val="none"/>
          <w:lang w:val="zh-CN"/>
        </w:rPr>
        <w:t>已标价工程量清单有关资料</w:t>
      </w:r>
    </w:p>
    <w:p w14:paraId="579B2CFB">
      <w:pPr>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4514B1B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按 “</w:t>
      </w:r>
      <w:r>
        <w:rPr>
          <w:rFonts w:hint="eastAsia" w:ascii="宋体" w:hAnsi="宋体" w:cs="宋体"/>
          <w:b w:val="0"/>
          <w:bCs w:val="0"/>
          <w:color w:val="auto"/>
          <w:sz w:val="24"/>
          <w:szCs w:val="24"/>
          <w:highlight w:val="none"/>
          <w:lang w:val="en-US" w:eastAsia="zh-CN"/>
        </w:rPr>
        <w:t>招标控制价</w:t>
      </w:r>
      <w:r>
        <w:rPr>
          <w:rFonts w:hint="eastAsia" w:ascii="宋体" w:hAnsi="宋体" w:eastAsia="宋体" w:cs="宋体"/>
          <w:b w:val="0"/>
          <w:bCs w:val="0"/>
          <w:color w:val="auto"/>
          <w:sz w:val="24"/>
          <w:szCs w:val="24"/>
          <w:highlight w:val="none"/>
          <w:lang w:val="en-US" w:eastAsia="zh-CN"/>
        </w:rPr>
        <w:t>”中的相关表格及投标报价说明填写</w:t>
      </w:r>
      <w:r>
        <w:rPr>
          <w:rFonts w:hint="eastAsia" w:ascii="宋体" w:hAnsi="宋体" w:cs="宋体"/>
          <w:b w:val="0"/>
          <w:bCs w:val="0"/>
          <w:color w:val="auto"/>
          <w:sz w:val="24"/>
          <w:szCs w:val="24"/>
          <w:highlight w:val="none"/>
          <w:lang w:val="en-US" w:eastAsia="zh-CN"/>
        </w:rPr>
        <w:t>。</w:t>
      </w:r>
    </w:p>
    <w:p w14:paraId="77EDC32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lang w:val="en-US" w:eastAsia="zh-CN"/>
        </w:rPr>
      </w:pPr>
    </w:p>
    <w:p w14:paraId="3175C9E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说明：</w:t>
      </w:r>
    </w:p>
    <w:p w14:paraId="433A73E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1、本项目执行工程量清单报价（首次报价、最终报价）。如首次报价与最终报价一致，视为最终报价按首次递交的已标价工程量清单执行；如最终报价与首次报价不一致且未上传最终计价的工程量清单作为附件的，视为退出磋商，退出磋商的供应商的响应文件按无效响应处理。</w:t>
      </w:r>
    </w:p>
    <w:p w14:paraId="1E897EC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kern w:val="2"/>
          <w:sz w:val="24"/>
          <w:szCs w:val="24"/>
          <w:highlight w:val="none"/>
          <w:lang w:val="en-US" w:eastAsia="zh-CN" w:bidi="ar-SA"/>
        </w:rPr>
        <w:t>磋商总价封面，必须经供应商加盖公章，并由法定代表人（或其授权人）签字（或盖章），同时由造价编制人员签字并加盖执业章。工程量清单报价有关资料必须逐页加盖单位公章。</w:t>
      </w:r>
    </w:p>
    <w:p w14:paraId="212133B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cs="宋体"/>
          <w:b/>
          <w:bCs/>
          <w:color w:val="auto"/>
          <w:kern w:val="2"/>
          <w:sz w:val="24"/>
          <w:szCs w:val="24"/>
          <w:highlight w:val="none"/>
          <w:lang w:val="en-US" w:eastAsia="zh-CN" w:bidi="ar-SA"/>
        </w:rPr>
        <w:t>3</w:t>
      </w:r>
      <w:r>
        <w:rPr>
          <w:rFonts w:hint="eastAsia" w:ascii="宋体" w:hAnsi="宋体" w:eastAsia="宋体" w:cs="宋体"/>
          <w:b/>
          <w:bCs/>
          <w:color w:val="auto"/>
          <w:kern w:val="2"/>
          <w:sz w:val="24"/>
          <w:szCs w:val="24"/>
          <w:highlight w:val="none"/>
          <w:lang w:val="en-US" w:eastAsia="zh-CN" w:bidi="ar-SA"/>
        </w:rPr>
        <w:t>、本项目已标价工程量清单关于“招标人”名称均以招标控制价名称为准。</w:t>
      </w:r>
    </w:p>
    <w:p w14:paraId="4EF377C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kern w:val="2"/>
          <w:sz w:val="24"/>
          <w:szCs w:val="24"/>
          <w:highlight w:val="none"/>
          <w:lang w:val="en-US" w:eastAsia="zh-CN" w:bidi="ar-SA"/>
        </w:rPr>
        <w:sectPr>
          <w:pgSz w:w="11910" w:h="16840"/>
          <w:pgMar w:top="1440" w:right="1080" w:bottom="1440" w:left="1080" w:header="720" w:footer="720" w:gutter="0"/>
          <w:pgNumType w:fmt="decimal"/>
          <w:cols w:space="720" w:num="1"/>
        </w:sectPr>
      </w:pPr>
    </w:p>
    <w:p w14:paraId="1DAF9D41">
      <w:pPr>
        <w:pStyle w:val="14"/>
        <w:keepNext w:val="0"/>
        <w:keepLines w:val="0"/>
        <w:pageBreakBefore w:val="0"/>
        <w:widowControl/>
        <w:kinsoku/>
        <w:wordWrap/>
        <w:overflowPunct/>
        <w:topLinePunct w:val="0"/>
        <w:autoSpaceDE/>
        <w:autoSpaceDN/>
        <w:bidi w:val="0"/>
        <w:adjustRightInd/>
        <w:snapToGrid/>
        <w:spacing w:before="0"/>
        <w:jc w:val="center"/>
        <w:textAlignment w:val="auto"/>
        <w:outlineLvl w:val="0"/>
        <w:rPr>
          <w:rFonts w:hint="eastAsia" w:ascii="宋体" w:hAnsi="宋体" w:eastAsia="宋体" w:cs="Times New Roman"/>
          <w:b/>
          <w:bCs/>
          <w:color w:val="000000"/>
          <w:kern w:val="44"/>
          <w:sz w:val="44"/>
          <w:szCs w:val="44"/>
          <w:highlight w:val="none"/>
          <w:lang w:val="en-US" w:eastAsia="zh-CN"/>
        </w:rPr>
      </w:pPr>
      <w:bookmarkStart w:id="87" w:name="_Toc20680"/>
    </w:p>
    <w:p w14:paraId="16F15171">
      <w:pPr>
        <w:pStyle w:val="14"/>
        <w:keepNext w:val="0"/>
        <w:keepLines w:val="0"/>
        <w:pageBreakBefore w:val="0"/>
        <w:widowControl/>
        <w:kinsoku/>
        <w:wordWrap/>
        <w:overflowPunct/>
        <w:topLinePunct w:val="0"/>
        <w:autoSpaceDE/>
        <w:autoSpaceDN/>
        <w:bidi w:val="0"/>
        <w:adjustRightInd/>
        <w:snapToGrid/>
        <w:spacing w:before="0"/>
        <w:jc w:val="center"/>
        <w:textAlignment w:val="auto"/>
        <w:outlineLvl w:val="0"/>
        <w:rPr>
          <w:rFonts w:hint="eastAsia" w:ascii="宋体" w:hAnsi="宋体" w:eastAsia="宋体" w:cs="Times New Roman"/>
          <w:b/>
          <w:bCs/>
          <w:color w:val="000000"/>
          <w:kern w:val="44"/>
          <w:sz w:val="44"/>
          <w:szCs w:val="44"/>
          <w:highlight w:val="none"/>
          <w:lang w:val="en-US" w:eastAsia="zh-CN"/>
        </w:rPr>
      </w:pPr>
    </w:p>
    <w:p w14:paraId="710DEB27">
      <w:pPr>
        <w:pStyle w:val="14"/>
        <w:keepNext w:val="0"/>
        <w:keepLines w:val="0"/>
        <w:pageBreakBefore w:val="0"/>
        <w:widowControl/>
        <w:kinsoku/>
        <w:wordWrap/>
        <w:overflowPunct/>
        <w:topLinePunct w:val="0"/>
        <w:autoSpaceDE/>
        <w:autoSpaceDN/>
        <w:bidi w:val="0"/>
        <w:adjustRightInd/>
        <w:snapToGrid/>
        <w:spacing w:before="0"/>
        <w:jc w:val="center"/>
        <w:textAlignment w:val="auto"/>
        <w:outlineLvl w:val="0"/>
        <w:rPr>
          <w:rFonts w:hint="eastAsia" w:ascii="宋体" w:hAnsi="宋体" w:eastAsia="宋体" w:cs="Times New Roman"/>
          <w:b/>
          <w:bCs/>
          <w:color w:val="000000"/>
          <w:kern w:val="44"/>
          <w:sz w:val="44"/>
          <w:szCs w:val="44"/>
          <w:highlight w:val="none"/>
          <w:lang w:val="en-US" w:eastAsia="zh-CN"/>
        </w:rPr>
      </w:pPr>
    </w:p>
    <w:p w14:paraId="1C4EA929">
      <w:pPr>
        <w:pStyle w:val="14"/>
        <w:keepNext w:val="0"/>
        <w:keepLines w:val="0"/>
        <w:pageBreakBefore w:val="0"/>
        <w:widowControl/>
        <w:kinsoku/>
        <w:wordWrap/>
        <w:overflowPunct/>
        <w:topLinePunct w:val="0"/>
        <w:autoSpaceDE/>
        <w:autoSpaceDN/>
        <w:bidi w:val="0"/>
        <w:adjustRightInd/>
        <w:snapToGrid/>
        <w:spacing w:before="0"/>
        <w:jc w:val="center"/>
        <w:textAlignment w:val="auto"/>
        <w:outlineLvl w:val="0"/>
        <w:rPr>
          <w:rFonts w:hint="eastAsia" w:ascii="宋体" w:hAnsi="宋体" w:eastAsia="宋体" w:cs="Times New Roman"/>
          <w:b/>
          <w:bCs/>
          <w:color w:val="000000"/>
          <w:kern w:val="44"/>
          <w:sz w:val="44"/>
          <w:szCs w:val="44"/>
          <w:highlight w:val="none"/>
          <w:lang w:val="en-US" w:eastAsia="zh-CN"/>
        </w:rPr>
      </w:pPr>
    </w:p>
    <w:p w14:paraId="764BC65D">
      <w:pPr>
        <w:pStyle w:val="14"/>
        <w:keepNext w:val="0"/>
        <w:keepLines w:val="0"/>
        <w:pageBreakBefore w:val="0"/>
        <w:widowControl/>
        <w:kinsoku/>
        <w:wordWrap/>
        <w:overflowPunct/>
        <w:topLinePunct w:val="0"/>
        <w:autoSpaceDE/>
        <w:autoSpaceDN/>
        <w:bidi w:val="0"/>
        <w:adjustRightInd/>
        <w:snapToGrid/>
        <w:spacing w:before="0"/>
        <w:jc w:val="center"/>
        <w:textAlignment w:val="auto"/>
        <w:outlineLvl w:val="0"/>
        <w:rPr>
          <w:rFonts w:hint="eastAsia" w:ascii="宋体" w:hAnsi="宋体" w:eastAsia="宋体" w:cs="Times New Roman"/>
          <w:b/>
          <w:bCs/>
          <w:color w:val="000000"/>
          <w:kern w:val="44"/>
          <w:sz w:val="44"/>
          <w:szCs w:val="44"/>
          <w:highlight w:val="none"/>
          <w:lang w:val="en-US" w:eastAsia="zh-CN"/>
        </w:rPr>
      </w:pPr>
    </w:p>
    <w:p w14:paraId="78DA324A">
      <w:pPr>
        <w:pStyle w:val="14"/>
        <w:keepNext w:val="0"/>
        <w:keepLines w:val="0"/>
        <w:pageBreakBefore w:val="0"/>
        <w:widowControl/>
        <w:kinsoku/>
        <w:wordWrap/>
        <w:overflowPunct/>
        <w:topLinePunct w:val="0"/>
        <w:autoSpaceDE/>
        <w:autoSpaceDN/>
        <w:bidi w:val="0"/>
        <w:adjustRightInd/>
        <w:snapToGrid/>
        <w:spacing w:before="0"/>
        <w:jc w:val="center"/>
        <w:textAlignment w:val="auto"/>
        <w:outlineLvl w:val="0"/>
        <w:rPr>
          <w:rFonts w:hint="eastAsia" w:ascii="宋体" w:hAnsi="宋体" w:eastAsia="宋体" w:cs="Times New Roman"/>
          <w:b/>
          <w:bCs/>
          <w:color w:val="000000"/>
          <w:kern w:val="44"/>
          <w:sz w:val="44"/>
          <w:szCs w:val="44"/>
          <w:highlight w:val="none"/>
          <w:lang w:val="en-US" w:eastAsia="zh-CN"/>
        </w:rPr>
      </w:pPr>
    </w:p>
    <w:p w14:paraId="330D725C">
      <w:pPr>
        <w:pStyle w:val="14"/>
        <w:keepNext w:val="0"/>
        <w:keepLines w:val="0"/>
        <w:pageBreakBefore w:val="0"/>
        <w:widowControl/>
        <w:kinsoku/>
        <w:wordWrap/>
        <w:overflowPunct/>
        <w:topLinePunct w:val="0"/>
        <w:autoSpaceDE/>
        <w:autoSpaceDN/>
        <w:bidi w:val="0"/>
        <w:adjustRightInd/>
        <w:snapToGrid/>
        <w:spacing w:before="0"/>
        <w:jc w:val="center"/>
        <w:textAlignment w:val="auto"/>
        <w:outlineLvl w:val="0"/>
        <w:rPr>
          <w:rFonts w:hint="eastAsia" w:ascii="宋体" w:hAnsi="宋体" w:eastAsia="宋体" w:cs="Times New Roman"/>
          <w:b/>
          <w:bCs/>
          <w:color w:val="000000"/>
          <w:kern w:val="44"/>
          <w:sz w:val="44"/>
          <w:szCs w:val="44"/>
          <w:highlight w:val="none"/>
          <w:lang w:val="en-US" w:eastAsia="zh-CN"/>
        </w:rPr>
      </w:pPr>
    </w:p>
    <w:p w14:paraId="63F585D6">
      <w:pPr>
        <w:pStyle w:val="14"/>
        <w:keepNext w:val="0"/>
        <w:keepLines w:val="0"/>
        <w:pageBreakBefore w:val="0"/>
        <w:widowControl/>
        <w:kinsoku/>
        <w:wordWrap/>
        <w:overflowPunct/>
        <w:topLinePunct w:val="0"/>
        <w:autoSpaceDE/>
        <w:autoSpaceDN/>
        <w:bidi w:val="0"/>
        <w:adjustRightInd/>
        <w:snapToGrid/>
        <w:spacing w:before="0"/>
        <w:jc w:val="center"/>
        <w:textAlignment w:val="auto"/>
        <w:outlineLvl w:val="0"/>
        <w:rPr>
          <w:rFonts w:hint="eastAsia" w:ascii="宋体" w:hAnsi="宋体" w:eastAsia="宋体" w:cs="Times New Roman"/>
          <w:b/>
          <w:bCs/>
          <w:color w:val="000000"/>
          <w:kern w:val="44"/>
          <w:sz w:val="44"/>
          <w:szCs w:val="44"/>
          <w:highlight w:val="none"/>
          <w:lang w:val="en-US" w:eastAsia="zh-CN"/>
        </w:rPr>
      </w:pPr>
    </w:p>
    <w:p w14:paraId="069A0779">
      <w:pPr>
        <w:pStyle w:val="14"/>
        <w:keepNext w:val="0"/>
        <w:keepLines w:val="0"/>
        <w:pageBreakBefore w:val="0"/>
        <w:widowControl/>
        <w:kinsoku/>
        <w:wordWrap/>
        <w:overflowPunct/>
        <w:topLinePunct w:val="0"/>
        <w:autoSpaceDE/>
        <w:autoSpaceDN/>
        <w:bidi w:val="0"/>
        <w:adjustRightInd/>
        <w:snapToGrid/>
        <w:spacing w:before="0"/>
        <w:jc w:val="center"/>
        <w:textAlignment w:val="auto"/>
        <w:outlineLvl w:val="0"/>
        <w:rPr>
          <w:rFonts w:hint="eastAsia" w:ascii="宋体" w:hAnsi="宋体" w:eastAsia="宋体" w:cs="宋体"/>
          <w:color w:val="000000"/>
          <w:highlight w:val="none"/>
        </w:rPr>
      </w:pPr>
      <w:r>
        <w:rPr>
          <w:rFonts w:hint="eastAsia" w:ascii="宋体" w:hAnsi="宋体" w:eastAsia="宋体" w:cs="Times New Roman"/>
          <w:b/>
          <w:bCs/>
          <w:color w:val="000000"/>
          <w:kern w:val="44"/>
          <w:sz w:val="44"/>
          <w:szCs w:val="44"/>
          <w:highlight w:val="none"/>
          <w:lang w:val="en-US" w:eastAsia="zh-CN"/>
        </w:rPr>
        <w:t>第六章 合同文本</w:t>
      </w:r>
      <w:r>
        <w:rPr>
          <w:rFonts w:ascii="宋体" w:hAnsi="宋体"/>
          <w:color w:val="000000"/>
          <w:kern w:val="44"/>
          <w:sz w:val="44"/>
          <w:szCs w:val="44"/>
          <w:highlight w:val="none"/>
        </w:rPr>
        <w:br w:type="page"/>
      </w:r>
      <w:bookmarkEnd w:id="87"/>
    </w:p>
    <w:p w14:paraId="3ABD5DD0">
      <w:pPr>
        <w:pageBreakBefore w:val="0"/>
        <w:kinsoku/>
        <w:overflowPunct/>
        <w:topLinePunct w:val="0"/>
        <w:bidi w:val="0"/>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 xml:space="preserve">                                                 </w:t>
      </w:r>
    </w:p>
    <w:p w14:paraId="5DF25EDF">
      <w:pPr>
        <w:pageBreakBefore w:val="0"/>
        <w:kinsoku/>
        <w:overflowPunct/>
        <w:topLinePunct w:val="0"/>
        <w:bidi w:val="0"/>
        <w:spacing w:line="360" w:lineRule="auto"/>
        <w:jc w:val="center"/>
        <w:rPr>
          <w:rFonts w:hint="eastAsia" w:ascii="宋体" w:hAnsi="宋体" w:eastAsia="宋体" w:cs="宋体"/>
          <w:b/>
          <w:bCs/>
          <w:color w:val="000000"/>
          <w:sz w:val="44"/>
          <w:highlight w:val="none"/>
          <w:lang w:val="en-US" w:eastAsia="zh-CN"/>
        </w:rPr>
      </w:pPr>
      <w:r>
        <w:rPr>
          <w:rFonts w:hint="eastAsia" w:ascii="宋体" w:hAnsi="宋体" w:eastAsia="宋体" w:cs="宋体"/>
          <w:b/>
          <w:bCs/>
          <w:color w:val="000000"/>
          <w:sz w:val="44"/>
          <w:highlight w:val="none"/>
          <w:lang w:val="en-US" w:eastAsia="zh-CN"/>
        </w:rPr>
        <w:t xml:space="preserve"> </w:t>
      </w:r>
    </w:p>
    <w:p w14:paraId="0AA028A0">
      <w:pPr>
        <w:pageBreakBefore w:val="0"/>
        <w:kinsoku/>
        <w:overflowPunct/>
        <w:topLinePunct w:val="0"/>
        <w:bidi w:val="0"/>
        <w:spacing w:line="360" w:lineRule="auto"/>
        <w:jc w:val="center"/>
        <w:rPr>
          <w:rFonts w:hint="eastAsia" w:ascii="宋体" w:hAnsi="宋体" w:eastAsia="宋体" w:cs="宋体"/>
          <w:b/>
          <w:bCs/>
          <w:color w:val="000000"/>
          <w:sz w:val="44"/>
          <w:highlight w:val="none"/>
          <w:u w:val="single"/>
          <w:lang w:val="en-US" w:eastAsia="zh-CN"/>
        </w:rPr>
      </w:pPr>
      <w:r>
        <w:rPr>
          <w:rFonts w:hint="eastAsia" w:ascii="宋体" w:hAnsi="宋体" w:eastAsia="宋体" w:cs="宋体"/>
          <w:b/>
          <w:bCs/>
          <w:color w:val="000000"/>
          <w:sz w:val="44"/>
          <w:highlight w:val="none"/>
          <w:u w:val="single"/>
          <w:lang w:val="en-US" w:eastAsia="zh-CN"/>
        </w:rPr>
        <w:t>防城区小峰水库隘脚移民村美丽家园项目</w:t>
      </w:r>
    </w:p>
    <w:p w14:paraId="64C7A655">
      <w:pPr>
        <w:pageBreakBefore w:val="0"/>
        <w:kinsoku/>
        <w:overflowPunct/>
        <w:topLinePunct w:val="0"/>
        <w:bidi w:val="0"/>
        <w:spacing w:line="360" w:lineRule="auto"/>
        <w:jc w:val="center"/>
        <w:rPr>
          <w:rFonts w:hint="eastAsia" w:ascii="宋体" w:hAnsi="宋体" w:eastAsia="宋体" w:cs="宋体"/>
          <w:b/>
          <w:bCs/>
          <w:color w:val="000000"/>
          <w:sz w:val="44"/>
          <w:highlight w:val="none"/>
        </w:rPr>
      </w:pPr>
      <w:r>
        <w:rPr>
          <w:rFonts w:hint="eastAsia" w:ascii="宋体" w:hAnsi="宋体" w:eastAsia="宋体" w:cs="宋体"/>
          <w:b/>
          <w:bCs/>
          <w:color w:val="000000"/>
          <w:sz w:val="44"/>
          <w:highlight w:val="none"/>
          <w:lang w:val="en-US" w:eastAsia="zh-CN"/>
        </w:rPr>
        <w:t>施工</w:t>
      </w:r>
      <w:r>
        <w:rPr>
          <w:rFonts w:hint="eastAsia" w:ascii="宋体" w:hAnsi="宋体" w:eastAsia="宋体" w:cs="宋体"/>
          <w:b/>
          <w:bCs/>
          <w:color w:val="000000"/>
          <w:sz w:val="44"/>
          <w:highlight w:val="none"/>
        </w:rPr>
        <w:t>合同</w:t>
      </w:r>
    </w:p>
    <w:p w14:paraId="008A5D4A">
      <w:pPr>
        <w:pageBreakBefore w:val="0"/>
        <w:kinsoku/>
        <w:overflowPunct/>
        <w:topLinePunct w:val="0"/>
        <w:bidi w:val="0"/>
        <w:spacing w:line="360" w:lineRule="auto"/>
        <w:jc w:val="center"/>
        <w:rPr>
          <w:rFonts w:hint="eastAsia" w:ascii="宋体" w:hAnsi="宋体" w:eastAsia="宋体" w:cs="宋体"/>
          <w:b/>
          <w:bCs/>
          <w:color w:val="000000"/>
          <w:sz w:val="44"/>
          <w:highlight w:val="none"/>
        </w:rPr>
      </w:pPr>
    </w:p>
    <w:p w14:paraId="0E5970E8">
      <w:pPr>
        <w:pageBreakBefore w:val="0"/>
        <w:kinsoku/>
        <w:overflowPunct/>
        <w:topLinePunct w:val="0"/>
        <w:bidi w:val="0"/>
        <w:spacing w:line="360" w:lineRule="auto"/>
        <w:ind w:firstLine="3507" w:firstLineChars="794"/>
        <w:rPr>
          <w:rFonts w:hint="eastAsia" w:ascii="宋体" w:hAnsi="宋体" w:eastAsia="宋体" w:cs="宋体"/>
          <w:b/>
          <w:bCs/>
          <w:color w:val="000000"/>
          <w:sz w:val="44"/>
          <w:highlight w:val="none"/>
        </w:rPr>
      </w:pPr>
    </w:p>
    <w:p w14:paraId="3576B3A1">
      <w:pPr>
        <w:pageBreakBefore w:val="0"/>
        <w:kinsoku/>
        <w:overflowPunct/>
        <w:topLinePunct w:val="0"/>
        <w:bidi w:val="0"/>
        <w:spacing w:line="360" w:lineRule="auto"/>
        <w:ind w:firstLine="1084" w:firstLineChars="300"/>
        <w:rPr>
          <w:rFonts w:hint="eastAsia" w:ascii="宋体" w:hAnsi="宋体" w:eastAsia="宋体" w:cs="宋体"/>
          <w:b/>
          <w:color w:val="000000"/>
          <w:sz w:val="36"/>
          <w:szCs w:val="36"/>
          <w:highlight w:val="none"/>
          <w:lang w:val="en-US"/>
        </w:rPr>
      </w:pPr>
      <w:r>
        <w:rPr>
          <w:rFonts w:hint="eastAsia" w:ascii="宋体" w:hAnsi="宋体" w:eastAsia="宋体" w:cs="宋体"/>
          <w:b/>
          <w:color w:val="000000"/>
          <w:sz w:val="36"/>
          <w:szCs w:val="36"/>
          <w:highlight w:val="none"/>
          <w:lang w:eastAsia="zh-CN"/>
        </w:rPr>
        <w:t>项目编号：</w:t>
      </w:r>
      <w:r>
        <w:rPr>
          <w:rFonts w:hint="eastAsia" w:ascii="宋体" w:hAnsi="宋体" w:eastAsia="宋体" w:cs="宋体"/>
          <w:b/>
          <w:color w:val="000000"/>
          <w:sz w:val="36"/>
          <w:szCs w:val="36"/>
          <w:highlight w:val="none"/>
          <w:u w:val="single"/>
          <w:lang w:val="en-US" w:eastAsia="zh-CN"/>
        </w:rPr>
        <w:t xml:space="preserve"> </w:t>
      </w:r>
      <w:r>
        <w:rPr>
          <w:rFonts w:hint="eastAsia" w:ascii="宋体" w:hAnsi="宋体" w:cs="宋体"/>
          <w:b/>
          <w:color w:val="000000"/>
          <w:sz w:val="36"/>
          <w:szCs w:val="36"/>
          <w:highlight w:val="none"/>
          <w:u w:val="single"/>
          <w:lang w:val="en-US" w:eastAsia="zh-CN"/>
        </w:rPr>
        <w:t xml:space="preserve">                 </w:t>
      </w:r>
      <w:r>
        <w:rPr>
          <w:rFonts w:hint="eastAsia" w:ascii="宋体" w:hAnsi="宋体" w:eastAsia="宋体" w:cs="宋体"/>
          <w:b/>
          <w:color w:val="000000"/>
          <w:sz w:val="36"/>
          <w:szCs w:val="36"/>
          <w:highlight w:val="none"/>
          <w:u w:val="single"/>
          <w:lang w:val="en-US" w:eastAsia="zh-CN"/>
        </w:rPr>
        <w:t xml:space="preserve"> </w:t>
      </w:r>
    </w:p>
    <w:p w14:paraId="4083CF06">
      <w:pPr>
        <w:pageBreakBefore w:val="0"/>
        <w:kinsoku/>
        <w:overflowPunct/>
        <w:topLinePunct w:val="0"/>
        <w:bidi w:val="0"/>
        <w:spacing w:line="360" w:lineRule="auto"/>
        <w:ind w:firstLine="1084" w:firstLineChars="300"/>
        <w:rPr>
          <w:rFonts w:hint="default" w:ascii="宋体" w:hAnsi="宋体" w:eastAsia="宋体" w:cs="宋体"/>
          <w:b/>
          <w:color w:val="000000"/>
          <w:sz w:val="36"/>
          <w:szCs w:val="36"/>
          <w:highlight w:val="none"/>
          <w:u w:val="single"/>
          <w:lang w:val="en-US" w:eastAsia="zh-CN"/>
        </w:rPr>
      </w:pPr>
      <w:r>
        <w:rPr>
          <w:rFonts w:hint="eastAsia" w:ascii="宋体" w:hAnsi="宋体" w:eastAsia="宋体" w:cs="宋体"/>
          <w:b/>
          <w:color w:val="000000"/>
          <w:sz w:val="36"/>
          <w:szCs w:val="36"/>
          <w:highlight w:val="none"/>
        </w:rPr>
        <w:t>采购计划编号：</w:t>
      </w:r>
      <w:r>
        <w:rPr>
          <w:rFonts w:hint="eastAsia" w:ascii="宋体" w:hAnsi="宋体" w:eastAsia="宋体" w:cs="宋体"/>
          <w:b/>
          <w:color w:val="000000"/>
          <w:sz w:val="36"/>
          <w:szCs w:val="36"/>
          <w:highlight w:val="none"/>
          <w:u w:val="single"/>
          <w:lang w:val="en-US" w:eastAsia="zh-CN"/>
        </w:rPr>
        <w:t xml:space="preserve"> </w:t>
      </w:r>
      <w:r>
        <w:rPr>
          <w:rFonts w:hint="eastAsia" w:ascii="宋体" w:hAnsi="宋体" w:cs="宋体"/>
          <w:b/>
          <w:color w:val="000000"/>
          <w:sz w:val="36"/>
          <w:szCs w:val="36"/>
          <w:highlight w:val="none"/>
          <w:u w:val="single"/>
          <w:lang w:val="en-US" w:eastAsia="zh-CN"/>
        </w:rPr>
        <w:t xml:space="preserve">             </w:t>
      </w:r>
      <w:r>
        <w:rPr>
          <w:rFonts w:hint="eastAsia" w:ascii="宋体" w:hAnsi="宋体" w:eastAsia="宋体" w:cs="宋体"/>
          <w:b/>
          <w:color w:val="000000"/>
          <w:sz w:val="36"/>
          <w:szCs w:val="36"/>
          <w:highlight w:val="none"/>
          <w:u w:val="single"/>
          <w:lang w:val="en-US" w:eastAsia="zh-CN"/>
        </w:rPr>
        <w:t xml:space="preserve">  </w:t>
      </w:r>
    </w:p>
    <w:p w14:paraId="42128198">
      <w:pPr>
        <w:pageBreakBefore w:val="0"/>
        <w:kinsoku/>
        <w:overflowPunct/>
        <w:topLinePunct w:val="0"/>
        <w:bidi w:val="0"/>
        <w:spacing w:line="360" w:lineRule="auto"/>
        <w:ind w:firstLine="1308" w:firstLineChars="545"/>
        <w:rPr>
          <w:rFonts w:hint="eastAsia" w:ascii="宋体" w:hAnsi="宋体" w:eastAsia="宋体" w:cs="宋体"/>
          <w:color w:val="000000"/>
          <w:sz w:val="24"/>
          <w:highlight w:val="none"/>
        </w:rPr>
      </w:pPr>
    </w:p>
    <w:p w14:paraId="524BA417">
      <w:pPr>
        <w:pageBreakBefore w:val="0"/>
        <w:kinsoku/>
        <w:overflowPunct/>
        <w:topLinePunct w:val="0"/>
        <w:bidi w:val="0"/>
        <w:spacing w:line="360" w:lineRule="auto"/>
        <w:ind w:firstLine="1995" w:firstLineChars="552"/>
        <w:rPr>
          <w:rFonts w:hint="eastAsia" w:ascii="宋体" w:hAnsi="宋体" w:eastAsia="宋体" w:cs="宋体"/>
          <w:b/>
          <w:color w:val="000000"/>
          <w:sz w:val="36"/>
          <w:szCs w:val="36"/>
          <w:highlight w:val="none"/>
          <w:u w:val="single"/>
        </w:rPr>
      </w:pPr>
    </w:p>
    <w:p w14:paraId="74E63679">
      <w:pPr>
        <w:pageBreakBefore w:val="0"/>
        <w:kinsoku/>
        <w:overflowPunct/>
        <w:topLinePunct w:val="0"/>
        <w:bidi w:val="0"/>
        <w:spacing w:line="360" w:lineRule="auto"/>
        <w:ind w:firstLine="1995" w:firstLineChars="552"/>
        <w:rPr>
          <w:rFonts w:hint="eastAsia" w:ascii="宋体" w:hAnsi="宋体" w:eastAsia="宋体" w:cs="宋体"/>
          <w:b/>
          <w:color w:val="000000"/>
          <w:sz w:val="36"/>
          <w:szCs w:val="36"/>
          <w:highlight w:val="none"/>
          <w:u w:val="single"/>
        </w:rPr>
      </w:pPr>
    </w:p>
    <w:p w14:paraId="76114A1F">
      <w:pPr>
        <w:pStyle w:val="26"/>
        <w:rPr>
          <w:rFonts w:hint="eastAsia" w:ascii="宋体" w:hAnsi="宋体" w:eastAsia="宋体" w:cs="宋体"/>
          <w:kern w:val="0"/>
          <w:sz w:val="30"/>
          <w:szCs w:val="30"/>
          <w:highlight w:val="none"/>
          <w:u w:val="none" w:color="000000"/>
          <w:lang w:val="zh-CN" w:bidi="zh-CN"/>
        </w:rPr>
      </w:pPr>
    </w:p>
    <w:p w14:paraId="1BC9EA22">
      <w:pPr>
        <w:pStyle w:val="26"/>
        <w:rPr>
          <w:rFonts w:hint="eastAsia" w:ascii="宋体" w:hAnsi="宋体" w:eastAsia="宋体" w:cs="宋体"/>
          <w:kern w:val="0"/>
          <w:sz w:val="30"/>
          <w:szCs w:val="30"/>
          <w:highlight w:val="none"/>
          <w:u w:val="none" w:color="000000"/>
          <w:lang w:val="zh-CN" w:bidi="zh-CN"/>
        </w:rPr>
      </w:pPr>
    </w:p>
    <w:p w14:paraId="69505555">
      <w:pPr>
        <w:pStyle w:val="26"/>
        <w:rPr>
          <w:rFonts w:hint="eastAsia" w:ascii="宋体" w:hAnsi="宋体" w:eastAsia="宋体" w:cs="宋体"/>
          <w:kern w:val="0"/>
          <w:sz w:val="30"/>
          <w:szCs w:val="30"/>
          <w:highlight w:val="none"/>
          <w:u w:val="none" w:color="000000"/>
          <w:lang w:val="zh-CN" w:bidi="zh-CN"/>
        </w:rPr>
      </w:pPr>
    </w:p>
    <w:p w14:paraId="2C63D2B6">
      <w:pPr>
        <w:pStyle w:val="26"/>
        <w:rPr>
          <w:rFonts w:hint="eastAsia" w:ascii="宋体" w:hAnsi="宋体" w:eastAsia="宋体" w:cs="宋体"/>
          <w:kern w:val="0"/>
          <w:sz w:val="30"/>
          <w:szCs w:val="30"/>
          <w:highlight w:val="none"/>
          <w:u w:val="none" w:color="000000"/>
          <w:lang w:val="zh-CN" w:bidi="zh-CN"/>
        </w:rPr>
      </w:pPr>
    </w:p>
    <w:p w14:paraId="70B132A5">
      <w:pPr>
        <w:keepNext w:val="0"/>
        <w:keepLines w:val="0"/>
        <w:pageBreakBefore w:val="0"/>
        <w:widowControl w:val="0"/>
        <w:kinsoku/>
        <w:wordWrap/>
        <w:overflowPunct/>
        <w:topLinePunct w:val="0"/>
        <w:autoSpaceDE w:val="0"/>
        <w:autoSpaceDN w:val="0"/>
        <w:bidi w:val="0"/>
        <w:snapToGrid/>
        <w:spacing w:line="900" w:lineRule="exact"/>
        <w:ind w:firstLine="720" w:firstLineChars="200"/>
        <w:jc w:val="both"/>
        <w:textAlignment w:val="auto"/>
        <w:rPr>
          <w:rFonts w:hint="default" w:ascii="宋体" w:hAnsi="宋体" w:eastAsia="宋体" w:cs="宋体"/>
          <w:b w:val="0"/>
          <w:bCs w:val="0"/>
          <w:kern w:val="0"/>
          <w:sz w:val="36"/>
          <w:szCs w:val="36"/>
          <w:highlight w:val="none"/>
          <w:u w:val="single"/>
          <w:lang w:val="en-US" w:bidi="zh-CN"/>
        </w:rPr>
      </w:pPr>
      <w:r>
        <w:rPr>
          <w:rFonts w:hint="eastAsia" w:ascii="宋体" w:hAnsi="宋体" w:eastAsia="宋体" w:cs="宋体"/>
          <w:b w:val="0"/>
          <w:bCs w:val="0"/>
          <w:kern w:val="0"/>
          <w:sz w:val="36"/>
          <w:szCs w:val="36"/>
          <w:highlight w:val="none"/>
          <w:lang w:val="zh-CN" w:eastAsia="zh-CN" w:bidi="zh-CN"/>
        </w:rPr>
        <w:t>发</w:t>
      </w:r>
      <w:r>
        <w:rPr>
          <w:rFonts w:hint="eastAsia" w:ascii="宋体" w:hAnsi="宋体" w:eastAsia="宋体" w:cs="宋体"/>
          <w:b w:val="0"/>
          <w:bCs w:val="0"/>
          <w:kern w:val="0"/>
          <w:sz w:val="36"/>
          <w:szCs w:val="36"/>
          <w:highlight w:val="none"/>
          <w:lang w:val="zh-CN" w:bidi="zh-CN"/>
        </w:rPr>
        <w:t>包人（全称）：</w:t>
      </w:r>
      <w:r>
        <w:rPr>
          <w:rFonts w:hint="eastAsia" w:ascii="宋体" w:hAnsi="宋体" w:cs="宋体"/>
          <w:b w:val="0"/>
          <w:bCs w:val="0"/>
          <w:kern w:val="0"/>
          <w:sz w:val="36"/>
          <w:szCs w:val="36"/>
          <w:highlight w:val="none"/>
          <w:lang w:val="en-US" w:bidi="zh-CN"/>
        </w:rPr>
        <w:t xml:space="preserve"> </w:t>
      </w:r>
      <w:r>
        <w:rPr>
          <w:rFonts w:hint="eastAsia" w:ascii="宋体" w:hAnsi="宋体" w:cs="宋体"/>
          <w:b w:val="0"/>
          <w:bCs w:val="0"/>
          <w:sz w:val="36"/>
          <w:szCs w:val="36"/>
          <w:highlight w:val="none"/>
          <w:u w:val="single"/>
          <w:lang w:val="en-US" w:eastAsia="zh-CN"/>
        </w:rPr>
        <w:t xml:space="preserve">                           </w:t>
      </w:r>
    </w:p>
    <w:p w14:paraId="03174DFD">
      <w:pPr>
        <w:keepNext w:val="0"/>
        <w:keepLines w:val="0"/>
        <w:pageBreakBefore w:val="0"/>
        <w:widowControl w:val="0"/>
        <w:kinsoku/>
        <w:wordWrap/>
        <w:overflowPunct/>
        <w:topLinePunct w:val="0"/>
        <w:autoSpaceDE w:val="0"/>
        <w:autoSpaceDN w:val="0"/>
        <w:bidi w:val="0"/>
        <w:snapToGrid/>
        <w:spacing w:line="900" w:lineRule="exact"/>
        <w:ind w:firstLine="720" w:firstLineChars="200"/>
        <w:jc w:val="both"/>
        <w:textAlignment w:val="auto"/>
        <w:rPr>
          <w:rFonts w:hint="eastAsia" w:ascii="宋体" w:hAnsi="宋体" w:cs="宋体"/>
          <w:b w:val="0"/>
          <w:bCs w:val="0"/>
          <w:sz w:val="36"/>
          <w:szCs w:val="36"/>
          <w:highlight w:val="none"/>
          <w:u w:val="single"/>
          <w:lang w:val="en-US" w:eastAsia="zh-CN"/>
        </w:rPr>
      </w:pPr>
      <w:r>
        <w:rPr>
          <w:rFonts w:hint="eastAsia" w:ascii="宋体" w:hAnsi="宋体" w:eastAsia="宋体" w:cs="宋体"/>
          <w:b w:val="0"/>
          <w:bCs w:val="0"/>
          <w:kern w:val="0"/>
          <w:sz w:val="36"/>
          <w:szCs w:val="36"/>
          <w:highlight w:val="none"/>
          <w:lang w:val="zh-CN" w:bidi="zh-CN"/>
        </w:rPr>
        <w:t>承包人（全称）：</w:t>
      </w:r>
      <w:r>
        <w:rPr>
          <w:rFonts w:hint="eastAsia" w:ascii="宋体" w:hAnsi="宋体" w:cs="宋体"/>
          <w:b w:val="0"/>
          <w:bCs w:val="0"/>
          <w:sz w:val="36"/>
          <w:szCs w:val="36"/>
          <w:highlight w:val="none"/>
          <w:u w:val="single"/>
          <w:lang w:val="en-US" w:eastAsia="zh-CN"/>
        </w:rPr>
        <w:t xml:space="preserve">                            </w:t>
      </w:r>
    </w:p>
    <w:p w14:paraId="29865F9C">
      <w:pPr>
        <w:keepNext w:val="0"/>
        <w:keepLines w:val="0"/>
        <w:pageBreakBefore w:val="0"/>
        <w:widowControl w:val="0"/>
        <w:kinsoku/>
        <w:wordWrap/>
        <w:overflowPunct/>
        <w:topLinePunct w:val="0"/>
        <w:autoSpaceDE w:val="0"/>
        <w:autoSpaceDN w:val="0"/>
        <w:bidi w:val="0"/>
        <w:snapToGrid/>
        <w:spacing w:line="900" w:lineRule="exact"/>
        <w:ind w:firstLine="1800" w:firstLineChars="500"/>
        <w:jc w:val="both"/>
        <w:textAlignment w:val="auto"/>
        <w:rPr>
          <w:rFonts w:hint="eastAsia" w:ascii="宋体" w:hAnsi="宋体" w:eastAsia="宋体" w:cs="宋体"/>
          <w:b w:val="0"/>
          <w:bCs w:val="0"/>
          <w:kern w:val="0"/>
          <w:sz w:val="36"/>
          <w:szCs w:val="36"/>
          <w:highlight w:val="none"/>
          <w:u w:val="none" w:color="000000"/>
          <w:lang w:val="zh-CN" w:bidi="zh-CN"/>
        </w:rPr>
      </w:pPr>
      <w:r>
        <w:rPr>
          <w:rFonts w:hint="eastAsia"/>
          <w:b w:val="0"/>
          <w:bCs w:val="0"/>
          <w:sz w:val="36"/>
          <w:szCs w:val="36"/>
          <w:lang w:val="en-US" w:eastAsia="zh-CN"/>
        </w:rPr>
        <w:t>日期：      年    月     日</w:t>
      </w:r>
    </w:p>
    <w:p w14:paraId="513638AC">
      <w:pPr>
        <w:pageBreakBefore w:val="0"/>
        <w:tabs>
          <w:tab w:val="left" w:pos="7380"/>
        </w:tabs>
        <w:kinsoku/>
        <w:overflowPunct/>
        <w:topLinePunct w:val="0"/>
        <w:bidi w:val="0"/>
        <w:spacing w:line="360" w:lineRule="auto"/>
        <w:rPr>
          <w:rFonts w:hint="eastAsia" w:ascii="宋体" w:hAnsi="宋体" w:eastAsia="宋体" w:cs="宋体"/>
          <w:b/>
          <w:bCs/>
          <w:color w:val="000000"/>
          <w:sz w:val="44"/>
          <w:highlight w:val="none"/>
        </w:rPr>
      </w:pPr>
    </w:p>
    <w:p w14:paraId="4AF086F2">
      <w:pPr>
        <w:keepNext/>
        <w:keepLines/>
        <w:pageBreakBefore w:val="0"/>
        <w:kinsoku/>
        <w:overflowPunct/>
        <w:topLinePunct w:val="0"/>
        <w:bidi w:val="0"/>
        <w:spacing w:line="360" w:lineRule="auto"/>
        <w:jc w:val="center"/>
        <w:rPr>
          <w:rFonts w:hint="eastAsia" w:ascii="宋体" w:hAnsi="宋体" w:eastAsia="宋体" w:cs="宋体"/>
          <w:b/>
          <w:color w:val="000000"/>
          <w:kern w:val="0"/>
          <w:sz w:val="24"/>
          <w:szCs w:val="20"/>
          <w:highlight w:val="none"/>
        </w:rPr>
      </w:pPr>
      <w:r>
        <w:rPr>
          <w:rFonts w:hint="eastAsia" w:ascii="宋体" w:hAnsi="宋体" w:eastAsia="宋体" w:cs="宋体"/>
          <w:b/>
          <w:bCs/>
          <w:color w:val="000000"/>
          <w:sz w:val="44"/>
          <w:highlight w:val="none"/>
        </w:rPr>
        <w:br w:type="page"/>
      </w:r>
      <w:r>
        <w:rPr>
          <w:rFonts w:hint="eastAsia" w:ascii="宋体" w:hAnsi="宋体" w:eastAsia="宋体" w:cs="宋体"/>
          <w:b/>
          <w:color w:val="000000"/>
          <w:sz w:val="28"/>
          <w:szCs w:val="28"/>
          <w:highlight w:val="none"/>
        </w:rPr>
        <w:t>第一部分</w:t>
      </w:r>
      <w:r>
        <w:rPr>
          <w:rFonts w:hint="eastAsia" w:ascii="宋体" w:hAnsi="宋体" w:eastAsia="宋体" w:cs="宋体"/>
          <w:b/>
          <w:color w:val="000000"/>
          <w:sz w:val="28"/>
          <w:szCs w:val="28"/>
          <w:highlight w:val="none"/>
          <w:lang w:val="en-US" w:eastAsia="zh-CN"/>
        </w:rPr>
        <w:t xml:space="preserve">   </w:t>
      </w:r>
      <w:r>
        <w:rPr>
          <w:rFonts w:hint="eastAsia" w:ascii="宋体" w:hAnsi="宋体" w:eastAsia="宋体" w:cs="宋体"/>
          <w:b/>
          <w:color w:val="000000"/>
          <w:sz w:val="28"/>
          <w:szCs w:val="28"/>
          <w:highlight w:val="none"/>
        </w:rPr>
        <w:t>协议书</w:t>
      </w:r>
    </w:p>
    <w:p w14:paraId="48FCBABC">
      <w:pPr>
        <w:pageBreakBefore w:val="0"/>
        <w:kinsoku/>
        <w:overflowPunct/>
        <w:topLinePunct w:val="0"/>
        <w:bidi w:val="0"/>
        <w:spacing w:line="360" w:lineRule="auto"/>
        <w:ind w:firstLine="475"/>
        <w:rPr>
          <w:rFonts w:hint="eastAsia" w:ascii="宋体" w:hAnsi="宋体" w:eastAsia="宋体" w:cs="宋体"/>
          <w:color w:val="000000"/>
          <w:highlight w:val="none"/>
        </w:rPr>
      </w:pPr>
    </w:p>
    <w:p w14:paraId="31B0EC0D">
      <w:pPr>
        <w:pageBreakBefore w:val="0"/>
        <w:kinsoku/>
        <w:overflowPunct/>
        <w:topLinePunct w:val="0"/>
        <w:bidi w:val="0"/>
        <w:spacing w:line="360" w:lineRule="auto"/>
        <w:ind w:firstLine="475"/>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发包人（全称）：</w:t>
      </w:r>
      <w:r>
        <w:rPr>
          <w:rFonts w:hint="eastAsia" w:ascii="宋体" w:hAnsi="宋体" w:eastAsia="宋体" w:cs="宋体"/>
          <w:color w:val="000000"/>
          <w:sz w:val="24"/>
          <w:szCs w:val="24"/>
          <w:highlight w:val="none"/>
          <w:u w:val="single"/>
        </w:rPr>
        <w:t xml:space="preserve">                              </w:t>
      </w:r>
    </w:p>
    <w:p w14:paraId="46A3A66C">
      <w:pPr>
        <w:pageBreakBefore w:val="0"/>
        <w:kinsoku/>
        <w:overflowPunct/>
        <w:topLinePunct w:val="0"/>
        <w:bidi w:val="0"/>
        <w:spacing w:line="360" w:lineRule="auto"/>
        <w:ind w:firstLine="475"/>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承包人（全称）：</w:t>
      </w:r>
      <w:r>
        <w:rPr>
          <w:rFonts w:hint="eastAsia" w:ascii="宋体" w:hAnsi="宋体" w:eastAsia="宋体" w:cs="宋体"/>
          <w:color w:val="000000"/>
          <w:sz w:val="24"/>
          <w:szCs w:val="24"/>
          <w:highlight w:val="none"/>
          <w:u w:val="single"/>
        </w:rPr>
        <w:t xml:space="preserve">                              </w:t>
      </w:r>
    </w:p>
    <w:p w14:paraId="120D94C3">
      <w:pPr>
        <w:pageBreakBefore w:val="0"/>
        <w:kinsoku/>
        <w:overflowPunct/>
        <w:topLinePunct w:val="0"/>
        <w:bidi w:val="0"/>
        <w:spacing w:line="360" w:lineRule="auto"/>
        <w:ind w:firstLine="475"/>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依照《中华人民共和国民法典》、《中华人民共和国建筑法》及其他有关法律、行政法规，遵循平等、自愿、公平和诚实信用的原则，双方就</w:t>
      </w:r>
      <w:r>
        <w:rPr>
          <w:rFonts w:hint="eastAsia" w:ascii="宋体" w:hAnsi="宋体" w:eastAsia="宋体" w:cs="宋体"/>
          <w:color w:val="000000"/>
          <w:sz w:val="24"/>
          <w:szCs w:val="24"/>
          <w:highlight w:val="none"/>
          <w:u w:val="single"/>
          <w:lang w:eastAsia="zh-CN"/>
        </w:rPr>
        <w:t>防城区小峰水库隘脚移民村美丽家园项目</w:t>
      </w:r>
      <w:r>
        <w:rPr>
          <w:rFonts w:hint="eastAsia" w:ascii="宋体" w:hAnsi="宋体" w:eastAsia="宋体" w:cs="宋体"/>
          <w:color w:val="000000"/>
          <w:sz w:val="24"/>
          <w:szCs w:val="24"/>
          <w:highlight w:val="none"/>
          <w:u w:val="single"/>
          <w:lang w:val="en-US" w:eastAsia="zh-CN"/>
        </w:rPr>
        <w:t>（工程名称）</w:t>
      </w:r>
      <w:r>
        <w:rPr>
          <w:rFonts w:hint="eastAsia" w:ascii="宋体" w:hAnsi="宋体" w:eastAsia="宋体" w:cs="宋体"/>
          <w:color w:val="000000"/>
          <w:sz w:val="24"/>
          <w:szCs w:val="24"/>
          <w:highlight w:val="none"/>
        </w:rPr>
        <w:t>施工事项协商一致，订立本合同。</w:t>
      </w:r>
    </w:p>
    <w:p w14:paraId="5B2BFD98">
      <w:pPr>
        <w:pageBreakBefore w:val="0"/>
        <w:kinsoku/>
        <w:overflowPunct/>
        <w:topLinePunct w:val="0"/>
        <w:bidi w:val="0"/>
        <w:spacing w:line="360" w:lineRule="auto"/>
        <w:ind w:firstLine="51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一、工程概况</w:t>
      </w:r>
    </w:p>
    <w:p w14:paraId="4219D7D9">
      <w:pPr>
        <w:pageBreakBefore w:val="0"/>
        <w:kinsoku/>
        <w:overflowPunct/>
        <w:topLinePunct w:val="0"/>
        <w:bidi w:val="0"/>
        <w:spacing w:line="360" w:lineRule="auto"/>
        <w:ind w:firstLine="480" w:firstLineChars="200"/>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rPr>
        <w:t>工程名称：</w:t>
      </w:r>
      <w:r>
        <w:rPr>
          <w:rFonts w:hint="eastAsia" w:ascii="宋体" w:hAnsi="宋体" w:eastAsia="宋体" w:cs="宋体"/>
          <w:color w:val="000000"/>
          <w:sz w:val="24"/>
          <w:szCs w:val="24"/>
          <w:highlight w:val="none"/>
          <w:lang w:eastAsia="zh-CN"/>
        </w:rPr>
        <w:t>防城区小峰水库隘脚移民村美丽家园项目</w:t>
      </w:r>
    </w:p>
    <w:p w14:paraId="290968C8">
      <w:pPr>
        <w:pageBreakBefore w:val="0"/>
        <w:kinsoku/>
        <w:overflowPunct/>
        <w:topLinePunct w:val="0"/>
        <w:bidi w:val="0"/>
        <w:spacing w:line="360" w:lineRule="auto"/>
        <w:ind w:firstLine="480" w:firstLineChars="200"/>
        <w:rPr>
          <w:rFonts w:hint="default"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rPr>
        <w:t>工程地点</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u w:val="none"/>
          <w:shd w:val="clear" w:color="auto" w:fill="FFFFFF"/>
          <w:lang w:val="en-US" w:eastAsia="zh-CN"/>
        </w:rPr>
        <w:t>防城港市防城区小峰水库</w:t>
      </w:r>
      <w:r>
        <w:rPr>
          <w:rFonts w:hint="eastAsia" w:ascii="宋体" w:hAnsi="宋体" w:eastAsia="宋体" w:cs="宋体"/>
          <w:color w:val="000000"/>
          <w:sz w:val="24"/>
          <w:szCs w:val="24"/>
          <w:highlight w:val="none"/>
          <w:lang w:val="en-US" w:eastAsia="zh-CN"/>
        </w:rPr>
        <w:t>。</w:t>
      </w:r>
    </w:p>
    <w:p w14:paraId="0D9A002F">
      <w:pPr>
        <w:pageBreakBefore w:val="0"/>
        <w:kinsoku/>
        <w:overflowPunct/>
        <w:topLinePunct w:val="0"/>
        <w:bidi w:val="0"/>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工程内容：</w:t>
      </w:r>
    </w:p>
    <w:p w14:paraId="067B7681">
      <w:pPr>
        <w:pageBreakBefore w:val="0"/>
        <w:kinsoku/>
        <w:overflowPunct/>
        <w:topLinePunct w:val="0"/>
        <w:bidi w:val="0"/>
        <w:spacing w:line="360" w:lineRule="auto"/>
        <w:ind w:firstLine="510"/>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工程立项批准文号：</w:t>
      </w:r>
    </w:p>
    <w:p w14:paraId="30909A8B">
      <w:pPr>
        <w:pageBreakBefore w:val="0"/>
        <w:kinsoku/>
        <w:overflowPunct/>
        <w:topLinePunct w:val="0"/>
        <w:bidi w:val="0"/>
        <w:spacing w:line="360" w:lineRule="auto"/>
        <w:ind w:firstLine="510"/>
        <w:rPr>
          <w:rFonts w:hint="default"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rPr>
        <w:t>资金来源：</w:t>
      </w:r>
    </w:p>
    <w:p w14:paraId="29575225">
      <w:pPr>
        <w:pageBreakBefore w:val="0"/>
        <w:kinsoku/>
        <w:overflowPunct/>
        <w:topLinePunct w:val="0"/>
        <w:bidi w:val="0"/>
        <w:spacing w:line="360" w:lineRule="auto"/>
        <w:ind w:firstLine="506"/>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二、工程承包范围</w:t>
      </w:r>
    </w:p>
    <w:p w14:paraId="566C073C">
      <w:pPr>
        <w:pageBreakBefore w:val="0"/>
        <w:kinsoku/>
        <w:overflowPunct/>
        <w:topLinePunct w:val="0"/>
        <w:bidi w:val="0"/>
        <w:spacing w:line="360" w:lineRule="auto"/>
        <w:ind w:firstLine="510"/>
        <w:rPr>
          <w:rFonts w:hint="eastAsia" w:ascii="宋体" w:hAnsi="宋体" w:eastAsia="宋体" w:cs="宋体"/>
          <w:color w:val="000000"/>
          <w:sz w:val="24"/>
          <w:szCs w:val="24"/>
          <w:highlight w:val="none"/>
          <w:u w:val="single"/>
          <w:lang w:val="en-US" w:eastAsia="zh-CN"/>
        </w:rPr>
      </w:pPr>
      <w:r>
        <w:rPr>
          <w:rFonts w:hint="eastAsia" w:ascii="宋体" w:hAnsi="宋体" w:eastAsia="宋体" w:cs="宋体"/>
          <w:color w:val="000000"/>
          <w:sz w:val="24"/>
          <w:szCs w:val="24"/>
          <w:highlight w:val="none"/>
        </w:rPr>
        <w:t>承包范围：</w:t>
      </w:r>
      <w:r>
        <w:rPr>
          <w:rFonts w:hint="eastAsia" w:ascii="宋体" w:hAnsi="宋体" w:eastAsia="宋体" w:cs="宋体"/>
          <w:color w:val="000000"/>
          <w:sz w:val="24"/>
          <w:szCs w:val="24"/>
          <w:highlight w:val="none"/>
          <w:u w:val="single"/>
          <w:lang w:val="en-US" w:eastAsia="zh-CN"/>
        </w:rPr>
        <w:t>施工图纸及工程量清单包含的全部内容。</w:t>
      </w:r>
    </w:p>
    <w:p w14:paraId="37E92177">
      <w:pPr>
        <w:pageBreakBefore w:val="0"/>
        <w:kinsoku/>
        <w:overflowPunct/>
        <w:topLinePunct w:val="0"/>
        <w:bidi w:val="0"/>
        <w:spacing w:line="360" w:lineRule="auto"/>
        <w:ind w:firstLine="51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三、合同工期</w:t>
      </w:r>
    </w:p>
    <w:p w14:paraId="0EB516BB">
      <w:pPr>
        <w:pageBreakBefore w:val="0"/>
        <w:kinsoku/>
        <w:overflowPunct/>
        <w:topLinePunct w:val="0"/>
        <w:bidi w:val="0"/>
        <w:spacing w:line="360" w:lineRule="auto"/>
        <w:ind w:firstLine="51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开工日期：</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年</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月</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日</w:t>
      </w:r>
    </w:p>
    <w:p w14:paraId="6137D01D">
      <w:pPr>
        <w:pageBreakBefore w:val="0"/>
        <w:kinsoku/>
        <w:overflowPunct/>
        <w:topLinePunct w:val="0"/>
        <w:bidi w:val="0"/>
        <w:spacing w:line="360" w:lineRule="auto"/>
        <w:ind w:firstLine="51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竣工日期：</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年</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月</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日</w:t>
      </w:r>
    </w:p>
    <w:p w14:paraId="54DF6711">
      <w:pPr>
        <w:pageBreakBefore w:val="0"/>
        <w:kinsoku/>
        <w:overflowPunct/>
        <w:topLinePunct w:val="0"/>
        <w:bidi w:val="0"/>
        <w:spacing w:line="360" w:lineRule="auto"/>
        <w:ind w:firstLine="51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合同工期总日历天数_____天。</w:t>
      </w:r>
    </w:p>
    <w:p w14:paraId="4391AC53">
      <w:pPr>
        <w:pageBreakBefore w:val="0"/>
        <w:kinsoku/>
        <w:overflowPunct/>
        <w:topLinePunct w:val="0"/>
        <w:bidi w:val="0"/>
        <w:spacing w:line="360" w:lineRule="auto"/>
        <w:ind w:firstLine="52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四、质量标准</w:t>
      </w:r>
    </w:p>
    <w:p w14:paraId="4C3CC84D">
      <w:pPr>
        <w:pageBreakBefore w:val="0"/>
        <w:kinsoku/>
        <w:overflowPunct/>
        <w:topLinePunct w:val="0"/>
        <w:bidi w:val="0"/>
        <w:spacing w:line="360" w:lineRule="auto"/>
        <w:ind w:firstLine="51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工程质量标准：</w:t>
      </w:r>
      <w:r>
        <w:rPr>
          <w:rFonts w:hint="eastAsia" w:ascii="宋体" w:hAnsi="宋体" w:eastAsia="宋体" w:cs="宋体"/>
          <w:color w:val="000000"/>
          <w:sz w:val="24"/>
          <w:szCs w:val="24"/>
          <w:highlight w:val="none"/>
          <w:u w:val="single"/>
          <w:lang w:val="en-US" w:eastAsia="zh-CN"/>
        </w:rPr>
        <w:t>施工质量达到合格要求，工程质量标准必须符合现行国家有关工程施工质量验收规范和标准。</w:t>
      </w:r>
    </w:p>
    <w:p w14:paraId="6EB6F021">
      <w:pPr>
        <w:pageBreakBefore w:val="0"/>
        <w:kinsoku/>
        <w:overflowPunct/>
        <w:topLinePunct w:val="0"/>
        <w:bidi w:val="0"/>
        <w:spacing w:line="360" w:lineRule="auto"/>
        <w:ind w:firstLine="51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五、合同价款</w:t>
      </w:r>
    </w:p>
    <w:p w14:paraId="4CAEC703">
      <w:pPr>
        <w:pageBreakBefore w:val="0"/>
        <w:kinsoku/>
        <w:overflowPunct/>
        <w:topLinePunct w:val="0"/>
        <w:bidi w:val="0"/>
        <w:spacing w:line="360" w:lineRule="auto"/>
        <w:ind w:firstLine="51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金额（大写）：_________________________元（人民币）</w:t>
      </w:r>
    </w:p>
    <w:p w14:paraId="78353EAC">
      <w:pPr>
        <w:pageBreakBefore w:val="0"/>
        <w:kinsoku/>
        <w:overflowPunct/>
        <w:topLinePunct w:val="0"/>
        <w:bidi w:val="0"/>
        <w:spacing w:line="360" w:lineRule="auto"/>
        <w:ind w:firstLine="51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￥：_________________________元</w:t>
      </w:r>
    </w:p>
    <w:p w14:paraId="00700BA4">
      <w:pPr>
        <w:pageBreakBefore w:val="0"/>
        <w:kinsoku/>
        <w:overflowPunct/>
        <w:topLinePunct w:val="0"/>
        <w:bidi w:val="0"/>
        <w:spacing w:line="360" w:lineRule="auto"/>
        <w:ind w:firstLine="51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六、组成合同的文件</w:t>
      </w:r>
    </w:p>
    <w:p w14:paraId="6EFC50F0">
      <w:pPr>
        <w:pageBreakBefore w:val="0"/>
        <w:kinsoku/>
        <w:overflowPunct/>
        <w:topLinePunct w:val="0"/>
        <w:bidi w:val="0"/>
        <w:spacing w:line="360" w:lineRule="auto"/>
        <w:ind w:firstLine="51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组成本合同的文件包括：</w:t>
      </w:r>
    </w:p>
    <w:p w14:paraId="20FDA6D7">
      <w:pPr>
        <w:pageBreakBefore w:val="0"/>
        <w:kinsoku/>
        <w:overflowPunct/>
        <w:topLinePunct w:val="0"/>
        <w:bidi w:val="0"/>
        <w:spacing w:line="360" w:lineRule="auto"/>
        <w:ind w:firstLine="51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1、本合同协议书</w:t>
      </w:r>
    </w:p>
    <w:p w14:paraId="3158F427">
      <w:pPr>
        <w:pageBreakBefore w:val="0"/>
        <w:kinsoku/>
        <w:overflowPunct/>
        <w:topLinePunct w:val="0"/>
        <w:bidi w:val="0"/>
        <w:spacing w:line="360" w:lineRule="auto"/>
        <w:ind w:firstLine="51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2、成交通知书</w:t>
      </w:r>
    </w:p>
    <w:p w14:paraId="7BFE5D0F">
      <w:pPr>
        <w:pageBreakBefore w:val="0"/>
        <w:kinsoku/>
        <w:overflowPunct/>
        <w:topLinePunct w:val="0"/>
        <w:bidi w:val="0"/>
        <w:spacing w:line="360" w:lineRule="auto"/>
        <w:ind w:firstLine="51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3、响应文件及其附件</w:t>
      </w:r>
    </w:p>
    <w:p w14:paraId="623199FA">
      <w:pPr>
        <w:pageBreakBefore w:val="0"/>
        <w:kinsoku/>
        <w:overflowPunct/>
        <w:topLinePunct w:val="0"/>
        <w:bidi w:val="0"/>
        <w:spacing w:line="360" w:lineRule="auto"/>
        <w:ind w:firstLine="51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4、本合同专用条款</w:t>
      </w:r>
    </w:p>
    <w:p w14:paraId="7CAFFF28">
      <w:pPr>
        <w:pageBreakBefore w:val="0"/>
        <w:kinsoku/>
        <w:overflowPunct/>
        <w:topLinePunct w:val="0"/>
        <w:bidi w:val="0"/>
        <w:spacing w:line="360" w:lineRule="auto"/>
        <w:ind w:firstLine="51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5、本合同通用条款</w:t>
      </w:r>
    </w:p>
    <w:p w14:paraId="7CC7506A">
      <w:pPr>
        <w:pageBreakBefore w:val="0"/>
        <w:kinsoku/>
        <w:overflowPunct/>
        <w:topLinePunct w:val="0"/>
        <w:bidi w:val="0"/>
        <w:spacing w:line="360" w:lineRule="auto"/>
        <w:ind w:firstLine="51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6、标准、规范及有关技术文件</w:t>
      </w:r>
    </w:p>
    <w:p w14:paraId="55AE2137">
      <w:pPr>
        <w:pageBreakBefore w:val="0"/>
        <w:kinsoku/>
        <w:overflowPunct/>
        <w:topLinePunct w:val="0"/>
        <w:autoSpaceDE w:val="0"/>
        <w:autoSpaceDN w:val="0"/>
        <w:bidi w:val="0"/>
        <w:adjustRightInd w:val="0"/>
        <w:spacing w:line="360" w:lineRule="auto"/>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7、工程量清单</w:t>
      </w:r>
    </w:p>
    <w:p w14:paraId="451715F8">
      <w:pPr>
        <w:pageBreakBefore w:val="0"/>
        <w:kinsoku/>
        <w:overflowPunct/>
        <w:topLinePunct w:val="0"/>
        <w:autoSpaceDE w:val="0"/>
        <w:autoSpaceDN w:val="0"/>
        <w:bidi w:val="0"/>
        <w:adjustRightInd w:val="0"/>
        <w:spacing w:line="360" w:lineRule="auto"/>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rPr>
        <w:t>其他合同文件：</w:t>
      </w:r>
    </w:p>
    <w:p w14:paraId="13B09A76">
      <w:pPr>
        <w:pageBreakBefore w:val="0"/>
        <w:kinsoku/>
        <w:overflowPunct/>
        <w:topLinePunct w:val="0"/>
        <w:bidi w:val="0"/>
        <w:spacing w:line="360" w:lineRule="auto"/>
        <w:ind w:firstLine="51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双方有关工程听洽商、变更等书面协议或文件视为本合同的组成部分。</w:t>
      </w:r>
    </w:p>
    <w:p w14:paraId="3B1A654A">
      <w:pPr>
        <w:pageBreakBefore w:val="0"/>
        <w:kinsoku/>
        <w:overflowPunct/>
        <w:topLinePunct w:val="0"/>
        <w:bidi w:val="0"/>
        <w:spacing w:line="360" w:lineRule="auto"/>
        <w:ind w:firstLine="52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七、本协议书中有关词语定义与本合同第二部分《通用条款》中分别赋予它们的定义相同。</w:t>
      </w:r>
    </w:p>
    <w:p w14:paraId="1D1ADFD1">
      <w:pPr>
        <w:pageBreakBefore w:val="0"/>
        <w:kinsoku/>
        <w:overflowPunct/>
        <w:topLinePunct w:val="0"/>
        <w:bidi w:val="0"/>
        <w:spacing w:line="360" w:lineRule="auto"/>
        <w:ind w:firstLine="52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八、承包人向发包人承诺按照合同约定进行施工、竣工并在质量保修期内承担工程质量保修责任。</w:t>
      </w:r>
    </w:p>
    <w:p w14:paraId="207AC5AF">
      <w:pPr>
        <w:pageBreakBefore w:val="0"/>
        <w:kinsoku/>
        <w:overflowPunct/>
        <w:topLinePunct w:val="0"/>
        <w:bidi w:val="0"/>
        <w:spacing w:line="360" w:lineRule="auto"/>
        <w:ind w:firstLine="51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九、发包人向承包人承诺按照合同约定的期限和方式支付合同价款及其他应当支付的款项。</w:t>
      </w:r>
    </w:p>
    <w:p w14:paraId="693C6EF7">
      <w:pPr>
        <w:pageBreakBefore w:val="0"/>
        <w:kinsoku/>
        <w:overflowPunct/>
        <w:topLinePunct w:val="0"/>
        <w:bidi w:val="0"/>
        <w:spacing w:line="360" w:lineRule="auto"/>
        <w:ind w:firstLine="510"/>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十、合同生效</w:t>
      </w:r>
    </w:p>
    <w:p w14:paraId="5008C015">
      <w:pPr>
        <w:pageBreakBefore w:val="0"/>
        <w:kinsoku/>
        <w:overflowPunct/>
        <w:topLinePunct w:val="0"/>
        <w:bidi w:val="0"/>
        <w:spacing w:line="360" w:lineRule="auto"/>
        <w:ind w:firstLine="51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合同订立时间：________年________月________日</w:t>
      </w:r>
    </w:p>
    <w:p w14:paraId="0B9F6330">
      <w:pPr>
        <w:pageBreakBefore w:val="0"/>
        <w:kinsoku/>
        <w:overflowPunct/>
        <w:topLinePunct w:val="0"/>
        <w:bidi w:val="0"/>
        <w:spacing w:line="360" w:lineRule="auto"/>
        <w:ind w:firstLine="51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合同订立地点：________</w:t>
      </w:r>
    </w:p>
    <w:p w14:paraId="7C36B65A">
      <w:pPr>
        <w:pageBreakBefore w:val="0"/>
        <w:kinsoku/>
        <w:overflowPunct/>
        <w:topLinePunct w:val="0"/>
        <w:bidi w:val="0"/>
        <w:spacing w:line="360" w:lineRule="auto"/>
        <w:ind w:firstLine="51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本合同双方约定</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u w:val="single"/>
        </w:rPr>
        <w:t>双方法定代表人或其授权代理人签字或盖章并加盖单位公章</w:t>
      </w:r>
      <w:r>
        <w:rPr>
          <w:rFonts w:hint="eastAsia" w:ascii="宋体" w:hAnsi="宋体" w:eastAsia="宋体" w:cs="宋体"/>
          <w:color w:val="000000"/>
          <w:sz w:val="24"/>
          <w:szCs w:val="24"/>
          <w:highlight w:val="none"/>
          <w:u w:val="single"/>
          <w:lang w:val="en-US" w:eastAsia="zh-CN"/>
        </w:rPr>
        <w:t xml:space="preserve"> </w:t>
      </w:r>
      <w:r>
        <w:rPr>
          <w:rFonts w:hint="eastAsia" w:ascii="宋体" w:hAnsi="宋体" w:eastAsia="宋体" w:cs="宋体"/>
          <w:color w:val="000000"/>
          <w:sz w:val="24"/>
          <w:szCs w:val="24"/>
          <w:highlight w:val="none"/>
        </w:rPr>
        <w:t>后生效。</w:t>
      </w:r>
    </w:p>
    <w:p w14:paraId="21345AB4">
      <w:pPr>
        <w:pStyle w:val="20"/>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textAlignment w:val="auto"/>
        <w:rPr>
          <w:rFonts w:hint="eastAsia" w:ascii="宋体" w:hAnsi="宋体" w:eastAsia="宋体" w:cs="宋体"/>
          <w:b/>
          <w:bCs w:val="0"/>
          <w:i w:val="0"/>
          <w:iCs w:val="0"/>
          <w:sz w:val="24"/>
          <w:szCs w:val="24"/>
          <w:highlight w:val="none"/>
        </w:rPr>
      </w:pPr>
      <w:r>
        <w:rPr>
          <w:rFonts w:hint="eastAsia" w:ascii="宋体" w:hAnsi="宋体" w:eastAsia="宋体" w:cs="宋体"/>
          <w:b/>
          <w:bCs w:val="0"/>
          <w:i w:val="0"/>
          <w:iCs w:val="0"/>
          <w:kern w:val="0"/>
          <w:sz w:val="24"/>
          <w:szCs w:val="24"/>
          <w:lang w:val="en-US" w:eastAsia="zh-CN" w:bidi="ar-SA"/>
        </w:rPr>
        <w:t>十一、</w:t>
      </w:r>
      <w:r>
        <w:rPr>
          <w:rFonts w:hint="eastAsia" w:ascii="宋体" w:hAnsi="宋体" w:eastAsia="宋体" w:cs="宋体"/>
          <w:b/>
          <w:bCs w:val="0"/>
          <w:i w:val="0"/>
          <w:iCs w:val="0"/>
          <w:sz w:val="24"/>
          <w:szCs w:val="24"/>
          <w:highlight w:val="none"/>
        </w:rPr>
        <w:t>合同份数</w:t>
      </w:r>
    </w:p>
    <w:p w14:paraId="28E01A02">
      <w:pPr>
        <w:pStyle w:val="20"/>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Cs w:val="0"/>
          <w:i w:val="0"/>
          <w:iCs w:val="0"/>
          <w:spacing w:val="0"/>
          <w:kern w:val="2"/>
          <w:sz w:val="28"/>
          <w:szCs w:val="28"/>
          <w:highlight w:val="none"/>
        </w:rPr>
      </w:pPr>
      <w:r>
        <w:rPr>
          <w:rFonts w:hint="eastAsia" w:ascii="宋体" w:hAnsi="宋体" w:eastAsia="宋体" w:cs="宋体"/>
          <w:bCs w:val="0"/>
          <w:i w:val="0"/>
          <w:iCs w:val="0"/>
          <w:spacing w:val="0"/>
          <w:kern w:val="2"/>
          <w:sz w:val="24"/>
          <w:szCs w:val="24"/>
          <w:highlight w:val="none"/>
        </w:rPr>
        <w:t>本合同</w:t>
      </w:r>
      <w:r>
        <w:rPr>
          <w:rFonts w:hint="eastAsia" w:ascii="宋体" w:hAnsi="宋体" w:eastAsia="宋体" w:cs="宋体"/>
          <w:bCs w:val="0"/>
          <w:i w:val="0"/>
          <w:iCs w:val="0"/>
          <w:spacing w:val="0"/>
          <w:kern w:val="2"/>
          <w:sz w:val="24"/>
          <w:szCs w:val="24"/>
          <w:highlight w:val="none"/>
          <w:u w:val="single"/>
          <w:lang w:val="en-US" w:eastAsia="zh-CN"/>
        </w:rPr>
        <w:t xml:space="preserve"> 壹 </w:t>
      </w:r>
      <w:r>
        <w:rPr>
          <w:rFonts w:hint="eastAsia" w:ascii="宋体" w:hAnsi="宋体" w:eastAsia="宋体" w:cs="宋体"/>
          <w:bCs w:val="0"/>
          <w:i w:val="0"/>
          <w:iCs w:val="0"/>
          <w:spacing w:val="0"/>
          <w:kern w:val="2"/>
          <w:sz w:val="24"/>
          <w:szCs w:val="24"/>
          <w:highlight w:val="none"/>
        </w:rPr>
        <w:t>式</w:t>
      </w:r>
      <w:r>
        <w:rPr>
          <w:rFonts w:hint="eastAsia" w:ascii="宋体" w:hAnsi="宋体" w:eastAsia="宋体" w:cs="宋体"/>
          <w:bCs w:val="0"/>
          <w:i w:val="0"/>
          <w:iCs w:val="0"/>
          <w:spacing w:val="0"/>
          <w:kern w:val="2"/>
          <w:sz w:val="24"/>
          <w:szCs w:val="24"/>
          <w:highlight w:val="none"/>
          <w:u w:val="single"/>
          <w:lang w:val="en-US" w:eastAsia="zh-CN"/>
        </w:rPr>
        <w:t xml:space="preserve"> </w:t>
      </w:r>
      <w:r>
        <w:rPr>
          <w:rFonts w:hint="eastAsia" w:ascii="宋体" w:hAnsi="宋体" w:eastAsia="宋体" w:cs="宋体"/>
          <w:bCs w:val="0"/>
          <w:i w:val="0"/>
          <w:iCs w:val="0"/>
          <w:spacing w:val="0"/>
          <w:kern w:val="2"/>
          <w:sz w:val="24"/>
          <w:szCs w:val="24"/>
          <w:highlight w:val="none"/>
          <w:u w:val="single"/>
          <w:lang w:eastAsia="zh-CN"/>
        </w:rPr>
        <w:t>陆</w:t>
      </w:r>
      <w:r>
        <w:rPr>
          <w:rFonts w:hint="eastAsia" w:ascii="宋体" w:hAnsi="宋体" w:eastAsia="宋体" w:cs="宋体"/>
          <w:bCs w:val="0"/>
          <w:i w:val="0"/>
          <w:iCs w:val="0"/>
          <w:spacing w:val="0"/>
          <w:kern w:val="2"/>
          <w:sz w:val="24"/>
          <w:szCs w:val="24"/>
          <w:highlight w:val="none"/>
          <w:u w:val="single"/>
          <w:lang w:val="en-US" w:eastAsia="zh-CN"/>
        </w:rPr>
        <w:t xml:space="preserve"> </w:t>
      </w:r>
      <w:r>
        <w:rPr>
          <w:rFonts w:hint="eastAsia" w:ascii="宋体" w:hAnsi="宋体" w:eastAsia="宋体" w:cs="宋体"/>
          <w:bCs w:val="0"/>
          <w:i w:val="0"/>
          <w:iCs w:val="0"/>
          <w:spacing w:val="0"/>
          <w:kern w:val="2"/>
          <w:sz w:val="24"/>
          <w:szCs w:val="24"/>
          <w:highlight w:val="none"/>
        </w:rPr>
        <w:t>份，</w:t>
      </w:r>
      <w:r>
        <w:rPr>
          <w:rFonts w:hint="eastAsia" w:ascii="宋体" w:hAnsi="宋体" w:eastAsia="宋体" w:cs="宋体"/>
          <w:bCs w:val="0"/>
          <w:i w:val="0"/>
          <w:iCs w:val="0"/>
          <w:spacing w:val="0"/>
          <w:kern w:val="2"/>
          <w:sz w:val="24"/>
          <w:szCs w:val="24"/>
          <w:highlight w:val="none"/>
          <w:lang w:eastAsia="zh-CN"/>
        </w:rPr>
        <w:t>正本</w:t>
      </w:r>
      <w:r>
        <w:rPr>
          <w:rFonts w:hint="eastAsia" w:ascii="宋体" w:hAnsi="宋体" w:eastAsia="宋体" w:cs="宋体"/>
          <w:bCs w:val="0"/>
          <w:i w:val="0"/>
          <w:iCs w:val="0"/>
          <w:spacing w:val="0"/>
          <w:kern w:val="2"/>
          <w:sz w:val="24"/>
          <w:szCs w:val="24"/>
          <w:highlight w:val="none"/>
          <w:u w:val="single"/>
          <w:lang w:val="en-US" w:eastAsia="zh-CN"/>
        </w:rPr>
        <w:t xml:space="preserve"> </w:t>
      </w:r>
      <w:r>
        <w:rPr>
          <w:rFonts w:hint="eastAsia" w:ascii="宋体" w:hAnsi="宋体" w:eastAsia="宋体" w:cs="宋体"/>
          <w:bCs w:val="0"/>
          <w:i w:val="0"/>
          <w:iCs w:val="0"/>
          <w:spacing w:val="0"/>
          <w:kern w:val="2"/>
          <w:sz w:val="24"/>
          <w:szCs w:val="24"/>
          <w:highlight w:val="none"/>
          <w:u w:val="single"/>
          <w:lang w:eastAsia="zh-CN"/>
        </w:rPr>
        <w:t>贰</w:t>
      </w:r>
      <w:r>
        <w:rPr>
          <w:rFonts w:hint="eastAsia" w:ascii="宋体" w:hAnsi="宋体" w:eastAsia="宋体" w:cs="宋体"/>
          <w:bCs w:val="0"/>
          <w:i w:val="0"/>
          <w:iCs w:val="0"/>
          <w:spacing w:val="0"/>
          <w:kern w:val="2"/>
          <w:sz w:val="24"/>
          <w:szCs w:val="24"/>
          <w:highlight w:val="none"/>
          <w:u w:val="single"/>
          <w:lang w:val="en-US" w:eastAsia="zh-CN"/>
        </w:rPr>
        <w:t xml:space="preserve"> </w:t>
      </w:r>
      <w:r>
        <w:rPr>
          <w:rFonts w:hint="eastAsia" w:ascii="宋体" w:hAnsi="宋体" w:eastAsia="宋体" w:cs="宋体"/>
          <w:bCs w:val="0"/>
          <w:i w:val="0"/>
          <w:iCs w:val="0"/>
          <w:spacing w:val="0"/>
          <w:kern w:val="2"/>
          <w:sz w:val="24"/>
          <w:szCs w:val="24"/>
          <w:highlight w:val="none"/>
          <w:lang w:eastAsia="zh-CN"/>
        </w:rPr>
        <w:t>份，副本</w:t>
      </w:r>
      <w:r>
        <w:rPr>
          <w:rFonts w:hint="eastAsia" w:ascii="宋体" w:hAnsi="宋体" w:eastAsia="宋体" w:cs="宋体"/>
          <w:bCs w:val="0"/>
          <w:i w:val="0"/>
          <w:iCs w:val="0"/>
          <w:spacing w:val="0"/>
          <w:kern w:val="2"/>
          <w:sz w:val="24"/>
          <w:szCs w:val="24"/>
          <w:highlight w:val="none"/>
          <w:u w:val="single"/>
          <w:lang w:val="en-US" w:eastAsia="zh-CN"/>
        </w:rPr>
        <w:t xml:space="preserve"> </w:t>
      </w:r>
      <w:r>
        <w:rPr>
          <w:rFonts w:hint="eastAsia" w:ascii="宋体" w:hAnsi="宋体" w:eastAsia="宋体" w:cs="宋体"/>
          <w:bCs w:val="0"/>
          <w:i w:val="0"/>
          <w:iCs w:val="0"/>
          <w:spacing w:val="0"/>
          <w:kern w:val="2"/>
          <w:sz w:val="24"/>
          <w:szCs w:val="24"/>
          <w:highlight w:val="none"/>
          <w:u w:val="single"/>
          <w:lang w:eastAsia="zh-CN"/>
        </w:rPr>
        <w:t>肆</w:t>
      </w:r>
      <w:r>
        <w:rPr>
          <w:rFonts w:hint="eastAsia" w:ascii="宋体" w:hAnsi="宋体" w:eastAsia="宋体" w:cs="宋体"/>
          <w:bCs w:val="0"/>
          <w:i w:val="0"/>
          <w:iCs w:val="0"/>
          <w:spacing w:val="0"/>
          <w:kern w:val="2"/>
          <w:sz w:val="24"/>
          <w:szCs w:val="24"/>
          <w:highlight w:val="none"/>
          <w:u w:val="single"/>
          <w:lang w:val="en-US" w:eastAsia="zh-CN"/>
        </w:rPr>
        <w:t xml:space="preserve"> </w:t>
      </w:r>
      <w:r>
        <w:rPr>
          <w:rFonts w:hint="eastAsia" w:ascii="宋体" w:hAnsi="宋体" w:eastAsia="宋体" w:cs="宋体"/>
          <w:bCs w:val="0"/>
          <w:i w:val="0"/>
          <w:iCs w:val="0"/>
          <w:spacing w:val="0"/>
          <w:kern w:val="2"/>
          <w:sz w:val="24"/>
          <w:szCs w:val="24"/>
          <w:highlight w:val="none"/>
          <w:lang w:eastAsia="zh-CN"/>
        </w:rPr>
        <w:t>份，</w:t>
      </w:r>
      <w:r>
        <w:rPr>
          <w:rFonts w:hint="eastAsia" w:ascii="宋体" w:hAnsi="宋体" w:eastAsia="宋体" w:cs="宋体"/>
          <w:bCs w:val="0"/>
          <w:i w:val="0"/>
          <w:iCs w:val="0"/>
          <w:spacing w:val="0"/>
          <w:kern w:val="2"/>
          <w:sz w:val="24"/>
          <w:szCs w:val="24"/>
          <w:highlight w:val="none"/>
        </w:rPr>
        <w:t>均具有同等法律效力</w:t>
      </w:r>
      <w:r>
        <w:rPr>
          <w:rFonts w:hint="eastAsia" w:ascii="宋体" w:hAnsi="宋体" w:eastAsia="宋体" w:cs="宋体"/>
          <w:bCs w:val="0"/>
          <w:i w:val="0"/>
          <w:iCs w:val="0"/>
          <w:spacing w:val="0"/>
          <w:kern w:val="2"/>
          <w:sz w:val="24"/>
          <w:szCs w:val="24"/>
          <w:highlight w:val="none"/>
          <w:lang w:eastAsia="zh-CN"/>
        </w:rPr>
        <w:t>。</w:t>
      </w:r>
      <w:r>
        <w:rPr>
          <w:rFonts w:hint="eastAsia" w:ascii="宋体" w:hAnsi="宋体" w:eastAsia="宋体" w:cs="宋体"/>
          <w:bCs w:val="0"/>
          <w:i w:val="0"/>
          <w:iCs w:val="0"/>
          <w:spacing w:val="0"/>
          <w:kern w:val="2"/>
          <w:sz w:val="24"/>
          <w:szCs w:val="24"/>
          <w:highlight w:val="none"/>
        </w:rPr>
        <w:t>发包人</w:t>
      </w:r>
      <w:r>
        <w:rPr>
          <w:rFonts w:hint="eastAsia" w:ascii="宋体" w:hAnsi="宋体" w:eastAsia="宋体" w:cs="宋体"/>
          <w:bCs w:val="0"/>
          <w:i w:val="0"/>
          <w:iCs w:val="0"/>
          <w:spacing w:val="0"/>
          <w:kern w:val="2"/>
          <w:sz w:val="24"/>
          <w:szCs w:val="24"/>
          <w:highlight w:val="none"/>
          <w:lang w:eastAsia="zh-CN"/>
        </w:rPr>
        <w:t>、</w:t>
      </w:r>
      <w:r>
        <w:rPr>
          <w:rFonts w:hint="eastAsia" w:ascii="宋体" w:hAnsi="宋体" w:eastAsia="宋体" w:cs="宋体"/>
          <w:bCs w:val="0"/>
          <w:i w:val="0"/>
          <w:iCs w:val="0"/>
          <w:spacing w:val="0"/>
          <w:kern w:val="2"/>
          <w:sz w:val="24"/>
          <w:szCs w:val="24"/>
          <w:highlight w:val="none"/>
        </w:rPr>
        <w:t>承包人</w:t>
      </w:r>
      <w:r>
        <w:rPr>
          <w:rFonts w:hint="eastAsia" w:ascii="宋体" w:hAnsi="宋体" w:eastAsia="宋体" w:cs="宋体"/>
          <w:bCs w:val="0"/>
          <w:i w:val="0"/>
          <w:iCs w:val="0"/>
          <w:spacing w:val="0"/>
          <w:kern w:val="2"/>
          <w:sz w:val="24"/>
          <w:szCs w:val="24"/>
          <w:highlight w:val="none"/>
          <w:lang w:eastAsia="zh-CN"/>
        </w:rPr>
        <w:t>各</w:t>
      </w:r>
      <w:r>
        <w:rPr>
          <w:rFonts w:hint="eastAsia" w:ascii="宋体" w:hAnsi="宋体" w:eastAsia="宋体" w:cs="宋体"/>
          <w:bCs w:val="0"/>
          <w:i w:val="0"/>
          <w:iCs w:val="0"/>
          <w:spacing w:val="0"/>
          <w:kern w:val="2"/>
          <w:sz w:val="24"/>
          <w:szCs w:val="24"/>
          <w:highlight w:val="none"/>
        </w:rPr>
        <w:t>执</w:t>
      </w:r>
      <w:r>
        <w:rPr>
          <w:rFonts w:hint="eastAsia" w:ascii="宋体" w:hAnsi="宋体" w:eastAsia="宋体" w:cs="宋体"/>
          <w:bCs w:val="0"/>
          <w:i w:val="0"/>
          <w:iCs w:val="0"/>
          <w:spacing w:val="0"/>
          <w:kern w:val="2"/>
          <w:sz w:val="24"/>
          <w:szCs w:val="24"/>
          <w:highlight w:val="none"/>
          <w:lang w:eastAsia="zh-CN"/>
        </w:rPr>
        <w:t>正本</w:t>
      </w:r>
      <w:r>
        <w:rPr>
          <w:rFonts w:hint="eastAsia" w:ascii="宋体" w:hAnsi="宋体" w:eastAsia="宋体" w:cs="宋体"/>
          <w:bCs w:val="0"/>
          <w:i w:val="0"/>
          <w:iCs w:val="0"/>
          <w:spacing w:val="0"/>
          <w:kern w:val="2"/>
          <w:sz w:val="24"/>
          <w:szCs w:val="24"/>
          <w:highlight w:val="none"/>
          <w:u w:val="single"/>
          <w:lang w:val="en-US" w:eastAsia="zh-CN"/>
        </w:rPr>
        <w:t xml:space="preserve"> 壹 </w:t>
      </w:r>
      <w:r>
        <w:rPr>
          <w:rFonts w:hint="eastAsia" w:ascii="宋体" w:hAnsi="宋体" w:eastAsia="宋体" w:cs="宋体"/>
          <w:bCs w:val="0"/>
          <w:i w:val="0"/>
          <w:iCs w:val="0"/>
          <w:spacing w:val="0"/>
          <w:kern w:val="2"/>
          <w:sz w:val="24"/>
          <w:szCs w:val="24"/>
          <w:highlight w:val="none"/>
          <w:lang w:eastAsia="zh-CN"/>
        </w:rPr>
        <w:t>份，副本</w:t>
      </w:r>
      <w:r>
        <w:rPr>
          <w:rFonts w:hint="eastAsia" w:ascii="宋体" w:hAnsi="宋体" w:eastAsia="宋体" w:cs="宋体"/>
          <w:bCs w:val="0"/>
          <w:i w:val="0"/>
          <w:iCs w:val="0"/>
          <w:spacing w:val="0"/>
          <w:kern w:val="2"/>
          <w:sz w:val="24"/>
          <w:szCs w:val="24"/>
          <w:highlight w:val="none"/>
          <w:u w:val="single"/>
          <w:lang w:val="en-US" w:eastAsia="zh-CN"/>
        </w:rPr>
        <w:t xml:space="preserve"> </w:t>
      </w:r>
      <w:r>
        <w:rPr>
          <w:rFonts w:hint="eastAsia" w:ascii="宋体" w:hAnsi="宋体" w:eastAsia="宋体" w:cs="宋体"/>
          <w:bCs w:val="0"/>
          <w:i w:val="0"/>
          <w:iCs w:val="0"/>
          <w:spacing w:val="0"/>
          <w:kern w:val="2"/>
          <w:sz w:val="24"/>
          <w:szCs w:val="24"/>
          <w:highlight w:val="none"/>
          <w:u w:val="single"/>
        </w:rPr>
        <w:t>贰</w:t>
      </w:r>
      <w:r>
        <w:rPr>
          <w:rFonts w:hint="eastAsia" w:ascii="宋体" w:hAnsi="宋体" w:eastAsia="宋体" w:cs="宋体"/>
          <w:bCs w:val="0"/>
          <w:i w:val="0"/>
          <w:iCs w:val="0"/>
          <w:spacing w:val="0"/>
          <w:kern w:val="2"/>
          <w:sz w:val="24"/>
          <w:szCs w:val="24"/>
          <w:highlight w:val="none"/>
          <w:u w:val="single"/>
          <w:lang w:val="en-US" w:eastAsia="zh-CN"/>
        </w:rPr>
        <w:t xml:space="preserve"> </w:t>
      </w:r>
      <w:r>
        <w:rPr>
          <w:rFonts w:hint="eastAsia" w:ascii="宋体" w:hAnsi="宋体" w:eastAsia="宋体" w:cs="宋体"/>
          <w:bCs w:val="0"/>
          <w:i w:val="0"/>
          <w:iCs w:val="0"/>
          <w:spacing w:val="0"/>
          <w:kern w:val="2"/>
          <w:sz w:val="24"/>
          <w:szCs w:val="24"/>
          <w:highlight w:val="none"/>
        </w:rPr>
        <w:t>份。</w:t>
      </w:r>
    </w:p>
    <w:p w14:paraId="550B31BD">
      <w:pPr>
        <w:spacing w:line="400" w:lineRule="exact"/>
        <w:ind w:firstLine="480" w:firstLineChars="200"/>
        <w:rPr>
          <w:rFonts w:hint="eastAsia" w:ascii="宋体" w:hAnsi="宋体" w:eastAsia="宋体" w:cs="宋体"/>
          <w:i w:val="0"/>
          <w:iCs w:val="0"/>
          <w:sz w:val="24"/>
          <w:szCs w:val="24"/>
          <w:highlight w:val="none"/>
        </w:rPr>
      </w:pPr>
    </w:p>
    <w:p w14:paraId="6E0995CF">
      <w:pPr>
        <w:spacing w:line="360" w:lineRule="auto"/>
        <w:ind w:right="-512" w:rightChars="-244"/>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发包人：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b w:val="0"/>
          <w:bCs/>
          <w:sz w:val="24"/>
          <w:szCs w:val="24"/>
          <w:highlight w:val="none"/>
          <w:u w:val="none"/>
          <w:lang w:val="en-US" w:eastAsia="zh-CN"/>
        </w:rPr>
        <w:t xml:space="preserve">    </w:t>
      </w:r>
      <w:r>
        <w:rPr>
          <w:rFonts w:hint="eastAsia" w:ascii="宋体" w:hAnsi="宋体" w:cs="宋体"/>
          <w:b w:val="0"/>
          <w:bCs/>
          <w:sz w:val="24"/>
          <w:szCs w:val="24"/>
          <w:highlight w:val="none"/>
          <w:u w:val="none"/>
          <w:lang w:val="en-US" w:eastAsia="zh-CN"/>
        </w:rPr>
        <w:t xml:space="preserve">     </w:t>
      </w:r>
      <w:r>
        <w:rPr>
          <w:rFonts w:hint="eastAsia" w:ascii="宋体" w:hAnsi="宋体" w:eastAsia="宋体" w:cs="宋体"/>
          <w:sz w:val="24"/>
          <w:szCs w:val="24"/>
          <w:highlight w:val="none"/>
        </w:rPr>
        <w:t>承包人：</w:t>
      </w:r>
      <w:r>
        <w:rPr>
          <w:rFonts w:hint="eastAsia" w:ascii="宋体" w:hAnsi="宋体" w:eastAsia="宋体" w:cs="宋体"/>
          <w:sz w:val="24"/>
          <w:szCs w:val="24"/>
          <w:highlight w:val="none"/>
          <w:u w:val="single"/>
          <w:lang w:val="en-US" w:eastAsia="zh-CN"/>
        </w:rPr>
        <w:t xml:space="preserve">                    </w:t>
      </w:r>
    </w:p>
    <w:p w14:paraId="5DCC171C">
      <w:pPr>
        <w:spacing w:line="360" w:lineRule="auto"/>
        <w:ind w:right="-512" w:rightChars="-244" w:firstLine="1920" w:firstLineChars="8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（公章）</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 xml:space="preserve">（公章）                         </w:t>
      </w:r>
    </w:p>
    <w:p w14:paraId="04828FB4">
      <w:pPr>
        <w:spacing w:line="360" w:lineRule="auto"/>
        <w:ind w:right="-512" w:rightChars="-244"/>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法定代表人</w:t>
      </w:r>
    </w:p>
    <w:p w14:paraId="7EDC4090">
      <w:pPr>
        <w:spacing w:line="360" w:lineRule="auto"/>
        <w:ind w:right="-512" w:rightChars="-244"/>
        <w:rPr>
          <w:rFonts w:hint="eastAsia" w:ascii="宋体" w:hAnsi="宋体" w:eastAsia="宋体" w:cs="宋体"/>
          <w:sz w:val="24"/>
          <w:szCs w:val="24"/>
          <w:highlight w:val="none"/>
        </w:rPr>
      </w:pPr>
      <w:r>
        <w:rPr>
          <w:rFonts w:hint="eastAsia" w:ascii="宋体" w:hAnsi="宋体" w:eastAsia="宋体" w:cs="宋体"/>
          <w:sz w:val="24"/>
          <w:szCs w:val="24"/>
          <w:highlight w:val="none"/>
        </w:rPr>
        <w:t>或</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或</w:t>
      </w:r>
    </w:p>
    <w:p w14:paraId="5E982C80">
      <w:pPr>
        <w:spacing w:line="360" w:lineRule="auto"/>
        <w:ind w:right="-512" w:rightChars="-244"/>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其委托代理人：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其委托代理人：</w:t>
      </w:r>
    </w:p>
    <w:p w14:paraId="0A5ACD7F">
      <w:pPr>
        <w:tabs>
          <w:tab w:val="left" w:pos="4410"/>
        </w:tabs>
        <w:spacing w:line="360" w:lineRule="auto"/>
        <w:ind w:right="-512" w:rightChars="-244"/>
        <w:rPr>
          <w:rFonts w:hint="default" w:ascii="宋体" w:hAnsi="宋体" w:eastAsia="宋体" w:cs="宋体"/>
          <w:sz w:val="24"/>
          <w:szCs w:val="24"/>
          <w:highlight w:val="none"/>
          <w:lang w:val="en-US"/>
        </w:rPr>
      </w:pPr>
      <w:r>
        <w:rPr>
          <w:rFonts w:hint="eastAsia" w:ascii="宋体" w:hAnsi="宋体" w:eastAsia="宋体" w:cs="宋体"/>
          <w:sz w:val="24"/>
          <w:szCs w:val="24"/>
          <w:highlight w:val="none"/>
        </w:rPr>
        <w:t>组织机构代码：</w:t>
      </w:r>
      <w:r>
        <w:rPr>
          <w:rFonts w:hint="eastAsia" w:ascii="宋体" w:hAnsi="宋体" w:eastAsia="宋体" w:cs="宋体"/>
          <w:sz w:val="24"/>
          <w:szCs w:val="24"/>
          <w:highlight w:val="none"/>
          <w:u w:val="single"/>
        </w:rPr>
        <w:t xml:space="preserve">  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组织机构代码：</w:t>
      </w:r>
      <w:r>
        <w:rPr>
          <w:rFonts w:hint="eastAsia" w:ascii="宋体" w:hAnsi="宋体" w:eastAsia="宋体" w:cs="宋体"/>
          <w:sz w:val="24"/>
          <w:highlight w:val="none"/>
          <w:u w:val="single"/>
          <w:lang w:val="en-US" w:eastAsia="zh-CN"/>
        </w:rPr>
        <w:t xml:space="preserve">                  </w:t>
      </w:r>
    </w:p>
    <w:p w14:paraId="383E3AC0">
      <w:pPr>
        <w:spacing w:line="360" w:lineRule="auto"/>
        <w:ind w:left="5520" w:right="-512" w:rightChars="-244" w:hanging="5520" w:hangingChars="2300"/>
        <w:rPr>
          <w:rFonts w:hint="eastAsia" w:ascii="宋体" w:hAnsi="宋体" w:eastAsia="宋体" w:cs="宋体"/>
          <w:sz w:val="24"/>
          <w:highlight w:val="none"/>
          <w:u w:val="single"/>
          <w:lang w:val="en-US" w:eastAsia="zh-CN"/>
        </w:rPr>
      </w:pPr>
      <w:r>
        <w:rPr>
          <w:rFonts w:hint="eastAsia" w:ascii="宋体" w:hAnsi="宋体" w:eastAsia="宋体" w:cs="宋体"/>
          <w:sz w:val="24"/>
          <w:szCs w:val="24"/>
          <w:highlight w:val="none"/>
        </w:rPr>
        <w:t>地  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地  址：</w:t>
      </w:r>
      <w:r>
        <w:rPr>
          <w:rFonts w:hint="eastAsia" w:ascii="宋体" w:hAnsi="宋体" w:eastAsia="宋体" w:cs="宋体"/>
          <w:sz w:val="24"/>
          <w:highlight w:val="none"/>
          <w:u w:val="single"/>
          <w:lang w:val="en-US" w:eastAsia="zh-CN"/>
        </w:rPr>
        <w:t xml:space="preserve">                        </w:t>
      </w:r>
    </w:p>
    <w:p w14:paraId="711F0F70">
      <w:pPr>
        <w:spacing w:line="360" w:lineRule="auto"/>
        <w:ind w:right="-512" w:rightChars="-244"/>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邮政编码：</w:t>
      </w:r>
      <w:r>
        <w:rPr>
          <w:rFonts w:hint="eastAsia" w:ascii="宋体" w:hAnsi="宋体" w:eastAsia="宋体" w:cs="宋体"/>
          <w:sz w:val="24"/>
          <w:szCs w:val="24"/>
          <w:highlight w:val="none"/>
          <w:u w:val="single"/>
        </w:rPr>
        <w:t xml:space="preserve">  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邮政编码：</w:t>
      </w:r>
      <w:r>
        <w:rPr>
          <w:rFonts w:hint="eastAsia" w:ascii="宋体" w:hAnsi="宋体" w:eastAsia="宋体" w:cs="宋体"/>
          <w:sz w:val="24"/>
          <w:szCs w:val="24"/>
          <w:highlight w:val="none"/>
          <w:u w:val="single"/>
          <w:lang w:val="en-US" w:eastAsia="zh-CN"/>
        </w:rPr>
        <w:t xml:space="preserve">                      </w:t>
      </w:r>
    </w:p>
    <w:p w14:paraId="6E4258B0">
      <w:pPr>
        <w:spacing w:line="360" w:lineRule="auto"/>
        <w:ind w:right="-512" w:rightChars="-244"/>
        <w:rPr>
          <w:rFonts w:hint="default" w:ascii="宋体" w:hAnsi="宋体" w:eastAsia="宋体" w:cs="宋体"/>
          <w:sz w:val="24"/>
          <w:szCs w:val="24"/>
          <w:highlight w:val="none"/>
          <w:lang w:val="en-US"/>
        </w:rPr>
      </w:pPr>
      <w:r>
        <w:rPr>
          <w:rFonts w:hint="eastAsia" w:ascii="宋体" w:hAnsi="宋体" w:eastAsia="宋体" w:cs="宋体"/>
          <w:sz w:val="24"/>
          <w:szCs w:val="24"/>
          <w:highlight w:val="none"/>
        </w:rPr>
        <w:t>电  话：</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电  话：</w:t>
      </w:r>
      <w:r>
        <w:rPr>
          <w:rFonts w:hint="eastAsia" w:ascii="宋体" w:hAnsi="宋体" w:eastAsia="宋体" w:cs="宋体"/>
          <w:sz w:val="24"/>
          <w:szCs w:val="24"/>
          <w:highlight w:val="none"/>
          <w:u w:val="single"/>
          <w:lang w:val="en-US" w:eastAsia="zh-CN"/>
        </w:rPr>
        <w:t xml:space="preserve">                        </w:t>
      </w:r>
    </w:p>
    <w:p w14:paraId="455D3F44">
      <w:pPr>
        <w:spacing w:line="360" w:lineRule="auto"/>
        <w:ind w:right="-512" w:rightChars="-244"/>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传  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传  真：</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 xml:space="preserve"> </w:t>
      </w:r>
    </w:p>
    <w:p w14:paraId="731C4D56">
      <w:pPr>
        <w:spacing w:line="360" w:lineRule="auto"/>
        <w:ind w:right="-512" w:rightChars="-244"/>
        <w:rPr>
          <w:rFonts w:hint="eastAsia" w:ascii="宋体" w:hAnsi="宋体" w:eastAsia="宋体" w:cs="宋体"/>
          <w:sz w:val="24"/>
          <w:szCs w:val="24"/>
          <w:highlight w:val="none"/>
        </w:rPr>
      </w:pPr>
      <w:r>
        <w:rPr>
          <w:rFonts w:hint="eastAsia" w:ascii="宋体" w:hAnsi="宋体" w:eastAsia="宋体" w:cs="宋体"/>
          <w:sz w:val="24"/>
          <w:szCs w:val="24"/>
          <w:highlight w:val="none"/>
        </w:rPr>
        <w:t>电子信箱：</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电子信箱：</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 xml:space="preserve">          </w:t>
      </w:r>
    </w:p>
    <w:p w14:paraId="468E69F0">
      <w:pPr>
        <w:spacing w:line="360" w:lineRule="auto"/>
        <w:ind w:right="-512" w:rightChars="-244"/>
        <w:rPr>
          <w:rFonts w:hint="default" w:ascii="宋体" w:hAnsi="宋体" w:eastAsia="宋体" w:cs="宋体"/>
          <w:sz w:val="24"/>
          <w:highlight w:val="none"/>
          <w:u w:val="single"/>
          <w:lang w:val="en-US" w:eastAsia="zh-CN"/>
        </w:rPr>
      </w:pPr>
      <w:r>
        <w:rPr>
          <w:rFonts w:hint="eastAsia" w:ascii="宋体" w:hAnsi="宋体" w:eastAsia="宋体" w:cs="宋体"/>
          <w:sz w:val="24"/>
          <w:szCs w:val="24"/>
          <w:highlight w:val="none"/>
        </w:rPr>
        <w:t>开户银行：</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开户银行：</w:t>
      </w:r>
      <w:r>
        <w:rPr>
          <w:rFonts w:hint="eastAsia" w:ascii="宋体" w:hAnsi="宋体" w:eastAsia="宋体" w:cs="宋体"/>
          <w:sz w:val="24"/>
          <w:highlight w:val="none"/>
          <w:u w:val="single"/>
          <w:lang w:val="en-US" w:eastAsia="zh-CN"/>
        </w:rPr>
        <w:t xml:space="preserve">                      </w:t>
      </w:r>
    </w:p>
    <w:p w14:paraId="4DDD0B6E">
      <w:pPr>
        <w:spacing w:line="360" w:lineRule="auto"/>
        <w:ind w:right="-512" w:rightChars="-244"/>
        <w:rPr>
          <w:rFonts w:hint="default" w:ascii="宋体" w:hAnsi="宋体" w:eastAsia="宋体" w:cs="宋体"/>
          <w:b/>
          <w:bCs/>
          <w:i w:val="0"/>
          <w:iCs w:val="0"/>
          <w:sz w:val="32"/>
          <w:szCs w:val="32"/>
          <w:highlight w:val="none"/>
          <w:lang w:val="en-US" w:eastAsia="zh-CN"/>
        </w:rPr>
      </w:pPr>
      <w:r>
        <w:rPr>
          <w:rFonts w:hint="eastAsia" w:ascii="宋体" w:hAnsi="宋体" w:eastAsia="宋体" w:cs="宋体"/>
          <w:sz w:val="24"/>
          <w:szCs w:val="24"/>
          <w:highlight w:val="none"/>
        </w:rPr>
        <w:t>账  号：</w:t>
      </w:r>
      <w:r>
        <w:rPr>
          <w:rFonts w:hint="eastAsia" w:ascii="宋体" w:hAnsi="宋体" w:eastAsia="宋体" w:cs="宋体"/>
          <w:sz w:val="24"/>
          <w:szCs w:val="24"/>
          <w:highlight w:val="none"/>
          <w:u w:val="single"/>
        </w:rPr>
        <w:t xml:space="preserve">              </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账  号：</w:t>
      </w:r>
      <w:r>
        <w:rPr>
          <w:rFonts w:hint="eastAsia" w:ascii="宋体" w:hAnsi="宋体" w:eastAsia="宋体" w:cs="宋体"/>
          <w:sz w:val="24"/>
          <w:highlight w:val="none"/>
          <w:u w:val="single"/>
          <w:lang w:val="en-US" w:eastAsia="zh-CN"/>
        </w:rPr>
        <w:t xml:space="preserve">                        </w:t>
      </w:r>
    </w:p>
    <w:p w14:paraId="79886F7C">
      <w:pPr>
        <w:pageBreakBefore w:val="0"/>
        <w:kinsoku/>
        <w:overflowPunct/>
        <w:topLinePunct w:val="0"/>
        <w:bidi w:val="0"/>
        <w:spacing w:line="360" w:lineRule="auto"/>
        <w:ind w:firstLine="520"/>
        <w:rPr>
          <w:rFonts w:hint="eastAsia" w:ascii="宋体" w:hAnsi="宋体" w:eastAsia="宋体" w:cs="宋体"/>
          <w:color w:val="000000"/>
          <w:spacing w:val="0"/>
          <w:sz w:val="24"/>
          <w:highlight w:val="none"/>
        </w:rPr>
      </w:pPr>
      <w:r>
        <w:rPr>
          <w:rFonts w:hint="eastAsia" w:ascii="宋体" w:hAnsi="宋体" w:eastAsia="宋体" w:cs="宋体"/>
          <w:color w:val="000000"/>
          <w:spacing w:val="0"/>
          <w:sz w:val="24"/>
          <w:szCs w:val="24"/>
          <w:highlight w:val="none"/>
        </w:rPr>
        <w:t xml:space="preserve">       </w:t>
      </w:r>
      <w:r>
        <w:rPr>
          <w:rFonts w:hint="eastAsia" w:ascii="宋体" w:hAnsi="宋体" w:eastAsia="宋体" w:cs="宋体"/>
          <w:color w:val="000000"/>
          <w:spacing w:val="0"/>
          <w:sz w:val="24"/>
          <w:highlight w:val="none"/>
        </w:rPr>
        <w:t xml:space="preserve">                 </w:t>
      </w:r>
    </w:p>
    <w:p w14:paraId="637E6FFB">
      <w:pPr>
        <w:pageBreakBefore w:val="0"/>
        <w:tabs>
          <w:tab w:val="left" w:pos="6195"/>
        </w:tabs>
        <w:kinsoku/>
        <w:overflowPunct/>
        <w:topLinePunct w:val="0"/>
        <w:bidi w:val="0"/>
        <w:spacing w:line="360" w:lineRule="auto"/>
        <w:jc w:val="center"/>
        <w:rPr>
          <w:rFonts w:hint="eastAsia" w:ascii="宋体" w:hAnsi="宋体" w:eastAsia="宋体" w:cs="宋体"/>
          <w:color w:val="000000"/>
          <w:sz w:val="30"/>
          <w:highlight w:val="none"/>
        </w:rPr>
      </w:pPr>
    </w:p>
    <w:p w14:paraId="1FE1A595">
      <w:pPr>
        <w:pageBreakBefore w:val="0"/>
        <w:widowControl/>
        <w:kinsoku/>
        <w:overflowPunct/>
        <w:topLinePunct w:val="0"/>
        <w:bidi w:val="0"/>
        <w:spacing w:line="360" w:lineRule="auto"/>
        <w:jc w:val="left"/>
        <w:rPr>
          <w:rFonts w:hint="eastAsia" w:ascii="宋体" w:hAnsi="宋体" w:eastAsia="宋体" w:cs="宋体"/>
          <w:color w:val="000000"/>
          <w:sz w:val="20"/>
          <w:highlight w:val="none"/>
        </w:rPr>
      </w:pPr>
    </w:p>
    <w:p w14:paraId="0665F8D4">
      <w:pPr>
        <w:pageBreakBefore w:val="0"/>
        <w:widowControl/>
        <w:kinsoku/>
        <w:overflowPunct/>
        <w:topLinePunct w:val="0"/>
        <w:bidi w:val="0"/>
        <w:spacing w:line="360" w:lineRule="auto"/>
        <w:jc w:val="left"/>
        <w:rPr>
          <w:rFonts w:hint="eastAsia" w:ascii="宋体" w:hAnsi="宋体" w:eastAsia="宋体" w:cs="宋体"/>
          <w:color w:val="000000"/>
          <w:sz w:val="20"/>
          <w:highlight w:val="none"/>
        </w:rPr>
      </w:pPr>
    </w:p>
    <w:p w14:paraId="0F7927D5">
      <w:pPr>
        <w:pageBreakBefore w:val="0"/>
        <w:kinsoku/>
        <w:overflowPunct/>
        <w:topLinePunct w:val="0"/>
        <w:bidi w:val="0"/>
        <w:spacing w:line="360" w:lineRule="auto"/>
        <w:rPr>
          <w:rFonts w:hint="eastAsia" w:ascii="宋体" w:hAnsi="宋体" w:eastAsia="宋体" w:cs="宋体"/>
          <w:b/>
          <w:color w:val="000000"/>
          <w:sz w:val="36"/>
          <w:highlight w:val="none"/>
        </w:rPr>
      </w:pPr>
    </w:p>
    <w:p w14:paraId="7FB5B54F">
      <w:pPr>
        <w:pageBreakBefore w:val="0"/>
        <w:kinsoku/>
        <w:overflowPunct/>
        <w:topLinePunct w:val="0"/>
        <w:bidi w:val="0"/>
        <w:spacing w:line="360" w:lineRule="auto"/>
        <w:rPr>
          <w:rFonts w:hint="eastAsia" w:ascii="宋体" w:hAnsi="宋体" w:eastAsia="宋体" w:cs="宋体"/>
          <w:b/>
          <w:color w:val="000000"/>
          <w:sz w:val="36"/>
          <w:highlight w:val="none"/>
        </w:rPr>
      </w:pPr>
    </w:p>
    <w:p w14:paraId="78A5208C">
      <w:pPr>
        <w:pageBreakBefore w:val="0"/>
        <w:kinsoku/>
        <w:overflowPunct/>
        <w:topLinePunct w:val="0"/>
        <w:bidi w:val="0"/>
        <w:spacing w:line="360" w:lineRule="auto"/>
        <w:rPr>
          <w:rFonts w:hint="eastAsia" w:ascii="宋体" w:hAnsi="宋体" w:eastAsia="宋体" w:cs="宋体"/>
          <w:b/>
          <w:color w:val="000000"/>
          <w:sz w:val="36"/>
          <w:highlight w:val="none"/>
        </w:rPr>
      </w:pPr>
    </w:p>
    <w:p w14:paraId="4F06E237">
      <w:pPr>
        <w:keepNext/>
        <w:keepLines/>
        <w:pageBreakBefore w:val="0"/>
        <w:kinsoku/>
        <w:overflowPunct/>
        <w:topLinePunct w:val="0"/>
        <w:bidi w:val="0"/>
        <w:spacing w:line="360" w:lineRule="auto"/>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36"/>
          <w:highlight w:val="none"/>
        </w:rPr>
        <w:br w:type="page"/>
      </w:r>
      <w:r>
        <w:rPr>
          <w:rFonts w:hint="eastAsia" w:ascii="宋体" w:hAnsi="宋体" w:eastAsia="宋体" w:cs="宋体"/>
          <w:b/>
          <w:color w:val="000000"/>
          <w:sz w:val="28"/>
          <w:szCs w:val="28"/>
          <w:highlight w:val="none"/>
        </w:rPr>
        <w:t>第二部分</w:t>
      </w:r>
      <w:r>
        <w:rPr>
          <w:rFonts w:hint="eastAsia" w:ascii="宋体" w:hAnsi="宋体" w:eastAsia="宋体" w:cs="宋体"/>
          <w:b/>
          <w:color w:val="000000"/>
          <w:sz w:val="28"/>
          <w:szCs w:val="28"/>
          <w:highlight w:val="none"/>
          <w:lang w:val="en-US" w:eastAsia="zh-CN"/>
        </w:rPr>
        <w:t xml:space="preserve">   </w:t>
      </w:r>
      <w:r>
        <w:rPr>
          <w:rFonts w:hint="eastAsia" w:ascii="宋体" w:hAnsi="宋体" w:eastAsia="宋体" w:cs="宋体"/>
          <w:b/>
          <w:color w:val="000000"/>
          <w:sz w:val="28"/>
          <w:szCs w:val="28"/>
          <w:highlight w:val="none"/>
        </w:rPr>
        <w:t>合同通用条款</w:t>
      </w:r>
    </w:p>
    <w:p w14:paraId="74485C50">
      <w:pPr>
        <w:pageBreakBefore w:val="0"/>
        <w:kinsoku/>
        <w:overflowPunct/>
        <w:topLinePunct w:val="0"/>
        <w:bidi w:val="0"/>
        <w:snapToGrid w:val="0"/>
        <w:spacing w:line="360" w:lineRule="auto"/>
        <w:rPr>
          <w:rFonts w:hint="eastAsia" w:ascii="宋体" w:hAnsi="宋体" w:eastAsia="宋体" w:cs="宋体"/>
          <w:b/>
          <w:color w:val="000000"/>
          <w:sz w:val="36"/>
          <w:highlight w:val="none"/>
        </w:rPr>
      </w:pPr>
    </w:p>
    <w:p w14:paraId="2065A5A7">
      <w:pPr>
        <w:pageBreakBefore w:val="0"/>
        <w:kinsoku/>
        <w:overflowPunct/>
        <w:topLinePunct w:val="0"/>
        <w:bidi w:val="0"/>
        <w:snapToGrid w:val="0"/>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 xml:space="preserve">  </w:t>
      </w:r>
      <w:r>
        <w:rPr>
          <w:rFonts w:hint="eastAsia" w:ascii="宋体" w:hAnsi="宋体" w:eastAsia="宋体" w:cs="宋体"/>
          <w:color w:val="000000"/>
          <w:sz w:val="24"/>
          <w:szCs w:val="24"/>
          <w:highlight w:val="none"/>
        </w:rPr>
        <w:t xml:space="preserve">  “合同通用条款”，采用国家工商行政管理局和建设部颁发的《建设工程施工合同（示范文本）》（GF-2017-0201）的“合同通用条款”。</w:t>
      </w:r>
    </w:p>
    <w:p w14:paraId="6F3EC528">
      <w:pPr>
        <w:pageBreakBefore w:val="0"/>
        <w:kinsoku/>
        <w:overflowPunct/>
        <w:topLinePunct w:val="0"/>
        <w:bidi w:val="0"/>
        <w:spacing w:line="360" w:lineRule="auto"/>
        <w:ind w:firstLine="198"/>
        <w:rPr>
          <w:rFonts w:hint="eastAsia" w:ascii="宋体" w:hAnsi="宋体" w:eastAsia="宋体" w:cs="宋体"/>
          <w:color w:val="000000"/>
          <w:highlight w:val="none"/>
        </w:rPr>
      </w:pPr>
    </w:p>
    <w:p w14:paraId="7F465D8B">
      <w:pPr>
        <w:pageBreakBefore w:val="0"/>
        <w:kinsoku/>
        <w:overflowPunct/>
        <w:topLinePunct w:val="0"/>
        <w:bidi w:val="0"/>
        <w:spacing w:line="360" w:lineRule="auto"/>
        <w:ind w:firstLine="198"/>
        <w:rPr>
          <w:rFonts w:hint="eastAsia" w:ascii="宋体" w:hAnsi="宋体" w:eastAsia="宋体" w:cs="宋体"/>
          <w:color w:val="000000"/>
          <w:highlight w:val="none"/>
        </w:rPr>
      </w:pPr>
      <w:r>
        <w:rPr>
          <w:rFonts w:hint="eastAsia" w:ascii="宋体" w:hAnsi="宋体" w:eastAsia="宋体" w:cs="宋体"/>
          <w:color w:val="000000"/>
          <w:highlight w:val="none"/>
        </w:rPr>
        <w:br w:type="page"/>
      </w:r>
    </w:p>
    <w:p w14:paraId="1340FAD0">
      <w:pPr>
        <w:keepNext/>
        <w:keepLines/>
        <w:pageBreakBefore w:val="0"/>
        <w:kinsoku/>
        <w:overflowPunct/>
        <w:topLinePunct w:val="0"/>
        <w:bidi w:val="0"/>
        <w:spacing w:line="360" w:lineRule="auto"/>
        <w:jc w:val="center"/>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第三部分</w:t>
      </w:r>
      <w:r>
        <w:rPr>
          <w:rFonts w:hint="eastAsia" w:ascii="宋体" w:hAnsi="宋体" w:eastAsia="宋体" w:cs="宋体"/>
          <w:b/>
          <w:color w:val="000000"/>
          <w:sz w:val="28"/>
          <w:szCs w:val="28"/>
          <w:highlight w:val="none"/>
          <w:lang w:val="en-US" w:eastAsia="zh-CN"/>
        </w:rPr>
        <w:t xml:space="preserve">   </w:t>
      </w:r>
      <w:r>
        <w:rPr>
          <w:rFonts w:hint="eastAsia" w:ascii="宋体" w:hAnsi="宋体" w:eastAsia="宋体" w:cs="宋体"/>
          <w:b/>
          <w:color w:val="000000"/>
          <w:sz w:val="28"/>
          <w:szCs w:val="28"/>
          <w:highlight w:val="none"/>
        </w:rPr>
        <w:t>合同专用条款</w:t>
      </w:r>
    </w:p>
    <w:p w14:paraId="05BB6863">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88" w:name="_Toc351203633"/>
      <w:bookmarkStart w:id="89" w:name="_Toc373478339"/>
      <w:bookmarkStart w:id="90" w:name="_Toc389065258"/>
      <w:bookmarkStart w:id="91" w:name="_Toc15810"/>
      <w:bookmarkStart w:id="92" w:name="_Toc373227692"/>
      <w:r>
        <w:rPr>
          <w:rFonts w:hint="eastAsia" w:ascii="宋体" w:hAnsi="宋体" w:eastAsia="宋体" w:cs="宋体"/>
          <w:color w:val="000000"/>
          <w:sz w:val="21"/>
          <w:szCs w:val="21"/>
          <w:highlight w:val="none"/>
        </w:rPr>
        <w:t>1</w:t>
      </w:r>
      <w:bookmarkStart w:id="93" w:name="_Toc292559361"/>
      <w:bookmarkStart w:id="94" w:name="_Toc296944495"/>
      <w:bookmarkStart w:id="95" w:name="_Toc297048342"/>
      <w:bookmarkStart w:id="96" w:name="_Toc292559866"/>
      <w:bookmarkStart w:id="97" w:name="_Toc296891196"/>
      <w:bookmarkStart w:id="98" w:name="_Toc297120456"/>
      <w:bookmarkStart w:id="99" w:name="_Toc296503156"/>
      <w:bookmarkStart w:id="100" w:name="_Toc296346657"/>
      <w:bookmarkStart w:id="101" w:name="_Toc296890984"/>
      <w:bookmarkStart w:id="102" w:name="_Toc296347155"/>
      <w:r>
        <w:rPr>
          <w:rFonts w:hint="eastAsia" w:ascii="宋体" w:hAnsi="宋体" w:eastAsia="宋体" w:cs="宋体"/>
          <w:color w:val="000000"/>
          <w:sz w:val="21"/>
          <w:szCs w:val="21"/>
          <w:highlight w:val="none"/>
        </w:rPr>
        <w:t>. 一般约定</w:t>
      </w:r>
      <w:bookmarkEnd w:id="88"/>
      <w:bookmarkEnd w:id="89"/>
      <w:bookmarkEnd w:id="90"/>
      <w:bookmarkEnd w:id="91"/>
      <w:bookmarkEnd w:id="92"/>
    </w:p>
    <w:bookmarkEnd w:id="93"/>
    <w:bookmarkEnd w:id="94"/>
    <w:bookmarkEnd w:id="95"/>
    <w:bookmarkEnd w:id="96"/>
    <w:bookmarkEnd w:id="97"/>
    <w:bookmarkEnd w:id="98"/>
    <w:bookmarkEnd w:id="99"/>
    <w:bookmarkEnd w:id="100"/>
    <w:bookmarkEnd w:id="101"/>
    <w:bookmarkEnd w:id="102"/>
    <w:p w14:paraId="47671D07">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03" w:name="_Toc373227693"/>
      <w:bookmarkStart w:id="104" w:name="_Toc373478340"/>
      <w:bookmarkStart w:id="105" w:name="_Toc389065259"/>
      <w:bookmarkStart w:id="106" w:name="_Toc19922"/>
      <w:r>
        <w:rPr>
          <w:rFonts w:hint="eastAsia" w:ascii="宋体" w:hAnsi="宋体" w:eastAsia="宋体" w:cs="宋体"/>
          <w:color w:val="000000"/>
          <w:sz w:val="21"/>
          <w:szCs w:val="21"/>
          <w:highlight w:val="none"/>
        </w:rPr>
        <w:t>1.1 词语定义</w:t>
      </w:r>
      <w:bookmarkEnd w:id="103"/>
      <w:bookmarkEnd w:id="104"/>
      <w:bookmarkEnd w:id="105"/>
      <w:bookmarkEnd w:id="106"/>
    </w:p>
    <w:p w14:paraId="75B7C6F9">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1.1.1 合同</w:t>
      </w:r>
    </w:p>
    <w:p w14:paraId="02183CC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1.1.1.10 其他合同文件包括：</w:t>
      </w:r>
      <w:r>
        <w:rPr>
          <w:rFonts w:hint="eastAsia" w:ascii="宋体" w:hAnsi="宋体" w:eastAsia="宋体" w:cs="宋体"/>
          <w:color w:val="000000"/>
          <w:sz w:val="21"/>
          <w:szCs w:val="21"/>
          <w:highlight w:val="none"/>
          <w:u w:val="single"/>
        </w:rPr>
        <w:t>（1）本合同协议书；（2）</w:t>
      </w:r>
      <w:r>
        <w:rPr>
          <w:rFonts w:hint="eastAsia" w:ascii="宋体" w:hAnsi="宋体" w:eastAsia="宋体" w:cs="宋体"/>
          <w:color w:val="000000"/>
          <w:sz w:val="21"/>
          <w:szCs w:val="21"/>
          <w:highlight w:val="none"/>
          <w:u w:val="single"/>
          <w:lang w:val="en-US" w:eastAsia="zh-CN"/>
        </w:rPr>
        <w:t>成交</w:t>
      </w:r>
      <w:r>
        <w:rPr>
          <w:rFonts w:hint="eastAsia" w:ascii="宋体" w:hAnsi="宋体" w:eastAsia="宋体" w:cs="宋体"/>
          <w:color w:val="000000"/>
          <w:sz w:val="21"/>
          <w:szCs w:val="21"/>
          <w:highlight w:val="none"/>
          <w:u w:val="single"/>
        </w:rPr>
        <w:t>通知书；（</w:t>
      </w:r>
      <w:r>
        <w:rPr>
          <w:rFonts w:hint="eastAsia" w:ascii="宋体" w:hAnsi="宋体" w:eastAsia="宋体" w:cs="宋体"/>
          <w:color w:val="000000"/>
          <w:sz w:val="21"/>
          <w:szCs w:val="21"/>
          <w:highlight w:val="none"/>
          <w:u w:val="single"/>
          <w:lang w:val="en-US" w:eastAsia="zh-CN"/>
        </w:rPr>
        <w:t>3）响应函及响应报价表；</w:t>
      </w:r>
      <w:r>
        <w:rPr>
          <w:rFonts w:hint="eastAsia" w:ascii="宋体" w:hAnsi="宋体" w:eastAsia="宋体" w:cs="宋体"/>
          <w:color w:val="000000"/>
          <w:sz w:val="21"/>
          <w:szCs w:val="21"/>
          <w:highlight w:val="none"/>
          <w:u w:val="single"/>
        </w:rPr>
        <w:t>（4）专用合同条款及其附件；（5）本通用合同条款；（6）技术标准和要求；（7）图纸会审记录、施工组织设计及施工方案、设计变更、发包人和监理工程师通知及指令、现场签证、工程技术联系单、发承包人确认的相关文件资料等有关工程洽商、变更等书面协议；（8）工程报告单及预算书；（9）</w:t>
      </w:r>
      <w:r>
        <w:rPr>
          <w:rFonts w:hint="eastAsia" w:ascii="宋体" w:hAnsi="宋体" w:eastAsia="宋体" w:cs="宋体"/>
          <w:color w:val="000000"/>
          <w:sz w:val="21"/>
          <w:szCs w:val="21"/>
          <w:highlight w:val="none"/>
          <w:u w:val="single"/>
          <w:lang w:val="en-US" w:eastAsia="zh-CN"/>
        </w:rPr>
        <w:t>竞争性磋商</w:t>
      </w:r>
      <w:r>
        <w:rPr>
          <w:rFonts w:hint="eastAsia" w:ascii="宋体" w:hAnsi="宋体" w:eastAsia="宋体" w:cs="宋体"/>
          <w:color w:val="000000"/>
          <w:sz w:val="21"/>
          <w:szCs w:val="21"/>
          <w:highlight w:val="none"/>
          <w:u w:val="single"/>
        </w:rPr>
        <w:t xml:space="preserve">文件及其附件 </w:t>
      </w:r>
      <w:r>
        <w:rPr>
          <w:rFonts w:hint="eastAsia" w:ascii="宋体" w:hAnsi="宋体" w:eastAsia="宋体" w:cs="宋体"/>
          <w:color w:val="000000"/>
          <w:sz w:val="21"/>
          <w:szCs w:val="21"/>
          <w:highlight w:val="none"/>
        </w:rPr>
        <w:t>。</w:t>
      </w:r>
    </w:p>
    <w:p w14:paraId="4C1FD3E5">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1.1.2 合同当事人及其他相关方</w:t>
      </w:r>
    </w:p>
    <w:p w14:paraId="3EB9CA2B">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1.1.2.4 监理人：</w:t>
      </w:r>
    </w:p>
    <w:p w14:paraId="1A9FCB29">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名    称：</w:t>
      </w:r>
      <w:r>
        <w:rPr>
          <w:rFonts w:hint="eastAsia" w:ascii="宋体" w:hAnsi="宋体" w:eastAsia="宋体" w:cs="宋体"/>
          <w:color w:val="000000"/>
          <w:sz w:val="21"/>
          <w:szCs w:val="21"/>
          <w:highlight w:val="none"/>
          <w:u w:val="single"/>
        </w:rPr>
        <w:t xml:space="preserve">                </w:t>
      </w:r>
      <w:r>
        <w:rPr>
          <w:rFonts w:hint="eastAsia" w:ascii="宋体" w:hAnsi="宋体" w:eastAsia="宋体" w:cs="宋体"/>
          <w:color w:val="000000"/>
          <w:sz w:val="21"/>
          <w:szCs w:val="21"/>
          <w:highlight w:val="none"/>
        </w:rPr>
        <w:t>；</w:t>
      </w:r>
    </w:p>
    <w:p w14:paraId="1E3C726B">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资质类别和等级：</w:t>
      </w:r>
      <w:r>
        <w:rPr>
          <w:rFonts w:hint="eastAsia" w:ascii="宋体" w:hAnsi="宋体" w:eastAsia="宋体" w:cs="宋体"/>
          <w:color w:val="000000"/>
          <w:sz w:val="21"/>
          <w:szCs w:val="21"/>
          <w:highlight w:val="none"/>
          <w:u w:val="single"/>
        </w:rPr>
        <w:t>               </w:t>
      </w:r>
      <w:r>
        <w:rPr>
          <w:rFonts w:hint="eastAsia" w:ascii="宋体" w:hAnsi="宋体" w:eastAsia="宋体" w:cs="宋体"/>
          <w:color w:val="000000"/>
          <w:sz w:val="21"/>
          <w:szCs w:val="21"/>
          <w:highlight w:val="none"/>
        </w:rPr>
        <w:t>；</w:t>
      </w:r>
    </w:p>
    <w:p w14:paraId="71C6D089">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联系电话：</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2575BE8A">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电子信箱：</w:t>
      </w:r>
      <w:r>
        <w:rPr>
          <w:rFonts w:hint="eastAsia" w:ascii="宋体" w:hAnsi="宋体" w:eastAsia="宋体" w:cs="宋体"/>
          <w:color w:val="000000"/>
          <w:sz w:val="21"/>
          <w:szCs w:val="21"/>
          <w:highlight w:val="none"/>
          <w:u w:val="single"/>
        </w:rPr>
        <w:t>                </w:t>
      </w:r>
      <w:r>
        <w:rPr>
          <w:rFonts w:hint="eastAsia" w:ascii="宋体" w:hAnsi="宋体" w:eastAsia="宋体" w:cs="宋体"/>
          <w:color w:val="000000"/>
          <w:sz w:val="21"/>
          <w:szCs w:val="21"/>
          <w:highlight w:val="none"/>
        </w:rPr>
        <w:t>；</w:t>
      </w:r>
    </w:p>
    <w:p w14:paraId="7C3C8993">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通信地址：</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7390A6D8">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1.1.2.5 设计人：</w:t>
      </w:r>
    </w:p>
    <w:p w14:paraId="5C11044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名    称：</w:t>
      </w:r>
      <w:r>
        <w:rPr>
          <w:rFonts w:hint="eastAsia" w:ascii="宋体" w:hAnsi="宋体" w:eastAsia="宋体" w:cs="宋体"/>
          <w:color w:val="000000"/>
          <w:sz w:val="21"/>
          <w:szCs w:val="21"/>
          <w:highlight w:val="none"/>
          <w:u w:val="single"/>
        </w:rPr>
        <w:t xml:space="preserve">                 </w:t>
      </w:r>
      <w:r>
        <w:rPr>
          <w:rFonts w:hint="eastAsia" w:ascii="宋体" w:hAnsi="宋体" w:eastAsia="宋体" w:cs="宋体"/>
          <w:color w:val="000000"/>
          <w:sz w:val="21"/>
          <w:szCs w:val="21"/>
          <w:highlight w:val="none"/>
        </w:rPr>
        <w:t>；</w:t>
      </w:r>
    </w:p>
    <w:p w14:paraId="03D1C1F9">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资质类别和等级：</w:t>
      </w:r>
      <w:r>
        <w:rPr>
          <w:rFonts w:hint="eastAsia" w:ascii="宋体" w:hAnsi="宋体" w:eastAsia="宋体" w:cs="宋体"/>
          <w:color w:val="000000"/>
          <w:sz w:val="21"/>
          <w:szCs w:val="21"/>
          <w:highlight w:val="none"/>
          <w:u w:val="single"/>
        </w:rPr>
        <w:t>               </w:t>
      </w:r>
      <w:r>
        <w:rPr>
          <w:rFonts w:hint="eastAsia" w:ascii="宋体" w:hAnsi="宋体" w:eastAsia="宋体" w:cs="宋体"/>
          <w:color w:val="000000"/>
          <w:sz w:val="21"/>
          <w:szCs w:val="21"/>
          <w:highlight w:val="none"/>
        </w:rPr>
        <w:t>；</w:t>
      </w:r>
    </w:p>
    <w:p w14:paraId="64DECF50">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联系电话：</w:t>
      </w:r>
      <w:r>
        <w:rPr>
          <w:rFonts w:hint="eastAsia" w:ascii="宋体" w:hAnsi="宋体" w:eastAsia="宋体" w:cs="宋体"/>
          <w:color w:val="000000"/>
          <w:sz w:val="21"/>
          <w:szCs w:val="21"/>
          <w:highlight w:val="none"/>
          <w:u w:val="single"/>
        </w:rPr>
        <w:t>                 </w:t>
      </w:r>
      <w:r>
        <w:rPr>
          <w:rFonts w:hint="eastAsia" w:ascii="宋体" w:hAnsi="宋体" w:eastAsia="宋体" w:cs="宋体"/>
          <w:color w:val="000000"/>
          <w:sz w:val="21"/>
          <w:szCs w:val="21"/>
          <w:highlight w:val="none"/>
        </w:rPr>
        <w:t>；</w:t>
      </w:r>
    </w:p>
    <w:p w14:paraId="58F10AE9">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电子信箱：</w:t>
      </w:r>
      <w:r>
        <w:rPr>
          <w:rFonts w:hint="eastAsia" w:ascii="宋体" w:hAnsi="宋体" w:eastAsia="宋体" w:cs="宋体"/>
          <w:color w:val="000000"/>
          <w:sz w:val="21"/>
          <w:szCs w:val="21"/>
          <w:highlight w:val="none"/>
          <w:u w:val="single"/>
        </w:rPr>
        <w:t xml:space="preserve">                    </w:t>
      </w:r>
      <w:r>
        <w:rPr>
          <w:rFonts w:hint="eastAsia" w:ascii="宋体" w:hAnsi="宋体" w:eastAsia="宋体" w:cs="宋体"/>
          <w:color w:val="000000"/>
          <w:sz w:val="21"/>
          <w:szCs w:val="21"/>
          <w:highlight w:val="none"/>
        </w:rPr>
        <w:t>；</w:t>
      </w:r>
    </w:p>
    <w:p w14:paraId="3503E239">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通信地址：</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7696B197">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1.1.3 工程和设备</w:t>
      </w:r>
    </w:p>
    <w:p w14:paraId="49D887E8">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1.1.3.7 作为施工现场组成部分的其他场所包括：</w:t>
      </w:r>
      <w:r>
        <w:rPr>
          <w:rFonts w:hint="eastAsia" w:ascii="宋体" w:hAnsi="宋体" w:eastAsia="宋体" w:cs="宋体"/>
          <w:color w:val="000000"/>
          <w:sz w:val="21"/>
          <w:szCs w:val="21"/>
          <w:highlight w:val="none"/>
          <w:u w:val="single"/>
        </w:rPr>
        <w:t xml:space="preserve">永久占地和临时占地   </w:t>
      </w:r>
      <w:r>
        <w:rPr>
          <w:rFonts w:hint="eastAsia" w:ascii="宋体" w:hAnsi="宋体" w:eastAsia="宋体" w:cs="宋体"/>
          <w:color w:val="000000"/>
          <w:sz w:val="21"/>
          <w:szCs w:val="21"/>
          <w:highlight w:val="none"/>
        </w:rPr>
        <w:t>。</w:t>
      </w:r>
    </w:p>
    <w:p w14:paraId="1C90748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1.1.3.9 永久占地包括：</w:t>
      </w:r>
      <w:r>
        <w:rPr>
          <w:rFonts w:hint="eastAsia" w:ascii="宋体" w:hAnsi="宋体" w:eastAsia="宋体" w:cs="宋体"/>
          <w:color w:val="000000"/>
          <w:sz w:val="21"/>
          <w:szCs w:val="21"/>
          <w:highlight w:val="none"/>
          <w:u w:val="single"/>
        </w:rPr>
        <w:t xml:space="preserve">  通用条款1.1.3.9 执行     </w:t>
      </w:r>
      <w:r>
        <w:rPr>
          <w:rFonts w:hint="eastAsia" w:ascii="宋体" w:hAnsi="宋体" w:eastAsia="宋体" w:cs="宋体"/>
          <w:color w:val="000000"/>
          <w:sz w:val="21"/>
          <w:szCs w:val="21"/>
          <w:highlight w:val="none"/>
        </w:rPr>
        <w:t>。</w:t>
      </w:r>
    </w:p>
    <w:p w14:paraId="174D11F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1.1.3.10 临时占地包括：</w:t>
      </w:r>
      <w:r>
        <w:rPr>
          <w:rStyle w:val="16"/>
          <w:rFonts w:hint="eastAsia" w:ascii="Calibri" w:hAnsi="Calibri" w:eastAsia="宋体" w:cs="Times New Roman"/>
          <w:color w:val="auto"/>
          <w:highlight w:val="none"/>
          <w:u w:val="single"/>
        </w:rPr>
        <w:t>现场临时生活区、材料堆放场地、临时道路</w:t>
      </w:r>
      <w:r>
        <w:rPr>
          <w:rFonts w:hint="eastAsia" w:ascii="宋体" w:hAnsi="宋体" w:eastAsia="宋体" w:cs="宋体"/>
          <w:color w:val="000000"/>
          <w:sz w:val="21"/>
          <w:szCs w:val="21"/>
          <w:highlight w:val="none"/>
        </w:rPr>
        <w:t>。</w:t>
      </w:r>
    </w:p>
    <w:p w14:paraId="42F84144">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07" w:name="_Toc389065260"/>
      <w:bookmarkStart w:id="108" w:name="_Toc373227694"/>
      <w:bookmarkStart w:id="109" w:name="_Toc373478341"/>
      <w:bookmarkStart w:id="110" w:name="_Toc5337"/>
      <w:r>
        <w:rPr>
          <w:rFonts w:hint="eastAsia" w:ascii="宋体" w:hAnsi="宋体" w:eastAsia="宋体" w:cs="宋体"/>
          <w:color w:val="000000"/>
          <w:sz w:val="21"/>
          <w:szCs w:val="21"/>
          <w:highlight w:val="none"/>
        </w:rPr>
        <w:t>1.3 法律</w:t>
      </w:r>
      <w:bookmarkEnd w:id="107"/>
      <w:bookmarkEnd w:id="108"/>
      <w:bookmarkEnd w:id="109"/>
      <w:bookmarkEnd w:id="110"/>
    </w:p>
    <w:p w14:paraId="552E748E">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适用于合同的其他规范性文件：</w:t>
      </w:r>
      <w:r>
        <w:rPr>
          <w:rStyle w:val="16"/>
          <w:rFonts w:hint="eastAsia" w:ascii="Calibri" w:hAnsi="宋体" w:eastAsia="宋体" w:cs="Times New Roman"/>
          <w:color w:val="auto"/>
          <w:highlight w:val="none"/>
          <w:u w:val="single"/>
        </w:rPr>
        <w:t>国家、广西壮族自治区及建设行政主管部门颁布的现行法律、行政法规及其它规范性文件</w:t>
      </w:r>
      <w:r>
        <w:rPr>
          <w:rFonts w:hint="eastAsia" w:ascii="宋体" w:hAnsi="宋体" w:eastAsia="宋体" w:cs="宋体"/>
          <w:color w:val="000000"/>
          <w:sz w:val="21"/>
          <w:szCs w:val="21"/>
          <w:highlight w:val="none"/>
        </w:rPr>
        <w:t>。</w:t>
      </w:r>
    </w:p>
    <w:p w14:paraId="63A910FB">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11" w:name="_Toc373227695"/>
      <w:bookmarkStart w:id="112" w:name="_Toc373478342"/>
      <w:bookmarkStart w:id="113" w:name="_Toc12820"/>
      <w:bookmarkStart w:id="114" w:name="_Toc389065261"/>
      <w:r>
        <w:rPr>
          <w:rFonts w:hint="eastAsia" w:ascii="宋体" w:hAnsi="宋体" w:eastAsia="宋体" w:cs="宋体"/>
          <w:color w:val="000000"/>
          <w:sz w:val="21"/>
          <w:szCs w:val="21"/>
          <w:highlight w:val="none"/>
        </w:rPr>
        <w:t>1.4 标准和规范</w:t>
      </w:r>
      <w:bookmarkEnd w:id="111"/>
      <w:bookmarkEnd w:id="112"/>
      <w:bookmarkEnd w:id="113"/>
      <w:bookmarkEnd w:id="114"/>
    </w:p>
    <w:p w14:paraId="42037CF3">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1.4.1 适用于工程的标准规范包括：</w:t>
      </w:r>
      <w:r>
        <w:rPr>
          <w:rFonts w:hint="eastAsia" w:ascii="宋体" w:hAnsi="宋体" w:eastAsia="宋体" w:cs="宋体"/>
          <w:color w:val="000000"/>
          <w:sz w:val="21"/>
          <w:szCs w:val="21"/>
          <w:highlight w:val="none"/>
          <w:u w:val="single"/>
        </w:rPr>
        <w:t xml:space="preserve">按通用条款1.4.1条执行   </w:t>
      </w:r>
      <w:r>
        <w:rPr>
          <w:rFonts w:hint="eastAsia" w:ascii="宋体" w:hAnsi="宋体" w:eastAsia="宋体" w:cs="宋体"/>
          <w:color w:val="000000"/>
          <w:sz w:val="21"/>
          <w:szCs w:val="21"/>
          <w:highlight w:val="none"/>
        </w:rPr>
        <w:t>。</w:t>
      </w:r>
    </w:p>
    <w:p w14:paraId="0FEA6BA3">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1.4.2 发包人提供国外标准、规范的名称：</w:t>
      </w:r>
      <w:r>
        <w:rPr>
          <w:rFonts w:hint="eastAsia" w:ascii="宋体" w:hAnsi="宋体" w:eastAsia="宋体" w:cs="宋体"/>
          <w:color w:val="000000"/>
          <w:sz w:val="21"/>
          <w:szCs w:val="21"/>
          <w:highlight w:val="none"/>
          <w:u w:val="single"/>
        </w:rPr>
        <w:t xml:space="preserve">无  </w:t>
      </w:r>
      <w:r>
        <w:rPr>
          <w:rFonts w:hint="eastAsia" w:ascii="宋体" w:hAnsi="宋体" w:eastAsia="宋体" w:cs="宋体"/>
          <w:color w:val="000000"/>
          <w:sz w:val="21"/>
          <w:szCs w:val="21"/>
          <w:highlight w:val="none"/>
        </w:rPr>
        <w:t>；</w:t>
      </w:r>
    </w:p>
    <w:p w14:paraId="3D2C183A">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发包人提供国外标准、规范的份数：</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5143E188">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发包人提供国外标准、规范的名称：</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2AC150C7">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1.4.3 发包人对工程的技术标准和功能要求的特殊要求：</w:t>
      </w:r>
      <w:r>
        <w:rPr>
          <w:rFonts w:hint="eastAsia" w:ascii="宋体" w:hAnsi="宋体" w:eastAsia="宋体" w:cs="宋体"/>
          <w:color w:val="000000"/>
          <w:sz w:val="21"/>
          <w:szCs w:val="21"/>
          <w:highlight w:val="none"/>
          <w:u w:val="single"/>
        </w:rPr>
        <w:t xml:space="preserve">无   </w:t>
      </w:r>
      <w:r>
        <w:rPr>
          <w:rFonts w:hint="eastAsia" w:ascii="宋体" w:hAnsi="宋体" w:eastAsia="宋体" w:cs="宋体"/>
          <w:color w:val="000000"/>
          <w:sz w:val="21"/>
          <w:szCs w:val="21"/>
          <w:highlight w:val="none"/>
        </w:rPr>
        <w:t>。</w:t>
      </w:r>
    </w:p>
    <w:p w14:paraId="2CDAFD4E">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15" w:name="_Toc15264"/>
      <w:bookmarkStart w:id="116" w:name="_Toc373227696"/>
      <w:bookmarkStart w:id="117" w:name="_Toc389065262"/>
      <w:bookmarkStart w:id="118" w:name="_Toc373478343"/>
      <w:r>
        <w:rPr>
          <w:rFonts w:hint="eastAsia" w:ascii="宋体" w:hAnsi="宋体" w:eastAsia="宋体" w:cs="宋体"/>
          <w:color w:val="000000"/>
          <w:sz w:val="21"/>
          <w:szCs w:val="21"/>
          <w:highlight w:val="none"/>
        </w:rPr>
        <w:t>1.5 合同文件的优先顺序</w:t>
      </w:r>
      <w:bookmarkEnd w:id="115"/>
      <w:bookmarkEnd w:id="116"/>
      <w:bookmarkEnd w:id="117"/>
      <w:bookmarkEnd w:id="118"/>
    </w:p>
    <w:p w14:paraId="3BBA47F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合同文件组成及优先顺序为：</w:t>
      </w:r>
    </w:p>
    <w:p w14:paraId="4F748272">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（1）合同协议书；</w:t>
      </w:r>
    </w:p>
    <w:p w14:paraId="464BF4E8">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w:t>
      </w:r>
      <w:r>
        <w:rPr>
          <w:rFonts w:hint="eastAsia" w:ascii="宋体" w:hAnsi="宋体" w:eastAsia="宋体" w:cs="宋体"/>
          <w:color w:val="000000"/>
          <w:sz w:val="21"/>
          <w:szCs w:val="21"/>
          <w:highlight w:val="none"/>
          <w:lang w:val="en-US" w:eastAsia="zh-CN"/>
        </w:rPr>
        <w:t>成交</w:t>
      </w:r>
      <w:r>
        <w:rPr>
          <w:rFonts w:hint="eastAsia" w:ascii="宋体" w:hAnsi="宋体" w:eastAsia="宋体" w:cs="宋体"/>
          <w:color w:val="000000"/>
          <w:sz w:val="21"/>
          <w:szCs w:val="21"/>
          <w:highlight w:val="none"/>
        </w:rPr>
        <w:t>通知书；</w:t>
      </w:r>
    </w:p>
    <w:p w14:paraId="54629BE2">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w:t>
      </w:r>
      <w:r>
        <w:rPr>
          <w:rFonts w:hint="eastAsia" w:ascii="宋体" w:hAnsi="宋体" w:eastAsia="宋体" w:cs="宋体"/>
          <w:color w:val="000000"/>
          <w:sz w:val="21"/>
          <w:szCs w:val="21"/>
          <w:highlight w:val="none"/>
          <w:lang w:val="en-US" w:eastAsia="zh-CN"/>
        </w:rPr>
        <w:t>响应函及响应报价表</w:t>
      </w:r>
      <w:r>
        <w:rPr>
          <w:rFonts w:hint="eastAsia" w:ascii="宋体" w:hAnsi="宋体" w:eastAsia="宋体" w:cs="宋体"/>
          <w:color w:val="000000"/>
          <w:sz w:val="21"/>
          <w:szCs w:val="21"/>
          <w:highlight w:val="none"/>
        </w:rPr>
        <w:t>；</w:t>
      </w:r>
    </w:p>
    <w:p w14:paraId="4D9502E6">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（4）专用合同条款及其附件；</w:t>
      </w:r>
    </w:p>
    <w:p w14:paraId="12EC5923">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（5）通用合同条款；</w:t>
      </w:r>
    </w:p>
    <w:p w14:paraId="21C7905C">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w:t>
      </w:r>
      <w:r>
        <w:rPr>
          <w:rFonts w:hint="eastAsia" w:ascii="宋体" w:hAnsi="宋体" w:eastAsia="宋体" w:cs="宋体"/>
          <w:color w:val="000000"/>
          <w:sz w:val="21"/>
          <w:szCs w:val="21"/>
          <w:highlight w:val="none"/>
          <w:u w:val="single"/>
        </w:rPr>
        <w:t xml:space="preserve"> 技术标准和要求 </w:t>
      </w:r>
      <w:r>
        <w:rPr>
          <w:rFonts w:hint="eastAsia" w:ascii="宋体" w:hAnsi="宋体" w:eastAsia="宋体" w:cs="宋体"/>
          <w:color w:val="000000"/>
          <w:sz w:val="21"/>
          <w:szCs w:val="21"/>
          <w:highlight w:val="none"/>
        </w:rPr>
        <w:t>；</w:t>
      </w:r>
    </w:p>
    <w:p w14:paraId="1084CE6B">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w:t>
      </w:r>
      <w:r>
        <w:rPr>
          <w:rFonts w:hint="eastAsia" w:ascii="宋体" w:hAnsi="宋体" w:eastAsia="宋体" w:cs="宋体"/>
          <w:color w:val="000000"/>
          <w:sz w:val="21"/>
          <w:szCs w:val="21"/>
          <w:highlight w:val="none"/>
          <w:u w:val="single"/>
        </w:rPr>
        <w:t xml:space="preserve">  图纸  </w:t>
      </w:r>
      <w:r>
        <w:rPr>
          <w:rFonts w:hint="eastAsia" w:ascii="宋体" w:hAnsi="宋体" w:eastAsia="宋体" w:cs="宋体"/>
          <w:color w:val="000000"/>
          <w:sz w:val="21"/>
          <w:szCs w:val="21"/>
          <w:highlight w:val="none"/>
        </w:rPr>
        <w:t>；</w:t>
      </w:r>
    </w:p>
    <w:p w14:paraId="3D707624">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w:t>
      </w:r>
      <w:r>
        <w:rPr>
          <w:rFonts w:hint="eastAsia" w:ascii="宋体" w:hAnsi="宋体" w:eastAsia="宋体" w:cs="宋体"/>
          <w:color w:val="000000"/>
          <w:sz w:val="21"/>
          <w:szCs w:val="21"/>
          <w:highlight w:val="none"/>
          <w:u w:val="single"/>
        </w:rPr>
        <w:t xml:space="preserve">  已标价工程量清单</w:t>
      </w:r>
      <w:r>
        <w:rPr>
          <w:rFonts w:hint="eastAsia" w:ascii="宋体" w:hAnsi="宋体" w:eastAsia="宋体" w:cs="宋体"/>
          <w:color w:val="000000"/>
          <w:sz w:val="21"/>
          <w:szCs w:val="21"/>
          <w:highlight w:val="none"/>
        </w:rPr>
        <w:t xml:space="preserve">  ；</w:t>
      </w:r>
    </w:p>
    <w:p w14:paraId="2332E1C7">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建设工程工程量清单计价规范（GB5050-2013）》及其广西实施细则及《关于建筑业实施营业税改征增值税后广西壮族自治区建设工程计价依据调整的通知》（桂建标〔2016〕17号）、《建设工程工程量清单计算规范（GB5854~50862-2013）》及其广西实施细则（修订本） (适用于实行工程量清单计价的项目) ；</w:t>
      </w:r>
    </w:p>
    <w:p w14:paraId="4827B12D">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 (10)</w:t>
      </w:r>
      <w:r>
        <w:rPr>
          <w:rFonts w:hint="eastAsia" w:ascii="宋体" w:hAnsi="宋体" w:eastAsia="宋体" w:cs="宋体"/>
          <w:color w:val="000000"/>
          <w:sz w:val="21"/>
          <w:szCs w:val="21"/>
          <w:highlight w:val="none"/>
          <w:u w:val="single"/>
        </w:rPr>
        <w:t xml:space="preserve">其他合同文件  </w:t>
      </w:r>
      <w:r>
        <w:rPr>
          <w:rFonts w:hint="eastAsia" w:ascii="宋体" w:hAnsi="宋体" w:eastAsia="宋体" w:cs="宋体"/>
          <w:color w:val="000000"/>
          <w:sz w:val="21"/>
          <w:szCs w:val="21"/>
          <w:highlight w:val="none"/>
        </w:rPr>
        <w:t>。</w:t>
      </w:r>
    </w:p>
    <w:p w14:paraId="17815672">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上述各项合同文件包括合同当事人就该项合同文件所作出的补充和修改，属于同一类内容的文件，应以最新签署的为准（违反</w:t>
      </w:r>
      <w:r>
        <w:rPr>
          <w:rFonts w:hint="eastAsia" w:ascii="宋体" w:hAnsi="宋体" w:eastAsia="宋体" w:cs="宋体"/>
          <w:color w:val="000000"/>
          <w:sz w:val="21"/>
          <w:szCs w:val="21"/>
          <w:highlight w:val="none"/>
          <w:lang w:val="en-US" w:eastAsia="zh-CN"/>
        </w:rPr>
        <w:t>竞争性磋商</w:t>
      </w:r>
      <w:r>
        <w:rPr>
          <w:rFonts w:hint="eastAsia" w:ascii="宋体" w:hAnsi="宋体" w:eastAsia="宋体" w:cs="宋体"/>
          <w:color w:val="000000"/>
          <w:sz w:val="21"/>
          <w:szCs w:val="21"/>
          <w:highlight w:val="none"/>
        </w:rPr>
        <w:t>文件实质性内容的约定除外）。专用合同条款及其附件须经合同当事人签字或盖章。</w:t>
      </w:r>
    </w:p>
    <w:p w14:paraId="291F3C4F">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说明：（6）、（7）、（8）、（10）填空内容分别限于技术标准和要求、图纸、已标价工程量清单或预算书、其他合同文件四者之一，其优先顺序可根据采取的不同合同方式由双方约定。</w:t>
      </w:r>
    </w:p>
    <w:p w14:paraId="15500DAD">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19" w:name="_Toc373227697"/>
      <w:bookmarkStart w:id="120" w:name="_Toc389065263"/>
      <w:bookmarkStart w:id="121" w:name="_Toc4783"/>
      <w:bookmarkStart w:id="122" w:name="_Toc373478344"/>
      <w:r>
        <w:rPr>
          <w:rFonts w:hint="eastAsia" w:ascii="宋体" w:hAnsi="宋体" w:eastAsia="宋体" w:cs="宋体"/>
          <w:color w:val="000000"/>
          <w:sz w:val="21"/>
          <w:szCs w:val="21"/>
          <w:highlight w:val="none"/>
        </w:rPr>
        <w:t>1.6 图纸和承包人文件</w:t>
      </w:r>
      <w:bookmarkEnd w:id="119"/>
      <w:bookmarkEnd w:id="120"/>
      <w:bookmarkEnd w:id="121"/>
      <w:bookmarkEnd w:id="122"/>
      <w:r>
        <w:rPr>
          <w:rFonts w:hint="eastAsia" w:ascii="宋体" w:hAnsi="宋体" w:eastAsia="宋体" w:cs="宋体"/>
          <w:color w:val="000000"/>
          <w:sz w:val="21"/>
          <w:szCs w:val="21"/>
          <w:highlight w:val="none"/>
        </w:rPr>
        <w:tab/>
      </w:r>
    </w:p>
    <w:p w14:paraId="32FF7FA5">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1.6.1 图纸的提供</w:t>
      </w:r>
    </w:p>
    <w:p w14:paraId="482D52B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发包人向承包人提供图纸的期限：</w:t>
      </w:r>
      <w:r>
        <w:rPr>
          <w:rFonts w:hint="eastAsia" w:ascii="宋体" w:hAnsi="宋体" w:eastAsia="宋体" w:cs="宋体"/>
          <w:color w:val="000000"/>
          <w:sz w:val="21"/>
          <w:szCs w:val="21"/>
          <w:highlight w:val="none"/>
          <w:u w:val="single"/>
        </w:rPr>
        <w:t>开工前</w:t>
      </w:r>
      <w:r>
        <w:rPr>
          <w:rFonts w:hint="eastAsia" w:ascii="宋体" w:hAnsi="宋体" w:eastAsia="宋体" w:cs="宋体"/>
          <w:color w:val="000000"/>
          <w:sz w:val="21"/>
          <w:szCs w:val="21"/>
          <w:highlight w:val="none"/>
          <w:u w:val="single"/>
          <w:lang w:val="en-US" w:eastAsia="zh-CN"/>
        </w:rPr>
        <w:t>7个工作日</w:t>
      </w:r>
      <w:r>
        <w:rPr>
          <w:rFonts w:hint="eastAsia" w:ascii="宋体" w:hAnsi="宋体" w:eastAsia="宋体" w:cs="宋体"/>
          <w:color w:val="000000"/>
          <w:sz w:val="21"/>
          <w:szCs w:val="21"/>
          <w:highlight w:val="none"/>
          <w:u w:val="single"/>
        </w:rPr>
        <w:t>内</w:t>
      </w:r>
      <w:r>
        <w:rPr>
          <w:rFonts w:hint="eastAsia" w:ascii="宋体" w:hAnsi="宋体" w:eastAsia="宋体" w:cs="宋体"/>
          <w:color w:val="000000"/>
          <w:sz w:val="21"/>
          <w:szCs w:val="21"/>
          <w:highlight w:val="none"/>
        </w:rPr>
        <w:t>；</w:t>
      </w:r>
    </w:p>
    <w:p w14:paraId="66058F15">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发包人向承包人提供图纸的数量：</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u w:val="single"/>
          <w:lang w:val="en-US" w:eastAsia="zh-CN"/>
        </w:rPr>
        <w:t>一式贰</w:t>
      </w:r>
      <w:r>
        <w:rPr>
          <w:rFonts w:hint="eastAsia" w:ascii="宋体" w:hAnsi="宋体" w:eastAsia="宋体" w:cs="宋体"/>
          <w:color w:val="000000"/>
          <w:sz w:val="21"/>
          <w:szCs w:val="21"/>
          <w:highlight w:val="none"/>
          <w:u w:val="single"/>
        </w:rPr>
        <w:t>套，承包人需要增加图纸套数的，发包人应代为复制，复制费用由承包人承担</w:t>
      </w:r>
      <w:r>
        <w:rPr>
          <w:rFonts w:hint="eastAsia" w:ascii="宋体" w:hAnsi="宋体" w:eastAsia="宋体" w:cs="宋体"/>
          <w:color w:val="000000"/>
          <w:sz w:val="21"/>
          <w:szCs w:val="21"/>
          <w:highlight w:val="none"/>
        </w:rPr>
        <w:t>；</w:t>
      </w:r>
    </w:p>
    <w:p w14:paraId="570787B4">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发包人向承包人提供图纸的内容：</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u w:val="single"/>
          <w:lang w:val="en-US" w:eastAsia="zh-CN"/>
        </w:rPr>
        <w:t>经施工图审查通过的施工图纸</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rPr>
        <w:t>。</w:t>
      </w:r>
    </w:p>
    <w:p w14:paraId="02756603">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1.6.4 承包人文件</w:t>
      </w:r>
    </w:p>
    <w:p w14:paraId="2BCFFC8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需要由承包人提供的文件，包括：</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u w:val="single"/>
          <w:lang w:eastAsia="zh-CN"/>
        </w:rPr>
        <w:t>（</w:t>
      </w:r>
      <w:r>
        <w:rPr>
          <w:rFonts w:hint="eastAsia" w:ascii="宋体" w:hAnsi="宋体" w:eastAsia="宋体" w:cs="宋体"/>
          <w:color w:val="000000"/>
          <w:sz w:val="21"/>
          <w:szCs w:val="21"/>
          <w:highlight w:val="none"/>
          <w:u w:val="single"/>
        </w:rPr>
        <w:t>1）提交施工组织设计（施工方案）；（2）提交符合规定的工程总进度计划；（3）进度计划和相应的进度统计报表</w:t>
      </w:r>
      <w:r>
        <w:rPr>
          <w:rFonts w:hint="eastAsia" w:ascii="宋体" w:hAnsi="宋体" w:eastAsia="宋体" w:cs="宋体"/>
          <w:color w:val="000000"/>
          <w:sz w:val="21"/>
          <w:szCs w:val="21"/>
          <w:highlight w:val="none"/>
        </w:rPr>
        <w:t>；</w:t>
      </w:r>
    </w:p>
    <w:p w14:paraId="72E9DC3A">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yellow"/>
        </w:rPr>
      </w:pPr>
      <w:r>
        <w:rPr>
          <w:rFonts w:hint="eastAsia" w:ascii="宋体" w:hAnsi="宋体" w:eastAsia="宋体" w:cs="宋体"/>
          <w:color w:val="000000"/>
          <w:sz w:val="21"/>
          <w:szCs w:val="21"/>
          <w:highlight w:val="none"/>
        </w:rPr>
        <w:t>承包人提供的文件的期限为：</w:t>
      </w:r>
      <w:r>
        <w:rPr>
          <w:rFonts w:hint="eastAsia" w:ascii="宋体" w:hAnsi="宋体" w:eastAsia="宋体" w:cs="宋体"/>
          <w:color w:val="000000"/>
          <w:sz w:val="21"/>
          <w:szCs w:val="21"/>
          <w:highlight w:val="none"/>
          <w:u w:val="single"/>
        </w:rPr>
        <w:t>（1）收到发包人全部设计图纸后3天内提供；（2）在开工前7天；月报表每月25日前提交</w:t>
      </w:r>
      <w:r>
        <w:rPr>
          <w:rFonts w:hint="eastAsia" w:ascii="宋体" w:hAnsi="宋体" w:eastAsia="宋体" w:cs="宋体"/>
          <w:color w:val="000000"/>
          <w:sz w:val="21"/>
          <w:szCs w:val="21"/>
          <w:highlight w:val="none"/>
        </w:rPr>
        <w:t>；</w:t>
      </w:r>
    </w:p>
    <w:p w14:paraId="3A7778A0">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承包人提供的文件的数量为：</w:t>
      </w:r>
      <w:r>
        <w:rPr>
          <w:rFonts w:hint="eastAsia" w:ascii="宋体" w:hAnsi="宋体" w:eastAsia="宋体" w:cs="宋体"/>
          <w:color w:val="000000"/>
          <w:sz w:val="21"/>
          <w:szCs w:val="21"/>
          <w:highlight w:val="none"/>
          <w:u w:val="single"/>
          <w:lang w:val="en-US" w:eastAsia="zh-CN"/>
        </w:rPr>
        <w:t>一式贰</w:t>
      </w:r>
      <w:r>
        <w:rPr>
          <w:rFonts w:hint="eastAsia" w:ascii="宋体" w:hAnsi="宋体" w:eastAsia="宋体" w:cs="宋体"/>
          <w:color w:val="000000"/>
          <w:sz w:val="21"/>
          <w:szCs w:val="21"/>
          <w:highlight w:val="none"/>
          <w:u w:val="single"/>
        </w:rPr>
        <w:t>套</w:t>
      </w:r>
      <w:r>
        <w:rPr>
          <w:rFonts w:hint="eastAsia" w:ascii="宋体" w:hAnsi="宋体" w:eastAsia="宋体" w:cs="宋体"/>
          <w:color w:val="000000"/>
          <w:sz w:val="21"/>
          <w:szCs w:val="21"/>
          <w:highlight w:val="none"/>
        </w:rPr>
        <w:t>；</w:t>
      </w:r>
    </w:p>
    <w:p w14:paraId="3301CC20">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承包人提供的文件的形式为：</w:t>
      </w:r>
      <w:r>
        <w:rPr>
          <w:rFonts w:hint="eastAsia" w:ascii="宋体" w:hAnsi="宋体" w:eastAsia="宋体" w:cs="宋体"/>
          <w:color w:val="000000"/>
          <w:sz w:val="21"/>
          <w:szCs w:val="21"/>
          <w:highlight w:val="none"/>
          <w:u w:val="single"/>
        </w:rPr>
        <w:t>书面材料</w:t>
      </w:r>
      <w:r>
        <w:rPr>
          <w:rFonts w:hint="eastAsia" w:ascii="宋体" w:hAnsi="宋体" w:eastAsia="宋体" w:cs="宋体"/>
          <w:color w:val="000000"/>
          <w:sz w:val="21"/>
          <w:szCs w:val="21"/>
          <w:highlight w:val="none"/>
        </w:rPr>
        <w:t>；</w:t>
      </w:r>
    </w:p>
    <w:p w14:paraId="6B817BB9">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发包人审批承包人文件的期限：</w:t>
      </w:r>
      <w:r>
        <w:rPr>
          <w:rFonts w:hint="eastAsia" w:ascii="宋体" w:hAnsi="宋体" w:eastAsia="宋体" w:cs="宋体"/>
          <w:color w:val="000000"/>
          <w:sz w:val="21"/>
          <w:szCs w:val="21"/>
          <w:highlight w:val="none"/>
          <w:u w:val="single"/>
        </w:rPr>
        <w:t>收到后7</w:t>
      </w:r>
      <w:r>
        <w:rPr>
          <w:rFonts w:hint="eastAsia" w:ascii="宋体" w:hAnsi="宋体" w:eastAsia="宋体" w:cs="宋体"/>
          <w:color w:val="000000"/>
          <w:sz w:val="21"/>
          <w:szCs w:val="21"/>
          <w:highlight w:val="none"/>
          <w:u w:val="single"/>
          <w:lang w:val="en-US" w:eastAsia="zh-CN"/>
        </w:rPr>
        <w:t>个工作日</w:t>
      </w:r>
      <w:r>
        <w:rPr>
          <w:rFonts w:hint="eastAsia" w:ascii="宋体" w:hAnsi="宋体" w:eastAsia="宋体" w:cs="宋体"/>
          <w:color w:val="000000"/>
          <w:sz w:val="21"/>
          <w:szCs w:val="21"/>
          <w:highlight w:val="none"/>
          <w:u w:val="single"/>
        </w:rPr>
        <w:t>内</w:t>
      </w:r>
      <w:r>
        <w:rPr>
          <w:rFonts w:hint="eastAsia" w:ascii="宋体" w:hAnsi="宋体" w:eastAsia="宋体" w:cs="宋体"/>
          <w:color w:val="000000"/>
          <w:sz w:val="21"/>
          <w:szCs w:val="21"/>
          <w:highlight w:val="none"/>
        </w:rPr>
        <w:t>。</w:t>
      </w:r>
    </w:p>
    <w:p w14:paraId="7C735E15">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1.6.5 现场图纸准备</w:t>
      </w:r>
    </w:p>
    <w:p w14:paraId="044A8FF6">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关于现场图纸准备的约定：</w:t>
      </w:r>
      <w:r>
        <w:rPr>
          <w:rFonts w:hint="eastAsia" w:ascii="宋体" w:hAnsi="宋体" w:eastAsia="宋体" w:cs="宋体"/>
          <w:color w:val="000000"/>
          <w:sz w:val="21"/>
          <w:szCs w:val="21"/>
          <w:highlight w:val="none"/>
          <w:u w:val="single"/>
        </w:rPr>
        <w:t>按通用条款1.6.5条执行</w:t>
      </w:r>
      <w:r>
        <w:rPr>
          <w:rFonts w:hint="eastAsia" w:ascii="宋体" w:hAnsi="宋体" w:eastAsia="宋体" w:cs="宋体"/>
          <w:color w:val="000000"/>
          <w:sz w:val="21"/>
          <w:szCs w:val="21"/>
          <w:highlight w:val="none"/>
        </w:rPr>
        <w:t>。</w:t>
      </w:r>
    </w:p>
    <w:p w14:paraId="1F0CC6EC">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23" w:name="_Toc373227698"/>
      <w:bookmarkStart w:id="124" w:name="_Toc373478345"/>
      <w:bookmarkStart w:id="125" w:name="_Toc389065264"/>
      <w:bookmarkStart w:id="126" w:name="_Toc11291"/>
      <w:r>
        <w:rPr>
          <w:rFonts w:hint="eastAsia" w:ascii="宋体" w:hAnsi="宋体" w:eastAsia="宋体" w:cs="宋体"/>
          <w:color w:val="000000"/>
          <w:sz w:val="21"/>
          <w:szCs w:val="21"/>
          <w:highlight w:val="none"/>
        </w:rPr>
        <w:t>1.7 联络</w:t>
      </w:r>
      <w:bookmarkEnd w:id="123"/>
      <w:bookmarkEnd w:id="124"/>
      <w:bookmarkEnd w:id="125"/>
      <w:bookmarkEnd w:id="126"/>
    </w:p>
    <w:p w14:paraId="59C72A5E">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1.7.1发包人和承包人应当在</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u w:val="single"/>
          <w:lang w:val="en-US" w:eastAsia="zh-CN"/>
        </w:rPr>
        <w:t>3</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天内将与合同有关的通知、批准、证明、证书、指示、指令、要求、请求、同意、意见、确定和决定等书面函件送达对方当事人。</w:t>
      </w:r>
    </w:p>
    <w:p w14:paraId="1D2E82EF">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1.7.2 发包人接收文件的地点：</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u w:val="single"/>
          <w:lang w:val="en-US" w:eastAsia="zh-CN"/>
        </w:rPr>
        <w:t>发包人指定地点</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rPr>
        <w:t>；</w:t>
      </w:r>
    </w:p>
    <w:p w14:paraId="316B7B4D">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发包人指定的接收人为：</w:t>
      </w:r>
      <w:r>
        <w:rPr>
          <w:rFonts w:hint="eastAsia" w:ascii="宋体" w:hAnsi="宋体" w:eastAsia="宋体" w:cs="宋体"/>
          <w:color w:val="000000"/>
          <w:sz w:val="21"/>
          <w:szCs w:val="21"/>
          <w:highlight w:val="none"/>
          <w:u w:val="single"/>
        </w:rPr>
        <w:t>业主代表（现场）    </w:t>
      </w:r>
      <w:r>
        <w:rPr>
          <w:rFonts w:hint="eastAsia" w:ascii="宋体" w:hAnsi="宋体" w:eastAsia="宋体" w:cs="宋体"/>
          <w:color w:val="000000"/>
          <w:sz w:val="21"/>
          <w:szCs w:val="21"/>
          <w:highlight w:val="none"/>
        </w:rPr>
        <w:t>。</w:t>
      </w:r>
    </w:p>
    <w:p w14:paraId="2472C56F">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承包人接收文件的地点：</w:t>
      </w:r>
      <w:r>
        <w:rPr>
          <w:rFonts w:hint="eastAsia" w:ascii="宋体" w:hAnsi="宋体" w:eastAsia="宋体" w:cs="宋体"/>
          <w:color w:val="000000"/>
          <w:sz w:val="21"/>
          <w:szCs w:val="21"/>
          <w:highlight w:val="none"/>
          <w:u w:val="single"/>
        </w:rPr>
        <w:t>承包人施工场地管理机构的办公地点</w:t>
      </w:r>
      <w:r>
        <w:rPr>
          <w:rFonts w:hint="eastAsia" w:ascii="宋体" w:hAnsi="宋体" w:eastAsia="宋体" w:cs="宋体"/>
          <w:color w:val="000000"/>
          <w:sz w:val="21"/>
          <w:szCs w:val="21"/>
          <w:highlight w:val="none"/>
        </w:rPr>
        <w:t>；</w:t>
      </w:r>
    </w:p>
    <w:p w14:paraId="64FE3D40">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承包人指定的接收人为：</w:t>
      </w:r>
      <w:r>
        <w:rPr>
          <w:rFonts w:hint="eastAsia" w:ascii="宋体" w:hAnsi="宋体" w:eastAsia="宋体" w:cs="宋体"/>
          <w:color w:val="000000"/>
          <w:sz w:val="21"/>
          <w:szCs w:val="21"/>
          <w:highlight w:val="none"/>
          <w:u w:val="single"/>
        </w:rPr>
        <w:t>项目经理或资料员</w:t>
      </w:r>
      <w:r>
        <w:rPr>
          <w:rFonts w:hint="eastAsia" w:ascii="宋体" w:hAnsi="宋体" w:eastAsia="宋体" w:cs="宋体"/>
          <w:color w:val="000000"/>
          <w:sz w:val="21"/>
          <w:szCs w:val="21"/>
          <w:highlight w:val="none"/>
        </w:rPr>
        <w:t>。</w:t>
      </w:r>
    </w:p>
    <w:p w14:paraId="3C7ED2FC">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监理人接收文件的地点：</w:t>
      </w:r>
      <w:r>
        <w:rPr>
          <w:rFonts w:hint="eastAsia" w:ascii="宋体" w:hAnsi="宋体" w:eastAsia="宋体" w:cs="宋体"/>
          <w:color w:val="000000"/>
          <w:sz w:val="21"/>
          <w:szCs w:val="21"/>
          <w:highlight w:val="none"/>
          <w:u w:val="single"/>
        </w:rPr>
        <w:t>施工现场监理人办公地点 </w:t>
      </w:r>
      <w:r>
        <w:rPr>
          <w:rFonts w:hint="eastAsia" w:ascii="宋体" w:hAnsi="宋体" w:eastAsia="宋体" w:cs="宋体"/>
          <w:color w:val="000000"/>
          <w:sz w:val="21"/>
          <w:szCs w:val="21"/>
          <w:highlight w:val="none"/>
        </w:rPr>
        <w:t>；</w:t>
      </w:r>
    </w:p>
    <w:p w14:paraId="7D77C21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监理人指定的接收人为：</w:t>
      </w:r>
      <w:r>
        <w:rPr>
          <w:rFonts w:hint="eastAsia" w:ascii="宋体" w:hAnsi="宋体" w:eastAsia="宋体" w:cs="宋体"/>
          <w:color w:val="000000"/>
          <w:sz w:val="21"/>
          <w:szCs w:val="21"/>
          <w:highlight w:val="none"/>
          <w:u w:val="single"/>
        </w:rPr>
        <w:t>总监理工程师或总监代表  </w:t>
      </w:r>
      <w:r>
        <w:rPr>
          <w:rFonts w:hint="eastAsia" w:ascii="宋体" w:hAnsi="宋体" w:eastAsia="宋体" w:cs="宋体"/>
          <w:color w:val="000000"/>
          <w:sz w:val="21"/>
          <w:szCs w:val="21"/>
          <w:highlight w:val="none"/>
        </w:rPr>
        <w:t>。</w:t>
      </w:r>
    </w:p>
    <w:p w14:paraId="52B6F4B6">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27" w:name="_Toc373478346"/>
      <w:bookmarkStart w:id="128" w:name="_Toc389065265"/>
      <w:bookmarkStart w:id="129" w:name="_Toc373227699"/>
      <w:bookmarkStart w:id="130" w:name="_Toc22269"/>
      <w:r>
        <w:rPr>
          <w:rFonts w:hint="eastAsia" w:ascii="宋体" w:hAnsi="宋体" w:eastAsia="宋体" w:cs="宋体"/>
          <w:color w:val="000000"/>
          <w:sz w:val="21"/>
          <w:szCs w:val="21"/>
          <w:highlight w:val="none"/>
        </w:rPr>
        <w:t>1.10 交通运输</w:t>
      </w:r>
      <w:bookmarkEnd w:id="127"/>
      <w:bookmarkEnd w:id="128"/>
      <w:bookmarkEnd w:id="129"/>
      <w:bookmarkEnd w:id="130"/>
    </w:p>
    <w:p w14:paraId="362F37DA">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bookmarkStart w:id="131" w:name="_Toc303539100"/>
      <w:bookmarkStart w:id="132" w:name="_Toc318581155"/>
      <w:bookmarkStart w:id="133" w:name="_Toc300934943"/>
      <w:bookmarkStart w:id="134" w:name="_Toc312677986"/>
      <w:bookmarkStart w:id="135" w:name="_Toc304295521"/>
      <w:r>
        <w:rPr>
          <w:rFonts w:hint="eastAsia" w:ascii="宋体" w:hAnsi="宋体" w:eastAsia="宋体" w:cs="宋体"/>
          <w:color w:val="000000"/>
          <w:sz w:val="21"/>
          <w:szCs w:val="21"/>
          <w:highlight w:val="none"/>
        </w:rPr>
        <w:t>.10.1 出入现场的权利</w:t>
      </w:r>
    </w:p>
    <w:p w14:paraId="29037DC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关于出入现场的权利的约定：</w:t>
      </w:r>
      <w:r>
        <w:rPr>
          <w:rFonts w:hint="eastAsia" w:ascii="宋体" w:hAnsi="宋体" w:eastAsia="宋体" w:cs="宋体"/>
          <w:color w:val="000000"/>
          <w:sz w:val="21"/>
          <w:szCs w:val="21"/>
          <w:highlight w:val="none"/>
          <w:u w:val="single"/>
        </w:rPr>
        <w:t>与施工无关的人员需出入现场须经承发包双方同意</w:t>
      </w:r>
      <w:r>
        <w:rPr>
          <w:rFonts w:hint="eastAsia" w:ascii="宋体" w:hAnsi="宋体" w:eastAsia="宋体" w:cs="宋体"/>
          <w:color w:val="000000"/>
          <w:sz w:val="21"/>
          <w:szCs w:val="21"/>
          <w:highlight w:val="none"/>
        </w:rPr>
        <w:t>。</w:t>
      </w:r>
    </w:p>
    <w:bookmarkEnd w:id="131"/>
    <w:bookmarkEnd w:id="132"/>
    <w:bookmarkEnd w:id="133"/>
    <w:bookmarkEnd w:id="134"/>
    <w:bookmarkEnd w:id="135"/>
    <w:p w14:paraId="67B6CD6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bookmarkStart w:id="136" w:name="_Toc300934944"/>
      <w:bookmarkStart w:id="137" w:name="_Toc318581156"/>
      <w:bookmarkStart w:id="138" w:name="_Toc312677987"/>
      <w:bookmarkStart w:id="139" w:name="_Toc304295522"/>
      <w:bookmarkStart w:id="140" w:name="_Toc303539101"/>
      <w:r>
        <w:rPr>
          <w:rFonts w:hint="eastAsia" w:ascii="宋体" w:hAnsi="宋体" w:eastAsia="宋体" w:cs="宋体"/>
          <w:color w:val="000000"/>
          <w:sz w:val="21"/>
          <w:szCs w:val="21"/>
          <w:highlight w:val="none"/>
        </w:rPr>
        <w:t>.10.3 场内交通</w:t>
      </w:r>
    </w:p>
    <w:p w14:paraId="2160C78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关于场外交通和场内交通的边界的约定：</w:t>
      </w:r>
      <w:r>
        <w:rPr>
          <w:rStyle w:val="16"/>
          <w:rFonts w:ascii="Calibri" w:hAnsi="Calibri" w:eastAsia="宋体" w:cs="Times New Roman"/>
          <w:color w:val="auto"/>
          <w:spacing w:val="0"/>
          <w:sz w:val="21"/>
          <w:szCs w:val="21"/>
          <w:u w:val="single" w:color="auto"/>
        </w:rPr>
        <w:t>施工现场封闭围挡范围以内为场内交通， 范围以</w:t>
      </w:r>
      <w:r>
        <w:rPr>
          <w:rStyle w:val="16"/>
          <w:rFonts w:hint="eastAsia" w:ascii="Calibri" w:hAnsi="Calibri" w:eastAsia="宋体" w:cs="Times New Roman"/>
          <w:color w:val="auto"/>
          <w:spacing w:val="0"/>
          <w:sz w:val="21"/>
          <w:szCs w:val="21"/>
          <w:u w:val="single" w:color="auto"/>
        </w:rPr>
        <w:t xml:space="preserve">外为场外交通 </w:t>
      </w:r>
      <w:r>
        <w:rPr>
          <w:rFonts w:hint="eastAsia" w:ascii="宋体" w:hAnsi="宋体" w:eastAsia="宋体" w:cs="宋体"/>
          <w:color w:val="000000"/>
          <w:sz w:val="21"/>
          <w:szCs w:val="21"/>
          <w:highlight w:val="none"/>
        </w:rPr>
        <w:t>。</w:t>
      </w:r>
    </w:p>
    <w:p w14:paraId="4EAD34A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关于发包人向承包人免费提供满足工程施工需要的场内道路和交通设施的约定：</w:t>
      </w:r>
      <w:r>
        <w:rPr>
          <w:rFonts w:hint="eastAsia" w:ascii="宋体" w:hAnsi="宋体" w:eastAsia="宋体" w:cs="宋体"/>
          <w:color w:val="000000"/>
          <w:sz w:val="21"/>
          <w:szCs w:val="21"/>
          <w:highlight w:val="none"/>
          <w:u w:val="single"/>
        </w:rPr>
        <w:t xml:space="preserve">由承包人根据现场实际自行考虑，费用自理  </w:t>
      </w:r>
      <w:r>
        <w:rPr>
          <w:rFonts w:hint="eastAsia" w:ascii="宋体" w:hAnsi="宋体" w:eastAsia="宋体" w:cs="宋体"/>
          <w:color w:val="000000"/>
          <w:sz w:val="21"/>
          <w:szCs w:val="21"/>
          <w:highlight w:val="none"/>
        </w:rPr>
        <w:t>。</w:t>
      </w:r>
      <w:bookmarkEnd w:id="136"/>
      <w:bookmarkEnd w:id="137"/>
      <w:bookmarkEnd w:id="138"/>
      <w:bookmarkEnd w:id="139"/>
      <w:bookmarkEnd w:id="140"/>
      <w:bookmarkStart w:id="141" w:name="_Toc318581157"/>
    </w:p>
    <w:p w14:paraId="1110447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1.10.4 超大件和超重件的运输</w:t>
      </w:r>
    </w:p>
    <w:p w14:paraId="39591DE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运输超大件或超重件所需的道路和桥梁临时加固改造费用和其他有关费用由</w:t>
      </w:r>
      <w:r>
        <w:rPr>
          <w:rFonts w:hint="eastAsia" w:ascii="宋体" w:hAnsi="宋体" w:eastAsia="宋体" w:cs="宋体"/>
          <w:color w:val="000000"/>
          <w:sz w:val="21"/>
          <w:szCs w:val="21"/>
          <w:highlight w:val="none"/>
          <w:u w:val="single"/>
        </w:rPr>
        <w:t xml:space="preserve"> 承包人 </w:t>
      </w:r>
      <w:r>
        <w:rPr>
          <w:rFonts w:hint="eastAsia" w:ascii="宋体" w:hAnsi="宋体" w:eastAsia="宋体" w:cs="宋体"/>
          <w:color w:val="000000"/>
          <w:sz w:val="21"/>
          <w:szCs w:val="21"/>
          <w:highlight w:val="none"/>
        </w:rPr>
        <w:t>承担。</w:t>
      </w:r>
    </w:p>
    <w:bookmarkEnd w:id="141"/>
    <w:p w14:paraId="039654B7">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42" w:name="_Toc373227700"/>
      <w:bookmarkStart w:id="143" w:name="_Toc14351"/>
      <w:bookmarkStart w:id="144" w:name="_Toc389065266"/>
      <w:bookmarkStart w:id="145" w:name="_Toc373478347"/>
      <w:r>
        <w:rPr>
          <w:rFonts w:hint="eastAsia" w:ascii="宋体" w:hAnsi="宋体" w:eastAsia="宋体" w:cs="宋体"/>
          <w:color w:val="000000"/>
          <w:sz w:val="21"/>
          <w:szCs w:val="21"/>
          <w:highlight w:val="none"/>
        </w:rPr>
        <w:t>1.11 知识产权</w:t>
      </w:r>
      <w:bookmarkEnd w:id="142"/>
      <w:bookmarkEnd w:id="143"/>
      <w:bookmarkEnd w:id="144"/>
      <w:bookmarkEnd w:id="145"/>
    </w:p>
    <w:p w14:paraId="4251F4A6">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1.11.1 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color w:val="000000"/>
          <w:sz w:val="21"/>
          <w:szCs w:val="21"/>
          <w:highlight w:val="none"/>
          <w:u w:val="single"/>
        </w:rPr>
        <w:t xml:space="preserve">属于发包人  </w:t>
      </w:r>
      <w:r>
        <w:rPr>
          <w:rFonts w:hint="eastAsia" w:ascii="宋体" w:hAnsi="宋体" w:eastAsia="宋体" w:cs="宋体"/>
          <w:color w:val="000000"/>
          <w:sz w:val="21"/>
          <w:szCs w:val="21"/>
          <w:highlight w:val="none"/>
        </w:rPr>
        <w:t>。</w:t>
      </w:r>
    </w:p>
    <w:p w14:paraId="0E9CE3F7">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关于发包人提供的上述文件的使用限制的要求：</w:t>
      </w:r>
      <w:r>
        <w:rPr>
          <w:rFonts w:hint="eastAsia" w:ascii="宋体" w:hAnsi="宋体" w:eastAsia="宋体" w:cs="宋体"/>
          <w:color w:val="000000"/>
          <w:sz w:val="21"/>
          <w:szCs w:val="21"/>
          <w:highlight w:val="none"/>
          <w:u w:val="single"/>
        </w:rPr>
        <w:t xml:space="preserve">  承包人可以为实现本合同目的而复制、使用此类文件，但不能用于与合同无关的其他事项，未经发包人同意，承包人不得为了合同以外的目的而复制、使用上述文件或将之提供给任何第三方  </w:t>
      </w:r>
      <w:r>
        <w:rPr>
          <w:rFonts w:hint="eastAsia" w:ascii="宋体" w:hAnsi="宋体" w:eastAsia="宋体" w:cs="宋体"/>
          <w:color w:val="000000"/>
          <w:sz w:val="21"/>
          <w:szCs w:val="21"/>
          <w:highlight w:val="none"/>
        </w:rPr>
        <w:t>。</w:t>
      </w:r>
    </w:p>
    <w:p w14:paraId="0EC8DF0F">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1.11.2 关于承包人为实施工程所编制文件的著作权的归属：</w:t>
      </w:r>
      <w:r>
        <w:rPr>
          <w:rFonts w:hint="eastAsia" w:ascii="宋体" w:hAnsi="宋体" w:eastAsia="宋体" w:cs="宋体"/>
          <w:color w:val="000000"/>
          <w:sz w:val="21"/>
          <w:szCs w:val="21"/>
          <w:highlight w:val="none"/>
          <w:u w:val="single"/>
        </w:rPr>
        <w:t xml:space="preserve"> 属于承包人   </w:t>
      </w:r>
      <w:r>
        <w:rPr>
          <w:rFonts w:hint="eastAsia" w:ascii="宋体" w:hAnsi="宋体" w:eastAsia="宋体" w:cs="宋体"/>
          <w:color w:val="000000"/>
          <w:sz w:val="21"/>
          <w:szCs w:val="21"/>
          <w:highlight w:val="none"/>
        </w:rPr>
        <w:t>。</w:t>
      </w:r>
    </w:p>
    <w:p w14:paraId="730314F7">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关于承包人提供的上述文件的使用限制的要求：</w:t>
      </w:r>
      <w:r>
        <w:rPr>
          <w:rFonts w:hint="eastAsia" w:ascii="宋体" w:hAnsi="宋体" w:eastAsia="宋体" w:cs="宋体"/>
          <w:color w:val="000000"/>
          <w:sz w:val="21"/>
          <w:szCs w:val="21"/>
          <w:highlight w:val="none"/>
          <w:u w:val="single"/>
        </w:rPr>
        <w:t>承包人可因实施工程的运行、调试、维修、改造等目的而复制、使用此类文件，但不能用于与合同无关的其他事项。未经发包人书面同意，承包人不得为了合同以外的目的而复制、使用上述文件或将之提供给任何第三方</w:t>
      </w:r>
      <w:r>
        <w:rPr>
          <w:rFonts w:hint="eastAsia" w:ascii="宋体" w:hAnsi="宋体" w:eastAsia="宋体" w:cs="宋体"/>
          <w:color w:val="000000"/>
          <w:sz w:val="21"/>
          <w:szCs w:val="21"/>
          <w:highlight w:val="none"/>
        </w:rPr>
        <w:t>。</w:t>
      </w:r>
    </w:p>
    <w:p w14:paraId="7620803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1.11.4 承包人在施工过程中所采用的专利、专有技术、技术秘密的使用费的承担方式：</w:t>
      </w:r>
      <w:r>
        <w:rPr>
          <w:rFonts w:hint="eastAsia" w:ascii="宋体" w:hAnsi="宋体" w:eastAsia="宋体" w:cs="宋体"/>
          <w:color w:val="000000"/>
          <w:sz w:val="21"/>
          <w:szCs w:val="21"/>
          <w:highlight w:val="none"/>
          <w:u w:val="single"/>
        </w:rPr>
        <w:t xml:space="preserve">承包人在合同签订前和签订时已确定采用的专利、专有技术、技术秘密的使用费已包含在签约合同价中。（由承包人承担） </w:t>
      </w:r>
      <w:r>
        <w:rPr>
          <w:rFonts w:hint="eastAsia" w:ascii="宋体" w:hAnsi="宋体" w:eastAsia="宋体" w:cs="宋体"/>
          <w:color w:val="000000"/>
          <w:sz w:val="21"/>
          <w:szCs w:val="21"/>
          <w:highlight w:val="none"/>
        </w:rPr>
        <w:t>。</w:t>
      </w:r>
    </w:p>
    <w:p w14:paraId="26AF4505">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46" w:name="_Toc23074"/>
      <w:bookmarkStart w:id="147" w:name="_Toc389065267"/>
      <w:bookmarkStart w:id="148" w:name="_Toc373478348"/>
      <w:bookmarkStart w:id="149" w:name="_Toc373227701"/>
      <w:r>
        <w:rPr>
          <w:rFonts w:hint="eastAsia" w:ascii="宋体" w:hAnsi="宋体" w:eastAsia="宋体" w:cs="宋体"/>
          <w:color w:val="000000"/>
          <w:sz w:val="21"/>
          <w:szCs w:val="21"/>
          <w:highlight w:val="none"/>
        </w:rPr>
        <w:t>1.13工程量清单错误的修正</w:t>
      </w:r>
      <w:bookmarkEnd w:id="146"/>
      <w:bookmarkEnd w:id="147"/>
      <w:bookmarkEnd w:id="148"/>
      <w:bookmarkEnd w:id="149"/>
    </w:p>
    <w:p w14:paraId="1CD0D37D">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出现工程量清单工程量偏差时，是否调整合同价格：</w:t>
      </w:r>
      <w:r>
        <w:rPr>
          <w:rFonts w:hint="eastAsia" w:ascii="宋体" w:hAnsi="宋体" w:eastAsia="宋体" w:cs="宋体"/>
          <w:color w:val="000000"/>
          <w:sz w:val="21"/>
          <w:szCs w:val="21"/>
          <w:highlight w:val="none"/>
          <w:u w:val="single"/>
        </w:rPr>
        <w:t xml:space="preserve">□是     </w:t>
      </w:r>
      <w:r>
        <w:rPr>
          <w:rFonts w:hint="eastAsia" w:ascii="宋体" w:hAnsi="宋体" w:eastAsia="宋体" w:cs="宋体"/>
          <w:color w:val="000000"/>
          <w:sz w:val="21"/>
          <w:szCs w:val="21"/>
          <w:highlight w:val="none"/>
          <w:u w:val="single"/>
        </w:rPr>
        <w:sym w:font="Wingdings 2" w:char="0052"/>
      </w:r>
      <w:r>
        <w:rPr>
          <w:rFonts w:hint="eastAsia" w:ascii="宋体" w:hAnsi="宋体" w:eastAsia="宋体" w:cs="宋体"/>
          <w:color w:val="000000"/>
          <w:sz w:val="21"/>
          <w:szCs w:val="21"/>
          <w:highlight w:val="none"/>
          <w:u w:val="single"/>
        </w:rPr>
        <w:t>否</w:t>
      </w:r>
      <w:r>
        <w:rPr>
          <w:rFonts w:hint="eastAsia" w:ascii="宋体" w:hAnsi="宋体" w:eastAsia="宋体" w:cs="宋体"/>
          <w:color w:val="000000"/>
          <w:sz w:val="21"/>
          <w:szCs w:val="21"/>
          <w:highlight w:val="none"/>
        </w:rPr>
        <w:t>。</w:t>
      </w:r>
    </w:p>
    <w:p w14:paraId="476F885D">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允许调整合同价格的工程量偏差范围及其调整办法：</w:t>
      </w:r>
    </w:p>
    <w:p w14:paraId="7E058C58">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u w:val="single"/>
        </w:rPr>
        <w:t xml:space="preserve"> 除严重不平衡报价外，无论分部分项工程量清单项目中的工程量变化多少均不调整                 </w:t>
      </w:r>
      <w:r>
        <w:rPr>
          <w:rFonts w:hint="eastAsia" w:ascii="宋体" w:hAnsi="宋体" w:eastAsia="宋体" w:cs="宋体"/>
          <w:color w:val="000000"/>
          <w:sz w:val="21"/>
          <w:szCs w:val="21"/>
          <w:highlight w:val="none"/>
        </w:rPr>
        <w:t>。</w:t>
      </w:r>
    </w:p>
    <w:p w14:paraId="24167495">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u w:val="single"/>
        </w:rPr>
        <w:t>承包人实际完成的某单项清单项目工程量与招标工程量清单工程量偏差超过    %且该单项清单造价超过合同总价  %以上的，超过后增加部分工程量或减少后剩余部分工程量的综合单价按以下方法调整：                                    。</w:t>
      </w:r>
    </w:p>
    <w:p w14:paraId="7121B624">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50" w:name="_Toc373478349"/>
      <w:bookmarkStart w:id="151" w:name="_Toc9409"/>
      <w:bookmarkStart w:id="152" w:name="_Toc351203634"/>
      <w:bookmarkStart w:id="153" w:name="_Toc373227702"/>
      <w:bookmarkStart w:id="154" w:name="_Toc389065268"/>
      <w:r>
        <w:rPr>
          <w:rFonts w:hint="eastAsia" w:ascii="宋体" w:hAnsi="宋体" w:eastAsia="宋体" w:cs="宋体"/>
          <w:color w:val="000000"/>
          <w:sz w:val="21"/>
          <w:szCs w:val="21"/>
          <w:highlight w:val="none"/>
        </w:rPr>
        <w:t>2</w:t>
      </w:r>
      <w:bookmarkStart w:id="155" w:name="_Toc297048343"/>
      <w:bookmarkStart w:id="156" w:name="_Toc292559867"/>
      <w:bookmarkStart w:id="157" w:name="_Toc296346658"/>
      <w:bookmarkStart w:id="158" w:name="_Toc296891197"/>
      <w:bookmarkStart w:id="159" w:name="_Toc297120457"/>
      <w:bookmarkStart w:id="160" w:name="_Toc296503157"/>
      <w:bookmarkStart w:id="161" w:name="_Toc292559362"/>
      <w:bookmarkStart w:id="162" w:name="_Toc296890985"/>
      <w:bookmarkStart w:id="163" w:name="_Toc296347156"/>
      <w:bookmarkStart w:id="164" w:name="_Toc296944496"/>
      <w:r>
        <w:rPr>
          <w:rFonts w:hint="eastAsia" w:ascii="宋体" w:hAnsi="宋体" w:eastAsia="宋体" w:cs="宋体"/>
          <w:color w:val="000000"/>
          <w:sz w:val="21"/>
          <w:szCs w:val="21"/>
          <w:highlight w:val="none"/>
        </w:rPr>
        <w:t>. 发包人</w:t>
      </w:r>
      <w:bookmarkEnd w:id="150"/>
      <w:bookmarkEnd w:id="151"/>
      <w:bookmarkEnd w:id="152"/>
      <w:bookmarkEnd w:id="153"/>
      <w:bookmarkEnd w:id="154"/>
    </w:p>
    <w:bookmarkEnd w:id="155"/>
    <w:bookmarkEnd w:id="156"/>
    <w:bookmarkEnd w:id="157"/>
    <w:bookmarkEnd w:id="158"/>
    <w:bookmarkEnd w:id="159"/>
    <w:bookmarkEnd w:id="160"/>
    <w:bookmarkEnd w:id="161"/>
    <w:bookmarkEnd w:id="162"/>
    <w:bookmarkEnd w:id="163"/>
    <w:bookmarkEnd w:id="164"/>
    <w:p w14:paraId="6E457004">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65" w:name="_Toc28751"/>
      <w:bookmarkStart w:id="166" w:name="_Toc373478350"/>
      <w:bookmarkStart w:id="167" w:name="_Toc373227703"/>
      <w:bookmarkStart w:id="168" w:name="_Toc389065269"/>
      <w:r>
        <w:rPr>
          <w:rFonts w:hint="eastAsia" w:ascii="宋体" w:hAnsi="宋体" w:eastAsia="宋体" w:cs="宋体"/>
          <w:color w:val="000000"/>
          <w:sz w:val="21"/>
          <w:szCs w:val="21"/>
          <w:highlight w:val="none"/>
        </w:rPr>
        <w:t>2.2 发包人代表</w:t>
      </w:r>
      <w:bookmarkEnd w:id="165"/>
      <w:bookmarkEnd w:id="166"/>
      <w:bookmarkEnd w:id="167"/>
      <w:bookmarkEnd w:id="168"/>
    </w:p>
    <w:p w14:paraId="4E8C88BF">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发包人代表：</w:t>
      </w:r>
    </w:p>
    <w:p w14:paraId="40AFAB3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姓    名：</w:t>
      </w:r>
      <w:r>
        <w:rPr>
          <w:rFonts w:hint="eastAsia" w:ascii="宋体" w:hAnsi="宋体" w:eastAsia="宋体" w:cs="宋体"/>
          <w:color w:val="000000"/>
          <w:sz w:val="21"/>
          <w:szCs w:val="21"/>
          <w:highlight w:val="none"/>
          <w:u w:val="single"/>
        </w:rPr>
        <w:t>     </w:t>
      </w:r>
      <w:r>
        <w:rPr>
          <w:rFonts w:hint="eastAsia" w:ascii="宋体" w:hAnsi="宋体" w:eastAsia="宋体" w:cs="宋体"/>
          <w:color w:val="000000"/>
          <w:sz w:val="21"/>
          <w:szCs w:val="21"/>
          <w:highlight w:val="none"/>
        </w:rPr>
        <w:t>；</w:t>
      </w:r>
    </w:p>
    <w:p w14:paraId="4284EA23">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身份证号：</w:t>
      </w:r>
      <w:r>
        <w:rPr>
          <w:rFonts w:hint="eastAsia" w:ascii="宋体" w:hAnsi="宋体" w:eastAsia="宋体" w:cs="宋体"/>
          <w:color w:val="000000"/>
          <w:sz w:val="21"/>
          <w:szCs w:val="21"/>
          <w:highlight w:val="none"/>
          <w:u w:val="single"/>
        </w:rPr>
        <w:t>      </w:t>
      </w:r>
      <w:r>
        <w:rPr>
          <w:rFonts w:hint="eastAsia" w:ascii="宋体" w:hAnsi="宋体" w:eastAsia="宋体" w:cs="宋体"/>
          <w:color w:val="000000"/>
          <w:sz w:val="21"/>
          <w:szCs w:val="21"/>
          <w:highlight w:val="none"/>
        </w:rPr>
        <w:t>；</w:t>
      </w:r>
    </w:p>
    <w:p w14:paraId="75C99DFB">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职    务：</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568A4979">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联系电话：</w:t>
      </w:r>
      <w:r>
        <w:rPr>
          <w:rFonts w:hint="eastAsia" w:ascii="宋体" w:hAnsi="宋体" w:eastAsia="宋体" w:cs="宋体"/>
          <w:color w:val="000000"/>
          <w:sz w:val="21"/>
          <w:szCs w:val="21"/>
          <w:highlight w:val="none"/>
          <w:u w:val="single"/>
        </w:rPr>
        <w:t>     </w:t>
      </w:r>
      <w:r>
        <w:rPr>
          <w:rFonts w:hint="eastAsia" w:ascii="宋体" w:hAnsi="宋体" w:eastAsia="宋体" w:cs="宋体"/>
          <w:color w:val="000000"/>
          <w:sz w:val="21"/>
          <w:szCs w:val="21"/>
          <w:highlight w:val="none"/>
        </w:rPr>
        <w:t>；</w:t>
      </w:r>
    </w:p>
    <w:p w14:paraId="0858B836">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电子信箱：</w:t>
      </w:r>
      <w:r>
        <w:rPr>
          <w:rFonts w:hint="eastAsia" w:ascii="宋体" w:hAnsi="宋体" w:eastAsia="宋体" w:cs="宋体"/>
          <w:color w:val="000000"/>
          <w:sz w:val="21"/>
          <w:szCs w:val="21"/>
          <w:highlight w:val="none"/>
          <w:u w:val="single"/>
        </w:rPr>
        <w:t>     </w:t>
      </w:r>
      <w:r>
        <w:rPr>
          <w:rFonts w:hint="eastAsia" w:ascii="宋体" w:hAnsi="宋体" w:eastAsia="宋体" w:cs="宋体"/>
          <w:color w:val="000000"/>
          <w:sz w:val="21"/>
          <w:szCs w:val="21"/>
          <w:highlight w:val="none"/>
        </w:rPr>
        <w:t>；</w:t>
      </w:r>
    </w:p>
    <w:p w14:paraId="7591E0F8">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通信地址：</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66E2AF60">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发包人对发包人代表的授权范围如下：</w:t>
      </w:r>
      <w:r>
        <w:rPr>
          <w:rFonts w:hint="eastAsia" w:ascii="宋体" w:hAnsi="宋体" w:eastAsia="宋体" w:cs="宋体"/>
          <w:color w:val="000000"/>
          <w:sz w:val="21"/>
          <w:szCs w:val="21"/>
          <w:highlight w:val="none"/>
          <w:u w:val="single"/>
        </w:rPr>
        <w:t>负责处理合同履行过程中与发包人有关的事宜：对本工程质量、工期、进度、安全、文明施工及材料和设备进场进行监督检查；对涉及工期延长、设计变更、现场收方及签证、已完工程量报告、竣工结算报告等影响工程造价的相关事项作出处理；办理中间交工、工程验收手续；审核工程进度报表、督促监理工程师行使职权以及协调施工现场各方面的关系</w:t>
      </w:r>
      <w:r>
        <w:rPr>
          <w:rFonts w:hint="eastAsia" w:ascii="宋体" w:hAnsi="宋体" w:eastAsia="宋体" w:cs="宋体"/>
          <w:color w:val="000000"/>
          <w:sz w:val="21"/>
          <w:szCs w:val="21"/>
          <w:highlight w:val="none"/>
        </w:rPr>
        <w:t>。</w:t>
      </w:r>
    </w:p>
    <w:p w14:paraId="7F21145B">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69" w:name="_Toc373478351"/>
      <w:bookmarkStart w:id="170" w:name="_Toc389065270"/>
      <w:bookmarkStart w:id="171" w:name="_Toc373227704"/>
      <w:bookmarkStart w:id="172" w:name="_Toc4499"/>
      <w:r>
        <w:rPr>
          <w:rFonts w:hint="eastAsia" w:ascii="宋体" w:hAnsi="宋体" w:eastAsia="宋体" w:cs="宋体"/>
          <w:color w:val="000000"/>
          <w:sz w:val="21"/>
          <w:szCs w:val="21"/>
          <w:highlight w:val="none"/>
        </w:rPr>
        <w:t>2.4 施工现场、施工条件和基础资料的提供</w:t>
      </w:r>
      <w:bookmarkEnd w:id="169"/>
      <w:bookmarkEnd w:id="170"/>
      <w:bookmarkEnd w:id="171"/>
      <w:bookmarkEnd w:id="172"/>
    </w:p>
    <w:p w14:paraId="72CD39B9">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2.4.1 提供施工现场</w:t>
      </w:r>
    </w:p>
    <w:p w14:paraId="05230DF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关于发包人移交施工现场的期限要求：</w:t>
      </w:r>
      <w:r>
        <w:rPr>
          <w:rFonts w:hint="eastAsia" w:ascii="宋体" w:hAnsi="宋体" w:eastAsia="宋体" w:cs="宋体"/>
          <w:color w:val="000000"/>
          <w:sz w:val="21"/>
          <w:szCs w:val="21"/>
          <w:highlight w:val="none"/>
          <w:u w:val="single"/>
        </w:rPr>
        <w:t xml:space="preserve">无 </w:t>
      </w:r>
      <w:r>
        <w:rPr>
          <w:rFonts w:hint="eastAsia" w:ascii="宋体" w:hAnsi="宋体" w:eastAsia="宋体" w:cs="宋体"/>
          <w:color w:val="000000"/>
          <w:sz w:val="21"/>
          <w:szCs w:val="21"/>
          <w:highlight w:val="none"/>
        </w:rPr>
        <w:t>。</w:t>
      </w:r>
    </w:p>
    <w:p w14:paraId="7F3E2010">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2.4.2 提供施工条件</w:t>
      </w:r>
    </w:p>
    <w:p w14:paraId="1133492B">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关于发包人应负责提供施工所需要的条件，包括：</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2ACE5B0A">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73" w:name="_Toc373227705"/>
      <w:bookmarkStart w:id="174" w:name="_Toc389065271"/>
      <w:bookmarkStart w:id="175" w:name="_Toc20337"/>
      <w:bookmarkStart w:id="176" w:name="_Toc373478352"/>
      <w:r>
        <w:rPr>
          <w:rFonts w:hint="eastAsia" w:ascii="宋体" w:hAnsi="宋体" w:eastAsia="宋体" w:cs="宋体"/>
          <w:color w:val="000000"/>
          <w:sz w:val="21"/>
          <w:szCs w:val="21"/>
          <w:highlight w:val="none"/>
        </w:rPr>
        <w:t>2.5 资金来源证明及支付担保</w:t>
      </w:r>
      <w:bookmarkEnd w:id="173"/>
      <w:bookmarkEnd w:id="174"/>
      <w:bookmarkEnd w:id="175"/>
      <w:bookmarkEnd w:id="176"/>
    </w:p>
    <w:p w14:paraId="24BDAC7D">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发包人提供资金来源证明的期限要求：</w:t>
      </w:r>
      <w:r>
        <w:rPr>
          <w:rFonts w:hint="eastAsia" w:ascii="宋体" w:hAnsi="宋体" w:eastAsia="宋体" w:cs="宋体"/>
          <w:color w:val="000000"/>
          <w:sz w:val="21"/>
          <w:szCs w:val="21"/>
          <w:highlight w:val="none"/>
          <w:u w:val="single"/>
        </w:rPr>
        <w:t xml:space="preserve">无    </w:t>
      </w:r>
      <w:r>
        <w:rPr>
          <w:rFonts w:hint="eastAsia" w:ascii="宋体" w:hAnsi="宋体" w:eastAsia="宋体" w:cs="宋体"/>
          <w:color w:val="000000"/>
          <w:sz w:val="21"/>
          <w:szCs w:val="21"/>
          <w:highlight w:val="none"/>
        </w:rPr>
        <w:t>。</w:t>
      </w:r>
    </w:p>
    <w:p w14:paraId="0A5149A4">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发包人是否提供支付担保：</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u w:val="single"/>
          <w:lang w:val="en-US" w:eastAsia="zh-CN"/>
        </w:rPr>
        <w:t>否</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6B8DD9A6">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发包人提供支付担保的形式：</w:t>
      </w:r>
      <w:r>
        <w:rPr>
          <w:rFonts w:hint="eastAsia" w:ascii="宋体" w:hAnsi="宋体" w:eastAsia="宋体" w:cs="宋体"/>
          <w:color w:val="000000"/>
          <w:sz w:val="21"/>
          <w:szCs w:val="21"/>
          <w:highlight w:val="none"/>
          <w:u w:val="single"/>
        </w:rPr>
        <w:t>无 </w:t>
      </w:r>
      <w:r>
        <w:rPr>
          <w:rFonts w:hint="eastAsia" w:ascii="宋体" w:hAnsi="宋体" w:eastAsia="宋体" w:cs="宋体"/>
          <w:color w:val="000000"/>
          <w:sz w:val="21"/>
          <w:szCs w:val="21"/>
          <w:highlight w:val="none"/>
        </w:rPr>
        <w:t>。</w:t>
      </w:r>
    </w:p>
    <w:p w14:paraId="462E60C5">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77" w:name="_Toc26761"/>
      <w:bookmarkStart w:id="178" w:name="_Toc389065272"/>
      <w:bookmarkStart w:id="179" w:name="_Toc373227706"/>
      <w:bookmarkStart w:id="180" w:name="_Toc373478353"/>
      <w:bookmarkStart w:id="181" w:name="_Toc351203635"/>
      <w:r>
        <w:rPr>
          <w:rFonts w:hint="eastAsia" w:ascii="宋体" w:hAnsi="宋体" w:eastAsia="宋体" w:cs="宋体"/>
          <w:color w:val="000000"/>
          <w:sz w:val="21"/>
          <w:szCs w:val="21"/>
          <w:highlight w:val="none"/>
        </w:rPr>
        <w:t>3</w:t>
      </w:r>
      <w:bookmarkStart w:id="182" w:name="_Toc296346659"/>
      <w:bookmarkStart w:id="183" w:name="_Toc296347157"/>
      <w:bookmarkStart w:id="184" w:name="_Toc296503158"/>
      <w:bookmarkStart w:id="185" w:name="_Toc296944497"/>
      <w:bookmarkStart w:id="186" w:name="_Toc296891198"/>
      <w:bookmarkStart w:id="187" w:name="_Toc292559868"/>
      <w:bookmarkStart w:id="188" w:name="_Toc296890986"/>
      <w:bookmarkStart w:id="189" w:name="_Toc292559363"/>
      <w:bookmarkStart w:id="190" w:name="_Toc297120458"/>
      <w:bookmarkStart w:id="191" w:name="_Toc297048344"/>
      <w:r>
        <w:rPr>
          <w:rFonts w:hint="eastAsia" w:ascii="宋体" w:hAnsi="宋体" w:eastAsia="宋体" w:cs="宋体"/>
          <w:color w:val="000000"/>
          <w:sz w:val="21"/>
          <w:szCs w:val="21"/>
          <w:highlight w:val="none"/>
        </w:rPr>
        <w:t>. 承包人</w:t>
      </w:r>
      <w:bookmarkEnd w:id="177"/>
      <w:bookmarkEnd w:id="178"/>
      <w:bookmarkEnd w:id="179"/>
      <w:bookmarkEnd w:id="180"/>
      <w:bookmarkEnd w:id="181"/>
    </w:p>
    <w:bookmarkEnd w:id="182"/>
    <w:bookmarkEnd w:id="183"/>
    <w:bookmarkEnd w:id="184"/>
    <w:bookmarkEnd w:id="185"/>
    <w:bookmarkEnd w:id="186"/>
    <w:bookmarkEnd w:id="187"/>
    <w:bookmarkEnd w:id="188"/>
    <w:bookmarkEnd w:id="189"/>
    <w:bookmarkEnd w:id="190"/>
    <w:bookmarkEnd w:id="191"/>
    <w:p w14:paraId="40B6A47F">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92" w:name="_Toc15899"/>
      <w:bookmarkStart w:id="193" w:name="_Toc389065273"/>
      <w:bookmarkStart w:id="194" w:name="_Toc373227707"/>
      <w:bookmarkStart w:id="195" w:name="_Toc373478354"/>
      <w:r>
        <w:rPr>
          <w:rFonts w:hint="eastAsia" w:ascii="宋体" w:hAnsi="宋体" w:eastAsia="宋体" w:cs="宋体"/>
          <w:color w:val="000000"/>
          <w:sz w:val="21"/>
          <w:szCs w:val="21"/>
          <w:highlight w:val="none"/>
        </w:rPr>
        <w:t>3.1 承包人的一般义务</w:t>
      </w:r>
      <w:bookmarkEnd w:id="192"/>
      <w:bookmarkEnd w:id="193"/>
      <w:bookmarkEnd w:id="194"/>
      <w:bookmarkEnd w:id="195"/>
    </w:p>
    <w:p w14:paraId="638DF1A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（9）承包人提交的竣工资料的内容：</w:t>
      </w:r>
    </w:p>
    <w:p w14:paraId="41F7F5B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u w:val="single"/>
        </w:rPr>
        <w:t xml:space="preserve">  按照法律规定和合同约定编制的竣工资料，符合工程所在地建设行政主管部门和（或）城市建设档案管理机构有关施工资料的要求，并立卷及归档   </w:t>
      </w:r>
      <w:r>
        <w:rPr>
          <w:rFonts w:hint="eastAsia" w:ascii="宋体" w:hAnsi="宋体" w:eastAsia="宋体" w:cs="宋体"/>
          <w:color w:val="000000"/>
          <w:sz w:val="21"/>
          <w:szCs w:val="21"/>
          <w:highlight w:val="none"/>
        </w:rPr>
        <w:t>。</w:t>
      </w:r>
    </w:p>
    <w:p w14:paraId="1C20DDD8">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承包人需要提交的竣工资料套数：</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壹式</w:t>
      </w:r>
      <w:r>
        <w:rPr>
          <w:rFonts w:hint="eastAsia" w:ascii="宋体" w:hAnsi="宋体" w:eastAsia="宋体" w:cs="宋体"/>
          <w:color w:val="000000"/>
          <w:sz w:val="21"/>
          <w:szCs w:val="21"/>
          <w:highlight w:val="none"/>
          <w:u w:val="single"/>
        </w:rPr>
        <w:t xml:space="preserve">肆套   </w:t>
      </w:r>
      <w:r>
        <w:rPr>
          <w:rFonts w:hint="eastAsia" w:ascii="宋体" w:hAnsi="宋体" w:eastAsia="宋体" w:cs="宋体"/>
          <w:color w:val="000000"/>
          <w:sz w:val="21"/>
          <w:szCs w:val="21"/>
          <w:highlight w:val="none"/>
        </w:rPr>
        <w:t>。</w:t>
      </w:r>
    </w:p>
    <w:p w14:paraId="2AF1A174">
      <w:pPr>
        <w:pageBreakBefore w:val="0"/>
        <w:kinsoku/>
        <w:overflowPunct/>
        <w:topLinePunct w:val="0"/>
        <w:bidi w:val="0"/>
        <w:spacing w:line="360" w:lineRule="auto"/>
        <w:ind w:left="424" w:leftChars="202"/>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承包人提交的竣工资料的费用承担：</w:t>
      </w:r>
      <w:r>
        <w:rPr>
          <w:rFonts w:hint="eastAsia" w:ascii="宋体" w:hAnsi="宋体" w:eastAsia="宋体" w:cs="宋体"/>
          <w:color w:val="000000"/>
          <w:sz w:val="21"/>
          <w:szCs w:val="21"/>
          <w:highlight w:val="none"/>
          <w:u w:val="single"/>
        </w:rPr>
        <w:t xml:space="preserve">  由承包人承担  </w:t>
      </w:r>
      <w:r>
        <w:rPr>
          <w:rFonts w:hint="eastAsia" w:ascii="宋体" w:hAnsi="宋体" w:eastAsia="宋体" w:cs="宋体"/>
          <w:color w:val="000000"/>
          <w:sz w:val="21"/>
          <w:szCs w:val="21"/>
          <w:highlight w:val="none"/>
        </w:rPr>
        <w:t>。</w:t>
      </w:r>
    </w:p>
    <w:p w14:paraId="3F3A7DAD">
      <w:pPr>
        <w:pageBreakBefore w:val="0"/>
        <w:kinsoku/>
        <w:overflowPunct/>
        <w:topLinePunct w:val="0"/>
        <w:bidi w:val="0"/>
        <w:spacing w:line="360" w:lineRule="auto"/>
        <w:ind w:left="424" w:leftChars="202"/>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承包人提交的竣工资料移交时间：</w:t>
      </w:r>
      <w:r>
        <w:rPr>
          <w:rFonts w:hint="eastAsia" w:ascii="宋体" w:hAnsi="宋体" w:eastAsia="宋体" w:cs="宋体"/>
          <w:color w:val="000000"/>
          <w:sz w:val="21"/>
          <w:szCs w:val="21"/>
          <w:highlight w:val="none"/>
          <w:u w:val="single"/>
        </w:rPr>
        <w:t xml:space="preserve">  经过验收合格后</w:t>
      </w:r>
      <w:r>
        <w:rPr>
          <w:rFonts w:hint="eastAsia" w:ascii="宋体" w:hAnsi="宋体" w:eastAsia="宋体" w:cs="宋体"/>
          <w:color w:val="000000"/>
          <w:sz w:val="21"/>
          <w:szCs w:val="21"/>
          <w:highlight w:val="none"/>
          <w:u w:val="single"/>
          <w:lang w:val="en-US" w:eastAsia="zh-CN"/>
        </w:rPr>
        <w:t>30日历天</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141FD65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承包人提交的竣工资料形式要求：</w:t>
      </w:r>
      <w:r>
        <w:rPr>
          <w:rFonts w:hint="eastAsia" w:ascii="宋体" w:hAnsi="宋体" w:eastAsia="宋体" w:cs="宋体"/>
          <w:color w:val="000000"/>
          <w:sz w:val="21"/>
          <w:szCs w:val="21"/>
          <w:highlight w:val="none"/>
          <w:u w:val="single"/>
        </w:rPr>
        <w:t xml:space="preserve">  书面及电子文档  </w:t>
      </w:r>
      <w:r>
        <w:rPr>
          <w:rFonts w:hint="eastAsia" w:ascii="宋体" w:hAnsi="宋体" w:eastAsia="宋体" w:cs="宋体"/>
          <w:color w:val="000000"/>
          <w:sz w:val="21"/>
          <w:szCs w:val="21"/>
          <w:highlight w:val="none"/>
        </w:rPr>
        <w:t>。</w:t>
      </w:r>
    </w:p>
    <w:p w14:paraId="17A1499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（10）承包人应履行的其他义务：</w:t>
      </w:r>
      <w:r>
        <w:rPr>
          <w:rStyle w:val="16"/>
          <w:rFonts w:hint="eastAsia" w:ascii="宋体" w:hAnsi="宋体" w:eastAsia="宋体" w:cs="宋体"/>
          <w:color w:val="auto"/>
          <w:spacing w:val="0"/>
          <w:sz w:val="21"/>
          <w:szCs w:val="21"/>
          <w:u w:val="single" w:color="auto"/>
        </w:rPr>
        <w:t>1）协调处理施工场地内及场地周围地下管线和邻近市政公用物、构筑物（含文物保护市政公用）、古树名木的保护工作。 2）充分考虑工地现场的周围环境、交通道路、现场条件、施工图纸、施工组织设计、施工技术措施、安全文明施工措施等因素，应积极做好综合组织和协调，负责解决施工扰民问题和民扰问题。 3）对于施工过程中有需发包人配合完成的工作，承包人应提前足够时间通知发包人。 4)承包人须在发包人提供的土地红线、用林范围内施工，超出范围造成被处罚的所有责任和费用由承包人承担。施工区内临时设施、水电管线安装和保养，施工现场内地下管线和临近市政公用物、构筑物及临街交通要道、人行道的保护，所产生的费用由承包人负担。因承包人防护不力而发生事故，相关责任和费用由承包人承担。承包人施工完毕后，对所破坏的公共设施、劳动成果及道路应修复原貌，若承包人无能力或未在规定的时间内修复，由发包人代为修复， 费用由承包人承担，在工程款中相应核减。 5) 承包人须在现场踏勘的基础上充分考虑场内临时道路的施工维护， 并在合同总价中包含。6) 承包人应在工程开工之前按项目当地人力资源和社会保障局的规定将农民工工资保障金存入指定账户。7) 本项目的取土场、弃土场所需手续和费用由承包人承担，发包人提供协助</w:t>
      </w:r>
      <w:r>
        <w:rPr>
          <w:rFonts w:hint="eastAsia" w:ascii="宋体" w:hAnsi="宋体" w:eastAsia="宋体" w:cs="宋体"/>
          <w:color w:val="000000"/>
          <w:sz w:val="21"/>
          <w:szCs w:val="21"/>
          <w:highlight w:val="none"/>
        </w:rPr>
        <w:t>。</w:t>
      </w:r>
    </w:p>
    <w:p w14:paraId="1C5E799B">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196" w:name="_Toc389065274"/>
      <w:bookmarkStart w:id="197" w:name="_Toc20483"/>
      <w:bookmarkStart w:id="198" w:name="_Toc373227708"/>
      <w:bookmarkStart w:id="199" w:name="_Toc373478355"/>
      <w:r>
        <w:rPr>
          <w:rFonts w:hint="eastAsia" w:ascii="宋体" w:hAnsi="宋体" w:eastAsia="宋体" w:cs="宋体"/>
          <w:color w:val="000000"/>
          <w:sz w:val="21"/>
          <w:szCs w:val="21"/>
          <w:highlight w:val="none"/>
        </w:rPr>
        <w:t>3.2 项目经理</w:t>
      </w:r>
      <w:bookmarkEnd w:id="196"/>
      <w:bookmarkEnd w:id="197"/>
      <w:bookmarkEnd w:id="198"/>
      <w:bookmarkEnd w:id="199"/>
    </w:p>
    <w:p w14:paraId="1146B9AB">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3.2.1 项目经理：</w:t>
      </w:r>
    </w:p>
    <w:p w14:paraId="17227287">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姓    名：</w:t>
      </w:r>
      <w:r>
        <w:rPr>
          <w:rFonts w:hint="eastAsia" w:ascii="宋体" w:hAnsi="宋体" w:eastAsia="宋体" w:cs="宋体"/>
          <w:color w:val="000000"/>
          <w:sz w:val="21"/>
          <w:szCs w:val="21"/>
          <w:highlight w:val="none"/>
          <w:u w:val="single"/>
        </w:rPr>
        <w:t>         </w:t>
      </w:r>
      <w:r>
        <w:rPr>
          <w:rFonts w:hint="eastAsia" w:ascii="宋体" w:hAnsi="宋体" w:eastAsia="宋体" w:cs="宋体"/>
          <w:color w:val="000000"/>
          <w:sz w:val="21"/>
          <w:szCs w:val="21"/>
          <w:highlight w:val="none"/>
        </w:rPr>
        <w:t>；</w:t>
      </w:r>
    </w:p>
    <w:p w14:paraId="758F2843">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身份证号：</w:t>
      </w:r>
      <w:r>
        <w:rPr>
          <w:rFonts w:hint="eastAsia" w:ascii="宋体" w:hAnsi="宋体" w:eastAsia="宋体" w:cs="宋体"/>
          <w:color w:val="000000"/>
          <w:sz w:val="21"/>
          <w:szCs w:val="21"/>
          <w:highlight w:val="none"/>
          <w:u w:val="single"/>
        </w:rPr>
        <w:t>         </w:t>
      </w:r>
      <w:r>
        <w:rPr>
          <w:rFonts w:hint="eastAsia" w:ascii="宋体" w:hAnsi="宋体" w:eastAsia="宋体" w:cs="宋体"/>
          <w:color w:val="000000"/>
          <w:sz w:val="21"/>
          <w:szCs w:val="21"/>
          <w:highlight w:val="none"/>
        </w:rPr>
        <w:t>；</w:t>
      </w:r>
    </w:p>
    <w:p w14:paraId="47A6A11B">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建造师执业资格等级：</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336839B5">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建造师注册证书号：</w:t>
      </w:r>
      <w:r>
        <w:rPr>
          <w:rFonts w:hint="eastAsia" w:ascii="宋体" w:hAnsi="宋体" w:eastAsia="宋体" w:cs="宋体"/>
          <w:color w:val="000000"/>
          <w:sz w:val="21"/>
          <w:szCs w:val="21"/>
          <w:highlight w:val="none"/>
          <w:u w:val="single"/>
        </w:rPr>
        <w:t> </w:t>
      </w:r>
      <w:r>
        <w:rPr>
          <w:rFonts w:hint="eastAsia" w:ascii="宋体" w:hAnsi="宋体" w:eastAsia="宋体" w:cs="宋体"/>
          <w:color w:val="000000"/>
          <w:sz w:val="21"/>
          <w:szCs w:val="21"/>
          <w:highlight w:val="none"/>
        </w:rPr>
        <w:t>；</w:t>
      </w:r>
    </w:p>
    <w:p w14:paraId="0AE83CA0">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建造师执业印章号：</w:t>
      </w:r>
      <w:r>
        <w:rPr>
          <w:rFonts w:hint="eastAsia" w:ascii="宋体" w:hAnsi="宋体" w:eastAsia="宋体" w:cs="宋体"/>
          <w:color w:val="000000"/>
          <w:sz w:val="21"/>
          <w:szCs w:val="21"/>
          <w:highlight w:val="none"/>
          <w:u w:val="single"/>
        </w:rPr>
        <w:t> </w:t>
      </w:r>
      <w:r>
        <w:rPr>
          <w:rFonts w:hint="eastAsia" w:ascii="宋体" w:hAnsi="宋体" w:eastAsia="宋体" w:cs="宋体"/>
          <w:color w:val="000000"/>
          <w:sz w:val="21"/>
          <w:szCs w:val="21"/>
          <w:highlight w:val="none"/>
        </w:rPr>
        <w:t>；</w:t>
      </w:r>
    </w:p>
    <w:p w14:paraId="56CE5DC2">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安全生产考核合格证书号：</w:t>
      </w:r>
      <w:r>
        <w:rPr>
          <w:rFonts w:hint="eastAsia" w:ascii="宋体" w:hAnsi="宋体" w:eastAsia="宋体" w:cs="宋体"/>
          <w:color w:val="000000"/>
          <w:sz w:val="21"/>
          <w:szCs w:val="21"/>
          <w:highlight w:val="none"/>
          <w:u w:val="single"/>
        </w:rPr>
        <w:t> </w:t>
      </w:r>
      <w:r>
        <w:rPr>
          <w:rFonts w:hint="eastAsia" w:ascii="宋体" w:hAnsi="宋体" w:eastAsia="宋体" w:cs="宋体"/>
          <w:color w:val="000000"/>
          <w:sz w:val="21"/>
          <w:szCs w:val="21"/>
          <w:highlight w:val="none"/>
        </w:rPr>
        <w:t>；</w:t>
      </w:r>
    </w:p>
    <w:p w14:paraId="0DB77B4A">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联系电话：</w:t>
      </w:r>
      <w:r>
        <w:rPr>
          <w:rFonts w:hint="eastAsia" w:ascii="宋体" w:hAnsi="宋体" w:eastAsia="宋体" w:cs="宋体"/>
          <w:color w:val="000000"/>
          <w:sz w:val="21"/>
          <w:szCs w:val="21"/>
          <w:highlight w:val="none"/>
          <w:u w:val="single"/>
        </w:rPr>
        <w:t>         </w:t>
      </w:r>
      <w:r>
        <w:rPr>
          <w:rFonts w:hint="eastAsia" w:ascii="宋体" w:hAnsi="宋体" w:eastAsia="宋体" w:cs="宋体"/>
          <w:color w:val="000000"/>
          <w:sz w:val="21"/>
          <w:szCs w:val="21"/>
          <w:highlight w:val="none"/>
        </w:rPr>
        <w:t>；</w:t>
      </w:r>
    </w:p>
    <w:p w14:paraId="51BDBD22">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电子信箱：</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1D8837C4">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通信地址：</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1CFB6159">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承包人对项目经理的授权范围如下：</w:t>
      </w:r>
      <w:r>
        <w:rPr>
          <w:rFonts w:hint="eastAsia" w:ascii="宋体" w:hAnsi="宋体" w:eastAsia="宋体" w:cs="宋体"/>
          <w:color w:val="000000"/>
          <w:sz w:val="21"/>
          <w:szCs w:val="21"/>
          <w:highlight w:val="none"/>
          <w:u w:val="single"/>
        </w:rPr>
        <w:t xml:space="preserve">  全面负责施工前期准备和施工过程中的安全、质量、进度管理及相关技术文件的确认。项目经理和项目部管理人员未经承包人书面授权及委托的不得以承包人名义向外赊购材料、借款、租用建筑周转材料、雇佣劳动力、签订分包合同等一切为承包人创设债权或债务的行为    </w:t>
      </w:r>
      <w:r>
        <w:rPr>
          <w:rFonts w:hint="eastAsia" w:ascii="宋体" w:hAnsi="宋体" w:eastAsia="宋体" w:cs="宋体"/>
          <w:color w:val="000000"/>
          <w:sz w:val="21"/>
          <w:szCs w:val="21"/>
          <w:highlight w:val="none"/>
        </w:rPr>
        <w:t>。</w:t>
      </w:r>
    </w:p>
    <w:p w14:paraId="31A08A0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关于项目经理每月在施工现场的时间要求：</w:t>
      </w:r>
      <w:r>
        <w:rPr>
          <w:rFonts w:hint="eastAsia" w:ascii="宋体" w:hAnsi="宋体" w:eastAsia="宋体" w:cs="宋体"/>
          <w:color w:val="000000"/>
          <w:sz w:val="21"/>
          <w:szCs w:val="21"/>
          <w:highlight w:val="none"/>
          <w:u w:val="single"/>
        </w:rPr>
        <w:t xml:space="preserve"> 不得少于施工时间的80%</w:t>
      </w:r>
      <w:r>
        <w:rPr>
          <w:rFonts w:hint="eastAsia" w:ascii="宋体" w:hAnsi="宋体" w:eastAsia="宋体" w:cs="宋体"/>
          <w:color w:val="000000"/>
          <w:sz w:val="21"/>
          <w:szCs w:val="21"/>
          <w:highlight w:val="none"/>
        </w:rPr>
        <w:t>。</w:t>
      </w:r>
    </w:p>
    <w:p w14:paraId="4185CE5B">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承包人未提交劳动合同，以及没有为项目经理缴纳社会保险证明的违约责任：</w:t>
      </w:r>
      <w:r>
        <w:rPr>
          <w:rFonts w:hint="eastAsia" w:ascii="宋体" w:hAnsi="宋体" w:eastAsia="宋体" w:cs="宋体"/>
          <w:color w:val="000000"/>
          <w:sz w:val="21"/>
          <w:szCs w:val="21"/>
          <w:highlight w:val="none"/>
          <w:u w:val="single"/>
        </w:rPr>
        <w:t>承包人应向发包人支付 5</w:t>
      </w:r>
      <w:r>
        <w:rPr>
          <w:rFonts w:hint="eastAsia" w:ascii="宋体" w:hAnsi="宋体" w:eastAsia="宋体" w:cs="宋体"/>
          <w:color w:val="000000"/>
          <w:sz w:val="21"/>
          <w:szCs w:val="21"/>
          <w:highlight w:val="none"/>
          <w:u w:val="single"/>
          <w:lang w:val="en-US" w:eastAsia="zh-CN"/>
        </w:rPr>
        <w:t>000</w:t>
      </w:r>
      <w:r>
        <w:rPr>
          <w:rFonts w:hint="eastAsia" w:ascii="宋体" w:hAnsi="宋体" w:eastAsia="宋体" w:cs="宋体"/>
          <w:color w:val="000000"/>
          <w:sz w:val="21"/>
          <w:szCs w:val="21"/>
          <w:highlight w:val="none"/>
          <w:u w:val="single"/>
        </w:rPr>
        <w:t xml:space="preserve">元的违约金，发包人有权责令承包人限期提交劳动合同并补缴社会保险，如逾期不提交劳动合同或不补缴社会保险的，视为承包人违约，承包人应从发包人责令其提交合同或补缴社会保险（以先出现的时间为准）之日起，按 1000元/天的标准向发包人支付违约金   </w:t>
      </w:r>
      <w:r>
        <w:rPr>
          <w:rFonts w:hint="eastAsia" w:ascii="宋体" w:hAnsi="宋体" w:eastAsia="宋体" w:cs="宋体"/>
          <w:color w:val="000000"/>
          <w:sz w:val="21"/>
          <w:szCs w:val="21"/>
          <w:highlight w:val="none"/>
        </w:rPr>
        <w:t>。</w:t>
      </w:r>
    </w:p>
    <w:p w14:paraId="183DE084">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项目经理未经批准，擅自离开施工现场的违约责任：</w:t>
      </w:r>
      <w:r>
        <w:rPr>
          <w:rFonts w:hint="eastAsia" w:ascii="宋体" w:hAnsi="宋体" w:eastAsia="宋体" w:cs="宋体"/>
          <w:color w:val="000000"/>
          <w:sz w:val="21"/>
          <w:szCs w:val="21"/>
          <w:highlight w:val="none"/>
          <w:u w:val="single"/>
        </w:rPr>
        <w:t xml:space="preserve">项目经理每月在岗带班时间不得少于当月施工时间的80%。未经发包人同意或正当理由，项目经理每月在岗带班时间少于当月施工时间80%的，少在岗带班一天，发包人有权处违约金 </w:t>
      </w:r>
      <w:r>
        <w:rPr>
          <w:rFonts w:hint="eastAsia" w:ascii="宋体" w:hAnsi="宋体" w:eastAsia="宋体" w:cs="宋体"/>
          <w:color w:val="000000"/>
          <w:sz w:val="21"/>
          <w:szCs w:val="21"/>
          <w:highlight w:val="none"/>
          <w:u w:val="single"/>
          <w:lang w:val="en-US" w:eastAsia="zh-CN"/>
        </w:rPr>
        <w:t>500</w:t>
      </w:r>
      <w:r>
        <w:rPr>
          <w:rFonts w:hint="eastAsia" w:ascii="宋体" w:hAnsi="宋体" w:eastAsia="宋体" w:cs="宋体"/>
          <w:color w:val="000000"/>
          <w:sz w:val="21"/>
          <w:szCs w:val="21"/>
          <w:highlight w:val="none"/>
          <w:u w:val="single"/>
        </w:rPr>
        <w:t xml:space="preserve">元/日（人民币）  </w:t>
      </w:r>
      <w:r>
        <w:rPr>
          <w:rFonts w:hint="eastAsia" w:ascii="宋体" w:hAnsi="宋体" w:eastAsia="宋体" w:cs="宋体"/>
          <w:color w:val="000000"/>
          <w:sz w:val="21"/>
          <w:szCs w:val="21"/>
          <w:highlight w:val="none"/>
        </w:rPr>
        <w:t>。</w:t>
      </w:r>
    </w:p>
    <w:p w14:paraId="1DE8CB9E">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3.2.3 承包人擅自更换项目经理的违约责任：</w:t>
      </w:r>
      <w:r>
        <w:rPr>
          <w:rFonts w:hint="eastAsia" w:ascii="宋体" w:hAnsi="宋体" w:eastAsia="宋体" w:cs="宋体"/>
          <w:color w:val="000000"/>
          <w:sz w:val="21"/>
          <w:szCs w:val="21"/>
          <w:highlight w:val="none"/>
          <w:u w:val="single"/>
        </w:rPr>
        <w:t>承包人项目经理必须与承包人投标时所承诺的人员一致，并在开工日期</w:t>
      </w:r>
      <w:r>
        <w:rPr>
          <w:rFonts w:hint="eastAsia" w:ascii="宋体" w:hAnsi="宋体" w:eastAsia="宋体" w:cs="宋体"/>
          <w:color w:val="000000"/>
          <w:sz w:val="21"/>
          <w:szCs w:val="21"/>
          <w:highlight w:val="none"/>
          <w:u w:val="single"/>
          <w:lang w:val="en-US" w:eastAsia="zh-CN"/>
        </w:rPr>
        <w:t>10天</w:t>
      </w:r>
      <w:r>
        <w:rPr>
          <w:rFonts w:hint="eastAsia" w:ascii="宋体" w:hAnsi="宋体" w:eastAsia="宋体" w:cs="宋体"/>
          <w:color w:val="000000"/>
          <w:sz w:val="21"/>
          <w:szCs w:val="21"/>
          <w:highlight w:val="none"/>
          <w:u w:val="single"/>
        </w:rPr>
        <w:t>前到任。在监理人向承包人颁发竣工验收合格证书前，项目经理不得同时兼任其他任何项目的项目经理（符合桂建管﹝2013﹞17号和桂建管﹝2014﹞25号文除外）。未经发包人书面同意，承包人擅自更换项目经理的视为违约，发包人有权上报建设行政主管部门并</w:t>
      </w:r>
      <w:r>
        <w:rPr>
          <w:rFonts w:hint="eastAsia" w:ascii="宋体" w:hAnsi="宋体" w:eastAsia="宋体" w:cs="宋体"/>
          <w:color w:val="000000"/>
          <w:sz w:val="21"/>
          <w:szCs w:val="21"/>
          <w:highlight w:val="none"/>
          <w:u w:val="single"/>
          <w:lang w:val="en-US" w:eastAsia="zh-CN"/>
        </w:rPr>
        <w:t>按</w:t>
      </w:r>
      <w:r>
        <w:rPr>
          <w:rFonts w:hint="eastAsia" w:ascii="宋体" w:hAnsi="宋体" w:eastAsia="宋体" w:cs="宋体"/>
          <w:color w:val="000000"/>
          <w:sz w:val="21"/>
          <w:szCs w:val="21"/>
          <w:highlight w:val="none"/>
          <w:u w:val="single"/>
        </w:rPr>
        <w:t>有关规定处罚</w:t>
      </w:r>
      <w:r>
        <w:rPr>
          <w:rFonts w:hint="eastAsia" w:ascii="宋体" w:hAnsi="宋体" w:eastAsia="宋体" w:cs="宋体"/>
          <w:color w:val="000000"/>
          <w:sz w:val="21"/>
          <w:szCs w:val="21"/>
          <w:highlight w:val="none"/>
        </w:rPr>
        <w:t>。</w:t>
      </w:r>
    </w:p>
    <w:p w14:paraId="64818F30">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3.2.4 承包人无正当理由拒绝更换项目经理的违约责任：</w:t>
      </w:r>
      <w:r>
        <w:rPr>
          <w:rFonts w:hint="eastAsia" w:ascii="宋体" w:hAnsi="宋体" w:eastAsia="宋体" w:cs="宋体"/>
          <w:color w:val="000000"/>
          <w:sz w:val="21"/>
          <w:szCs w:val="21"/>
          <w:highlight w:val="none"/>
          <w:u w:val="single"/>
        </w:rPr>
        <w:t>因承包人项目经理不称职，发包人要求调换而未及时调换的，视为承包人违约，发包人有权上报建设行政主管部门并</w:t>
      </w:r>
      <w:r>
        <w:rPr>
          <w:rFonts w:hint="eastAsia" w:ascii="宋体" w:hAnsi="宋体" w:eastAsia="宋体" w:cs="宋体"/>
          <w:color w:val="000000"/>
          <w:sz w:val="21"/>
          <w:szCs w:val="21"/>
          <w:highlight w:val="none"/>
          <w:u w:val="single"/>
          <w:lang w:val="en-US" w:eastAsia="zh-CN"/>
        </w:rPr>
        <w:t>按</w:t>
      </w:r>
      <w:r>
        <w:rPr>
          <w:rFonts w:hint="eastAsia" w:ascii="宋体" w:hAnsi="宋体" w:eastAsia="宋体" w:cs="宋体"/>
          <w:color w:val="000000"/>
          <w:sz w:val="21"/>
          <w:szCs w:val="21"/>
          <w:highlight w:val="none"/>
          <w:u w:val="single"/>
        </w:rPr>
        <w:t>有关规定处罚</w:t>
      </w:r>
      <w:r>
        <w:rPr>
          <w:rFonts w:hint="eastAsia" w:ascii="宋体" w:hAnsi="宋体" w:eastAsia="宋体" w:cs="宋体"/>
          <w:color w:val="000000"/>
          <w:sz w:val="21"/>
          <w:szCs w:val="21"/>
          <w:highlight w:val="none"/>
        </w:rPr>
        <w:t>。</w:t>
      </w:r>
    </w:p>
    <w:p w14:paraId="69F46293">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00" w:name="_Toc373478356"/>
      <w:bookmarkStart w:id="201" w:name="_Toc17124"/>
      <w:bookmarkStart w:id="202" w:name="_Toc373227709"/>
      <w:bookmarkStart w:id="203" w:name="_Toc389065275"/>
      <w:r>
        <w:rPr>
          <w:rFonts w:hint="eastAsia" w:ascii="宋体" w:hAnsi="宋体" w:eastAsia="宋体" w:cs="宋体"/>
          <w:color w:val="000000"/>
          <w:sz w:val="21"/>
          <w:szCs w:val="21"/>
          <w:highlight w:val="none"/>
        </w:rPr>
        <w:t>3.3 承包人人员</w:t>
      </w:r>
      <w:bookmarkEnd w:id="200"/>
      <w:bookmarkEnd w:id="201"/>
      <w:bookmarkEnd w:id="202"/>
      <w:bookmarkEnd w:id="203"/>
    </w:p>
    <w:p w14:paraId="5283E82C">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3.3.1 承包人提交项目管理机构及施工现场管理人员安排报告的期限：</w:t>
      </w:r>
      <w:r>
        <w:rPr>
          <w:rFonts w:hint="eastAsia" w:ascii="宋体" w:hAnsi="宋体" w:eastAsia="宋体" w:cs="宋体"/>
          <w:color w:val="000000"/>
          <w:sz w:val="21"/>
          <w:szCs w:val="21"/>
          <w:highlight w:val="none"/>
          <w:u w:val="single"/>
        </w:rPr>
        <w:t xml:space="preserve"> 拟投入本项目管理机构及施工现场管理人员必须与承包人投标时所承诺的人员一致，开工前</w:t>
      </w:r>
      <w:r>
        <w:rPr>
          <w:rFonts w:hint="eastAsia" w:ascii="宋体" w:hAnsi="宋体" w:eastAsia="宋体" w:cs="宋体"/>
          <w:color w:val="000000"/>
          <w:sz w:val="21"/>
          <w:szCs w:val="21"/>
          <w:highlight w:val="none"/>
          <w:u w:val="single"/>
          <w:lang w:val="en-US" w:eastAsia="zh-CN"/>
        </w:rPr>
        <w:t>7个工作日</w:t>
      </w:r>
      <w:r>
        <w:rPr>
          <w:rFonts w:hint="eastAsia" w:ascii="宋体" w:hAnsi="宋体" w:eastAsia="宋体" w:cs="宋体"/>
          <w:color w:val="000000"/>
          <w:sz w:val="21"/>
          <w:szCs w:val="21"/>
          <w:highlight w:val="none"/>
          <w:u w:val="single"/>
        </w:rPr>
        <w:t xml:space="preserve">提交  </w:t>
      </w:r>
      <w:r>
        <w:rPr>
          <w:rFonts w:hint="eastAsia" w:ascii="宋体" w:hAnsi="宋体" w:eastAsia="宋体" w:cs="宋体"/>
          <w:color w:val="000000"/>
          <w:sz w:val="21"/>
          <w:szCs w:val="21"/>
          <w:highlight w:val="none"/>
        </w:rPr>
        <w:t>。</w:t>
      </w:r>
    </w:p>
    <w:p w14:paraId="202D5DEB">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3.3.3 承包人无正当理由拒绝撤换主要施工管理人员的违约责任：</w:t>
      </w:r>
      <w:r>
        <w:rPr>
          <w:rFonts w:hint="eastAsia" w:ascii="宋体" w:hAnsi="宋体" w:eastAsia="宋体" w:cs="宋体"/>
          <w:color w:val="000000"/>
          <w:sz w:val="21"/>
          <w:szCs w:val="21"/>
          <w:highlight w:val="none"/>
          <w:u w:val="single"/>
        </w:rPr>
        <w:t>因承包人主要施工管理人员不称职，发包人要求调换而无正当理由拒绝撤换或未及时调换的，视为承包人违约，必须向发包人交纳处罚金，处罚标准：技术负责人</w:t>
      </w:r>
      <w:r>
        <w:rPr>
          <w:rFonts w:hint="eastAsia" w:ascii="宋体" w:hAnsi="宋体" w:eastAsia="宋体" w:cs="宋体"/>
          <w:color w:val="000000"/>
          <w:sz w:val="21"/>
          <w:szCs w:val="21"/>
          <w:highlight w:val="none"/>
          <w:u w:val="single"/>
          <w:lang w:val="en-US" w:eastAsia="zh-CN"/>
        </w:rPr>
        <w:t>1000</w:t>
      </w:r>
      <w:r>
        <w:rPr>
          <w:rFonts w:hint="eastAsia" w:ascii="宋体" w:hAnsi="宋体" w:eastAsia="宋体" w:cs="宋体"/>
          <w:color w:val="000000"/>
          <w:sz w:val="21"/>
          <w:szCs w:val="21"/>
          <w:highlight w:val="none"/>
          <w:u w:val="single"/>
        </w:rPr>
        <w:t>元/人•次（人民币）；专业工程师</w:t>
      </w:r>
      <w:r>
        <w:rPr>
          <w:rFonts w:hint="eastAsia" w:ascii="宋体" w:hAnsi="宋体" w:eastAsia="宋体" w:cs="宋体"/>
          <w:color w:val="000000"/>
          <w:sz w:val="21"/>
          <w:szCs w:val="21"/>
          <w:highlight w:val="none"/>
          <w:u w:val="single"/>
          <w:lang w:val="en-US" w:eastAsia="zh-CN"/>
        </w:rPr>
        <w:t>800</w:t>
      </w:r>
      <w:r>
        <w:rPr>
          <w:rFonts w:hint="eastAsia" w:ascii="宋体" w:hAnsi="宋体" w:eastAsia="宋体" w:cs="宋体"/>
          <w:color w:val="000000"/>
          <w:sz w:val="21"/>
          <w:szCs w:val="21"/>
          <w:highlight w:val="none"/>
          <w:u w:val="single"/>
        </w:rPr>
        <w:t>元/人•次（人民币）</w:t>
      </w:r>
      <w:r>
        <w:rPr>
          <w:rFonts w:hint="eastAsia" w:ascii="宋体" w:hAnsi="宋体" w:eastAsia="宋体" w:cs="宋体"/>
          <w:color w:val="000000"/>
          <w:sz w:val="21"/>
          <w:szCs w:val="21"/>
          <w:highlight w:val="none"/>
        </w:rPr>
        <w:t>。</w:t>
      </w:r>
    </w:p>
    <w:p w14:paraId="37DC40CD">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3.3.4 承包人主要施工管理人员离开施工现场的批准要求：</w:t>
      </w:r>
      <w:r>
        <w:rPr>
          <w:rFonts w:hint="eastAsia" w:ascii="宋体" w:hAnsi="宋体" w:eastAsia="宋体" w:cs="宋体"/>
          <w:color w:val="000000"/>
          <w:sz w:val="21"/>
          <w:szCs w:val="21"/>
          <w:highlight w:val="none"/>
          <w:u w:val="single"/>
        </w:rPr>
        <w:t xml:space="preserve">  经项目业主批准同意方能离开  </w:t>
      </w:r>
      <w:r>
        <w:rPr>
          <w:rFonts w:hint="eastAsia" w:ascii="宋体" w:hAnsi="宋体" w:eastAsia="宋体" w:cs="宋体"/>
          <w:color w:val="000000"/>
          <w:sz w:val="21"/>
          <w:szCs w:val="21"/>
          <w:highlight w:val="none"/>
        </w:rPr>
        <w:t>。</w:t>
      </w:r>
    </w:p>
    <w:p w14:paraId="098B562C">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3.3.5 承包人擅自更换主要施工管理人员的违约责任：</w:t>
      </w:r>
      <w:r>
        <w:rPr>
          <w:rFonts w:hint="eastAsia" w:ascii="宋体" w:hAnsi="宋体" w:eastAsia="宋体" w:cs="宋体"/>
          <w:color w:val="000000"/>
          <w:sz w:val="21"/>
          <w:szCs w:val="21"/>
          <w:highlight w:val="none"/>
          <w:u w:val="single"/>
        </w:rPr>
        <w:t>项目技术负责人、专职安全员及其承诺的其它在场管理人员未经发包人书面同意不准擅自更换，擅自更换项目技术负责人处10000元/人•次（人民币）违约金；擅自更换专职安全员处</w:t>
      </w:r>
      <w:r>
        <w:rPr>
          <w:rFonts w:hint="eastAsia" w:ascii="宋体" w:hAnsi="宋体" w:eastAsia="宋体" w:cs="宋体"/>
          <w:color w:val="000000"/>
          <w:sz w:val="21"/>
          <w:szCs w:val="21"/>
          <w:highlight w:val="none"/>
          <w:u w:val="single"/>
          <w:lang w:val="en-US" w:eastAsia="zh-CN"/>
        </w:rPr>
        <w:t>5</w:t>
      </w:r>
      <w:r>
        <w:rPr>
          <w:rFonts w:hint="eastAsia" w:ascii="宋体" w:hAnsi="宋体" w:eastAsia="宋体" w:cs="宋体"/>
          <w:color w:val="000000"/>
          <w:sz w:val="21"/>
          <w:szCs w:val="21"/>
          <w:highlight w:val="none"/>
          <w:u w:val="single"/>
        </w:rPr>
        <w:t>000元/人•次（人民币）违约金；擅自更换其它在场管理人员处500元/人•次（人民币）违约金</w:t>
      </w:r>
      <w:r>
        <w:rPr>
          <w:rFonts w:hint="eastAsia" w:ascii="宋体" w:hAnsi="宋体" w:eastAsia="宋体" w:cs="宋体"/>
          <w:color w:val="000000"/>
          <w:sz w:val="21"/>
          <w:szCs w:val="21"/>
          <w:highlight w:val="none"/>
        </w:rPr>
        <w:t>。</w:t>
      </w:r>
    </w:p>
    <w:p w14:paraId="732F2FA6">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承包人主要施工管理人员擅自离开施工现场的违约责任：</w:t>
      </w:r>
      <w:r>
        <w:rPr>
          <w:rFonts w:hint="eastAsia" w:ascii="宋体" w:hAnsi="宋体" w:eastAsia="宋体" w:cs="宋体"/>
          <w:color w:val="000000"/>
          <w:sz w:val="21"/>
          <w:szCs w:val="21"/>
          <w:highlight w:val="none"/>
          <w:u w:val="single"/>
        </w:rPr>
        <w:t>未经发包人同意，项目技术负责人擅自离岗的，视为承包人违约，发包人有权上报建设行政主管部门并</w:t>
      </w:r>
      <w:r>
        <w:rPr>
          <w:rFonts w:hint="eastAsia" w:ascii="宋体" w:hAnsi="宋体" w:eastAsia="宋体" w:cs="宋体"/>
          <w:color w:val="000000"/>
          <w:sz w:val="21"/>
          <w:szCs w:val="21"/>
          <w:highlight w:val="none"/>
          <w:u w:val="single"/>
          <w:lang w:val="en-US" w:eastAsia="zh-CN"/>
        </w:rPr>
        <w:t>按</w:t>
      </w:r>
      <w:r>
        <w:rPr>
          <w:rFonts w:hint="eastAsia" w:ascii="宋体" w:hAnsi="宋体" w:eastAsia="宋体" w:cs="宋体"/>
          <w:color w:val="000000"/>
          <w:sz w:val="21"/>
          <w:szCs w:val="21"/>
          <w:highlight w:val="none"/>
          <w:u w:val="single"/>
        </w:rPr>
        <w:t>有关规定处罚；未经发包人同意，专职安全员擅自离岗的，视为承包人违约，发包人有权上报建设行政主管部门并</w:t>
      </w:r>
      <w:r>
        <w:rPr>
          <w:rFonts w:hint="eastAsia" w:ascii="宋体" w:hAnsi="宋体" w:eastAsia="宋体" w:cs="宋体"/>
          <w:color w:val="000000"/>
          <w:sz w:val="21"/>
          <w:szCs w:val="21"/>
          <w:highlight w:val="none"/>
          <w:u w:val="single"/>
          <w:lang w:val="en-US" w:eastAsia="zh-CN"/>
        </w:rPr>
        <w:t>按</w:t>
      </w:r>
      <w:r>
        <w:rPr>
          <w:rFonts w:hint="eastAsia" w:ascii="宋体" w:hAnsi="宋体" w:eastAsia="宋体" w:cs="宋体"/>
          <w:color w:val="000000"/>
          <w:sz w:val="21"/>
          <w:szCs w:val="21"/>
          <w:highlight w:val="none"/>
          <w:u w:val="single"/>
        </w:rPr>
        <w:t>有关规定处罚；其它在场管理人员擅自离岗的，视为承包人违约，发包人有权上报建设行政主管部门并</w:t>
      </w:r>
      <w:r>
        <w:rPr>
          <w:rFonts w:hint="eastAsia" w:ascii="宋体" w:hAnsi="宋体" w:eastAsia="宋体" w:cs="宋体"/>
          <w:color w:val="000000"/>
          <w:sz w:val="21"/>
          <w:szCs w:val="21"/>
          <w:highlight w:val="none"/>
          <w:u w:val="single"/>
          <w:lang w:val="en-US" w:eastAsia="zh-CN"/>
        </w:rPr>
        <w:t>按</w:t>
      </w:r>
      <w:r>
        <w:rPr>
          <w:rFonts w:hint="eastAsia" w:ascii="宋体" w:hAnsi="宋体" w:eastAsia="宋体" w:cs="宋体"/>
          <w:color w:val="000000"/>
          <w:sz w:val="21"/>
          <w:szCs w:val="21"/>
          <w:highlight w:val="none"/>
          <w:u w:val="single"/>
        </w:rPr>
        <w:t>有关规定处罚</w:t>
      </w:r>
      <w:r>
        <w:rPr>
          <w:rFonts w:hint="eastAsia" w:ascii="宋体" w:hAnsi="宋体" w:eastAsia="宋体" w:cs="宋体"/>
          <w:color w:val="000000"/>
          <w:sz w:val="21"/>
          <w:szCs w:val="21"/>
          <w:highlight w:val="none"/>
        </w:rPr>
        <w:t>。</w:t>
      </w:r>
    </w:p>
    <w:p w14:paraId="272B2E3A">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04" w:name="_Toc373227710"/>
      <w:bookmarkStart w:id="205" w:name="_Toc389065276"/>
      <w:bookmarkStart w:id="206" w:name="_Toc373478357"/>
      <w:bookmarkStart w:id="207" w:name="_Toc3880"/>
      <w:r>
        <w:rPr>
          <w:rFonts w:hint="eastAsia" w:ascii="宋体" w:hAnsi="宋体" w:eastAsia="宋体" w:cs="宋体"/>
          <w:color w:val="000000"/>
          <w:sz w:val="21"/>
          <w:szCs w:val="21"/>
          <w:highlight w:val="none"/>
        </w:rPr>
        <w:t>3</w:t>
      </w:r>
      <w:bookmarkStart w:id="208" w:name="_Toc300934945"/>
      <w:bookmarkStart w:id="209" w:name="_Toc296346660"/>
      <w:bookmarkStart w:id="210" w:name="_Toc296891199"/>
      <w:bookmarkStart w:id="211" w:name="_Toc304295523"/>
      <w:bookmarkStart w:id="212" w:name="_Toc292559364"/>
      <w:bookmarkStart w:id="213" w:name="_Toc297123492"/>
      <w:bookmarkStart w:id="214" w:name="_Toc312677988"/>
      <w:bookmarkStart w:id="215" w:name="_Toc297120459"/>
      <w:bookmarkStart w:id="216" w:name="_Toc296944498"/>
      <w:bookmarkStart w:id="217" w:name="_Toc303539102"/>
      <w:bookmarkStart w:id="218" w:name="_Toc296890987"/>
      <w:bookmarkStart w:id="219" w:name="_Toc296503159"/>
      <w:bookmarkStart w:id="220" w:name="_Toc296347158"/>
      <w:bookmarkStart w:id="221" w:name="_Toc292559869"/>
      <w:bookmarkStart w:id="222" w:name="_Toc297048345"/>
      <w:bookmarkStart w:id="223" w:name="_Toc297216151"/>
      <w:r>
        <w:rPr>
          <w:rFonts w:hint="eastAsia" w:ascii="宋体" w:hAnsi="宋体" w:eastAsia="宋体" w:cs="宋体"/>
          <w:color w:val="000000"/>
          <w:sz w:val="21"/>
          <w:szCs w:val="21"/>
          <w:highlight w:val="none"/>
        </w:rPr>
        <w:t>.5 分包</w:t>
      </w:r>
      <w:bookmarkEnd w:id="204"/>
      <w:bookmarkEnd w:id="205"/>
      <w:bookmarkEnd w:id="206"/>
      <w:bookmarkEnd w:id="207"/>
    </w:p>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14:paraId="59FD5883">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w:t>
      </w:r>
      <w:bookmarkStart w:id="224" w:name="_Toc297120460"/>
      <w:bookmarkStart w:id="225" w:name="_Toc300934946"/>
      <w:bookmarkStart w:id="226" w:name="_Toc296944499"/>
      <w:bookmarkStart w:id="227" w:name="_Toc296890988"/>
      <w:bookmarkStart w:id="228" w:name="_Toc297216152"/>
      <w:bookmarkStart w:id="229" w:name="_Toc304295524"/>
      <w:bookmarkStart w:id="230" w:name="_Toc296346661"/>
      <w:bookmarkStart w:id="231" w:name="_Toc297048346"/>
      <w:bookmarkStart w:id="232" w:name="_Toc318581158"/>
      <w:bookmarkStart w:id="233" w:name="_Toc303539103"/>
      <w:bookmarkStart w:id="234" w:name="_Toc296503160"/>
      <w:bookmarkStart w:id="235" w:name="_Toc312677989"/>
      <w:bookmarkStart w:id="236" w:name="_Toc296347159"/>
      <w:bookmarkStart w:id="237" w:name="_Toc292559365"/>
      <w:bookmarkStart w:id="238" w:name="_Toc296891200"/>
      <w:bookmarkStart w:id="239" w:name="_Toc292559870"/>
      <w:bookmarkStart w:id="240" w:name="_Toc297123493"/>
      <w:r>
        <w:rPr>
          <w:rFonts w:hint="eastAsia" w:ascii="宋体" w:hAnsi="宋体" w:eastAsia="宋体" w:cs="宋体"/>
          <w:color w:val="000000"/>
          <w:sz w:val="21"/>
          <w:szCs w:val="21"/>
          <w:highlight w:val="none"/>
        </w:rPr>
        <w:t>.5.1 分包的一般约定</w:t>
      </w:r>
    </w:p>
    <w:p w14:paraId="72F8586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禁止分包的工程包括：</w:t>
      </w:r>
      <w:r>
        <w:rPr>
          <w:rFonts w:hint="eastAsia" w:ascii="宋体" w:hAnsi="宋体" w:eastAsia="宋体" w:cs="宋体"/>
          <w:color w:val="000000"/>
          <w:sz w:val="21"/>
          <w:szCs w:val="21"/>
          <w:highlight w:val="none"/>
          <w:u w:val="single"/>
        </w:rPr>
        <w:t xml:space="preserve">本工程禁止分包   </w:t>
      </w:r>
      <w:r>
        <w:rPr>
          <w:rFonts w:hint="eastAsia" w:ascii="宋体" w:hAnsi="宋体" w:eastAsia="宋体" w:cs="宋体"/>
          <w:color w:val="000000"/>
          <w:sz w:val="21"/>
          <w:szCs w:val="21"/>
          <w:highlight w:val="none"/>
        </w:rPr>
        <w:t>。</w:t>
      </w:r>
    </w:p>
    <w:p w14:paraId="32BBB7D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主体结构、关键性工作的范围：</w:t>
      </w:r>
      <w:r>
        <w:rPr>
          <w:rFonts w:hint="eastAsia" w:ascii="宋体" w:hAnsi="宋体" w:eastAsia="宋体" w:cs="宋体"/>
          <w:color w:val="000000"/>
          <w:sz w:val="21"/>
          <w:szCs w:val="21"/>
          <w:highlight w:val="none"/>
          <w:u w:val="single"/>
        </w:rPr>
        <w:t xml:space="preserve">本工程不允许违法分包   </w:t>
      </w:r>
      <w:r>
        <w:rPr>
          <w:rFonts w:hint="eastAsia" w:ascii="宋体" w:hAnsi="宋体" w:eastAsia="宋体" w:cs="宋体"/>
          <w:color w:val="000000"/>
          <w:sz w:val="21"/>
          <w:szCs w:val="21"/>
          <w:highlight w:val="none"/>
        </w:rPr>
        <w:t>。</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6A1D16DB">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w:t>
      </w:r>
      <w:bookmarkStart w:id="241" w:name="_Toc312677990"/>
      <w:bookmarkStart w:id="242" w:name="_Toc318581159"/>
      <w:r>
        <w:rPr>
          <w:rFonts w:hint="eastAsia" w:ascii="宋体" w:hAnsi="宋体" w:eastAsia="宋体" w:cs="宋体"/>
          <w:color w:val="000000"/>
          <w:sz w:val="21"/>
          <w:szCs w:val="21"/>
          <w:highlight w:val="none"/>
        </w:rPr>
        <w:t>.5.2 分包的确定</w:t>
      </w:r>
    </w:p>
    <w:p w14:paraId="7F7C559E">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允许分包的专业工程包括：</w:t>
      </w:r>
      <w:r>
        <w:rPr>
          <w:rFonts w:hint="eastAsia" w:ascii="宋体" w:hAnsi="宋体" w:eastAsia="宋体" w:cs="宋体"/>
          <w:color w:val="000000"/>
          <w:sz w:val="21"/>
          <w:szCs w:val="21"/>
          <w:highlight w:val="none"/>
          <w:u w:val="single"/>
        </w:rPr>
        <w:t xml:space="preserve">所需分包的工程需经过发包人书面同意   </w:t>
      </w:r>
      <w:r>
        <w:rPr>
          <w:rFonts w:hint="eastAsia" w:ascii="宋体" w:hAnsi="宋体" w:eastAsia="宋体" w:cs="宋体"/>
          <w:color w:val="000000"/>
          <w:sz w:val="21"/>
          <w:szCs w:val="21"/>
          <w:highlight w:val="none"/>
        </w:rPr>
        <w:t>。</w:t>
      </w:r>
    </w:p>
    <w:p w14:paraId="61315A89">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其他关于分包的约定：</w:t>
      </w:r>
    </w:p>
    <w:p w14:paraId="35CC638C">
      <w:pPr>
        <w:pageBreakBefore w:val="0"/>
        <w:numPr>
          <w:ilvl w:val="0"/>
          <w:numId w:val="6"/>
        </w:numPr>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除前款约定的分包内容外，经过发包人和监理人同意，承包人可以将其他非主体、非关键性工作分包给第三人，但分包人应当经过发包人和监理人审批。发包人和监理人有权拒绝承包人的分包请求和承包人选择的分包人。</w:t>
      </w:r>
    </w:p>
    <w:p w14:paraId="5FBEE237">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（2）在相关分包合同签订并报送有关建设行政主管部门备案后7天内，承包人应当将一份副本提交给监理人，承包人应保障分包工作不得再次分包。</w:t>
      </w:r>
    </w:p>
    <w:p w14:paraId="0960AF73">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（3）未经承包人和监理人审批同意的分包工程和分包人，承包人有权拒绝验收分包工程和支付相应款项，由此引起的发包人费用增加和(或)延误的工期由发包人承担。</w:t>
      </w:r>
    </w:p>
    <w:p w14:paraId="0C18A292">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（4）承包人有以下情况之一者，发包人有权解除合同：</w:t>
      </w:r>
    </w:p>
    <w:p w14:paraId="2E49F103">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①个人承包工程，包括本人单位及外单位人员承包，发包人不承认其个人拥有任何资质等级及营业许可资格。</w:t>
      </w:r>
    </w:p>
    <w:p w14:paraId="63244553">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②几个人联合承包工程，就地组织暗分包队伍，不具备完成本工程的技术、机械能力，被发包人判定为没有能力履行的承包人。</w:t>
      </w:r>
    </w:p>
    <w:p w14:paraId="31DC4A46">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③就地转包全部的工程，以谋取高额转让费、管理费的承包人。</w:t>
      </w:r>
    </w:p>
    <w:p w14:paraId="1B37005B">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④承包人有部分分包现象（其中包括冒充承包人下属单位的挂勾单位，凭口头协议参与施工的分包人及其他暗分包个体户），一经发现核实，发包人将采取驱逐该暗分包人措施。</w:t>
      </w:r>
    </w:p>
    <w:p w14:paraId="0BDE3D57">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3.5.4 分包合同价款</w:t>
      </w:r>
    </w:p>
    <w:bookmarkEnd w:id="241"/>
    <w:bookmarkEnd w:id="242"/>
    <w:p w14:paraId="6EF3E887">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bookmarkStart w:id="243" w:name="_Toc389065277"/>
      <w:bookmarkStart w:id="244" w:name="_Toc373227711"/>
      <w:bookmarkStart w:id="245" w:name="_Toc373478358"/>
      <w:r>
        <w:rPr>
          <w:rFonts w:hint="eastAsia" w:ascii="宋体" w:hAnsi="宋体" w:eastAsia="宋体" w:cs="宋体"/>
          <w:color w:val="000000"/>
          <w:sz w:val="21"/>
          <w:szCs w:val="21"/>
          <w:highlight w:val="none"/>
        </w:rPr>
        <w:t>关于分包合同价款支付的约定：</w:t>
      </w:r>
      <w:r>
        <w:rPr>
          <w:rFonts w:hint="eastAsia" w:ascii="宋体" w:hAnsi="宋体" w:eastAsia="宋体" w:cs="宋体"/>
          <w:color w:val="000000"/>
          <w:sz w:val="21"/>
          <w:szCs w:val="21"/>
          <w:highlight w:val="none"/>
          <w:u w:val="single"/>
        </w:rPr>
        <w:t>分包工程价款由承包人与分包人（包括专业分包人）结算。发包人未经承包人同意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w:t>
      </w:r>
    </w:p>
    <w:p w14:paraId="13DE348F">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46" w:name="_Toc8082"/>
      <w:r>
        <w:rPr>
          <w:rFonts w:hint="eastAsia" w:ascii="宋体" w:hAnsi="宋体" w:eastAsia="宋体" w:cs="宋体"/>
          <w:color w:val="000000"/>
          <w:sz w:val="21"/>
          <w:szCs w:val="21"/>
          <w:highlight w:val="none"/>
        </w:rPr>
        <w:t>3.6 工程照管与成品、半成品保护</w:t>
      </w:r>
      <w:bookmarkEnd w:id="243"/>
      <w:bookmarkEnd w:id="244"/>
      <w:bookmarkEnd w:id="245"/>
      <w:bookmarkEnd w:id="246"/>
    </w:p>
    <w:p w14:paraId="5C4E3BFF">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承包人负责照管工程及工程相关的材料、工程设备的起始时间：</w:t>
      </w:r>
      <w:r>
        <w:rPr>
          <w:rFonts w:hint="eastAsia" w:ascii="宋体" w:hAnsi="宋体" w:eastAsia="宋体" w:cs="宋体"/>
          <w:color w:val="000000"/>
          <w:sz w:val="21"/>
          <w:szCs w:val="21"/>
          <w:highlight w:val="none"/>
          <w:u w:val="single"/>
        </w:rPr>
        <w:t xml:space="preserve">  签订合同之日起，完成工程移交之日止  </w:t>
      </w:r>
      <w:r>
        <w:rPr>
          <w:rFonts w:hint="eastAsia" w:ascii="宋体" w:hAnsi="宋体" w:eastAsia="宋体" w:cs="宋体"/>
          <w:color w:val="000000"/>
          <w:sz w:val="21"/>
          <w:szCs w:val="21"/>
          <w:highlight w:val="none"/>
        </w:rPr>
        <w:t>。</w:t>
      </w:r>
    </w:p>
    <w:p w14:paraId="621AF6E0">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47" w:name="_Toc373478359"/>
      <w:bookmarkStart w:id="248" w:name="_Toc389065278"/>
      <w:bookmarkStart w:id="249" w:name="_Toc373227712"/>
      <w:bookmarkStart w:id="250" w:name="_Toc8926"/>
      <w:r>
        <w:rPr>
          <w:rFonts w:hint="eastAsia" w:ascii="宋体" w:hAnsi="宋体" w:eastAsia="宋体" w:cs="宋体"/>
          <w:color w:val="000000"/>
          <w:sz w:val="21"/>
          <w:szCs w:val="21"/>
          <w:highlight w:val="none"/>
        </w:rPr>
        <w:t>3.7 履约</w:t>
      </w:r>
      <w:bookmarkEnd w:id="247"/>
      <w:bookmarkEnd w:id="248"/>
      <w:bookmarkEnd w:id="249"/>
      <w:r>
        <w:rPr>
          <w:rFonts w:hint="eastAsia" w:ascii="宋体" w:hAnsi="宋体" w:eastAsia="宋体" w:cs="宋体"/>
          <w:color w:val="000000"/>
          <w:sz w:val="21"/>
          <w:szCs w:val="21"/>
          <w:highlight w:val="none"/>
        </w:rPr>
        <w:t>保证金</w:t>
      </w:r>
      <w:bookmarkEnd w:id="250"/>
    </w:p>
    <w:p w14:paraId="79AC25DE">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lang w:val="en-US" w:eastAsia="zh-CN"/>
        </w:rPr>
      </w:pPr>
      <w:bookmarkStart w:id="251" w:name="_Toc373478360"/>
      <w:bookmarkStart w:id="252" w:name="_Toc389065279"/>
      <w:bookmarkStart w:id="253" w:name="_Toc351203636"/>
      <w:bookmarkStart w:id="254" w:name="_Toc373227713"/>
      <w:r>
        <w:rPr>
          <w:rFonts w:hint="eastAsia" w:ascii="宋体" w:hAnsi="宋体" w:eastAsia="宋体" w:cs="宋体"/>
          <w:color w:val="000000"/>
          <w:sz w:val="21"/>
          <w:szCs w:val="21"/>
          <w:highlight w:val="none"/>
        </w:rPr>
        <w:t>承包人提供履约担保的形式、金额及期限的：</w:t>
      </w:r>
      <w:r>
        <w:rPr>
          <w:rFonts w:hint="eastAsia" w:ascii="宋体" w:hAnsi="宋体" w:eastAsia="宋体" w:cs="宋体"/>
          <w:color w:val="000000"/>
          <w:sz w:val="21"/>
          <w:szCs w:val="21"/>
          <w:highlight w:val="none"/>
          <w:lang w:val="en-US" w:eastAsia="zh-CN"/>
        </w:rPr>
        <w:t>本项目不收取履约保证金。</w:t>
      </w:r>
    </w:p>
    <w:p w14:paraId="494B8B63">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55" w:name="_Toc32460"/>
      <w:r>
        <w:rPr>
          <w:rFonts w:hint="eastAsia" w:ascii="宋体" w:hAnsi="宋体" w:eastAsia="宋体" w:cs="宋体"/>
          <w:color w:val="000000"/>
          <w:sz w:val="21"/>
          <w:szCs w:val="21"/>
          <w:highlight w:val="none"/>
        </w:rPr>
        <w:t>4</w:t>
      </w:r>
      <w:bookmarkStart w:id="256" w:name="_Toc296890990"/>
      <w:bookmarkStart w:id="257" w:name="_Toc296346663"/>
      <w:bookmarkStart w:id="258" w:name="_Toc296503162"/>
      <w:bookmarkStart w:id="259" w:name="_Toc296347161"/>
      <w:bookmarkStart w:id="260" w:name="_Toc296891202"/>
      <w:bookmarkStart w:id="261" w:name="_Toc296944501"/>
      <w:bookmarkStart w:id="262" w:name="_Toc297120462"/>
      <w:bookmarkStart w:id="263" w:name="_Toc297048348"/>
      <w:bookmarkStart w:id="264" w:name="_Toc292559366"/>
      <w:bookmarkStart w:id="265" w:name="_Toc292559871"/>
      <w:bookmarkStart w:id="266" w:name="_Toc267251413"/>
      <w:r>
        <w:rPr>
          <w:rFonts w:hint="eastAsia" w:ascii="宋体" w:hAnsi="宋体" w:eastAsia="宋体" w:cs="宋体"/>
          <w:color w:val="000000"/>
          <w:sz w:val="21"/>
          <w:szCs w:val="21"/>
          <w:highlight w:val="none"/>
        </w:rPr>
        <w:t>. 监</w:t>
      </w:r>
      <w:bookmarkEnd w:id="256"/>
      <w:bookmarkEnd w:id="257"/>
      <w:bookmarkEnd w:id="258"/>
      <w:bookmarkEnd w:id="259"/>
      <w:bookmarkEnd w:id="260"/>
      <w:bookmarkEnd w:id="261"/>
      <w:bookmarkEnd w:id="262"/>
      <w:bookmarkEnd w:id="263"/>
      <w:bookmarkEnd w:id="264"/>
      <w:bookmarkEnd w:id="265"/>
      <w:bookmarkEnd w:id="266"/>
      <w:r>
        <w:rPr>
          <w:rFonts w:hint="eastAsia" w:ascii="宋体" w:hAnsi="宋体" w:eastAsia="宋体" w:cs="宋体"/>
          <w:color w:val="000000"/>
          <w:sz w:val="21"/>
          <w:szCs w:val="21"/>
          <w:highlight w:val="none"/>
        </w:rPr>
        <w:t>理人</w:t>
      </w:r>
      <w:bookmarkEnd w:id="251"/>
      <w:bookmarkEnd w:id="252"/>
      <w:bookmarkEnd w:id="253"/>
      <w:bookmarkEnd w:id="254"/>
      <w:bookmarkEnd w:id="255"/>
    </w:p>
    <w:p w14:paraId="2BA2119A">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67" w:name="_Toc389065280"/>
      <w:bookmarkStart w:id="268" w:name="_Toc373227714"/>
      <w:bookmarkStart w:id="269" w:name="_Toc28478"/>
      <w:bookmarkStart w:id="270" w:name="_Toc373478361"/>
      <w:r>
        <w:rPr>
          <w:rFonts w:hint="eastAsia" w:ascii="宋体" w:hAnsi="宋体" w:eastAsia="宋体" w:cs="宋体"/>
          <w:color w:val="000000"/>
          <w:sz w:val="21"/>
          <w:szCs w:val="21"/>
          <w:highlight w:val="none"/>
        </w:rPr>
        <w:t>4.1 监理人的一般规定</w:t>
      </w:r>
      <w:bookmarkEnd w:id="267"/>
      <w:bookmarkEnd w:id="268"/>
      <w:bookmarkEnd w:id="269"/>
      <w:bookmarkEnd w:id="270"/>
    </w:p>
    <w:p w14:paraId="14630C2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关于监理人的监理内容：</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7190AE4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关于监理人的监理权限：</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 xml:space="preserve">。 </w:t>
      </w:r>
    </w:p>
    <w:p w14:paraId="0DF4A77D">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关于监理人在施工现场的办公场所、生活场所的提供和费用承担的约定：</w:t>
      </w:r>
      <w:r>
        <w:rPr>
          <w:rFonts w:hint="eastAsia" w:ascii="宋体" w:hAnsi="宋体" w:eastAsia="宋体" w:cs="宋体"/>
          <w:color w:val="000000"/>
          <w:sz w:val="21"/>
          <w:szCs w:val="21"/>
          <w:highlight w:val="none"/>
          <w:u w:val="single"/>
        </w:rPr>
        <w:t xml:space="preserve">              </w:t>
      </w:r>
    </w:p>
    <w:p w14:paraId="488BA52D">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56BA8AD8">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71" w:name="_Toc373227715"/>
      <w:bookmarkStart w:id="272" w:name="_Toc12326"/>
      <w:bookmarkStart w:id="273" w:name="_Toc373478362"/>
      <w:bookmarkStart w:id="274" w:name="_Toc389065281"/>
      <w:r>
        <w:rPr>
          <w:rFonts w:hint="eastAsia" w:ascii="宋体" w:hAnsi="宋体" w:eastAsia="宋体" w:cs="宋体"/>
          <w:color w:val="000000"/>
          <w:sz w:val="21"/>
          <w:szCs w:val="21"/>
          <w:highlight w:val="none"/>
        </w:rPr>
        <w:t>4.2 监理人员</w:t>
      </w:r>
      <w:bookmarkEnd w:id="271"/>
      <w:bookmarkEnd w:id="272"/>
      <w:bookmarkEnd w:id="273"/>
      <w:bookmarkEnd w:id="274"/>
    </w:p>
    <w:p w14:paraId="2D560CB5">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总监理工程师：</w:t>
      </w:r>
    </w:p>
    <w:p w14:paraId="0F3679C9">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姓    名：</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6EE4135B">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职    务：</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788BE50E">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监理工程师执业资格证书号：</w:t>
      </w:r>
      <w:r>
        <w:rPr>
          <w:rFonts w:hint="eastAsia" w:ascii="宋体" w:hAnsi="宋体" w:eastAsia="宋体" w:cs="宋体"/>
          <w:color w:val="000000"/>
          <w:sz w:val="21"/>
          <w:szCs w:val="21"/>
          <w:highlight w:val="none"/>
          <w:u w:val="single"/>
        </w:rPr>
        <w:t> </w:t>
      </w:r>
      <w:r>
        <w:rPr>
          <w:rFonts w:hint="eastAsia" w:ascii="宋体" w:hAnsi="宋体" w:eastAsia="宋体" w:cs="宋体"/>
          <w:color w:val="000000"/>
          <w:sz w:val="21"/>
          <w:szCs w:val="21"/>
          <w:highlight w:val="none"/>
        </w:rPr>
        <w:t>；</w:t>
      </w:r>
    </w:p>
    <w:p w14:paraId="111D589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联系电话：</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6F8C8A65">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电子信箱：</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435BC74D">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通信地址：</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6DA1BC62">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关于监理人的其他约定：</w:t>
      </w:r>
      <w:r>
        <w:rPr>
          <w:rFonts w:hint="eastAsia" w:ascii="宋体" w:hAnsi="宋体" w:eastAsia="宋体" w:cs="宋体"/>
          <w:color w:val="000000"/>
          <w:sz w:val="21"/>
          <w:szCs w:val="21"/>
          <w:highlight w:val="none"/>
          <w:u w:val="single"/>
        </w:rPr>
        <w:t>   </w:t>
      </w:r>
      <w:r>
        <w:rPr>
          <w:rFonts w:hint="eastAsia" w:ascii="宋体" w:hAnsi="宋体" w:eastAsia="宋体" w:cs="宋体"/>
          <w:color w:val="000000"/>
          <w:sz w:val="21"/>
          <w:szCs w:val="21"/>
          <w:highlight w:val="none"/>
        </w:rPr>
        <w:t>。</w:t>
      </w:r>
    </w:p>
    <w:p w14:paraId="0453FCCE">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75" w:name="_Toc373227716"/>
      <w:bookmarkStart w:id="276" w:name="_Toc6626"/>
      <w:bookmarkStart w:id="277" w:name="_Toc373478363"/>
      <w:bookmarkStart w:id="278" w:name="_Toc389065282"/>
      <w:r>
        <w:rPr>
          <w:rFonts w:hint="eastAsia" w:ascii="宋体" w:hAnsi="宋体" w:eastAsia="宋体" w:cs="宋体"/>
          <w:color w:val="000000"/>
          <w:sz w:val="21"/>
          <w:szCs w:val="21"/>
          <w:highlight w:val="none"/>
        </w:rPr>
        <w:t>4.4 商定或确定</w:t>
      </w:r>
      <w:bookmarkEnd w:id="275"/>
      <w:bookmarkEnd w:id="276"/>
      <w:bookmarkEnd w:id="277"/>
      <w:bookmarkEnd w:id="278"/>
    </w:p>
    <w:p w14:paraId="577B3201">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bookmarkStart w:id="279" w:name="_Toc267251418"/>
      <w:r>
        <w:rPr>
          <w:rFonts w:hint="eastAsia" w:ascii="宋体" w:hAnsi="宋体" w:eastAsia="宋体" w:cs="宋体"/>
          <w:color w:val="000000"/>
          <w:sz w:val="21"/>
          <w:szCs w:val="21"/>
          <w:highlight w:val="none"/>
        </w:rPr>
        <w:t>在发包人和承包人不能通过协商达成一致意见时，发包人授权监理人对以下事项进行确定：</w:t>
      </w:r>
    </w:p>
    <w:p w14:paraId="706670CA">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11E969C8">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46C85E9C">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7FEA3B30">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80" w:name="_Toc28100"/>
      <w:bookmarkStart w:id="281" w:name="_Toc351203637"/>
      <w:bookmarkStart w:id="282" w:name="_Toc373227717"/>
      <w:bookmarkStart w:id="283" w:name="_Toc389065283"/>
      <w:bookmarkStart w:id="284" w:name="_Toc373478364"/>
      <w:r>
        <w:rPr>
          <w:rFonts w:hint="eastAsia" w:ascii="宋体" w:hAnsi="宋体" w:eastAsia="宋体" w:cs="宋体"/>
          <w:color w:val="000000"/>
          <w:sz w:val="21"/>
          <w:szCs w:val="21"/>
          <w:highlight w:val="none"/>
        </w:rPr>
        <w:t>5</w:t>
      </w:r>
      <w:bookmarkEnd w:id="279"/>
      <w:bookmarkStart w:id="285" w:name="_Toc297120463"/>
      <w:bookmarkStart w:id="286" w:name="_Toc292559367"/>
      <w:bookmarkStart w:id="287" w:name="_Toc296890991"/>
      <w:bookmarkStart w:id="288" w:name="_Toc296347162"/>
      <w:bookmarkStart w:id="289" w:name="_Toc296944502"/>
      <w:bookmarkStart w:id="290" w:name="_Toc296503163"/>
      <w:bookmarkStart w:id="291" w:name="_Toc296346664"/>
      <w:bookmarkStart w:id="292" w:name="_Toc292559872"/>
      <w:bookmarkStart w:id="293" w:name="_Toc296891203"/>
      <w:bookmarkStart w:id="294" w:name="_Toc297048349"/>
      <w:r>
        <w:rPr>
          <w:rFonts w:hint="eastAsia" w:ascii="宋体" w:hAnsi="宋体" w:eastAsia="宋体" w:cs="宋体"/>
          <w:color w:val="000000"/>
          <w:sz w:val="21"/>
          <w:szCs w:val="21"/>
          <w:highlight w:val="none"/>
        </w:rPr>
        <w:t>. 工程质量</w:t>
      </w:r>
      <w:bookmarkEnd w:id="280"/>
      <w:bookmarkEnd w:id="281"/>
      <w:bookmarkEnd w:id="282"/>
      <w:bookmarkEnd w:id="283"/>
      <w:bookmarkEnd w:id="284"/>
    </w:p>
    <w:p w14:paraId="31CD45E4">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295" w:name="_Toc389065284"/>
      <w:bookmarkStart w:id="296" w:name="_Toc15241"/>
      <w:bookmarkStart w:id="297" w:name="_Toc373478365"/>
      <w:bookmarkStart w:id="298" w:name="_Toc373227718"/>
      <w:r>
        <w:rPr>
          <w:rFonts w:hint="eastAsia" w:ascii="宋体" w:hAnsi="宋体" w:eastAsia="宋体" w:cs="宋体"/>
          <w:color w:val="000000"/>
          <w:sz w:val="21"/>
          <w:szCs w:val="21"/>
          <w:highlight w:val="none"/>
        </w:rPr>
        <w:t>5.1 质量要求</w:t>
      </w:r>
      <w:bookmarkEnd w:id="295"/>
      <w:bookmarkEnd w:id="296"/>
      <w:bookmarkEnd w:id="297"/>
      <w:bookmarkEnd w:id="298"/>
    </w:p>
    <w:p w14:paraId="57FBD0B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5</w:t>
      </w:r>
      <w:bookmarkStart w:id="299" w:name="_Toc312677997"/>
      <w:bookmarkStart w:id="300" w:name="_Toc297216155"/>
      <w:bookmarkStart w:id="301" w:name="_Toc300934949"/>
      <w:bookmarkStart w:id="302" w:name="_Toc304295527"/>
      <w:bookmarkStart w:id="303" w:name="_Toc297123496"/>
      <w:bookmarkStart w:id="304" w:name="_Toc318581164"/>
      <w:bookmarkStart w:id="305" w:name="_Toc303539106"/>
      <w:r>
        <w:rPr>
          <w:rFonts w:hint="eastAsia" w:ascii="宋体" w:hAnsi="宋体" w:eastAsia="宋体" w:cs="宋体"/>
          <w:color w:val="000000"/>
          <w:sz w:val="21"/>
          <w:szCs w:val="21"/>
          <w:highlight w:val="none"/>
        </w:rPr>
        <w:t>.1.1 特殊质量标准和要求：</w:t>
      </w:r>
      <w:r>
        <w:rPr>
          <w:rStyle w:val="16"/>
          <w:rFonts w:hint="eastAsia" w:ascii="Calibri" w:hAnsi="Calibri" w:eastAsia="宋体" w:cs="Times New Roman"/>
          <w:color w:val="auto"/>
          <w:highlight w:val="none"/>
          <w:u w:val="single"/>
        </w:rPr>
        <w:t>达到国家建设工程施工质量验收规范合格标准</w:t>
      </w:r>
      <w:r>
        <w:rPr>
          <w:rStyle w:val="16"/>
          <w:rFonts w:hint="eastAsia" w:ascii="Calibri" w:hAnsi="Calibri" w:eastAsia="宋体" w:cs="Times New Roman"/>
          <w:color w:val="auto"/>
          <w:highlight w:val="none"/>
          <w:u w:val="single"/>
          <w:lang w:eastAsia="zh-CN"/>
        </w:rPr>
        <w:t>，</w:t>
      </w:r>
      <w:r>
        <w:rPr>
          <w:rFonts w:hint="eastAsia" w:ascii="宋体" w:hAnsi="宋体" w:eastAsia="宋体" w:cs="宋体"/>
          <w:color w:val="000000"/>
          <w:sz w:val="21"/>
          <w:szCs w:val="21"/>
          <w:highlight w:val="none"/>
          <w:u w:val="single"/>
        </w:rPr>
        <w:t>严格执行广西壮族自治区住房和城乡建设厅《关于严格实行房屋建筑和市政基础设施工程质量终身责任承诺、永久性质量责任标牌、终身责任信息档案等制度的通知》(桂建管[2014]96号)要求，落实建设工程质量终身责任。</w:t>
      </w:r>
    </w:p>
    <w:p w14:paraId="1131AC32">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关于工程奖项的约定：</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6862911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5.3 隐蔽工程检查</w:t>
      </w:r>
    </w:p>
    <w:p w14:paraId="6342271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5.3.2承包人提前通知监理人隐蔽工程检查的期限的约定：</w:t>
      </w:r>
      <w:r>
        <w:rPr>
          <w:rFonts w:hint="eastAsia" w:ascii="宋体" w:hAnsi="宋体" w:eastAsia="宋体" w:cs="宋体"/>
          <w:bCs/>
          <w:color w:val="000000"/>
          <w:sz w:val="21"/>
          <w:szCs w:val="21"/>
          <w:highlight w:val="none"/>
        </w:rPr>
        <w:t>工程隐蔽或中间验收前12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14:paraId="5F54A30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监理人不能按时进行检查时，应提前</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24</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小时提交书面延期要求。</w:t>
      </w:r>
    </w:p>
    <w:p w14:paraId="7C97CA3B">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关于延期最长不得超过：</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48</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小时。</w:t>
      </w:r>
    </w:p>
    <w:p w14:paraId="6B1380BB">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06" w:name="_Toc389065285"/>
      <w:bookmarkStart w:id="307" w:name="_Toc351203638"/>
      <w:bookmarkStart w:id="308" w:name="_Toc373478366"/>
      <w:bookmarkStart w:id="309" w:name="_Toc16364"/>
      <w:bookmarkStart w:id="310" w:name="_Toc373227719"/>
      <w:r>
        <w:rPr>
          <w:rFonts w:hint="eastAsia" w:ascii="宋体" w:hAnsi="宋体" w:eastAsia="宋体" w:cs="宋体"/>
          <w:color w:val="000000"/>
          <w:sz w:val="21"/>
          <w:szCs w:val="21"/>
          <w:highlight w:val="none"/>
        </w:rPr>
        <w:t>6. 安全文明施工与环境保护</w:t>
      </w:r>
      <w:bookmarkEnd w:id="306"/>
      <w:bookmarkEnd w:id="307"/>
      <w:bookmarkEnd w:id="308"/>
      <w:bookmarkEnd w:id="309"/>
      <w:bookmarkEnd w:id="310"/>
    </w:p>
    <w:p w14:paraId="773EF635">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11" w:name="_Toc373478367"/>
      <w:bookmarkStart w:id="312" w:name="_Toc389065286"/>
      <w:bookmarkStart w:id="313" w:name="_Toc373227720"/>
      <w:bookmarkStart w:id="314" w:name="_Toc19419"/>
      <w:r>
        <w:rPr>
          <w:rFonts w:hint="eastAsia" w:ascii="宋体" w:hAnsi="宋体" w:eastAsia="宋体" w:cs="宋体"/>
          <w:color w:val="000000"/>
          <w:sz w:val="21"/>
          <w:szCs w:val="21"/>
          <w:highlight w:val="none"/>
        </w:rPr>
        <w:t>6.1 安全文明施工</w:t>
      </w:r>
      <w:bookmarkEnd w:id="311"/>
      <w:bookmarkEnd w:id="312"/>
      <w:bookmarkEnd w:id="313"/>
      <w:bookmarkEnd w:id="314"/>
    </w:p>
    <w:p w14:paraId="781FA38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6.1.1 项目安全生产的达标目标及相应事项的约定：</w:t>
      </w:r>
      <w:r>
        <w:rPr>
          <w:rFonts w:hint="eastAsia" w:ascii="宋体" w:hAnsi="宋体" w:eastAsia="宋体" w:cs="宋体"/>
          <w:color w:val="000000"/>
          <w:sz w:val="21"/>
          <w:szCs w:val="21"/>
          <w:highlight w:val="none"/>
          <w:u w:val="single"/>
        </w:rPr>
        <w:t xml:space="preserve">   按合同通用条款 6.1.1 款执行 。</w:t>
      </w:r>
    </w:p>
    <w:p w14:paraId="7DA8CF5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关于安全文明施工奖项的约定：</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54E58F6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6.1.4 关于治安保卫的特别约定：</w:t>
      </w:r>
      <w:r>
        <w:rPr>
          <w:rFonts w:hint="eastAsia" w:ascii="宋体" w:hAnsi="宋体" w:eastAsia="宋体" w:cs="宋体"/>
          <w:color w:val="000000"/>
          <w:sz w:val="21"/>
          <w:szCs w:val="21"/>
          <w:highlight w:val="none"/>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p>
    <w:p w14:paraId="4E96861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关于编制施工场地治安管理计划的约定：</w:t>
      </w:r>
      <w:r>
        <w:rPr>
          <w:rFonts w:hint="eastAsia" w:ascii="宋体" w:hAnsi="宋体" w:eastAsia="宋体" w:cs="宋体"/>
          <w:color w:val="000000"/>
          <w:sz w:val="21"/>
          <w:szCs w:val="21"/>
          <w:highlight w:val="none"/>
          <w:u w:val="single"/>
        </w:rPr>
        <w:t xml:space="preserve">       按通用条款 6.1.4 执行      </w:t>
      </w:r>
      <w:r>
        <w:rPr>
          <w:rFonts w:hint="eastAsia" w:ascii="宋体" w:hAnsi="宋体" w:eastAsia="宋体" w:cs="宋体"/>
          <w:color w:val="000000"/>
          <w:sz w:val="21"/>
          <w:szCs w:val="21"/>
          <w:highlight w:val="none"/>
        </w:rPr>
        <w:t>。</w:t>
      </w:r>
    </w:p>
    <w:p w14:paraId="48701608">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6.1.5 文明施工</w:t>
      </w:r>
    </w:p>
    <w:p w14:paraId="45C0CA22">
      <w:pPr>
        <w:pStyle w:val="27"/>
        <w:pageBreakBefore w:val="0"/>
        <w:kinsoku/>
        <w:overflowPunct/>
        <w:topLinePunct w:val="0"/>
        <w:bidi w:val="0"/>
        <w:spacing w:line="360" w:lineRule="auto"/>
        <w:ind w:firstLine="420" w:firstLineChars="200"/>
        <w:jc w:val="left"/>
        <w:outlineLvl w:val="9"/>
        <w:rPr>
          <w:rStyle w:val="16"/>
          <w:rFonts w:hint="eastAsia" w:ascii="Calibri" w:hAnsi="Calibri" w:eastAsia="宋体" w:cs="宋体"/>
          <w:color w:val="auto"/>
          <w:highlight w:val="none"/>
        </w:rPr>
      </w:pPr>
      <w:bookmarkStart w:id="315" w:name="_Toc389065287"/>
      <w:bookmarkStart w:id="316" w:name="_Toc373478368"/>
      <w:bookmarkStart w:id="317" w:name="_Toc373227721"/>
      <w:r>
        <w:rPr>
          <w:rStyle w:val="16"/>
          <w:rFonts w:hint="eastAsia" w:ascii="Calibri" w:hAnsi="宋体" w:eastAsia="宋体" w:cs="宋体"/>
          <w:color w:val="auto"/>
          <w:highlight w:val="none"/>
        </w:rPr>
        <w:t>合同当事人对文明施工的要求：</w:t>
      </w:r>
      <w:r>
        <w:rPr>
          <w:rFonts w:hint="eastAsia" w:ascii="宋体" w:hAnsi="宋体" w:eastAsia="宋体" w:cs="宋体"/>
          <w:color w:val="000000"/>
          <w:kern w:val="2"/>
          <w:sz w:val="21"/>
          <w:szCs w:val="21"/>
          <w:highlight w:val="none"/>
          <w:u w:val="single"/>
          <w:lang w:val="en-US" w:eastAsia="zh-CN" w:bidi="ar-SA"/>
        </w:rPr>
        <w:t xml:space="preserve">要求达到《建筑施工安全检查标准》（JGJ59-2011)的标准和符合《广西壮族自治区建设工程安全文明施工费使用管理细则》（桂建质〔2015〕16号）的要求 </w:t>
      </w:r>
      <w:r>
        <w:rPr>
          <w:rStyle w:val="16"/>
          <w:rFonts w:hint="eastAsia" w:ascii="Calibri" w:hAnsi="Calibri" w:eastAsia="宋体" w:cs="宋体"/>
          <w:color w:val="auto"/>
          <w:highlight w:val="none"/>
        </w:rPr>
        <w:t>。</w:t>
      </w:r>
    </w:p>
    <w:p w14:paraId="3A5CF35F">
      <w:pPr>
        <w:pStyle w:val="27"/>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6.1.6 关于安全文明施工费支付比例和支付期限的约定：</w:t>
      </w:r>
    </w:p>
    <w:p w14:paraId="2C7679A0">
      <w:pPr>
        <w:pStyle w:val="27"/>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（1）本合同价款已包含安全文明施工费</w:t>
      </w:r>
      <w:r>
        <w:rPr>
          <w:rFonts w:hint="eastAsia" w:ascii="宋体" w:hAnsi="宋体" w:eastAsia="宋体" w:cs="宋体"/>
          <w:color w:val="000000"/>
          <w:kern w:val="0"/>
          <w:sz w:val="21"/>
          <w:szCs w:val="21"/>
          <w:highlight w:val="none"/>
          <w:u w:val="single"/>
        </w:rPr>
        <w:t xml:space="preserve">           </w:t>
      </w:r>
      <w:r>
        <w:rPr>
          <w:rFonts w:hint="eastAsia" w:ascii="宋体" w:hAnsi="宋体" w:eastAsia="宋体" w:cs="宋体"/>
          <w:color w:val="000000"/>
          <w:kern w:val="0"/>
          <w:sz w:val="21"/>
          <w:szCs w:val="21"/>
          <w:highlight w:val="none"/>
        </w:rPr>
        <w:t>元。</w:t>
      </w:r>
    </w:p>
    <w:p w14:paraId="4C119970">
      <w:pPr>
        <w:pStyle w:val="27"/>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（2）使用要求：专款专用。具体按</w:t>
      </w:r>
      <w:r>
        <w:rPr>
          <w:rFonts w:hint="eastAsia" w:ascii="宋体" w:hAnsi="宋体" w:eastAsia="宋体" w:cs="宋体"/>
          <w:color w:val="000000"/>
          <w:kern w:val="0"/>
          <w:sz w:val="21"/>
          <w:szCs w:val="21"/>
          <w:highlight w:val="none"/>
          <w:u w:val="single"/>
        </w:rPr>
        <w:t>《广西壮族自治区建设工程安全文明施工费使用管理细则》（桂建质〔2015〕16号）</w:t>
      </w:r>
      <w:r>
        <w:rPr>
          <w:rFonts w:hint="eastAsia" w:ascii="宋体" w:hAnsi="宋体" w:cs="宋体"/>
          <w:color w:val="000000"/>
          <w:kern w:val="0"/>
          <w:sz w:val="21"/>
          <w:szCs w:val="21"/>
          <w:highlight w:val="none"/>
          <w:u w:val="none"/>
          <w:lang w:val="en-US" w:eastAsia="zh-CN"/>
        </w:rPr>
        <w:t>和</w:t>
      </w:r>
      <w:r>
        <w:rPr>
          <w:rFonts w:hint="eastAsia" w:ascii="宋体" w:hAnsi="宋体" w:cs="宋体"/>
          <w:color w:val="000000"/>
          <w:kern w:val="0"/>
          <w:sz w:val="21"/>
          <w:szCs w:val="21"/>
          <w:highlight w:val="none"/>
          <w:u w:val="single"/>
          <w:lang w:val="en-US" w:eastAsia="zh-CN"/>
        </w:rPr>
        <w:t>防城港</w:t>
      </w:r>
      <w:r>
        <w:rPr>
          <w:rFonts w:hint="eastAsia" w:ascii="宋体" w:hAnsi="宋体" w:cs="宋体"/>
          <w:color w:val="000000"/>
          <w:kern w:val="0"/>
          <w:sz w:val="21"/>
          <w:szCs w:val="21"/>
          <w:highlight w:val="none"/>
          <w:u w:val="none"/>
          <w:lang w:val="en-US" w:eastAsia="zh-CN"/>
        </w:rPr>
        <w:t>市</w:t>
      </w:r>
      <w:r>
        <w:rPr>
          <w:rFonts w:hint="eastAsia" w:ascii="宋体" w:hAnsi="宋体" w:eastAsia="宋体" w:cs="宋体"/>
          <w:color w:val="000000"/>
          <w:kern w:val="0"/>
          <w:sz w:val="21"/>
          <w:szCs w:val="21"/>
          <w:highlight w:val="none"/>
        </w:rPr>
        <w:t>相关规定执行。</w:t>
      </w:r>
    </w:p>
    <w:p w14:paraId="093507AD">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（3）支付约定：</w:t>
      </w:r>
      <w:r>
        <w:rPr>
          <w:rStyle w:val="16"/>
          <w:rFonts w:hint="eastAsia" w:ascii="Calibri" w:hAnsi="Calibri" w:eastAsia="宋体" w:cs="宋体"/>
          <w:color w:val="auto"/>
          <w:kern w:val="0"/>
          <w:highlight w:val="none"/>
        </w:rPr>
        <w:t>结合项目实际情况，安全文明施工费与工程款同期支付</w:t>
      </w:r>
      <w:r>
        <w:rPr>
          <w:rFonts w:hint="eastAsia" w:ascii="宋体" w:hAnsi="宋体" w:eastAsia="宋体" w:cs="宋体"/>
          <w:color w:val="000000"/>
          <w:sz w:val="21"/>
          <w:szCs w:val="21"/>
          <w:highlight w:val="none"/>
        </w:rPr>
        <w:t>。</w:t>
      </w:r>
    </w:p>
    <w:p w14:paraId="255035AB">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（4）建设单位按规定将安全生产费用转入施工单位设立的安全生产费用专户。</w:t>
      </w:r>
    </w:p>
    <w:p w14:paraId="23A9D99D">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（5）工程施工完成后安全生产费用尚有结余的，结余部分由建设单位收回。</w:t>
      </w:r>
    </w:p>
    <w:p w14:paraId="3722154C">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（6）施工单位将安全生产费用使用情况定期报告建设单位和监理单位，并提供相应的材料接受建设行政主管部门对此事项监管。</w:t>
      </w:r>
    </w:p>
    <w:p w14:paraId="151E5E6D">
      <w:pPr>
        <w:pStyle w:val="27"/>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（7）安全生产费用专户：       安全生产费用专户。     账号：        。</w:t>
      </w:r>
    </w:p>
    <w:p w14:paraId="1C4BDD2F">
      <w:pPr>
        <w:pageBreakBefore w:val="0"/>
        <w:kinsoku/>
        <w:overflowPunct/>
        <w:topLinePunct w:val="0"/>
        <w:bidi w:val="0"/>
        <w:spacing w:line="360" w:lineRule="auto"/>
        <w:outlineLvl w:val="9"/>
        <w:rPr>
          <w:rFonts w:hint="eastAsia" w:ascii="宋体" w:hAnsi="宋体" w:eastAsia="宋体" w:cs="宋体"/>
          <w:b w:val="0"/>
          <w:bCs w:val="0"/>
          <w:color w:val="000000"/>
          <w:kern w:val="0"/>
          <w:sz w:val="21"/>
          <w:szCs w:val="21"/>
          <w:highlight w:val="none"/>
        </w:rPr>
      </w:pPr>
      <w:bookmarkStart w:id="318" w:name="_Toc30263"/>
      <w:r>
        <w:rPr>
          <w:rFonts w:hint="eastAsia" w:ascii="宋体" w:hAnsi="宋体" w:eastAsia="宋体" w:cs="宋体"/>
          <w:color w:val="000000"/>
          <w:sz w:val="21"/>
          <w:szCs w:val="21"/>
          <w:highlight w:val="none"/>
        </w:rPr>
        <w:t xml:space="preserve">6.3 </w:t>
      </w:r>
      <w:r>
        <w:rPr>
          <w:rFonts w:hint="eastAsia" w:ascii="宋体" w:hAnsi="宋体" w:eastAsia="宋体" w:cs="宋体"/>
          <w:b w:val="0"/>
          <w:bCs w:val="0"/>
          <w:color w:val="000000"/>
          <w:kern w:val="0"/>
          <w:sz w:val="21"/>
          <w:szCs w:val="21"/>
          <w:highlight w:val="none"/>
        </w:rPr>
        <w:t>环境保护</w:t>
      </w:r>
      <w:bookmarkEnd w:id="315"/>
      <w:bookmarkEnd w:id="316"/>
      <w:bookmarkEnd w:id="317"/>
      <w:bookmarkEnd w:id="318"/>
    </w:p>
    <w:p w14:paraId="7D3F018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因施工需要，经发包人批准，由承包人办理有关施工场地交通、环卫和施工噪音管理等手续，费用由承包人负责。</w:t>
      </w:r>
    </w:p>
    <w:p w14:paraId="3062A46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经过城市道路的施工车辆，必须按交警、城管、运输等部门相关规定执行。由于施工车辆造成的道路、环境等污染，其责任和费用均由承包人承担。</w:t>
      </w:r>
    </w:p>
    <w:bookmarkEnd w:id="299"/>
    <w:bookmarkEnd w:id="300"/>
    <w:bookmarkEnd w:id="301"/>
    <w:bookmarkEnd w:id="302"/>
    <w:bookmarkEnd w:id="303"/>
    <w:bookmarkEnd w:id="304"/>
    <w:bookmarkEnd w:id="305"/>
    <w:p w14:paraId="50F91283">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19" w:name="_Toc373478369"/>
      <w:bookmarkStart w:id="320" w:name="_Toc389065288"/>
      <w:bookmarkStart w:id="321" w:name="_Toc351203639"/>
      <w:bookmarkStart w:id="322" w:name="_Toc89"/>
      <w:bookmarkStart w:id="323" w:name="_Toc373227722"/>
      <w:r>
        <w:rPr>
          <w:rFonts w:hint="eastAsia" w:ascii="宋体" w:hAnsi="宋体" w:eastAsia="宋体" w:cs="宋体"/>
          <w:color w:val="000000"/>
          <w:sz w:val="21"/>
          <w:szCs w:val="21"/>
          <w:highlight w:val="none"/>
        </w:rPr>
        <w:t>7. 工期和进度</w:t>
      </w:r>
      <w:bookmarkEnd w:id="319"/>
      <w:bookmarkEnd w:id="320"/>
      <w:bookmarkEnd w:id="321"/>
      <w:bookmarkEnd w:id="322"/>
      <w:bookmarkEnd w:id="323"/>
    </w:p>
    <w:p w14:paraId="4DBDA4E4">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24" w:name="_Toc373478370"/>
      <w:bookmarkStart w:id="325" w:name="_Toc389065289"/>
      <w:bookmarkStart w:id="326" w:name="_Toc11077"/>
      <w:bookmarkStart w:id="327" w:name="_Toc373227723"/>
      <w:r>
        <w:rPr>
          <w:rFonts w:hint="eastAsia" w:ascii="宋体" w:hAnsi="宋体" w:eastAsia="宋体" w:cs="宋体"/>
          <w:color w:val="000000"/>
          <w:sz w:val="21"/>
          <w:szCs w:val="21"/>
          <w:highlight w:val="none"/>
        </w:rPr>
        <w:t>7.1 施工组织设计</w:t>
      </w:r>
      <w:bookmarkEnd w:id="324"/>
      <w:bookmarkEnd w:id="325"/>
      <w:bookmarkEnd w:id="326"/>
      <w:bookmarkEnd w:id="327"/>
    </w:p>
    <w:p w14:paraId="39D91E73">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7.1.1 合同当事人约定的施工组织设计应包括的其他内容：</w:t>
      </w:r>
      <w:r>
        <w:rPr>
          <w:rFonts w:hint="eastAsia" w:ascii="宋体" w:hAnsi="宋体" w:eastAsia="宋体" w:cs="宋体"/>
          <w:color w:val="000000"/>
          <w:sz w:val="21"/>
          <w:szCs w:val="21"/>
          <w:highlight w:val="none"/>
          <w:u w:val="single"/>
        </w:rPr>
        <w:t xml:space="preserve"> 按有关规定执行  </w:t>
      </w:r>
      <w:r>
        <w:rPr>
          <w:rFonts w:hint="eastAsia" w:ascii="宋体" w:hAnsi="宋体" w:eastAsia="宋体" w:cs="宋体"/>
          <w:color w:val="000000"/>
          <w:sz w:val="21"/>
          <w:szCs w:val="21"/>
          <w:highlight w:val="none"/>
        </w:rPr>
        <w:t>。</w:t>
      </w:r>
    </w:p>
    <w:p w14:paraId="00C2A478">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7.1.2 施工组织设计的提交和修改</w:t>
      </w:r>
    </w:p>
    <w:p w14:paraId="032125DF">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承包人提交详细施工组织设计的期限的约定：</w:t>
      </w:r>
      <w:r>
        <w:rPr>
          <w:rFonts w:hint="eastAsia" w:ascii="宋体" w:hAnsi="宋体" w:eastAsia="宋体" w:cs="宋体"/>
          <w:color w:val="000000"/>
          <w:sz w:val="21"/>
          <w:szCs w:val="21"/>
          <w:highlight w:val="none"/>
          <w:u w:val="single"/>
        </w:rPr>
        <w:t xml:space="preserve">  工程开工前</w:t>
      </w:r>
      <w:r>
        <w:rPr>
          <w:rFonts w:hint="eastAsia" w:ascii="宋体" w:hAnsi="宋体" w:eastAsia="宋体" w:cs="宋体"/>
          <w:color w:val="000000"/>
          <w:sz w:val="21"/>
          <w:szCs w:val="21"/>
          <w:highlight w:val="none"/>
          <w:u w:val="single"/>
          <w:lang w:val="en-US" w:eastAsia="zh-CN"/>
        </w:rPr>
        <w:t>7个工作日</w:t>
      </w:r>
      <w:r>
        <w:rPr>
          <w:rFonts w:hint="eastAsia" w:ascii="宋体" w:hAnsi="宋体" w:eastAsia="宋体" w:cs="宋体"/>
          <w:color w:val="000000"/>
          <w:sz w:val="21"/>
          <w:szCs w:val="21"/>
          <w:highlight w:val="none"/>
          <w:u w:val="single"/>
        </w:rPr>
        <w:t xml:space="preserve">内   </w:t>
      </w:r>
      <w:r>
        <w:rPr>
          <w:rFonts w:hint="eastAsia" w:ascii="宋体" w:hAnsi="宋体" w:eastAsia="宋体" w:cs="宋体"/>
          <w:color w:val="000000"/>
          <w:sz w:val="21"/>
          <w:szCs w:val="21"/>
          <w:highlight w:val="none"/>
        </w:rPr>
        <w:t>。</w:t>
      </w:r>
    </w:p>
    <w:p w14:paraId="1EB50B68">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发包人和监理人在收到详细的施工组织设计后确认或提出修改意见的期限：</w:t>
      </w:r>
      <w:r>
        <w:rPr>
          <w:rFonts w:hint="eastAsia" w:ascii="宋体" w:hAnsi="宋体" w:eastAsia="宋体" w:cs="宋体"/>
          <w:color w:val="000000"/>
          <w:sz w:val="21"/>
          <w:szCs w:val="21"/>
          <w:highlight w:val="none"/>
          <w:u w:val="single"/>
        </w:rPr>
        <w:t xml:space="preserve">  从收到承包人提供的施工组织设计（施工方案）之日起七天内予以确认，如有重大异议必须在收到上述资料之日起五天内以书面形式送达承包人，逾期不确认也不提出书面意见的，视为同意   </w:t>
      </w:r>
      <w:r>
        <w:rPr>
          <w:rFonts w:hint="eastAsia" w:ascii="宋体" w:hAnsi="宋体" w:eastAsia="宋体" w:cs="宋体"/>
          <w:color w:val="000000"/>
          <w:sz w:val="21"/>
          <w:szCs w:val="21"/>
          <w:highlight w:val="none"/>
        </w:rPr>
        <w:t>。</w:t>
      </w:r>
    </w:p>
    <w:p w14:paraId="6D432743">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28" w:name="_Toc389065290"/>
      <w:bookmarkStart w:id="329" w:name="_Toc24506"/>
      <w:bookmarkStart w:id="330" w:name="_Toc373227724"/>
      <w:bookmarkStart w:id="331" w:name="_Toc373478371"/>
      <w:r>
        <w:rPr>
          <w:rFonts w:hint="eastAsia" w:ascii="宋体" w:hAnsi="宋体" w:eastAsia="宋体" w:cs="宋体"/>
          <w:color w:val="000000"/>
          <w:sz w:val="21"/>
          <w:szCs w:val="21"/>
          <w:highlight w:val="none"/>
        </w:rPr>
        <w:t>7</w:t>
      </w:r>
      <w:bookmarkStart w:id="332" w:name="_Toc312678005"/>
      <w:bookmarkStart w:id="333" w:name="_Toc300934966"/>
      <w:bookmarkStart w:id="334" w:name="_Toc304295541"/>
      <w:bookmarkStart w:id="335" w:name="_Toc312677479"/>
      <w:bookmarkStart w:id="336" w:name="_Toc297123514"/>
      <w:bookmarkStart w:id="337" w:name="_Toc297216173"/>
      <w:bookmarkStart w:id="338" w:name="_Toc303539123"/>
      <w:r>
        <w:rPr>
          <w:rFonts w:hint="eastAsia" w:ascii="宋体" w:hAnsi="宋体" w:eastAsia="宋体" w:cs="宋体"/>
          <w:color w:val="000000"/>
          <w:sz w:val="21"/>
          <w:szCs w:val="21"/>
          <w:highlight w:val="none"/>
        </w:rPr>
        <w:t>.2 施工进度计划</w:t>
      </w:r>
      <w:bookmarkEnd w:id="328"/>
      <w:bookmarkEnd w:id="329"/>
      <w:bookmarkEnd w:id="330"/>
      <w:bookmarkEnd w:id="331"/>
    </w:p>
    <w:p w14:paraId="1C4C4EB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7.2.2 施工进度计划的修订</w:t>
      </w:r>
    </w:p>
    <w:p w14:paraId="1B428E9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发包人和监理人在收到修订的施工进度计划后确认或提出修改意见的期限： </w:t>
      </w:r>
      <w:r>
        <w:rPr>
          <w:rFonts w:hint="eastAsia" w:ascii="宋体" w:hAnsi="宋体" w:eastAsia="宋体" w:cs="宋体"/>
          <w:color w:val="000000"/>
          <w:sz w:val="21"/>
          <w:szCs w:val="21"/>
          <w:highlight w:val="none"/>
          <w:u w:val="single"/>
        </w:rPr>
        <w:t xml:space="preserve">收到之后3 </w:t>
      </w:r>
      <w:r>
        <w:rPr>
          <w:rFonts w:hint="eastAsia" w:ascii="宋体" w:hAnsi="宋体" w:eastAsia="宋体" w:cs="宋体"/>
          <w:color w:val="000000"/>
          <w:sz w:val="21"/>
          <w:szCs w:val="21"/>
          <w:highlight w:val="none"/>
          <w:u w:val="single"/>
          <w:lang w:val="en-US" w:eastAsia="zh-CN"/>
        </w:rPr>
        <w:t>个工作</w:t>
      </w:r>
      <w:r>
        <w:rPr>
          <w:rFonts w:hint="eastAsia" w:ascii="宋体" w:hAnsi="宋体" w:eastAsia="宋体" w:cs="宋体"/>
          <w:color w:val="000000"/>
          <w:sz w:val="21"/>
          <w:szCs w:val="21"/>
          <w:highlight w:val="none"/>
          <w:u w:val="single"/>
        </w:rPr>
        <w:t xml:space="preserve">日内 </w:t>
      </w:r>
      <w:r>
        <w:rPr>
          <w:rFonts w:hint="eastAsia" w:ascii="宋体" w:hAnsi="宋体" w:eastAsia="宋体" w:cs="宋体"/>
          <w:color w:val="000000"/>
          <w:sz w:val="21"/>
          <w:szCs w:val="21"/>
          <w:highlight w:val="none"/>
        </w:rPr>
        <w:t xml:space="preserve"> 。</w:t>
      </w:r>
    </w:p>
    <w:p w14:paraId="3EEDC800">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39" w:name="_Toc12066"/>
      <w:bookmarkStart w:id="340" w:name="_Toc389065291"/>
      <w:bookmarkStart w:id="341" w:name="_Toc373478372"/>
      <w:bookmarkStart w:id="342" w:name="_Toc373227725"/>
      <w:r>
        <w:rPr>
          <w:rFonts w:hint="eastAsia" w:ascii="宋体" w:hAnsi="宋体" w:eastAsia="宋体" w:cs="宋体"/>
          <w:color w:val="000000"/>
          <w:sz w:val="21"/>
          <w:szCs w:val="21"/>
          <w:highlight w:val="none"/>
        </w:rPr>
        <w:t>7.3 开工</w:t>
      </w:r>
      <w:bookmarkEnd w:id="339"/>
      <w:bookmarkEnd w:id="340"/>
      <w:bookmarkEnd w:id="341"/>
      <w:bookmarkEnd w:id="342"/>
    </w:p>
    <w:p w14:paraId="28E4B7F8">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7.3.1 开工准备</w:t>
      </w:r>
    </w:p>
    <w:p w14:paraId="4E3CC170">
      <w:pPr>
        <w:pageBreakBefore w:val="0"/>
        <w:kinsoku/>
        <w:overflowPunct/>
        <w:topLinePunct w:val="0"/>
        <w:bidi w:val="0"/>
        <w:spacing w:line="360" w:lineRule="auto"/>
        <w:ind w:firstLine="426"/>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关于承包人提交工程开工报审表的期限：</w:t>
      </w:r>
      <w:r>
        <w:rPr>
          <w:rFonts w:hint="eastAsia" w:ascii="宋体" w:hAnsi="宋体" w:eastAsia="宋体" w:cs="宋体"/>
          <w:color w:val="000000"/>
          <w:sz w:val="21"/>
          <w:szCs w:val="21"/>
          <w:highlight w:val="none"/>
          <w:u w:val="single"/>
        </w:rPr>
        <w:t xml:space="preserve">  承包人在图纸会审和设计交底之日起 7 </w:t>
      </w:r>
      <w:r>
        <w:rPr>
          <w:rFonts w:hint="eastAsia" w:ascii="宋体" w:hAnsi="宋体" w:eastAsia="宋体" w:cs="宋体"/>
          <w:color w:val="000000"/>
          <w:sz w:val="21"/>
          <w:szCs w:val="21"/>
          <w:highlight w:val="none"/>
          <w:u w:val="single"/>
          <w:lang w:val="en-US" w:eastAsia="zh-CN"/>
        </w:rPr>
        <w:t>个工作日</w:t>
      </w:r>
      <w:r>
        <w:rPr>
          <w:rFonts w:hint="eastAsia" w:ascii="宋体" w:hAnsi="宋体" w:eastAsia="宋体" w:cs="宋体"/>
          <w:color w:val="000000"/>
          <w:sz w:val="21"/>
          <w:szCs w:val="21"/>
          <w:highlight w:val="none"/>
          <w:u w:val="single"/>
        </w:rPr>
        <w:t xml:space="preserve">内报送 </w:t>
      </w:r>
      <w:r>
        <w:rPr>
          <w:rFonts w:hint="eastAsia" w:ascii="宋体" w:hAnsi="宋体" w:eastAsia="宋体" w:cs="宋体"/>
          <w:color w:val="000000"/>
          <w:sz w:val="21"/>
          <w:szCs w:val="21"/>
          <w:highlight w:val="none"/>
        </w:rPr>
        <w:t>。</w:t>
      </w:r>
    </w:p>
    <w:p w14:paraId="73638387">
      <w:pPr>
        <w:pageBreakBefore w:val="0"/>
        <w:kinsoku/>
        <w:overflowPunct/>
        <w:topLinePunct w:val="0"/>
        <w:bidi w:val="0"/>
        <w:spacing w:line="360" w:lineRule="auto"/>
        <w:ind w:firstLine="426"/>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关于发包人应完成的其他开工准备工作及期限：</w:t>
      </w:r>
      <w:r>
        <w:rPr>
          <w:rFonts w:hint="eastAsia" w:ascii="宋体" w:hAnsi="宋体" w:eastAsia="宋体" w:cs="宋体"/>
          <w:color w:val="000000"/>
          <w:sz w:val="21"/>
          <w:szCs w:val="21"/>
          <w:highlight w:val="none"/>
          <w:u w:val="single"/>
        </w:rPr>
        <w:t xml:space="preserve">  签订合同后 14 天内 </w:t>
      </w:r>
      <w:r>
        <w:rPr>
          <w:rFonts w:hint="eastAsia" w:ascii="宋体" w:hAnsi="宋体" w:eastAsia="宋体" w:cs="宋体"/>
          <w:color w:val="000000"/>
          <w:sz w:val="21"/>
          <w:szCs w:val="21"/>
          <w:highlight w:val="none"/>
        </w:rPr>
        <w:t>。</w:t>
      </w:r>
    </w:p>
    <w:p w14:paraId="7A805AD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关于承包人应完成的其他开工准备工作及期限：</w:t>
      </w:r>
      <w:r>
        <w:rPr>
          <w:rFonts w:hint="eastAsia" w:ascii="宋体" w:hAnsi="宋体" w:eastAsia="宋体" w:cs="宋体"/>
          <w:color w:val="000000"/>
          <w:sz w:val="21"/>
          <w:szCs w:val="21"/>
          <w:highlight w:val="none"/>
          <w:u w:val="single"/>
        </w:rPr>
        <w:t xml:space="preserve">  签订合同后 14 天内 </w:t>
      </w:r>
      <w:r>
        <w:rPr>
          <w:rFonts w:hint="eastAsia" w:ascii="宋体" w:hAnsi="宋体" w:eastAsia="宋体" w:cs="宋体"/>
          <w:color w:val="000000"/>
          <w:sz w:val="21"/>
          <w:szCs w:val="21"/>
          <w:highlight w:val="none"/>
        </w:rPr>
        <w:t>。</w:t>
      </w:r>
    </w:p>
    <w:p w14:paraId="38ADC65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7.3.2 开工通知</w:t>
      </w:r>
    </w:p>
    <w:p w14:paraId="212157F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因发包人原因造成监理人未能在计划开工日期之日起</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90</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天内发出开工通知的，承包人有权提出价格调整要求，或者解除合同。</w:t>
      </w:r>
    </w:p>
    <w:bookmarkEnd w:id="332"/>
    <w:bookmarkEnd w:id="333"/>
    <w:bookmarkEnd w:id="334"/>
    <w:bookmarkEnd w:id="335"/>
    <w:bookmarkEnd w:id="336"/>
    <w:bookmarkEnd w:id="337"/>
    <w:bookmarkEnd w:id="338"/>
    <w:p w14:paraId="07BF1097">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43" w:name="_Toc373478373"/>
      <w:bookmarkStart w:id="344" w:name="_Toc5444"/>
      <w:bookmarkStart w:id="345" w:name="_Toc373227726"/>
      <w:bookmarkStart w:id="346" w:name="_Toc389065292"/>
      <w:r>
        <w:rPr>
          <w:rFonts w:hint="eastAsia" w:ascii="宋体" w:hAnsi="宋体" w:eastAsia="宋体" w:cs="宋体"/>
          <w:color w:val="000000"/>
          <w:sz w:val="21"/>
          <w:szCs w:val="21"/>
          <w:highlight w:val="none"/>
        </w:rPr>
        <w:t>7.4 测量放线</w:t>
      </w:r>
      <w:bookmarkEnd w:id="343"/>
      <w:bookmarkEnd w:id="344"/>
      <w:bookmarkEnd w:id="345"/>
      <w:bookmarkEnd w:id="346"/>
    </w:p>
    <w:p w14:paraId="6A6843E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7.4.1发包人通过监理人向承包人提供测量基准点、基准线和水准点及其书面资料的期限：</w:t>
      </w:r>
    </w:p>
    <w:p w14:paraId="74A27B54">
      <w:pPr>
        <w:pageBreakBefore w:val="0"/>
        <w:kinsoku/>
        <w:overflowPunct/>
        <w:topLinePunct w:val="0"/>
        <w:bidi w:val="0"/>
        <w:spacing w:line="360" w:lineRule="auto"/>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u w:val="single"/>
        </w:rPr>
        <w:t xml:space="preserve">开工日期前七天内 </w:t>
      </w:r>
      <w:r>
        <w:rPr>
          <w:rFonts w:hint="eastAsia" w:ascii="宋体" w:hAnsi="宋体" w:eastAsia="宋体" w:cs="宋体"/>
          <w:color w:val="000000"/>
          <w:sz w:val="21"/>
          <w:szCs w:val="21"/>
          <w:highlight w:val="none"/>
        </w:rPr>
        <w:t>。</w:t>
      </w:r>
    </w:p>
    <w:p w14:paraId="77229523">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47" w:name="_Toc21949"/>
      <w:bookmarkStart w:id="348" w:name="_Toc373478374"/>
      <w:bookmarkStart w:id="349" w:name="_Toc373227727"/>
      <w:bookmarkStart w:id="350" w:name="_Toc389065293"/>
      <w:r>
        <w:rPr>
          <w:rFonts w:hint="eastAsia" w:ascii="宋体" w:hAnsi="宋体" w:eastAsia="宋体" w:cs="宋体"/>
          <w:color w:val="000000"/>
          <w:sz w:val="21"/>
          <w:szCs w:val="21"/>
          <w:highlight w:val="none"/>
        </w:rPr>
        <w:t>7</w:t>
      </w:r>
      <w:bookmarkStart w:id="351" w:name="_Toc312677484"/>
      <w:bookmarkStart w:id="352" w:name="_Toc304295546"/>
      <w:bookmarkStart w:id="353" w:name="_Toc297216175"/>
      <w:bookmarkStart w:id="354" w:name="_Toc297123516"/>
      <w:bookmarkStart w:id="355" w:name="_Toc303539125"/>
      <w:bookmarkStart w:id="356" w:name="_Toc300934968"/>
      <w:bookmarkStart w:id="357" w:name="_Toc312678010"/>
      <w:r>
        <w:rPr>
          <w:rFonts w:hint="eastAsia" w:ascii="宋体" w:hAnsi="宋体" w:eastAsia="宋体" w:cs="宋体"/>
          <w:color w:val="000000"/>
          <w:sz w:val="21"/>
          <w:szCs w:val="21"/>
          <w:highlight w:val="none"/>
        </w:rPr>
        <w:t>.5 工期延误</w:t>
      </w:r>
      <w:bookmarkEnd w:id="347"/>
      <w:bookmarkEnd w:id="348"/>
      <w:bookmarkEnd w:id="349"/>
      <w:bookmarkEnd w:id="350"/>
    </w:p>
    <w:bookmarkEnd w:id="351"/>
    <w:bookmarkEnd w:id="352"/>
    <w:bookmarkEnd w:id="353"/>
    <w:bookmarkEnd w:id="354"/>
    <w:bookmarkEnd w:id="355"/>
    <w:bookmarkEnd w:id="356"/>
    <w:bookmarkEnd w:id="357"/>
    <w:p w14:paraId="61C48EF8">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7.5.1 因发包人原因导致工期延误</w:t>
      </w:r>
    </w:p>
    <w:p w14:paraId="7DE99CE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（7）因发包人原因导致工期延误的其他情形：</w:t>
      </w:r>
      <w:r>
        <w:rPr>
          <w:rFonts w:hint="eastAsia" w:ascii="宋体" w:hAnsi="宋体" w:eastAsia="宋体" w:cs="宋体"/>
          <w:color w:val="000000"/>
          <w:sz w:val="21"/>
          <w:szCs w:val="21"/>
          <w:highlight w:val="none"/>
          <w:u w:val="single"/>
        </w:rPr>
        <w:t>①重大图纸变更影响关健线路工序施工；②施工期间如因停电、停水连续8小时以上或一周内间歇性停水、停电累计8小时（含8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hint="eastAsia" w:ascii="宋体" w:hAnsi="宋体" w:eastAsia="宋体" w:cs="宋体"/>
          <w:color w:val="000000"/>
          <w:sz w:val="21"/>
          <w:szCs w:val="21"/>
          <w:highlight w:val="none"/>
        </w:rPr>
        <w:t xml:space="preserve"> 。</w:t>
      </w:r>
    </w:p>
    <w:p w14:paraId="7C0B085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w:t>
      </w:r>
      <w:bookmarkStart w:id="358" w:name="_Toc312677486"/>
      <w:bookmarkStart w:id="359" w:name="_Toc312678012"/>
      <w:bookmarkStart w:id="360" w:name="_Toc318581169"/>
      <w:bookmarkStart w:id="361" w:name="_Toc303539127"/>
      <w:bookmarkStart w:id="362" w:name="_Toc300934970"/>
      <w:bookmarkStart w:id="363" w:name="_Toc297123518"/>
      <w:bookmarkStart w:id="364" w:name="_Toc297216177"/>
      <w:bookmarkStart w:id="365" w:name="_Toc304295548"/>
      <w:r>
        <w:rPr>
          <w:rFonts w:hint="eastAsia" w:ascii="宋体" w:hAnsi="宋体" w:eastAsia="宋体" w:cs="宋体"/>
          <w:color w:val="000000"/>
          <w:sz w:val="21"/>
          <w:szCs w:val="21"/>
          <w:highlight w:val="none"/>
        </w:rPr>
        <w:t>.5.2 因承包人原因导致工期延误</w:t>
      </w:r>
    </w:p>
    <w:bookmarkEnd w:id="358"/>
    <w:bookmarkEnd w:id="359"/>
    <w:bookmarkEnd w:id="360"/>
    <w:p w14:paraId="5713D504">
      <w:pPr>
        <w:pStyle w:val="29"/>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rPr>
        <w:t xml:space="preserve">双方约定经监理工程师确认，工期相应顺延的情况： </w:t>
      </w:r>
      <w:r>
        <w:rPr>
          <w:rFonts w:hint="eastAsia" w:ascii="宋体" w:hAnsi="宋体" w:eastAsia="宋体" w:cs="宋体"/>
          <w:color w:val="000000"/>
          <w:kern w:val="0"/>
          <w:sz w:val="21"/>
          <w:szCs w:val="21"/>
          <w:highlight w:val="none"/>
          <w:u w:val="single"/>
        </w:rPr>
        <w:t xml:space="preserve"> 满足专用条款第 7.5.1 条 及专用条款 7.7 条及当地政府指令性要求（包括规划调整、征地等）原因 </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16292DE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因</w:t>
      </w:r>
      <w:bookmarkStart w:id="366" w:name="_Toc318581170"/>
      <w:bookmarkStart w:id="367" w:name="_Toc312677487"/>
      <w:bookmarkStart w:id="368" w:name="_Toc312678013"/>
      <w:r>
        <w:rPr>
          <w:rFonts w:hint="eastAsia" w:ascii="宋体" w:hAnsi="宋体" w:eastAsia="宋体" w:cs="宋体"/>
          <w:color w:val="000000"/>
          <w:sz w:val="21"/>
          <w:szCs w:val="21"/>
          <w:highlight w:val="none"/>
        </w:rPr>
        <w:t>承包人原因造成工期延误，逾期竣工违约金的计算方法为：</w:t>
      </w:r>
      <w:bookmarkEnd w:id="361"/>
      <w:bookmarkEnd w:id="362"/>
      <w:bookmarkEnd w:id="363"/>
      <w:bookmarkEnd w:id="364"/>
      <w:bookmarkEnd w:id="365"/>
      <w:bookmarkEnd w:id="366"/>
      <w:bookmarkEnd w:id="367"/>
      <w:bookmarkEnd w:id="368"/>
      <w:r>
        <w:rPr>
          <w:rFonts w:hint="eastAsia" w:ascii="宋体" w:hAnsi="宋体" w:eastAsia="宋体" w:cs="宋体"/>
          <w:color w:val="000000"/>
          <w:sz w:val="21"/>
          <w:szCs w:val="21"/>
          <w:highlight w:val="none"/>
          <w:u w:val="single"/>
        </w:rPr>
        <w:t>按逾期竣工的单项工程罚款，每延误一天,按单项工程应支付给承包人的结算造价的万分之四处罚,罚款直接从结算款中扣除。误期时间从规定竣工日期起直到实际竣工日期的天数（扣除发包人批准顺延的工期）。</w:t>
      </w:r>
      <w:r>
        <w:rPr>
          <w:rFonts w:hint="eastAsia" w:ascii="宋体" w:hAnsi="宋体" w:eastAsia="宋体" w:cs="宋体"/>
          <w:color w:val="000000"/>
          <w:sz w:val="21"/>
          <w:szCs w:val="21"/>
          <w:highlight w:val="none"/>
        </w:rPr>
        <w:t>因承包人原因造成工期延误，逾期竣工违约金的上限：</w:t>
      </w:r>
      <w:r>
        <w:rPr>
          <w:rFonts w:hint="eastAsia" w:ascii="宋体" w:hAnsi="宋体" w:eastAsia="宋体" w:cs="宋体"/>
          <w:color w:val="000000"/>
          <w:sz w:val="21"/>
          <w:szCs w:val="21"/>
          <w:highlight w:val="none"/>
          <w:u w:val="single"/>
        </w:rPr>
        <w:t>逾期竣工的单位工程合同价扣除建安劳保费、发包人材料价款后的5%</w:t>
      </w:r>
      <w:r>
        <w:rPr>
          <w:rFonts w:hint="eastAsia" w:ascii="宋体" w:hAnsi="宋体" w:eastAsia="宋体" w:cs="宋体"/>
          <w:color w:val="000000"/>
          <w:sz w:val="21"/>
          <w:szCs w:val="21"/>
          <w:highlight w:val="none"/>
        </w:rPr>
        <w:t>。</w:t>
      </w:r>
      <w:bookmarkStart w:id="369" w:name="_Toc318581171"/>
      <w:bookmarkStart w:id="370" w:name="_Toc312678014"/>
    </w:p>
    <w:bookmarkEnd w:id="369"/>
    <w:bookmarkEnd w:id="370"/>
    <w:p w14:paraId="59628DEC">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71" w:name="_Toc389065294"/>
      <w:bookmarkStart w:id="372" w:name="_Toc373478375"/>
      <w:bookmarkStart w:id="373" w:name="_Toc11238"/>
      <w:bookmarkStart w:id="374" w:name="_Toc373227728"/>
      <w:r>
        <w:rPr>
          <w:rFonts w:hint="eastAsia" w:ascii="宋体" w:hAnsi="宋体" w:eastAsia="宋体" w:cs="宋体"/>
          <w:color w:val="000000"/>
          <w:sz w:val="21"/>
          <w:szCs w:val="21"/>
          <w:highlight w:val="none"/>
        </w:rPr>
        <w:t>7</w:t>
      </w:r>
      <w:bookmarkStart w:id="375" w:name="_Toc304295549"/>
      <w:bookmarkStart w:id="376" w:name="_Toc297123519"/>
      <w:bookmarkStart w:id="377" w:name="_Toc312678015"/>
      <w:bookmarkStart w:id="378" w:name="_Toc303539128"/>
      <w:bookmarkStart w:id="379" w:name="_Toc300934971"/>
      <w:bookmarkStart w:id="380" w:name="_Toc297216178"/>
      <w:r>
        <w:rPr>
          <w:rFonts w:hint="eastAsia" w:ascii="宋体" w:hAnsi="宋体" w:eastAsia="宋体" w:cs="宋体"/>
          <w:color w:val="000000"/>
          <w:sz w:val="21"/>
          <w:szCs w:val="21"/>
          <w:highlight w:val="none"/>
        </w:rPr>
        <w:t>.6 不</w:t>
      </w:r>
      <w:bookmarkEnd w:id="375"/>
      <w:bookmarkEnd w:id="376"/>
      <w:bookmarkEnd w:id="377"/>
      <w:bookmarkEnd w:id="378"/>
      <w:bookmarkEnd w:id="379"/>
      <w:bookmarkEnd w:id="380"/>
      <w:r>
        <w:rPr>
          <w:rFonts w:hint="eastAsia" w:ascii="宋体" w:hAnsi="宋体" w:eastAsia="宋体" w:cs="宋体"/>
          <w:color w:val="000000"/>
          <w:sz w:val="21"/>
          <w:szCs w:val="21"/>
          <w:highlight w:val="none"/>
        </w:rPr>
        <w:t>利物质条件</w:t>
      </w:r>
      <w:bookmarkEnd w:id="371"/>
      <w:bookmarkEnd w:id="372"/>
      <w:bookmarkEnd w:id="373"/>
      <w:bookmarkEnd w:id="374"/>
    </w:p>
    <w:p w14:paraId="2E7547B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bookmarkStart w:id="381" w:name="_Toc303539129"/>
      <w:bookmarkStart w:id="382" w:name="_Toc300934972"/>
      <w:bookmarkStart w:id="383" w:name="_Toc312678016"/>
      <w:bookmarkStart w:id="384" w:name="_Toc297216179"/>
      <w:bookmarkStart w:id="385" w:name="_Toc318581172"/>
      <w:bookmarkStart w:id="386" w:name="_Toc304295550"/>
      <w:bookmarkStart w:id="387" w:name="_Toc297123520"/>
      <w:r>
        <w:rPr>
          <w:rFonts w:hint="eastAsia" w:ascii="宋体" w:hAnsi="宋体" w:eastAsia="宋体" w:cs="宋体"/>
          <w:color w:val="000000"/>
          <w:sz w:val="21"/>
          <w:szCs w:val="21"/>
          <w:highlight w:val="none"/>
        </w:rPr>
        <w:t>不利物质条件的其他情形和有关约定：</w:t>
      </w:r>
      <w:r>
        <w:rPr>
          <w:rFonts w:hint="eastAsia" w:ascii="宋体" w:hAnsi="宋体" w:eastAsia="宋体" w:cs="宋体"/>
          <w:color w:val="000000"/>
          <w:sz w:val="21"/>
          <w:szCs w:val="21"/>
          <w:highlight w:val="none"/>
          <w:u w:val="single"/>
        </w:rPr>
        <w:t xml:space="preserve"> 以有关部门发布的文告或文件为准  </w:t>
      </w:r>
      <w:r>
        <w:rPr>
          <w:rFonts w:hint="eastAsia" w:ascii="宋体" w:hAnsi="宋体" w:eastAsia="宋体" w:cs="宋体"/>
          <w:color w:val="000000"/>
          <w:sz w:val="21"/>
          <w:szCs w:val="21"/>
          <w:highlight w:val="none"/>
        </w:rPr>
        <w:t>。</w:t>
      </w:r>
    </w:p>
    <w:bookmarkEnd w:id="381"/>
    <w:bookmarkEnd w:id="382"/>
    <w:bookmarkEnd w:id="383"/>
    <w:bookmarkEnd w:id="384"/>
    <w:bookmarkEnd w:id="385"/>
    <w:bookmarkEnd w:id="386"/>
    <w:bookmarkEnd w:id="387"/>
    <w:p w14:paraId="691B4B58">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388" w:name="_Toc373478376"/>
      <w:bookmarkStart w:id="389" w:name="_Toc373227729"/>
      <w:bookmarkStart w:id="390" w:name="_Toc389065295"/>
      <w:bookmarkStart w:id="391" w:name="_Toc21019"/>
      <w:r>
        <w:rPr>
          <w:rFonts w:hint="eastAsia" w:ascii="宋体" w:hAnsi="宋体" w:eastAsia="宋体" w:cs="宋体"/>
          <w:color w:val="000000"/>
          <w:sz w:val="21"/>
          <w:szCs w:val="21"/>
          <w:highlight w:val="none"/>
        </w:rPr>
        <w:t>7</w:t>
      </w:r>
      <w:bookmarkStart w:id="392" w:name="_Toc300934973"/>
      <w:bookmarkStart w:id="393" w:name="_Toc297123521"/>
      <w:bookmarkStart w:id="394" w:name="_Toc303539130"/>
      <w:bookmarkStart w:id="395" w:name="_Toc304295551"/>
      <w:bookmarkStart w:id="396" w:name="_Toc297216180"/>
      <w:bookmarkStart w:id="397" w:name="_Toc312678017"/>
      <w:r>
        <w:rPr>
          <w:rFonts w:hint="eastAsia" w:ascii="宋体" w:hAnsi="宋体" w:eastAsia="宋体" w:cs="宋体"/>
          <w:color w:val="000000"/>
          <w:sz w:val="21"/>
          <w:szCs w:val="21"/>
          <w:highlight w:val="none"/>
        </w:rPr>
        <w:t>.7 异常恶劣的气候条件</w:t>
      </w:r>
      <w:bookmarkEnd w:id="388"/>
      <w:bookmarkEnd w:id="389"/>
      <w:bookmarkEnd w:id="390"/>
      <w:bookmarkEnd w:id="391"/>
    </w:p>
    <w:bookmarkEnd w:id="392"/>
    <w:bookmarkEnd w:id="393"/>
    <w:bookmarkEnd w:id="394"/>
    <w:bookmarkEnd w:id="395"/>
    <w:bookmarkEnd w:id="396"/>
    <w:bookmarkEnd w:id="397"/>
    <w:p w14:paraId="61FC04D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发包人和承包人同意以下情形视为异常恶劣的气候条件：</w:t>
      </w:r>
    </w:p>
    <w:p w14:paraId="6F5D505C">
      <w:pPr>
        <w:pStyle w:val="29"/>
        <w:pageBreakBefore w:val="0"/>
        <w:kinsoku/>
        <w:overflowPunct/>
        <w:topLinePunct w:val="0"/>
        <w:bidi w:val="0"/>
        <w:spacing w:line="360" w:lineRule="auto"/>
        <w:jc w:val="left"/>
        <w:outlineLvl w:val="9"/>
        <w:rPr>
          <w:rFonts w:hint="eastAsia" w:ascii="宋体" w:hAnsi="宋体" w:eastAsia="宋体" w:cs="宋体"/>
          <w:color w:val="000000"/>
          <w:kern w:val="0"/>
          <w:sz w:val="21"/>
          <w:szCs w:val="21"/>
          <w:highlight w:val="none"/>
        </w:rPr>
      </w:pPr>
      <w:bookmarkStart w:id="398" w:name="_Toc373227730"/>
      <w:bookmarkStart w:id="399" w:name="_Toc373478377"/>
      <w:bookmarkStart w:id="400" w:name="_Toc389065296"/>
      <w:bookmarkStart w:id="401" w:name="_Toc22298"/>
      <w:r>
        <w:rPr>
          <w:rFonts w:hint="eastAsia" w:ascii="宋体" w:hAnsi="宋体" w:eastAsia="宋体" w:cs="宋体"/>
          <w:color w:val="000000"/>
          <w:kern w:val="0"/>
          <w:sz w:val="21"/>
          <w:szCs w:val="21"/>
          <w:highlight w:val="none"/>
        </w:rPr>
        <w:t>（1）</w:t>
      </w:r>
      <w:r>
        <w:rPr>
          <w:rFonts w:hint="eastAsia" w:ascii="宋体" w:hAnsi="宋体" w:eastAsia="宋体" w:cs="宋体"/>
          <w:color w:val="000000"/>
          <w:kern w:val="0"/>
          <w:sz w:val="21"/>
          <w:szCs w:val="21"/>
          <w:highlight w:val="none"/>
          <w:u w:val="single"/>
        </w:rPr>
        <w:t xml:space="preserve"> 6 级以上地震 ； </w:t>
      </w:r>
    </w:p>
    <w:p w14:paraId="475C7F2F">
      <w:pPr>
        <w:pStyle w:val="29"/>
        <w:pageBreakBefore w:val="0"/>
        <w:kinsoku/>
        <w:overflowPunct/>
        <w:topLinePunct w:val="0"/>
        <w:bidi w:val="0"/>
        <w:spacing w:line="360" w:lineRule="auto"/>
        <w:jc w:val="left"/>
        <w:outlineLvl w:val="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 xml:space="preserve">（2） </w:t>
      </w:r>
      <w:r>
        <w:rPr>
          <w:rFonts w:hint="eastAsia" w:ascii="宋体" w:hAnsi="宋体" w:eastAsia="宋体" w:cs="宋体"/>
          <w:color w:val="000000"/>
          <w:kern w:val="0"/>
          <w:sz w:val="21"/>
          <w:szCs w:val="21"/>
          <w:highlight w:val="none"/>
          <w:u w:val="single"/>
        </w:rPr>
        <w:t xml:space="preserve">10 级以上持续 1 天的大风 ； </w:t>
      </w:r>
    </w:p>
    <w:p w14:paraId="0CBD297D">
      <w:pPr>
        <w:pStyle w:val="29"/>
        <w:pageBreakBefore w:val="0"/>
        <w:kinsoku/>
        <w:overflowPunct/>
        <w:topLinePunct w:val="0"/>
        <w:bidi w:val="0"/>
        <w:spacing w:line="360" w:lineRule="auto"/>
        <w:jc w:val="left"/>
        <w:outlineLvl w:val="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 xml:space="preserve">（3） </w:t>
      </w:r>
      <w:r>
        <w:rPr>
          <w:rFonts w:hint="eastAsia" w:ascii="宋体" w:hAnsi="宋体" w:eastAsia="宋体" w:cs="宋体"/>
          <w:color w:val="000000"/>
          <w:kern w:val="0"/>
          <w:sz w:val="21"/>
          <w:szCs w:val="21"/>
          <w:highlight w:val="none"/>
          <w:u w:val="single"/>
        </w:rPr>
        <w:t>日气温低于零摄氏度的严寒大于 3 天；</w:t>
      </w:r>
      <w:r>
        <w:rPr>
          <w:rFonts w:hint="eastAsia" w:ascii="宋体" w:hAnsi="宋体" w:eastAsia="宋体" w:cs="宋体"/>
          <w:color w:val="000000"/>
          <w:kern w:val="0"/>
          <w:sz w:val="21"/>
          <w:szCs w:val="21"/>
          <w:highlight w:val="none"/>
        </w:rPr>
        <w:t xml:space="preserve"> </w:t>
      </w:r>
    </w:p>
    <w:p w14:paraId="05592DE5">
      <w:pPr>
        <w:pStyle w:val="29"/>
        <w:pageBreakBefore w:val="0"/>
        <w:kinsoku/>
        <w:overflowPunct/>
        <w:topLinePunct w:val="0"/>
        <w:bidi w:val="0"/>
        <w:spacing w:line="360" w:lineRule="auto"/>
        <w:jc w:val="left"/>
        <w:outlineLvl w:val="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 xml:space="preserve">（4） </w:t>
      </w:r>
      <w:r>
        <w:rPr>
          <w:rFonts w:hint="eastAsia" w:ascii="宋体" w:hAnsi="宋体" w:eastAsia="宋体" w:cs="宋体"/>
          <w:color w:val="000000"/>
          <w:kern w:val="0"/>
          <w:sz w:val="21"/>
          <w:szCs w:val="21"/>
          <w:highlight w:val="none"/>
          <w:u w:val="single"/>
        </w:rPr>
        <w:t xml:space="preserve">日气温超过 40 摄氏度的高温大于 3 天； </w:t>
      </w:r>
    </w:p>
    <w:p w14:paraId="17A2FF95">
      <w:pPr>
        <w:pStyle w:val="29"/>
        <w:pageBreakBefore w:val="0"/>
        <w:kinsoku/>
        <w:overflowPunct/>
        <w:topLinePunct w:val="0"/>
        <w:bidi w:val="0"/>
        <w:spacing w:line="360" w:lineRule="auto"/>
        <w:jc w:val="left"/>
        <w:outlineLvl w:val="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 xml:space="preserve">（5） </w:t>
      </w:r>
      <w:r>
        <w:rPr>
          <w:rFonts w:hint="eastAsia" w:ascii="宋体" w:hAnsi="宋体" w:eastAsia="宋体" w:cs="宋体"/>
          <w:color w:val="000000"/>
          <w:kern w:val="0"/>
          <w:sz w:val="21"/>
          <w:szCs w:val="21"/>
          <w:highlight w:val="none"/>
          <w:u w:val="single"/>
        </w:rPr>
        <w:t xml:space="preserve">一日内降雨达 200mm 的暴雨（以气象部门公布的为准） </w:t>
      </w:r>
      <w:r>
        <w:rPr>
          <w:rFonts w:hint="eastAsia" w:ascii="宋体" w:hAnsi="宋体" w:eastAsia="宋体" w:cs="宋体"/>
          <w:color w:val="000000"/>
          <w:kern w:val="0"/>
          <w:sz w:val="21"/>
          <w:szCs w:val="21"/>
          <w:highlight w:val="none"/>
        </w:rPr>
        <w:t>；</w:t>
      </w:r>
    </w:p>
    <w:p w14:paraId="5301F392">
      <w:pPr>
        <w:pStyle w:val="29"/>
        <w:pageBreakBefore w:val="0"/>
        <w:kinsoku/>
        <w:overflowPunct/>
        <w:topLinePunct w:val="0"/>
        <w:bidi w:val="0"/>
        <w:spacing w:line="360" w:lineRule="auto"/>
        <w:jc w:val="left"/>
        <w:outlineLvl w:val="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（6）</w:t>
      </w:r>
      <w:r>
        <w:rPr>
          <w:rFonts w:hint="eastAsia" w:ascii="宋体" w:hAnsi="宋体" w:eastAsia="宋体" w:cs="宋体"/>
          <w:color w:val="000000"/>
          <w:kern w:val="0"/>
          <w:sz w:val="21"/>
          <w:szCs w:val="21"/>
          <w:highlight w:val="none"/>
          <w:u w:val="single"/>
        </w:rPr>
        <w:t>造成的工程损坏的冰雹和大雪灾害；其它异常恶劣气候灾害（以气象部门公布的为准）</w:t>
      </w:r>
      <w:r>
        <w:rPr>
          <w:rFonts w:hint="eastAsia" w:ascii="宋体" w:hAnsi="宋体" w:eastAsia="宋体" w:cs="宋体"/>
          <w:color w:val="000000"/>
          <w:kern w:val="0"/>
          <w:sz w:val="21"/>
          <w:szCs w:val="21"/>
          <w:highlight w:val="none"/>
        </w:rPr>
        <w:t>。</w:t>
      </w:r>
    </w:p>
    <w:p w14:paraId="15174DEB">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7.9 提前竣工</w:t>
      </w:r>
      <w:bookmarkEnd w:id="398"/>
      <w:bookmarkEnd w:id="399"/>
      <w:bookmarkEnd w:id="400"/>
      <w:bookmarkEnd w:id="401"/>
    </w:p>
    <w:p w14:paraId="1F0D4BD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7.9.2提前竣工（赶工）增加费的计算方法：</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00D02E9F">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402" w:name="_Toc389065297"/>
      <w:bookmarkStart w:id="403" w:name="_Toc19507"/>
      <w:bookmarkStart w:id="404" w:name="_Toc373478378"/>
      <w:bookmarkStart w:id="405" w:name="_Toc373227731"/>
      <w:bookmarkStart w:id="406" w:name="_Toc351203640"/>
      <w:r>
        <w:rPr>
          <w:rFonts w:hint="eastAsia" w:ascii="宋体" w:hAnsi="宋体" w:eastAsia="宋体" w:cs="宋体"/>
          <w:color w:val="000000"/>
          <w:sz w:val="21"/>
          <w:szCs w:val="21"/>
          <w:highlight w:val="none"/>
        </w:rPr>
        <w:t>8. 材料与设备</w:t>
      </w:r>
      <w:bookmarkEnd w:id="402"/>
      <w:bookmarkEnd w:id="403"/>
      <w:bookmarkEnd w:id="404"/>
      <w:bookmarkEnd w:id="405"/>
      <w:bookmarkEnd w:id="406"/>
    </w:p>
    <w:bookmarkEnd w:id="285"/>
    <w:bookmarkEnd w:id="286"/>
    <w:bookmarkEnd w:id="287"/>
    <w:bookmarkEnd w:id="288"/>
    <w:bookmarkEnd w:id="289"/>
    <w:bookmarkEnd w:id="290"/>
    <w:bookmarkEnd w:id="291"/>
    <w:bookmarkEnd w:id="292"/>
    <w:bookmarkEnd w:id="293"/>
    <w:bookmarkEnd w:id="294"/>
    <w:p w14:paraId="732530A2">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407" w:name="_Toc24535"/>
      <w:bookmarkStart w:id="408" w:name="_Toc373478379"/>
      <w:bookmarkStart w:id="409" w:name="_Toc389065298"/>
      <w:bookmarkStart w:id="410" w:name="_Toc373227732"/>
      <w:r>
        <w:rPr>
          <w:rFonts w:hint="eastAsia" w:ascii="宋体" w:hAnsi="宋体" w:eastAsia="宋体" w:cs="宋体"/>
          <w:color w:val="000000"/>
          <w:sz w:val="21"/>
          <w:szCs w:val="21"/>
          <w:highlight w:val="none"/>
        </w:rPr>
        <w:t>8.2 承包人采购材料与工程设备</w:t>
      </w:r>
      <w:bookmarkEnd w:id="407"/>
      <w:bookmarkEnd w:id="408"/>
      <w:bookmarkEnd w:id="409"/>
      <w:bookmarkEnd w:id="410"/>
    </w:p>
    <w:p w14:paraId="758B593F">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除已标价工程量清单中明确的材料、工程设备外，由承包人负责材料和工程设备的采购、运输和保管，承包人所采购的材料和工程设施各类技术参数，必须满足或优于施工图的技术参数要求，如发现不符合施工图技术参数要求的，发包人可拒绝验收，一切损失及造成的后果由承包人承担。。</w:t>
      </w:r>
    </w:p>
    <w:p w14:paraId="74D32783">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bookmarkStart w:id="411" w:name="_Toc373478380"/>
      <w:bookmarkStart w:id="412" w:name="_Toc389065299"/>
      <w:bookmarkStart w:id="413" w:name="_Toc373227733"/>
      <w:r>
        <w:rPr>
          <w:rFonts w:hint="eastAsia" w:ascii="宋体" w:hAnsi="宋体" w:eastAsia="宋体" w:cs="宋体"/>
          <w:color w:val="000000"/>
          <w:sz w:val="21"/>
          <w:szCs w:val="21"/>
          <w:highlight w:val="none"/>
        </w:rPr>
        <w:t>对发包人在招标时有“参照或相当于**品牌、级别”约定的材料或设备，承包人采购时必须按类似于或优于所约定品牌、等级进行采购，施工期间该部分材料或设备如未超过招标约定的风险幅度的，结算时按投标单价支付，不得调整。</w:t>
      </w:r>
    </w:p>
    <w:p w14:paraId="18BA9D03">
      <w:pPr>
        <w:pStyle w:val="18"/>
        <w:autoSpaceDE w:val="0"/>
        <w:autoSpaceDN w:val="0"/>
        <w:adjustRightInd w:val="0"/>
        <w:spacing w:line="360" w:lineRule="auto"/>
        <w:ind w:firstLine="420" w:firstLineChars="200"/>
        <w:jc w:val="left"/>
        <w:rPr>
          <w:rStyle w:val="16"/>
          <w:rFonts w:hint="eastAsia" w:ascii="Calibri" w:hAnsi="Calibri" w:eastAsia="宋体" w:cs="Times New Roman"/>
          <w:color w:val="auto"/>
          <w:highlight w:val="none"/>
        </w:rPr>
      </w:pPr>
      <w:bookmarkStart w:id="414" w:name="_Toc3731"/>
      <w:r>
        <w:rPr>
          <w:rStyle w:val="16"/>
          <w:rFonts w:hint="eastAsia" w:ascii="Calibri" w:hAnsi="Calibri" w:eastAsia="宋体" w:cs="Times New Roman"/>
          <w:color w:val="auto"/>
          <w:highlight w:val="none"/>
        </w:rPr>
        <w:t>禁止使用松木、松木包装材料设备、种子、苗木、花卉及繁殖材料。</w:t>
      </w:r>
    </w:p>
    <w:p w14:paraId="3D99F8D4">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w:t>
      </w:r>
      <w:bookmarkStart w:id="415" w:name="_Toc297120467"/>
      <w:bookmarkStart w:id="416" w:name="_Toc280868654"/>
      <w:bookmarkStart w:id="417" w:name="_Toc300934979"/>
      <w:bookmarkStart w:id="418" w:name="_Toc296891207"/>
      <w:bookmarkStart w:id="419" w:name="_Toc296346668"/>
      <w:bookmarkStart w:id="420" w:name="_Toc303539136"/>
      <w:bookmarkStart w:id="421" w:name="_Toc297123527"/>
      <w:bookmarkStart w:id="422" w:name="_Toc312677493"/>
      <w:bookmarkStart w:id="423" w:name="_Toc296890995"/>
      <w:bookmarkStart w:id="424" w:name="_Toc297048353"/>
      <w:bookmarkStart w:id="425" w:name="_Toc304295556"/>
      <w:bookmarkStart w:id="426" w:name="_Toc312678019"/>
      <w:bookmarkStart w:id="427" w:name="_Toc296347166"/>
      <w:bookmarkStart w:id="428" w:name="_Toc292559372"/>
      <w:bookmarkStart w:id="429" w:name="_Toc296503167"/>
      <w:bookmarkStart w:id="430" w:name="_Toc296944506"/>
      <w:bookmarkStart w:id="431" w:name="_Toc292559877"/>
      <w:bookmarkStart w:id="432" w:name="_Toc297216186"/>
      <w:bookmarkStart w:id="433" w:name="_Toc280868656"/>
      <w:bookmarkStart w:id="434" w:name="_Toc280868655"/>
      <w:bookmarkStart w:id="435" w:name="_Toc267251424"/>
      <w:r>
        <w:rPr>
          <w:rFonts w:hint="eastAsia" w:ascii="宋体" w:hAnsi="宋体" w:eastAsia="宋体" w:cs="宋体"/>
          <w:color w:val="000000"/>
          <w:sz w:val="21"/>
          <w:szCs w:val="21"/>
          <w:highlight w:val="none"/>
        </w:rPr>
        <w:t>.4 材料与工程设备的保管与使用</w:t>
      </w:r>
      <w:bookmarkEnd w:id="411"/>
      <w:bookmarkEnd w:id="412"/>
      <w:bookmarkEnd w:id="413"/>
      <w:bookmarkEnd w:id="414"/>
    </w:p>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14:paraId="03E6D67A">
      <w:pPr>
        <w:pStyle w:val="29"/>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kern w:val="0"/>
          <w:sz w:val="21"/>
          <w:szCs w:val="21"/>
          <w:highlight w:val="none"/>
        </w:rPr>
        <w:t>8</w:t>
      </w:r>
      <w:bookmarkStart w:id="436" w:name="_Toc292559878"/>
      <w:bookmarkStart w:id="437" w:name="_Toc292559373"/>
      <w:bookmarkStart w:id="438" w:name="_Toc296891208"/>
      <w:bookmarkStart w:id="439" w:name="_Toc297120468"/>
      <w:bookmarkStart w:id="440" w:name="_Toc312678020"/>
      <w:bookmarkStart w:id="441" w:name="_Toc303539137"/>
      <w:bookmarkStart w:id="442" w:name="_Toc312677494"/>
      <w:bookmarkStart w:id="443" w:name="_Toc296944507"/>
      <w:bookmarkStart w:id="444" w:name="_Toc296890996"/>
      <w:bookmarkStart w:id="445" w:name="_Toc296347167"/>
      <w:bookmarkStart w:id="446" w:name="_Toc297216187"/>
      <w:bookmarkStart w:id="447" w:name="_Toc296346669"/>
      <w:bookmarkStart w:id="448" w:name="_Toc318581173"/>
      <w:bookmarkStart w:id="449" w:name="_Toc296503168"/>
      <w:bookmarkStart w:id="450" w:name="_Toc297048354"/>
      <w:bookmarkStart w:id="451" w:name="_Toc304295557"/>
      <w:bookmarkStart w:id="452" w:name="_Toc300934980"/>
      <w:bookmarkStart w:id="453" w:name="_Toc297123528"/>
      <w:r>
        <w:rPr>
          <w:rFonts w:hint="eastAsia" w:ascii="宋体" w:hAnsi="宋体" w:eastAsia="宋体" w:cs="宋体"/>
          <w:color w:val="000000"/>
          <w:kern w:val="0"/>
          <w:sz w:val="21"/>
          <w:szCs w:val="21"/>
          <w:highlight w:val="none"/>
        </w:rPr>
        <w:t>.4.1发包人供应的材料设备的保管费用的承担：</w:t>
      </w:r>
      <w:r>
        <w:rPr>
          <w:rFonts w:hint="eastAsia" w:ascii="宋体" w:hAnsi="宋体" w:eastAsia="宋体" w:cs="宋体"/>
          <w:color w:val="000000"/>
          <w:kern w:val="0"/>
          <w:sz w:val="21"/>
          <w:szCs w:val="21"/>
          <w:highlight w:val="none"/>
          <w:u w:val="single"/>
        </w:rPr>
        <w:t xml:space="preserve"> 材料设备堆放至</w:t>
      </w:r>
      <w:r>
        <w:rPr>
          <w:rFonts w:hint="eastAsia" w:ascii="宋体" w:hAnsi="宋体" w:cs="宋体"/>
          <w:color w:val="000000"/>
          <w:kern w:val="0"/>
          <w:sz w:val="21"/>
          <w:szCs w:val="21"/>
          <w:highlight w:val="none"/>
          <w:u w:val="single"/>
          <w:lang w:val="en-US" w:eastAsia="zh-CN"/>
        </w:rPr>
        <w:t>承包</w:t>
      </w:r>
      <w:r>
        <w:rPr>
          <w:rFonts w:hint="eastAsia" w:ascii="宋体" w:hAnsi="宋体" w:eastAsia="宋体" w:cs="宋体"/>
          <w:color w:val="000000"/>
          <w:kern w:val="0"/>
          <w:sz w:val="21"/>
          <w:szCs w:val="21"/>
          <w:highlight w:val="none"/>
          <w:u w:val="single"/>
        </w:rPr>
        <w:t xml:space="preserve">人指定的存放地点后，所发生的一切保管、运输费用均由承包人承担，因保管不力所造成的损失由承包人负责。移交承包人之前由发包人承担  </w:t>
      </w:r>
      <w:r>
        <w:rPr>
          <w:rFonts w:hint="eastAsia" w:ascii="宋体" w:hAnsi="宋体" w:eastAsia="宋体" w:cs="宋体"/>
          <w:color w:val="000000"/>
          <w:sz w:val="21"/>
          <w:szCs w:val="21"/>
          <w:highlight w:val="none"/>
        </w:rPr>
        <w:t>。</w:t>
      </w:r>
    </w:p>
    <w:bookmarkEnd w:id="436"/>
    <w:bookmarkEnd w:id="437"/>
    <w:p w14:paraId="797A26E0">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454" w:name="_Toc389065300"/>
      <w:bookmarkStart w:id="455" w:name="_Toc373478381"/>
      <w:bookmarkStart w:id="456" w:name="_Toc15900"/>
      <w:bookmarkStart w:id="457" w:name="_Toc373227734"/>
      <w:r>
        <w:rPr>
          <w:rFonts w:hint="eastAsia" w:ascii="宋体" w:hAnsi="宋体" w:eastAsia="宋体" w:cs="宋体"/>
          <w:color w:val="000000"/>
          <w:sz w:val="21"/>
          <w:szCs w:val="21"/>
          <w:highlight w:val="none"/>
        </w:rPr>
        <w:t>8.6 样品</w:t>
      </w:r>
      <w:bookmarkEnd w:id="454"/>
      <w:bookmarkEnd w:id="455"/>
      <w:bookmarkEnd w:id="456"/>
      <w:bookmarkEnd w:id="457"/>
    </w:p>
    <w:p w14:paraId="29CA4F36">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8.6.1 样品的报送与封存</w:t>
      </w:r>
    </w:p>
    <w:p w14:paraId="0AE3ECEB">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需要承包人报送样品的材料或工程设备，样品的种类、名称、规格、数量要求：</w:t>
      </w:r>
      <w:r>
        <w:rPr>
          <w:rFonts w:hint="eastAsia" w:ascii="宋体" w:hAnsi="宋体" w:eastAsia="宋体" w:cs="宋体"/>
          <w:color w:val="000000"/>
          <w:sz w:val="21"/>
          <w:szCs w:val="21"/>
          <w:highlight w:val="none"/>
          <w:u w:val="single"/>
        </w:rPr>
        <w:t>主要材料涉及品种、款式、颜色等方面内容的，承包人应提交准备合格的材料样品送发包人选定。</w:t>
      </w:r>
    </w:p>
    <w:p w14:paraId="340DF780">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458" w:name="_Toc389065301"/>
      <w:bookmarkStart w:id="459" w:name="_Toc373478382"/>
      <w:bookmarkStart w:id="460" w:name="_Toc21051"/>
      <w:bookmarkStart w:id="461" w:name="_Toc373227735"/>
      <w:r>
        <w:rPr>
          <w:rFonts w:hint="eastAsia" w:ascii="宋体" w:hAnsi="宋体" w:eastAsia="宋体" w:cs="宋体"/>
          <w:color w:val="000000"/>
          <w:sz w:val="21"/>
          <w:szCs w:val="21"/>
          <w:highlight w:val="none"/>
        </w:rPr>
        <w:t>8.8 施工设备和临时设施</w:t>
      </w:r>
      <w:bookmarkEnd w:id="458"/>
      <w:bookmarkEnd w:id="459"/>
      <w:bookmarkEnd w:id="460"/>
      <w:bookmarkEnd w:id="461"/>
    </w:p>
    <w:p w14:paraId="3B98620F">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8.8.1 承包人提供的施工设备和临时设施</w:t>
      </w:r>
    </w:p>
    <w:p w14:paraId="2D39B1E2">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除专用合同条款另有约定的其他独立承包人和监理人指示的他人提供条件外，承包人运入施工场地的所有施工设备以及在施工场地建设的临时设施仅限于用于合同工程。承包人用于本工程的主要机械设备清单见合同附件</w:t>
      </w: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w:t>
      </w:r>
    </w:p>
    <w:p w14:paraId="73DCFC26">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关于修建临时设施费用承担的约定：</w:t>
      </w:r>
      <w:r>
        <w:rPr>
          <w:rFonts w:hint="eastAsia" w:ascii="宋体" w:hAnsi="宋体" w:eastAsia="宋体" w:cs="宋体"/>
          <w:color w:val="000000"/>
          <w:sz w:val="21"/>
          <w:szCs w:val="21"/>
          <w:highlight w:val="none"/>
          <w:u w:val="single"/>
        </w:rPr>
        <w:t xml:space="preserve"> 由承包人</w:t>
      </w:r>
      <w:r>
        <w:rPr>
          <w:rFonts w:hint="eastAsia" w:ascii="宋体" w:hAnsi="宋体" w:eastAsia="宋体" w:cs="宋体"/>
          <w:color w:val="000000"/>
          <w:sz w:val="21"/>
          <w:szCs w:val="21"/>
          <w:highlight w:val="none"/>
          <w:u w:val="single"/>
          <w:lang w:val="en-US" w:eastAsia="zh-CN"/>
        </w:rPr>
        <w:t>自行承担</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eastAsia="zh-CN"/>
        </w:rPr>
        <w:t>。</w:t>
      </w:r>
      <w:r>
        <w:rPr>
          <w:rFonts w:hint="eastAsia" w:ascii="宋体" w:hAnsi="宋体" w:eastAsia="宋体" w:cs="宋体"/>
          <w:color w:val="000000"/>
          <w:sz w:val="21"/>
          <w:szCs w:val="21"/>
          <w:highlight w:val="none"/>
          <w:u w:val="single"/>
        </w:rPr>
        <w:t xml:space="preserve"> </w:t>
      </w:r>
    </w:p>
    <w:p w14:paraId="54A1A32B">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8.8.2 发包人提供的施工设备和临时设施</w:t>
      </w:r>
    </w:p>
    <w:p w14:paraId="37244C66">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发包人提供的施工设备和临时设施：</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324F0F9C">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发包人提供的施工设备和临时设施的运行、维护、拆除、清运费用的承担人：</w:t>
      </w:r>
      <w:r>
        <w:rPr>
          <w:rFonts w:hint="eastAsia" w:ascii="宋体" w:hAnsi="宋体" w:eastAsia="宋体" w:cs="宋体"/>
          <w:color w:val="000000"/>
          <w:sz w:val="21"/>
          <w:szCs w:val="21"/>
          <w:highlight w:val="none"/>
          <w:u w:val="single"/>
        </w:rPr>
        <w:t xml:space="preserve"> 承包人   </w:t>
      </w:r>
      <w:r>
        <w:rPr>
          <w:rFonts w:hint="eastAsia" w:ascii="宋体" w:hAnsi="宋体" w:eastAsia="宋体" w:cs="宋体"/>
          <w:color w:val="000000"/>
          <w:sz w:val="21"/>
          <w:szCs w:val="21"/>
          <w:highlight w:val="none"/>
        </w:rPr>
        <w:t>。</w:t>
      </w:r>
    </w:p>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14:paraId="3AC5C760">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462" w:name="_Toc373478383"/>
      <w:bookmarkStart w:id="463" w:name="_Toc389065302"/>
      <w:bookmarkStart w:id="464" w:name="_Toc373227736"/>
      <w:bookmarkStart w:id="465" w:name="_Toc351203641"/>
      <w:bookmarkStart w:id="466" w:name="_Toc27616"/>
      <w:r>
        <w:rPr>
          <w:rFonts w:hint="eastAsia" w:ascii="宋体" w:hAnsi="宋体" w:eastAsia="宋体" w:cs="宋体"/>
          <w:color w:val="000000"/>
          <w:sz w:val="21"/>
          <w:szCs w:val="21"/>
          <w:highlight w:val="none"/>
        </w:rPr>
        <w:t>9</w:t>
      </w:r>
      <w:bookmarkEnd w:id="433"/>
      <w:bookmarkEnd w:id="434"/>
      <w:bookmarkEnd w:id="435"/>
      <w:bookmarkStart w:id="467" w:name="_Toc297123533"/>
      <w:bookmarkStart w:id="468" w:name="_Toc300934982"/>
      <w:bookmarkStart w:id="469" w:name="_Toc303539139"/>
      <w:bookmarkStart w:id="470" w:name="_Toc312678021"/>
      <w:bookmarkStart w:id="471" w:name="_Toc312677495"/>
      <w:bookmarkStart w:id="472" w:name="_Toc297216192"/>
      <w:bookmarkStart w:id="473" w:name="_Toc304295559"/>
      <w:bookmarkStart w:id="474" w:name="_Toc267251428"/>
      <w:bookmarkStart w:id="475" w:name="_Toc297120473"/>
      <w:bookmarkStart w:id="476" w:name="_Toc296346674"/>
      <w:bookmarkStart w:id="477" w:name="_Toc292559883"/>
      <w:bookmarkStart w:id="478" w:name="_Toc292559378"/>
      <w:bookmarkStart w:id="479" w:name="_Toc296891001"/>
      <w:bookmarkStart w:id="480" w:name="_Toc296891213"/>
      <w:bookmarkStart w:id="481" w:name="_Toc297048359"/>
      <w:bookmarkStart w:id="482" w:name="_Toc296944512"/>
      <w:bookmarkStart w:id="483" w:name="_Toc296503173"/>
      <w:bookmarkStart w:id="484" w:name="_Toc267251427"/>
      <w:bookmarkStart w:id="485" w:name="_Toc296347172"/>
      <w:r>
        <w:rPr>
          <w:rFonts w:hint="eastAsia" w:ascii="宋体" w:hAnsi="宋体" w:eastAsia="宋体" w:cs="宋体"/>
          <w:color w:val="000000"/>
          <w:sz w:val="21"/>
          <w:szCs w:val="21"/>
          <w:highlight w:val="none"/>
        </w:rPr>
        <w:t>. 试验与检验</w:t>
      </w:r>
      <w:bookmarkEnd w:id="462"/>
      <w:bookmarkEnd w:id="463"/>
      <w:bookmarkEnd w:id="464"/>
      <w:bookmarkEnd w:id="465"/>
      <w:bookmarkEnd w:id="466"/>
    </w:p>
    <w:bookmarkEnd w:id="467"/>
    <w:bookmarkEnd w:id="468"/>
    <w:bookmarkEnd w:id="469"/>
    <w:bookmarkEnd w:id="470"/>
    <w:bookmarkEnd w:id="471"/>
    <w:bookmarkEnd w:id="472"/>
    <w:bookmarkEnd w:id="473"/>
    <w:p w14:paraId="5F19571B">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486" w:name="_Toc8792"/>
      <w:bookmarkStart w:id="487" w:name="_Toc389065303"/>
      <w:bookmarkStart w:id="488" w:name="_Toc373478384"/>
      <w:bookmarkStart w:id="489" w:name="_Toc373227737"/>
      <w:r>
        <w:rPr>
          <w:rFonts w:hint="eastAsia" w:ascii="宋体" w:hAnsi="宋体" w:eastAsia="宋体" w:cs="宋体"/>
          <w:color w:val="000000"/>
          <w:sz w:val="21"/>
          <w:szCs w:val="21"/>
          <w:highlight w:val="none"/>
        </w:rPr>
        <w:t>9</w:t>
      </w:r>
      <w:bookmarkStart w:id="490" w:name="_Toc304295560"/>
      <w:bookmarkStart w:id="491" w:name="_Toc303539140"/>
      <w:bookmarkStart w:id="492" w:name="_Toc312677496"/>
      <w:bookmarkStart w:id="493" w:name="_Toc297123534"/>
      <w:bookmarkStart w:id="494" w:name="_Toc297216193"/>
      <w:bookmarkStart w:id="495" w:name="_Toc312678022"/>
      <w:bookmarkStart w:id="496" w:name="_Toc300934983"/>
      <w:r>
        <w:rPr>
          <w:rFonts w:hint="eastAsia" w:ascii="宋体" w:hAnsi="宋体" w:eastAsia="宋体" w:cs="宋体"/>
          <w:color w:val="000000"/>
          <w:sz w:val="21"/>
          <w:szCs w:val="21"/>
          <w:highlight w:val="none"/>
        </w:rPr>
        <w:t>.1 试验设备与试验人员</w:t>
      </w:r>
      <w:bookmarkEnd w:id="486"/>
      <w:bookmarkEnd w:id="487"/>
      <w:bookmarkEnd w:id="488"/>
      <w:bookmarkEnd w:id="489"/>
    </w:p>
    <w:bookmarkEnd w:id="490"/>
    <w:bookmarkEnd w:id="491"/>
    <w:bookmarkEnd w:id="492"/>
    <w:bookmarkEnd w:id="493"/>
    <w:bookmarkEnd w:id="494"/>
    <w:bookmarkEnd w:id="495"/>
    <w:bookmarkEnd w:id="496"/>
    <w:p w14:paraId="25ECE77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w:t>
      </w:r>
      <w:bookmarkStart w:id="497" w:name="_Toc303539141"/>
      <w:bookmarkStart w:id="498" w:name="_Toc304295561"/>
      <w:bookmarkStart w:id="499" w:name="_Toc297123535"/>
      <w:bookmarkStart w:id="500" w:name="_Toc312678023"/>
      <w:bookmarkStart w:id="501" w:name="_Toc312677497"/>
      <w:bookmarkStart w:id="502" w:name="_Toc297216194"/>
      <w:bookmarkStart w:id="503" w:name="_Toc300934984"/>
      <w:bookmarkStart w:id="504" w:name="_Toc318581174"/>
      <w:r>
        <w:rPr>
          <w:rFonts w:hint="eastAsia" w:ascii="宋体" w:hAnsi="宋体" w:eastAsia="宋体" w:cs="宋体"/>
          <w:color w:val="000000"/>
          <w:sz w:val="21"/>
          <w:szCs w:val="21"/>
          <w:highlight w:val="none"/>
        </w:rPr>
        <w:t>.1.2 试验设备</w:t>
      </w:r>
    </w:p>
    <w:p w14:paraId="30202A6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施工现场需要配置的试验场所：</w:t>
      </w:r>
      <w:bookmarkEnd w:id="497"/>
      <w:bookmarkEnd w:id="498"/>
      <w:bookmarkEnd w:id="499"/>
      <w:bookmarkEnd w:id="500"/>
      <w:bookmarkEnd w:id="501"/>
      <w:bookmarkEnd w:id="502"/>
      <w:bookmarkEnd w:id="503"/>
      <w:bookmarkStart w:id="505" w:name="_Toc312678024"/>
      <w:bookmarkStart w:id="506" w:name="_Toc300934985"/>
      <w:bookmarkStart w:id="507" w:name="_Toc304295562"/>
      <w:bookmarkStart w:id="508" w:name="_Toc297216195"/>
      <w:bookmarkStart w:id="509" w:name="_Toc312677498"/>
      <w:bookmarkStart w:id="510" w:name="_Toc303539142"/>
      <w:bookmarkStart w:id="511" w:name="_Toc297123536"/>
      <w:r>
        <w:rPr>
          <w:rFonts w:hint="eastAsia" w:ascii="宋体" w:hAnsi="宋体" w:eastAsia="宋体" w:cs="宋体"/>
          <w:color w:val="000000"/>
          <w:sz w:val="21"/>
          <w:szCs w:val="21"/>
          <w:highlight w:val="none"/>
          <w:u w:val="single"/>
        </w:rPr>
        <w:t xml:space="preserve">    由承包人自理      </w:t>
      </w:r>
      <w:r>
        <w:rPr>
          <w:rFonts w:hint="eastAsia" w:ascii="宋体" w:hAnsi="宋体" w:eastAsia="宋体" w:cs="宋体"/>
          <w:color w:val="000000"/>
          <w:sz w:val="21"/>
          <w:szCs w:val="21"/>
          <w:highlight w:val="none"/>
        </w:rPr>
        <w:t>。</w:t>
      </w:r>
    </w:p>
    <w:p w14:paraId="61CA522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施工现场需要配备的试验设备：</w:t>
      </w:r>
      <w:r>
        <w:rPr>
          <w:rFonts w:hint="eastAsia" w:ascii="宋体" w:hAnsi="宋体" w:eastAsia="宋体" w:cs="宋体"/>
          <w:color w:val="000000"/>
          <w:sz w:val="21"/>
          <w:szCs w:val="21"/>
          <w:highlight w:val="none"/>
          <w:u w:val="single"/>
        </w:rPr>
        <w:t xml:space="preserve">   由承包人自理        </w:t>
      </w:r>
      <w:r>
        <w:rPr>
          <w:rFonts w:hint="eastAsia" w:ascii="宋体" w:hAnsi="宋体" w:eastAsia="宋体" w:cs="宋体"/>
          <w:color w:val="000000"/>
          <w:sz w:val="21"/>
          <w:szCs w:val="21"/>
          <w:highlight w:val="none"/>
        </w:rPr>
        <w:t>。</w:t>
      </w:r>
    </w:p>
    <w:p w14:paraId="1EFC5E02">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施工现场需要具备的其他试验条件：</w:t>
      </w:r>
      <w:r>
        <w:rPr>
          <w:rFonts w:hint="eastAsia" w:ascii="宋体" w:hAnsi="宋体" w:eastAsia="宋体" w:cs="宋体"/>
          <w:color w:val="000000"/>
          <w:sz w:val="21"/>
          <w:szCs w:val="21"/>
          <w:highlight w:val="none"/>
          <w:u w:val="single"/>
        </w:rPr>
        <w:t xml:space="preserve">  由承包人自理      </w:t>
      </w:r>
      <w:r>
        <w:rPr>
          <w:rFonts w:hint="eastAsia" w:ascii="宋体" w:hAnsi="宋体" w:eastAsia="宋体" w:cs="宋体"/>
          <w:color w:val="000000"/>
          <w:sz w:val="21"/>
          <w:szCs w:val="21"/>
          <w:highlight w:val="none"/>
        </w:rPr>
        <w:t>。</w:t>
      </w:r>
    </w:p>
    <w:p w14:paraId="7AD91F85">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512" w:name="_Toc9320"/>
      <w:bookmarkStart w:id="513" w:name="_Toc373478385"/>
      <w:bookmarkStart w:id="514" w:name="_Toc389065304"/>
      <w:bookmarkStart w:id="515" w:name="_Toc373227738"/>
      <w:r>
        <w:rPr>
          <w:rFonts w:hint="eastAsia" w:ascii="宋体" w:hAnsi="宋体" w:eastAsia="宋体" w:cs="宋体"/>
          <w:color w:val="000000"/>
          <w:sz w:val="21"/>
          <w:szCs w:val="21"/>
          <w:highlight w:val="none"/>
        </w:rPr>
        <w:t>9.4 现场工艺试验</w:t>
      </w:r>
      <w:bookmarkEnd w:id="512"/>
      <w:bookmarkEnd w:id="513"/>
      <w:bookmarkEnd w:id="514"/>
      <w:bookmarkEnd w:id="515"/>
      <w:r>
        <w:rPr>
          <w:rFonts w:hint="eastAsia" w:ascii="宋体" w:hAnsi="宋体" w:eastAsia="宋体" w:cs="宋体"/>
          <w:color w:val="000000"/>
          <w:sz w:val="21"/>
          <w:szCs w:val="21"/>
          <w:highlight w:val="none"/>
        </w:rPr>
        <w:t xml:space="preserve"> </w:t>
      </w:r>
    </w:p>
    <w:p w14:paraId="3CAA410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现场工艺试验的有关约定：</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按有关规定执行</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221AE036">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516" w:name="_Toc24256"/>
      <w:bookmarkStart w:id="517" w:name="OLE_LINK1"/>
      <w:r>
        <w:rPr>
          <w:rFonts w:hint="eastAsia" w:ascii="宋体" w:hAnsi="宋体" w:eastAsia="宋体" w:cs="宋体"/>
          <w:color w:val="000000"/>
          <w:sz w:val="21"/>
          <w:szCs w:val="21"/>
          <w:highlight w:val="none"/>
        </w:rPr>
        <w:t>9.5 检验费用</w:t>
      </w:r>
      <w:bookmarkEnd w:id="516"/>
    </w:p>
    <w:p w14:paraId="37A51FD0">
      <w:pPr>
        <w:pageBreakBefore w:val="0"/>
        <w:kinsoku/>
        <w:overflowPunct/>
        <w:topLinePunct w:val="0"/>
        <w:bidi w:val="0"/>
        <w:spacing w:line="360" w:lineRule="auto"/>
        <w:ind w:firstLine="411" w:firstLineChars="196"/>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根据《建设工程质量检测管理办法》（建设部令第141号）以及</w:t>
      </w:r>
      <w:r>
        <w:rPr>
          <w:rFonts w:hint="eastAsia" w:ascii="宋体" w:hAnsi="宋体" w:eastAsia="宋体" w:cs="宋体"/>
          <w:bCs/>
          <w:color w:val="000000"/>
          <w:sz w:val="21"/>
          <w:szCs w:val="21"/>
          <w:highlight w:val="none"/>
        </w:rPr>
        <w:t>《广西壮族自治区建设工程质量检测管理规定》（桂建管〔2013〕11号）</w:t>
      </w:r>
      <w:r>
        <w:rPr>
          <w:rFonts w:hint="eastAsia" w:ascii="宋体" w:hAnsi="宋体" w:eastAsia="宋体" w:cs="宋体"/>
          <w:color w:val="000000"/>
          <w:sz w:val="21"/>
          <w:szCs w:val="21"/>
          <w:highlight w:val="none"/>
        </w:rPr>
        <w:t>规定，工程质量检测业务由发包人委托有相应资质的检测机构检测。费用从发包人的项目建设经费中支出并直接支付给检测机构，不计入合同价款内。</w:t>
      </w:r>
    </w:p>
    <w:bookmarkEnd w:id="504"/>
    <w:bookmarkEnd w:id="505"/>
    <w:bookmarkEnd w:id="506"/>
    <w:bookmarkEnd w:id="507"/>
    <w:bookmarkEnd w:id="508"/>
    <w:bookmarkEnd w:id="509"/>
    <w:bookmarkEnd w:id="510"/>
    <w:bookmarkEnd w:id="511"/>
    <w:bookmarkEnd w:id="517"/>
    <w:p w14:paraId="153CE0EB">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518" w:name="_Toc373478386"/>
      <w:bookmarkStart w:id="519" w:name="_Toc373227739"/>
      <w:bookmarkStart w:id="520" w:name="_Toc351203642"/>
      <w:bookmarkStart w:id="521" w:name="_Toc6988"/>
      <w:bookmarkStart w:id="522" w:name="_Toc389065305"/>
      <w:r>
        <w:rPr>
          <w:rFonts w:hint="eastAsia" w:ascii="宋体" w:hAnsi="宋体" w:eastAsia="宋体" w:cs="宋体"/>
          <w:color w:val="000000"/>
          <w:sz w:val="21"/>
          <w:szCs w:val="21"/>
          <w:highlight w:val="none"/>
        </w:rPr>
        <w:t>1</w:t>
      </w:r>
      <w:bookmarkEnd w:id="474"/>
      <w:bookmarkEnd w:id="475"/>
      <w:bookmarkEnd w:id="476"/>
      <w:bookmarkEnd w:id="477"/>
      <w:bookmarkEnd w:id="478"/>
      <w:bookmarkEnd w:id="479"/>
      <w:bookmarkEnd w:id="480"/>
      <w:bookmarkEnd w:id="481"/>
      <w:bookmarkEnd w:id="482"/>
      <w:bookmarkEnd w:id="483"/>
      <w:bookmarkEnd w:id="484"/>
      <w:bookmarkEnd w:id="485"/>
      <w:bookmarkStart w:id="523" w:name="_Toc304295566"/>
      <w:bookmarkStart w:id="524" w:name="_Toc297120493"/>
      <w:bookmarkStart w:id="525" w:name="_Toc303539146"/>
      <w:bookmarkStart w:id="526" w:name="_Toc296891233"/>
      <w:bookmarkStart w:id="527" w:name="_Toc297048379"/>
      <w:bookmarkStart w:id="528" w:name="_Toc296347192"/>
      <w:bookmarkStart w:id="529" w:name="_Toc297216199"/>
      <w:bookmarkStart w:id="530" w:name="_Toc292559903"/>
      <w:bookmarkStart w:id="531" w:name="_Toc296503193"/>
      <w:bookmarkStart w:id="532" w:name="_Toc296891021"/>
      <w:bookmarkStart w:id="533" w:name="_Toc297123540"/>
      <w:bookmarkStart w:id="534" w:name="_Toc296944532"/>
      <w:bookmarkStart w:id="535" w:name="_Toc300934989"/>
      <w:bookmarkStart w:id="536" w:name="_Toc292559398"/>
      <w:bookmarkStart w:id="537" w:name="_Toc296346694"/>
      <w:bookmarkStart w:id="538" w:name="_Toc312678025"/>
      <w:bookmarkStart w:id="539" w:name="_Toc312677499"/>
      <w:bookmarkStart w:id="540" w:name="_Toc267251439"/>
      <w:bookmarkStart w:id="541" w:name="_Toc267251435"/>
      <w:bookmarkStart w:id="542" w:name="_Toc267251433"/>
      <w:bookmarkStart w:id="543" w:name="_Toc267251441"/>
      <w:bookmarkStart w:id="544" w:name="_Toc267251437"/>
      <w:bookmarkStart w:id="545" w:name="_Toc267251440"/>
      <w:bookmarkStart w:id="546" w:name="_Toc267251442"/>
      <w:r>
        <w:rPr>
          <w:rFonts w:hint="eastAsia" w:ascii="宋体" w:hAnsi="宋体" w:eastAsia="宋体" w:cs="宋体"/>
          <w:color w:val="000000"/>
          <w:sz w:val="21"/>
          <w:szCs w:val="21"/>
          <w:highlight w:val="none"/>
        </w:rPr>
        <w:t>0. 变更</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bookmarkEnd w:id="538"/>
    <w:bookmarkEnd w:id="539"/>
    <w:p w14:paraId="3A183D1D">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547" w:name="_Toc373478387"/>
      <w:bookmarkStart w:id="548" w:name="_Toc389065306"/>
      <w:bookmarkStart w:id="549" w:name="_Toc23389"/>
      <w:bookmarkStart w:id="550" w:name="_Toc373227740"/>
      <w:r>
        <w:rPr>
          <w:rFonts w:hint="eastAsia" w:ascii="宋体" w:hAnsi="宋体" w:eastAsia="宋体" w:cs="宋体"/>
          <w:color w:val="000000"/>
          <w:sz w:val="21"/>
          <w:szCs w:val="21"/>
          <w:highlight w:val="none"/>
        </w:rPr>
        <w:t>1</w:t>
      </w:r>
      <w:bookmarkStart w:id="551" w:name="_Toc296944533"/>
      <w:bookmarkStart w:id="552" w:name="_Toc296891234"/>
      <w:bookmarkStart w:id="553" w:name="_Toc296346695"/>
      <w:bookmarkStart w:id="554" w:name="_Toc312678026"/>
      <w:bookmarkStart w:id="555" w:name="_Toc292559904"/>
      <w:bookmarkStart w:id="556" w:name="_Toc312677500"/>
      <w:bookmarkStart w:id="557" w:name="_Toc300934990"/>
      <w:bookmarkStart w:id="558" w:name="_Toc297048380"/>
      <w:bookmarkStart w:id="559" w:name="_Toc297120494"/>
      <w:bookmarkStart w:id="560" w:name="_Toc304295567"/>
      <w:bookmarkStart w:id="561" w:name="_Toc296503194"/>
      <w:bookmarkStart w:id="562" w:name="_Toc297123541"/>
      <w:bookmarkStart w:id="563" w:name="_Toc296347193"/>
      <w:bookmarkStart w:id="564" w:name="_Toc296891022"/>
      <w:bookmarkStart w:id="565" w:name="_Toc292559399"/>
      <w:bookmarkStart w:id="566" w:name="_Toc303539147"/>
      <w:bookmarkStart w:id="567" w:name="_Toc297216200"/>
      <w:r>
        <w:rPr>
          <w:rFonts w:hint="eastAsia" w:ascii="宋体" w:hAnsi="宋体" w:eastAsia="宋体" w:cs="宋体"/>
          <w:color w:val="000000"/>
          <w:sz w:val="21"/>
          <w:szCs w:val="21"/>
          <w:highlight w:val="none"/>
        </w:rPr>
        <w:t>0.1 变更的范围</w:t>
      </w:r>
      <w:bookmarkEnd w:id="547"/>
      <w:bookmarkEnd w:id="548"/>
      <w:bookmarkEnd w:id="549"/>
      <w:bookmarkEnd w:id="550"/>
    </w:p>
    <w:p w14:paraId="24ECD5EC">
      <w:pPr>
        <w:pStyle w:val="29"/>
        <w:pageBreakBefore w:val="0"/>
        <w:kinsoku/>
        <w:overflowPunct/>
        <w:topLinePunct w:val="0"/>
        <w:bidi w:val="0"/>
        <w:spacing w:line="360" w:lineRule="auto"/>
        <w:ind w:firstLine="426"/>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关于变更的范围的约定：</w:t>
      </w:r>
      <w:r>
        <w:rPr>
          <w:rFonts w:hint="eastAsia" w:ascii="宋体" w:hAnsi="宋体" w:eastAsia="宋体" w:cs="宋体"/>
          <w:color w:val="000000"/>
          <w:sz w:val="21"/>
          <w:szCs w:val="21"/>
          <w:highlight w:val="none"/>
          <w:u w:val="single"/>
        </w:rPr>
        <w:t xml:space="preserve">  除通用合同条款约定的范围外，发包人有权根据本工程的实际提出其他的变更事项。凡涉及合同价款增减变化的变更事项，必须以发包人代表及总监理工程师共同签字并经发包人盖章确认后的书面文件为准    </w:t>
      </w:r>
      <w:r>
        <w:rPr>
          <w:rFonts w:hint="eastAsia" w:ascii="宋体" w:hAnsi="宋体" w:eastAsia="宋体" w:cs="宋体"/>
          <w:color w:val="000000"/>
          <w:sz w:val="21"/>
          <w:szCs w:val="21"/>
          <w:highlight w:val="none"/>
        </w:rPr>
        <w:t>。</w:t>
      </w:r>
    </w:p>
    <w:p w14:paraId="551D4677">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568" w:name="_Toc389065307"/>
      <w:bookmarkStart w:id="569" w:name="_Toc373478388"/>
      <w:bookmarkStart w:id="570" w:name="_Toc373227741"/>
      <w:bookmarkStart w:id="571" w:name="_Toc20664"/>
      <w:r>
        <w:rPr>
          <w:rFonts w:hint="eastAsia" w:ascii="宋体" w:hAnsi="宋体" w:eastAsia="宋体" w:cs="宋体"/>
          <w:color w:val="000000"/>
          <w:sz w:val="21"/>
          <w:szCs w:val="21"/>
          <w:highlight w:val="none"/>
        </w:rPr>
        <w:t>10.3 变更程序</w:t>
      </w:r>
      <w:bookmarkEnd w:id="568"/>
      <w:bookmarkEnd w:id="569"/>
      <w:bookmarkEnd w:id="570"/>
      <w:bookmarkEnd w:id="571"/>
    </w:p>
    <w:p w14:paraId="32B97750">
      <w:pPr>
        <w:pStyle w:val="9"/>
        <w:pageBreakBefore w:val="0"/>
        <w:kinsoku/>
        <w:overflowPunct/>
        <w:topLinePunct w:val="0"/>
        <w:bidi w:val="0"/>
        <w:spacing w:line="360" w:lineRule="auto"/>
        <w:ind w:firstLine="441" w:firstLineChars="210"/>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10.3.1国有投资项目：</w:t>
      </w:r>
    </w:p>
    <w:p w14:paraId="48D5CDDE">
      <w:pPr>
        <w:pStyle w:val="9"/>
        <w:pageBreakBefore w:val="0"/>
        <w:kinsoku/>
        <w:overflowPunct/>
        <w:topLinePunct w:val="0"/>
        <w:bidi w:val="0"/>
        <w:spacing w:line="360" w:lineRule="auto"/>
        <w:ind w:firstLine="441" w:firstLineChars="210"/>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⑴设计变更和工程签证，按</w:t>
      </w:r>
      <w:r>
        <w:rPr>
          <w:rFonts w:hint="eastAsia" w:hAnsi="宋体" w:eastAsia="宋体" w:cs="宋体"/>
          <w:bCs/>
          <w:color w:val="000000"/>
          <w:sz w:val="21"/>
          <w:szCs w:val="21"/>
          <w:highlight w:val="none"/>
          <w:lang w:val="en-US" w:eastAsia="zh-CN"/>
        </w:rPr>
        <w:t>防城港</w:t>
      </w:r>
      <w:r>
        <w:rPr>
          <w:rFonts w:hint="eastAsia" w:ascii="宋体" w:hAnsi="宋体" w:eastAsia="宋体" w:cs="宋体"/>
          <w:bCs/>
          <w:color w:val="000000"/>
          <w:sz w:val="21"/>
          <w:szCs w:val="21"/>
          <w:highlight w:val="none"/>
        </w:rPr>
        <w:t>市政府或相关部门的规定办理。属不可抗力（自然灾害、突发事件等）造成变更的，按特事特办原则予以办理。</w:t>
      </w:r>
    </w:p>
    <w:p w14:paraId="06FF509A">
      <w:pPr>
        <w:pStyle w:val="9"/>
        <w:pageBreakBefore w:val="0"/>
        <w:kinsoku/>
        <w:overflowPunct/>
        <w:topLinePunct w:val="0"/>
        <w:bidi w:val="0"/>
        <w:spacing w:line="360" w:lineRule="auto"/>
        <w:ind w:firstLine="441" w:firstLineChars="210"/>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⑵建设单位在实施项目过程中，若发生单价变动，由建设单位、监理单位、施工单位及其他相关单位共同商定并签字确认，并按规定办理相关手续。</w:t>
      </w:r>
    </w:p>
    <w:p w14:paraId="41B6E098">
      <w:pPr>
        <w:pageBreakBefore w:val="0"/>
        <w:kinsoku/>
        <w:overflowPunct/>
        <w:topLinePunct w:val="0"/>
        <w:bidi w:val="0"/>
        <w:spacing w:line="360" w:lineRule="auto"/>
        <w:ind w:firstLine="420" w:firstLineChars="200"/>
        <w:jc w:val="left"/>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⑶ 当合同规定的合同价款调整情况发生后，承包人未在规定时间内通知发包人，或者未在规定时间内提出调整报告，发包人可以根据有关资料，决定是否调整和调整的金额，并书面通知承包人。</w:t>
      </w:r>
    </w:p>
    <w:p w14:paraId="4BF2C8A6">
      <w:pPr>
        <w:pageBreakBefore w:val="0"/>
        <w:kinsoku/>
        <w:overflowPunct/>
        <w:topLinePunct w:val="0"/>
        <w:bidi w:val="0"/>
        <w:spacing w:line="360" w:lineRule="auto"/>
        <w:ind w:firstLine="420" w:firstLineChars="200"/>
        <w:jc w:val="left"/>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10.3.2 非国有投资项目：</w:t>
      </w:r>
      <w:r>
        <w:rPr>
          <w:rFonts w:hint="eastAsia" w:ascii="宋体" w:hAnsi="宋体" w:eastAsia="宋体" w:cs="宋体"/>
          <w:bCs/>
          <w:color w:val="000000"/>
          <w:sz w:val="21"/>
          <w:szCs w:val="21"/>
          <w:highlight w:val="none"/>
          <w:u w:val="single"/>
        </w:rPr>
        <w:t xml:space="preserve">   </w:t>
      </w:r>
      <w:r>
        <w:rPr>
          <w:rFonts w:hint="eastAsia" w:ascii="宋体" w:hAnsi="宋体" w:eastAsia="宋体" w:cs="宋体"/>
          <w:bCs/>
          <w:color w:val="000000"/>
          <w:sz w:val="21"/>
          <w:szCs w:val="21"/>
          <w:highlight w:val="none"/>
          <w:u w:val="single"/>
          <w:lang w:val="en-US" w:eastAsia="zh-CN"/>
        </w:rPr>
        <w:t>无</w:t>
      </w:r>
      <w:r>
        <w:rPr>
          <w:rFonts w:hint="eastAsia" w:ascii="宋体" w:hAnsi="宋体" w:eastAsia="宋体" w:cs="宋体"/>
          <w:bCs/>
          <w:color w:val="000000"/>
          <w:sz w:val="21"/>
          <w:szCs w:val="21"/>
          <w:highlight w:val="none"/>
          <w:u w:val="single"/>
        </w:rPr>
        <w:t xml:space="preserve">  </w:t>
      </w:r>
      <w:r>
        <w:rPr>
          <w:rFonts w:hint="eastAsia" w:ascii="宋体" w:hAnsi="宋体" w:eastAsia="宋体" w:cs="宋体"/>
          <w:bCs/>
          <w:color w:val="000000"/>
          <w:sz w:val="21"/>
          <w:szCs w:val="21"/>
          <w:highlight w:val="none"/>
        </w:rPr>
        <w:t>。</w:t>
      </w:r>
    </w:p>
    <w:p w14:paraId="1ED17063">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572" w:name="_Toc373227742"/>
      <w:bookmarkStart w:id="573" w:name="_Toc19438"/>
      <w:bookmarkStart w:id="574" w:name="_Toc389065308"/>
      <w:bookmarkStart w:id="575" w:name="_Toc373478389"/>
      <w:r>
        <w:rPr>
          <w:rFonts w:hint="eastAsia" w:ascii="宋体" w:hAnsi="宋体" w:eastAsia="宋体" w:cs="宋体"/>
          <w:color w:val="000000"/>
          <w:sz w:val="21"/>
          <w:szCs w:val="21"/>
          <w:highlight w:val="none"/>
        </w:rPr>
        <w:t>10.4 变更估价</w:t>
      </w:r>
      <w:bookmarkEnd w:id="572"/>
      <w:bookmarkEnd w:id="573"/>
      <w:bookmarkEnd w:id="574"/>
      <w:bookmarkEnd w:id="575"/>
    </w:p>
    <w:p w14:paraId="5F6E55D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10.4.1 变更估价原则</w:t>
      </w:r>
    </w:p>
    <w:p w14:paraId="76279570">
      <w:pPr>
        <w:pStyle w:val="29"/>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bookmarkStart w:id="576" w:name="_Toc251051742"/>
      <w:r>
        <w:rPr>
          <w:rFonts w:hint="eastAsia" w:ascii="宋体" w:hAnsi="宋体" w:eastAsia="宋体" w:cs="宋体"/>
          <w:color w:val="000000"/>
          <w:sz w:val="21"/>
          <w:szCs w:val="21"/>
          <w:highlight w:val="none"/>
        </w:rPr>
        <w:t xml:space="preserve">关于变更估价的约定: </w:t>
      </w:r>
      <w:bookmarkEnd w:id="576"/>
      <w:r>
        <w:rPr>
          <w:rFonts w:hint="eastAsia" w:ascii="宋体" w:hAnsi="宋体" w:eastAsia="宋体" w:cs="宋体"/>
          <w:color w:val="000000"/>
          <w:sz w:val="21"/>
          <w:szCs w:val="21"/>
          <w:highlight w:val="none"/>
          <w:u w:val="single"/>
        </w:rPr>
        <w:t>本合同实施期间因工程量清单漏项、工程变更及相关签证引起工程项目、工程量变化的,其工程量按实际发生并监理工程师及发包人确认，变更合同价款按下列方法进行：（1） 合同中已有相同清单项目的，按合同该清单项目价格进行计算；（2）合同中只有类似清单项目的，参照该类似清单项目价格进行计算；（3）合同中没有适用或类似</w:t>
      </w:r>
      <w:r>
        <w:rPr>
          <w:rFonts w:hint="eastAsia" w:ascii="宋体" w:hAnsi="宋体" w:cs="宋体"/>
          <w:color w:val="000000"/>
          <w:sz w:val="21"/>
          <w:szCs w:val="21"/>
          <w:highlight w:val="none"/>
          <w:u w:val="single"/>
          <w:lang w:val="en-US" w:eastAsia="zh-CN"/>
        </w:rPr>
        <w:t>清单项目</w:t>
      </w:r>
      <w:r>
        <w:rPr>
          <w:rFonts w:hint="eastAsia" w:ascii="宋体" w:hAnsi="宋体" w:eastAsia="宋体" w:cs="宋体"/>
          <w:color w:val="000000"/>
          <w:sz w:val="21"/>
          <w:szCs w:val="21"/>
          <w:highlight w:val="none"/>
          <w:u w:val="single"/>
        </w:rPr>
        <w:t>的价格计算方法：有定额的套定额（土石方工程除外），并乘以下浮系数（中标价/公布的工程招标控制价）计算，</w:t>
      </w:r>
      <w:r>
        <w:rPr>
          <w:rStyle w:val="16"/>
          <w:rFonts w:hint="eastAsia" w:ascii="Calibri" w:hAnsi="宋体" w:eastAsia="宋体" w:cs="宋体"/>
          <w:color w:val="auto"/>
          <w:highlight w:val="none"/>
          <w:u w:val="single"/>
          <w:lang w:eastAsia="zh-CN"/>
        </w:rPr>
        <w:t>材料设备价格按施工期间的《防城港市建设工程造价信息》相应信息价的加权平均值计算，《防城港市建设工程造价信息》没有相应信息价的，由建设单位、施工单位、监理单位或造价咨询单位根据市场行情协商确定；无定额可套的，由建设单位、施工单位、监理单位或造价咨询单位根据市场行情协商确定包含除税金以外所有费用的税前综合价格</w:t>
      </w:r>
      <w:r>
        <w:rPr>
          <w:rFonts w:hint="eastAsia" w:ascii="宋体" w:hAnsi="宋体" w:eastAsia="宋体" w:cs="宋体"/>
          <w:color w:val="000000"/>
          <w:sz w:val="21"/>
          <w:szCs w:val="21"/>
          <w:highlight w:val="none"/>
          <w:u w:val="single"/>
        </w:rPr>
        <w:t>。</w:t>
      </w:r>
    </w:p>
    <w:p w14:paraId="7B68A600">
      <w:pPr>
        <w:pStyle w:val="29"/>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u w:val="single"/>
        </w:rPr>
        <w:t>工程变更导致实际完成的变更工程量与已标价清单或预算书中列明的该项目工程量有偏差时，其综合单价的确定按专用条款“1.13 工程量清单错误的修正”执行。</w:t>
      </w:r>
    </w:p>
    <w:p w14:paraId="139741D5">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577" w:name="_Toc389065309"/>
      <w:bookmarkStart w:id="578" w:name="_Toc373478390"/>
      <w:bookmarkStart w:id="579" w:name="_Toc373227743"/>
      <w:bookmarkStart w:id="580" w:name="_Toc5293"/>
      <w:r>
        <w:rPr>
          <w:rFonts w:hint="eastAsia" w:ascii="宋体" w:hAnsi="宋体" w:eastAsia="宋体" w:cs="宋体"/>
          <w:color w:val="000000"/>
          <w:sz w:val="21"/>
          <w:szCs w:val="21"/>
          <w:highlight w:val="none"/>
        </w:rPr>
        <w:t>1</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Start w:id="581" w:name="_Toc296503197"/>
      <w:bookmarkStart w:id="582" w:name="_Toc292559907"/>
      <w:bookmarkStart w:id="583" w:name="_Toc300934993"/>
      <w:bookmarkStart w:id="584" w:name="_Toc297120497"/>
      <w:bookmarkStart w:id="585" w:name="_Toc296891237"/>
      <w:bookmarkStart w:id="586" w:name="_Toc292559402"/>
      <w:bookmarkStart w:id="587" w:name="_Toc296346698"/>
      <w:bookmarkStart w:id="588" w:name="_Toc297123544"/>
      <w:bookmarkStart w:id="589" w:name="_Toc296347196"/>
      <w:bookmarkStart w:id="590" w:name="_Toc296944536"/>
      <w:bookmarkStart w:id="591" w:name="_Toc296891025"/>
      <w:bookmarkStart w:id="592" w:name="_Toc303539150"/>
      <w:bookmarkStart w:id="593" w:name="_Toc297048383"/>
      <w:bookmarkStart w:id="594" w:name="_Toc297216203"/>
      <w:bookmarkStart w:id="595" w:name="_Toc304295570"/>
      <w:bookmarkStart w:id="596" w:name="_Toc312678029"/>
      <w:bookmarkStart w:id="597" w:name="_Toc312677503"/>
      <w:r>
        <w:rPr>
          <w:rFonts w:hint="eastAsia" w:ascii="宋体" w:hAnsi="宋体" w:eastAsia="宋体" w:cs="宋体"/>
          <w:color w:val="000000"/>
          <w:sz w:val="21"/>
          <w:szCs w:val="21"/>
          <w:highlight w:val="none"/>
        </w:rPr>
        <w:t>0.5 承</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Start w:id="598" w:name="_Toc297120503"/>
      <w:bookmarkStart w:id="599" w:name="_Toc300934994"/>
      <w:bookmarkStart w:id="600" w:name="_Toc303539151"/>
      <w:bookmarkStart w:id="601" w:name="_Toc292559913"/>
      <w:bookmarkStart w:id="602" w:name="_Toc296944542"/>
      <w:bookmarkStart w:id="603" w:name="_Toc292559408"/>
      <w:bookmarkStart w:id="604" w:name="_Toc296347202"/>
      <w:bookmarkStart w:id="605" w:name="_Toc297216204"/>
      <w:bookmarkStart w:id="606" w:name="_Toc296891243"/>
      <w:bookmarkStart w:id="607" w:name="_Toc296346704"/>
      <w:bookmarkStart w:id="608" w:name="_Toc297048389"/>
      <w:bookmarkStart w:id="609" w:name="_Toc296891031"/>
      <w:bookmarkStart w:id="610" w:name="_Toc296503203"/>
      <w:bookmarkStart w:id="611" w:name="_Toc297123545"/>
      <w:r>
        <w:rPr>
          <w:rFonts w:hint="eastAsia" w:ascii="宋体" w:hAnsi="宋体" w:eastAsia="宋体" w:cs="宋体"/>
          <w:color w:val="000000"/>
          <w:sz w:val="21"/>
          <w:szCs w:val="21"/>
          <w:highlight w:val="none"/>
        </w:rPr>
        <w:t>包人的合理化建议</w:t>
      </w:r>
      <w:bookmarkEnd w:id="577"/>
      <w:bookmarkEnd w:id="578"/>
      <w:bookmarkEnd w:id="579"/>
      <w:bookmarkEnd w:id="580"/>
    </w:p>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14:paraId="20A6E16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监理人审查承包人合理化建议的期限：</w:t>
      </w:r>
      <w:r>
        <w:rPr>
          <w:rFonts w:hint="eastAsia" w:ascii="宋体" w:hAnsi="宋体" w:eastAsia="宋体" w:cs="宋体"/>
          <w:color w:val="000000"/>
          <w:sz w:val="21"/>
          <w:szCs w:val="21"/>
          <w:highlight w:val="none"/>
          <w:u w:val="single"/>
        </w:rPr>
        <w:t xml:space="preserve"> 按通用条款 10.5 执行 </w:t>
      </w:r>
      <w:r>
        <w:rPr>
          <w:rFonts w:hint="eastAsia" w:ascii="宋体" w:hAnsi="宋体" w:eastAsia="宋体" w:cs="宋体"/>
          <w:color w:val="000000"/>
          <w:sz w:val="21"/>
          <w:szCs w:val="21"/>
          <w:highlight w:val="none"/>
        </w:rPr>
        <w:t>。</w:t>
      </w:r>
    </w:p>
    <w:p w14:paraId="6278582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发包人审批承包人合理化建议的期限：</w:t>
      </w:r>
      <w:r>
        <w:rPr>
          <w:rFonts w:hint="eastAsia" w:ascii="宋体" w:hAnsi="宋体" w:eastAsia="宋体" w:cs="宋体"/>
          <w:color w:val="000000"/>
          <w:sz w:val="21"/>
          <w:szCs w:val="21"/>
          <w:highlight w:val="none"/>
          <w:u w:val="single"/>
        </w:rPr>
        <w:t xml:space="preserve"> 按通用条款 10.5 执行 </w:t>
      </w:r>
      <w:r>
        <w:rPr>
          <w:rFonts w:hint="eastAsia" w:ascii="宋体" w:hAnsi="宋体" w:eastAsia="宋体" w:cs="宋体"/>
          <w:color w:val="000000"/>
          <w:sz w:val="21"/>
          <w:szCs w:val="21"/>
          <w:highlight w:val="none"/>
        </w:rPr>
        <w:t>。</w:t>
      </w:r>
    </w:p>
    <w:p w14:paraId="5EC65E5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承</w:t>
      </w:r>
      <w:bookmarkStart w:id="612" w:name="_Toc292559914"/>
      <w:bookmarkStart w:id="613" w:name="_Toc300934995"/>
      <w:bookmarkStart w:id="614" w:name="_Toc312678030"/>
      <w:bookmarkStart w:id="615" w:name="_Toc296891244"/>
      <w:bookmarkStart w:id="616" w:name="_Toc296944543"/>
      <w:bookmarkStart w:id="617" w:name="_Toc296346705"/>
      <w:bookmarkStart w:id="618" w:name="_Toc304295571"/>
      <w:bookmarkStart w:id="619" w:name="_Toc296347203"/>
      <w:bookmarkStart w:id="620" w:name="_Toc318581175"/>
      <w:bookmarkStart w:id="621" w:name="_Toc303539152"/>
      <w:bookmarkStart w:id="622" w:name="_Toc297123546"/>
      <w:bookmarkStart w:id="623" w:name="_Toc296891032"/>
      <w:bookmarkStart w:id="624" w:name="_Toc297120504"/>
      <w:bookmarkStart w:id="625" w:name="_Toc297216205"/>
      <w:bookmarkStart w:id="626" w:name="_Toc292559409"/>
      <w:bookmarkStart w:id="627" w:name="_Toc312677504"/>
      <w:bookmarkStart w:id="628" w:name="_Toc297048390"/>
      <w:bookmarkStart w:id="629" w:name="_Toc296503204"/>
      <w:r>
        <w:rPr>
          <w:rFonts w:hint="eastAsia" w:ascii="宋体" w:hAnsi="宋体" w:eastAsia="宋体" w:cs="宋体"/>
          <w:color w:val="000000"/>
          <w:sz w:val="21"/>
          <w:szCs w:val="21"/>
          <w:highlight w:val="none"/>
        </w:rPr>
        <w:t>包人提出的合理化建议降低了合同价格或者提高了工程经济效益的奖励的方法和金额为：</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14:paraId="7D253F86">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630" w:name="_Toc373478391"/>
      <w:bookmarkStart w:id="631" w:name="_Toc389065310"/>
      <w:bookmarkStart w:id="632" w:name="_Toc373227744"/>
      <w:bookmarkStart w:id="633" w:name="_Toc26302"/>
      <w:r>
        <w:rPr>
          <w:rFonts w:hint="eastAsia" w:ascii="宋体" w:hAnsi="宋体" w:eastAsia="宋体" w:cs="宋体"/>
          <w:color w:val="000000"/>
          <w:sz w:val="21"/>
          <w:szCs w:val="21"/>
          <w:highlight w:val="none"/>
        </w:rPr>
        <w:t>1</w:t>
      </w:r>
      <w:bookmarkStart w:id="634" w:name="_Toc296891239"/>
      <w:bookmarkStart w:id="635" w:name="_Toc312677507"/>
      <w:bookmarkStart w:id="636" w:name="_Toc296346700"/>
      <w:bookmarkStart w:id="637" w:name="_Toc304295574"/>
      <w:bookmarkStart w:id="638" w:name="_Toc297120499"/>
      <w:bookmarkStart w:id="639" w:name="_Toc297048385"/>
      <w:bookmarkStart w:id="640" w:name="_Toc292559909"/>
      <w:bookmarkStart w:id="641" w:name="_Toc296891027"/>
      <w:bookmarkStart w:id="642" w:name="_Toc296944538"/>
      <w:bookmarkStart w:id="643" w:name="_Toc303539154"/>
      <w:bookmarkStart w:id="644" w:name="_Toc300934997"/>
      <w:bookmarkStart w:id="645" w:name="_Toc297123548"/>
      <w:bookmarkStart w:id="646" w:name="_Toc312678033"/>
      <w:bookmarkStart w:id="647" w:name="_Toc296347198"/>
      <w:bookmarkStart w:id="648" w:name="_Toc297216207"/>
      <w:bookmarkStart w:id="649" w:name="_Toc292559404"/>
      <w:bookmarkStart w:id="650" w:name="_Toc296503199"/>
      <w:r>
        <w:rPr>
          <w:rFonts w:hint="eastAsia" w:ascii="宋体" w:hAnsi="宋体" w:eastAsia="宋体" w:cs="宋体"/>
          <w:color w:val="000000"/>
          <w:sz w:val="21"/>
          <w:szCs w:val="21"/>
          <w:highlight w:val="none"/>
        </w:rPr>
        <w:t>0.7 暂估价</w:t>
      </w:r>
      <w:bookmarkEnd w:id="630"/>
      <w:bookmarkEnd w:id="631"/>
      <w:bookmarkEnd w:id="632"/>
      <w:bookmarkEnd w:id="633"/>
    </w:p>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14:paraId="1EE980C2">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暂</w:t>
      </w:r>
      <w:bookmarkStart w:id="651" w:name="_Toc318581176"/>
      <w:bookmarkStart w:id="652" w:name="_Toc312677508"/>
      <w:bookmarkStart w:id="653" w:name="_Toc312678034"/>
      <w:r>
        <w:rPr>
          <w:rFonts w:hint="eastAsia" w:ascii="宋体" w:hAnsi="宋体" w:eastAsia="宋体" w:cs="宋体"/>
          <w:color w:val="000000"/>
          <w:sz w:val="21"/>
          <w:szCs w:val="21"/>
          <w:highlight w:val="none"/>
        </w:rPr>
        <w:t>估价材料和工程设备的明细详见已标价工程量清单。</w:t>
      </w:r>
    </w:p>
    <w:bookmarkEnd w:id="651"/>
    <w:bookmarkEnd w:id="652"/>
    <w:bookmarkEnd w:id="653"/>
    <w:p w14:paraId="30C33A5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bookmarkStart w:id="654" w:name="_Toc312677509"/>
      <w:bookmarkStart w:id="655" w:name="_Toc318581177"/>
      <w:bookmarkStart w:id="656" w:name="_Toc312678035"/>
      <w:r>
        <w:rPr>
          <w:rFonts w:hint="eastAsia" w:ascii="宋体" w:hAnsi="宋体" w:eastAsia="宋体" w:cs="宋体"/>
          <w:color w:val="000000"/>
          <w:sz w:val="21"/>
          <w:szCs w:val="21"/>
          <w:highlight w:val="none"/>
        </w:rPr>
        <w:t>0.7.1 依法必须招标的暂估价项目</w:t>
      </w:r>
    </w:p>
    <w:bookmarkEnd w:id="654"/>
    <w:bookmarkEnd w:id="655"/>
    <w:bookmarkEnd w:id="656"/>
    <w:p w14:paraId="275EFAE1">
      <w:pPr>
        <w:pStyle w:val="18"/>
        <w:spacing w:line="360" w:lineRule="auto"/>
        <w:ind w:firstLine="420" w:firstLineChars="200"/>
        <w:jc w:val="left"/>
        <w:rPr>
          <w:rStyle w:val="16"/>
          <w:rFonts w:hint="eastAsia" w:ascii="Calibri" w:hAnsi="宋体" w:eastAsia="宋体" w:cs="宋体"/>
          <w:color w:val="auto"/>
          <w:highlight w:val="none"/>
        </w:rPr>
      </w:pPr>
      <w:r>
        <w:rPr>
          <w:rStyle w:val="16"/>
          <w:rFonts w:hint="eastAsia" w:ascii="Calibri" w:hAnsi="宋体" w:eastAsia="宋体" w:cs="宋体"/>
          <w:color w:val="auto"/>
          <w:highlight w:val="none"/>
        </w:rPr>
        <w:t>对于依法必须招标的暂估价项目的确认和批准采取</w:t>
      </w:r>
      <w:r>
        <w:rPr>
          <w:rStyle w:val="16"/>
          <w:rFonts w:hint="eastAsia" w:ascii="Calibri" w:hAnsi="宋体" w:eastAsia="宋体" w:cs="宋体"/>
          <w:color w:val="auto"/>
          <w:highlight w:val="none"/>
          <w:lang w:val="en-US" w:eastAsia="zh-CN"/>
        </w:rPr>
        <w:t>通用条款暂估价第10.7.1</w:t>
      </w:r>
      <w:r>
        <w:rPr>
          <w:rStyle w:val="16"/>
          <w:rFonts w:hint="eastAsia" w:ascii="Calibri" w:hAnsi="宋体" w:eastAsia="宋体" w:cs="宋体"/>
          <w:color w:val="auto"/>
          <w:highlight w:val="none"/>
        </w:rPr>
        <w:t>第</w:t>
      </w:r>
      <w:r>
        <w:rPr>
          <w:rStyle w:val="16"/>
          <w:rFonts w:ascii="Calibri" w:hAnsi="Calibri" w:eastAsia="宋体" w:cs="Times New Roman"/>
          <w:color w:val="auto"/>
          <w:highlight w:val="none"/>
          <w:u w:val="single"/>
        </w:rPr>
        <w:t xml:space="preserve">  </w:t>
      </w:r>
      <w:r>
        <w:rPr>
          <w:rStyle w:val="16"/>
          <w:rFonts w:hint="eastAsia" w:ascii="Calibri" w:hAnsi="Calibri" w:eastAsia="宋体" w:cs="Times New Roman"/>
          <w:color w:val="auto"/>
          <w:highlight w:val="none"/>
          <w:u w:val="single"/>
          <w:lang w:val="en-US" w:eastAsia="zh-CN"/>
        </w:rPr>
        <w:t>1</w:t>
      </w:r>
      <w:r>
        <w:rPr>
          <w:rStyle w:val="16"/>
          <w:rFonts w:ascii="Calibri" w:hAnsi="Calibri" w:eastAsia="宋体" w:cs="Times New Roman"/>
          <w:color w:val="auto"/>
          <w:highlight w:val="none"/>
          <w:u w:val="single"/>
        </w:rPr>
        <w:t xml:space="preserve"> </w:t>
      </w:r>
      <w:r>
        <w:rPr>
          <w:rStyle w:val="16"/>
          <w:rFonts w:hint="eastAsia" w:ascii="Calibri" w:hAnsi="宋体" w:eastAsia="宋体" w:cs="宋体"/>
          <w:color w:val="auto"/>
          <w:highlight w:val="none"/>
        </w:rPr>
        <w:t>种方式确定。</w:t>
      </w:r>
    </w:p>
    <w:p w14:paraId="3C5A8F3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10.7.2 不属于依法必须招标的暂估价项目</w:t>
      </w:r>
    </w:p>
    <w:p w14:paraId="7A383979">
      <w:pPr>
        <w:pStyle w:val="18"/>
        <w:spacing w:line="360" w:lineRule="auto"/>
        <w:ind w:firstLine="420" w:firstLineChars="200"/>
        <w:jc w:val="left"/>
        <w:rPr>
          <w:rFonts w:hint="eastAsia" w:ascii="宋体" w:hAnsi="宋体" w:eastAsia="宋体" w:cs="宋体"/>
          <w:color w:val="000000"/>
          <w:sz w:val="21"/>
          <w:szCs w:val="21"/>
          <w:highlight w:val="none"/>
        </w:rPr>
      </w:pPr>
      <w:r>
        <w:rPr>
          <w:rStyle w:val="16"/>
          <w:rFonts w:hint="eastAsia" w:ascii="Calibri" w:hAnsi="宋体" w:eastAsia="宋体" w:cs="宋体"/>
          <w:color w:val="auto"/>
          <w:highlight w:val="none"/>
        </w:rPr>
        <w:t>对于不属于依法必须招标的暂估价项目的确认和批准采取</w:t>
      </w:r>
      <w:r>
        <w:rPr>
          <w:rStyle w:val="16"/>
          <w:rFonts w:hint="eastAsia" w:ascii="Calibri" w:hAnsi="宋体" w:eastAsia="宋体" w:cs="宋体"/>
          <w:color w:val="auto"/>
          <w:highlight w:val="none"/>
          <w:lang w:val="en-US" w:eastAsia="zh-CN"/>
        </w:rPr>
        <w:t>通用条款暂估价第10.7.2</w:t>
      </w:r>
      <w:r>
        <w:rPr>
          <w:rStyle w:val="16"/>
          <w:rFonts w:hint="eastAsia" w:ascii="Calibri" w:hAnsi="宋体" w:eastAsia="宋体" w:cs="宋体"/>
          <w:color w:val="auto"/>
          <w:highlight w:val="none"/>
        </w:rPr>
        <w:t>第</w:t>
      </w:r>
      <w:r>
        <w:rPr>
          <w:rStyle w:val="16"/>
          <w:rFonts w:ascii="Calibri" w:hAnsi="Calibri" w:eastAsia="宋体" w:cs="Times New Roman"/>
          <w:color w:val="auto"/>
          <w:highlight w:val="none"/>
          <w:u w:val="single"/>
        </w:rPr>
        <w:t xml:space="preserve"> </w:t>
      </w:r>
      <w:r>
        <w:rPr>
          <w:rStyle w:val="16"/>
          <w:rFonts w:hint="eastAsia" w:ascii="Calibri" w:hAnsi="Calibri" w:eastAsia="宋体" w:cs="Times New Roman"/>
          <w:color w:val="auto"/>
          <w:highlight w:val="none"/>
          <w:u w:val="single"/>
          <w:lang w:val="en-US" w:eastAsia="zh-CN"/>
        </w:rPr>
        <w:t>2</w:t>
      </w:r>
      <w:r>
        <w:rPr>
          <w:rStyle w:val="16"/>
          <w:rFonts w:ascii="Calibri" w:hAnsi="Calibri" w:eastAsia="宋体" w:cs="Times New Roman"/>
          <w:color w:val="auto"/>
          <w:highlight w:val="none"/>
          <w:u w:val="single"/>
        </w:rPr>
        <w:t xml:space="preserve"> </w:t>
      </w:r>
      <w:r>
        <w:rPr>
          <w:rStyle w:val="16"/>
          <w:rFonts w:ascii="Calibri" w:hAnsi="Calibri" w:eastAsia="宋体" w:cs="Times New Roman"/>
          <w:color w:val="auto"/>
          <w:highlight w:val="none"/>
        </w:rPr>
        <w:t xml:space="preserve"> </w:t>
      </w:r>
      <w:r>
        <w:rPr>
          <w:rStyle w:val="16"/>
          <w:rFonts w:hint="eastAsia" w:ascii="Calibri" w:hAnsi="宋体" w:eastAsia="宋体" w:cs="宋体"/>
          <w:color w:val="auto"/>
          <w:highlight w:val="none"/>
        </w:rPr>
        <w:t>种方式确定。</w:t>
      </w:r>
    </w:p>
    <w:p w14:paraId="14907C5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第3种方式：承包人直接实施的暂估价项目</w:t>
      </w:r>
    </w:p>
    <w:p w14:paraId="015AC06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承包人直接实施的暂估价项目的约定：</w:t>
      </w:r>
      <w:r>
        <w:rPr>
          <w:rFonts w:hint="eastAsia" w:ascii="宋体" w:hAnsi="宋体" w:eastAsia="宋体" w:cs="宋体"/>
          <w:color w:val="000000"/>
          <w:sz w:val="21"/>
          <w:szCs w:val="21"/>
          <w:highlight w:val="none"/>
          <w:u w:val="single"/>
        </w:rPr>
        <w:t xml:space="preserve">  报经发包人同意之后方可实施 </w:t>
      </w:r>
      <w:r>
        <w:rPr>
          <w:rFonts w:hint="eastAsia" w:ascii="宋体" w:hAnsi="宋体" w:eastAsia="宋体" w:cs="宋体"/>
          <w:color w:val="000000"/>
          <w:sz w:val="21"/>
          <w:szCs w:val="21"/>
          <w:highlight w:val="none"/>
        </w:rPr>
        <w:t>。</w:t>
      </w:r>
    </w:p>
    <w:p w14:paraId="4067C018">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657" w:name="_Toc373227745"/>
      <w:bookmarkStart w:id="658" w:name="_Toc373478392"/>
      <w:bookmarkStart w:id="659" w:name="_Toc389065311"/>
      <w:bookmarkStart w:id="660" w:name="_Toc6476"/>
      <w:r>
        <w:rPr>
          <w:rFonts w:hint="eastAsia" w:ascii="宋体" w:hAnsi="宋体" w:eastAsia="宋体" w:cs="宋体"/>
          <w:color w:val="000000"/>
          <w:sz w:val="21"/>
          <w:szCs w:val="21"/>
          <w:highlight w:val="none"/>
        </w:rPr>
        <w:t>10.8 暂列金额</w:t>
      </w:r>
      <w:bookmarkEnd w:id="657"/>
      <w:bookmarkEnd w:id="658"/>
      <w:bookmarkEnd w:id="659"/>
      <w:bookmarkEnd w:id="660"/>
    </w:p>
    <w:p w14:paraId="7AB1258C">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合同当事人关于暂列金额使用的约定：</w:t>
      </w:r>
      <w:r>
        <w:rPr>
          <w:rFonts w:hint="eastAsia" w:ascii="宋体" w:hAnsi="宋体" w:eastAsia="宋体" w:cs="宋体"/>
          <w:color w:val="000000"/>
          <w:sz w:val="21"/>
          <w:szCs w:val="21"/>
          <w:highlight w:val="none"/>
          <w:u w:val="single"/>
        </w:rPr>
        <w:t xml:space="preserve"> 以发包人要求为准，内容详见工程量清单  </w:t>
      </w:r>
      <w:r>
        <w:rPr>
          <w:rFonts w:hint="eastAsia" w:ascii="宋体" w:hAnsi="宋体" w:eastAsia="宋体" w:cs="宋体"/>
          <w:color w:val="000000"/>
          <w:sz w:val="21"/>
          <w:szCs w:val="21"/>
          <w:highlight w:val="none"/>
        </w:rPr>
        <w:t>。</w:t>
      </w:r>
    </w:p>
    <w:p w14:paraId="732CADCA">
      <w:pPr>
        <w:pageBreakBefore w:val="0"/>
        <w:numPr>
          <w:ilvl w:val="0"/>
          <w:numId w:val="7"/>
        </w:numPr>
        <w:kinsoku/>
        <w:overflowPunct/>
        <w:topLinePunct w:val="0"/>
        <w:bidi w:val="0"/>
        <w:spacing w:line="360" w:lineRule="auto"/>
        <w:outlineLvl w:val="9"/>
        <w:rPr>
          <w:rFonts w:hint="eastAsia" w:ascii="宋体" w:hAnsi="宋体" w:eastAsia="宋体" w:cs="宋体"/>
          <w:color w:val="000000"/>
          <w:sz w:val="21"/>
          <w:szCs w:val="21"/>
          <w:highlight w:val="none"/>
        </w:rPr>
      </w:pPr>
      <w:bookmarkStart w:id="661" w:name="_Toc373478393"/>
      <w:bookmarkStart w:id="662" w:name="_Toc389065312"/>
      <w:bookmarkStart w:id="663" w:name="_Toc15950"/>
      <w:bookmarkStart w:id="664" w:name="_Toc373227746"/>
      <w:bookmarkStart w:id="665" w:name="_Toc351203643"/>
      <w:r>
        <w:rPr>
          <w:rFonts w:hint="eastAsia" w:ascii="宋体" w:hAnsi="宋体" w:eastAsia="宋体" w:cs="宋体"/>
          <w:color w:val="000000"/>
          <w:sz w:val="21"/>
          <w:szCs w:val="21"/>
          <w:highlight w:val="none"/>
        </w:rPr>
        <w:t>价格调整</w:t>
      </w:r>
      <w:bookmarkEnd w:id="661"/>
      <w:bookmarkEnd w:id="662"/>
      <w:bookmarkEnd w:id="663"/>
      <w:bookmarkEnd w:id="664"/>
      <w:bookmarkEnd w:id="665"/>
    </w:p>
    <w:p w14:paraId="6EC032A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①法律变化引起的调整；</w:t>
      </w:r>
    </w:p>
    <w:p w14:paraId="319C5A7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②工程变更、项目特征不符、工程量清单缺项、工程量偏差引起的调整；</w:t>
      </w:r>
    </w:p>
    <w:p w14:paraId="4DE8FD8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③计日工引起的调整。</w:t>
      </w:r>
    </w:p>
    <w:p w14:paraId="62DD4D50">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666" w:name="_Toc373478394"/>
      <w:bookmarkStart w:id="667" w:name="_Toc373227747"/>
      <w:bookmarkStart w:id="668" w:name="_Toc13425"/>
      <w:bookmarkStart w:id="669" w:name="_Toc389065313"/>
      <w:bookmarkStart w:id="670" w:name="_Toc300935000"/>
      <w:bookmarkStart w:id="671" w:name="_Toc297048387"/>
      <w:bookmarkStart w:id="672" w:name="_Toc312678039"/>
      <w:bookmarkStart w:id="673" w:name="_Toc292559406"/>
      <w:bookmarkStart w:id="674" w:name="_Toc296503201"/>
      <w:bookmarkStart w:id="675" w:name="_Toc297216209"/>
      <w:bookmarkStart w:id="676" w:name="_Toc304295577"/>
      <w:bookmarkStart w:id="677" w:name="_Toc296346702"/>
      <w:bookmarkStart w:id="678" w:name="_Toc303539157"/>
      <w:bookmarkStart w:id="679" w:name="_Toc296347200"/>
      <w:bookmarkStart w:id="680" w:name="_Toc296944540"/>
      <w:bookmarkStart w:id="681" w:name="_Toc297123550"/>
      <w:bookmarkStart w:id="682" w:name="_Toc292559911"/>
      <w:bookmarkStart w:id="683" w:name="_Toc296891029"/>
      <w:bookmarkStart w:id="684" w:name="_Toc297120501"/>
      <w:bookmarkStart w:id="685" w:name="_Toc296891241"/>
      <w:r>
        <w:rPr>
          <w:rFonts w:hint="eastAsia" w:ascii="宋体" w:hAnsi="宋体" w:eastAsia="宋体" w:cs="宋体"/>
          <w:color w:val="000000"/>
          <w:sz w:val="21"/>
          <w:szCs w:val="21"/>
          <w:highlight w:val="none"/>
        </w:rPr>
        <w:t>11.1 市场价格波动引起的调整</w:t>
      </w:r>
      <w:bookmarkEnd w:id="666"/>
      <w:bookmarkEnd w:id="667"/>
      <w:bookmarkEnd w:id="668"/>
      <w:bookmarkEnd w:id="669"/>
    </w:p>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14:paraId="5706C07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市场价格波动是否调整合同价格的约定：</w:t>
      </w:r>
      <w:r>
        <w:rPr>
          <w:rFonts w:hint="eastAsia" w:ascii="宋体" w:hAnsi="宋体" w:eastAsia="宋体" w:cs="宋体"/>
          <w:color w:val="000000"/>
          <w:sz w:val="21"/>
          <w:szCs w:val="21"/>
          <w:highlight w:val="none"/>
          <w:u w:val="single"/>
        </w:rPr>
        <w:t xml:space="preserve"> 第三种方式    </w:t>
      </w:r>
      <w:r>
        <w:rPr>
          <w:rFonts w:hint="eastAsia" w:ascii="宋体" w:hAnsi="宋体" w:eastAsia="宋体" w:cs="宋体"/>
          <w:color w:val="000000"/>
          <w:sz w:val="21"/>
          <w:szCs w:val="21"/>
          <w:highlight w:val="none"/>
        </w:rPr>
        <w:t>。</w:t>
      </w:r>
    </w:p>
    <w:p w14:paraId="6A30A6D8">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因市场价格波动调整合同价格，采用以下第</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3</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种方式对合同价格进行调整：</w:t>
      </w:r>
    </w:p>
    <w:p w14:paraId="6BC37C9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第1种方式：采用价格指数进行价格调整。</w:t>
      </w:r>
    </w:p>
    <w:p w14:paraId="35F5FE9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关于各可调因子、定值和变值权重，以及基本价格指数及其来源的约定：</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 xml:space="preserve">；  </w:t>
      </w:r>
    </w:p>
    <w:p w14:paraId="0571BAE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第2种方式：采用造价信息进行价格调整。</w:t>
      </w:r>
    </w:p>
    <w:p w14:paraId="1CBEFE8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（1）允许调整的主要材料和设备、基期价格、风险系数、投标报价：详见《承包人提供主要材料和设备一览表》,价差调整部分仅计算税金，除此表列明的材料、设备外，其余材料设备价差原则上不予调整。</w:t>
      </w:r>
    </w:p>
    <w:p w14:paraId="10FAAF62">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（2）主要材料和设备确认价：</w:t>
      </w:r>
    </w:p>
    <w:p w14:paraId="7C4163AB">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按施工期间《</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防城港</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市建设工程造价信息》加权平均计算，信息价没有的按通用条款规定确定。</w:t>
      </w:r>
    </w:p>
    <w:p w14:paraId="68A7D41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（3）价差计算方法：</w:t>
      </w:r>
    </w:p>
    <w:p w14:paraId="0A5B008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①《承包人提供主要材料和设备一览表》中载明的材料和设备投标报价低于基准价格的：合同履行期间材料和设备单价涨幅以基准价格为基础超过约定的风险范围时，或材料和设备单价跌幅以投标报价为基础超过约定的风险范围时，对其超过部分进行价差调整，价差计算公式：价格上涨价差=确认价-基准单价*（1+风险系数），价格下跌价差=确认价-投标报价*（1+风险系数）。</w:t>
      </w:r>
    </w:p>
    <w:p w14:paraId="24AF356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②承包人在《承包人提供主要材料和设备一览表》中载明的材料和设备投标报价高于基准价格的：合同履行期间材料和设备单价跌幅以基准价格为基础超过约定的风险范围时，或材料和设备单价涨幅以投标报价为基础超过约定的风险范围时，对其超过部分进行价差调整。价差计算公式：价格上涨价差=确认价-投标报价*（1+风险系数），价格下跌价差=确认价-基准价*（1+风险系数。）</w:t>
      </w:r>
    </w:p>
    <w:p w14:paraId="68B156D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③承包人在《承包人提供主要材料和设备一览表》中载明的材料和设备单价等于基准单价的：合同履行期间材料和设备单价涨跌幅以基准单价为基础超过约定的风险范围时，其超过部分据实调整。价差计算公式：上涨或下跌价差=确认价-基准单价*（1+风险系数）</w:t>
      </w:r>
    </w:p>
    <w:p w14:paraId="3A2EFFA5">
      <w:pPr>
        <w:pageBreakBefore w:val="0"/>
        <w:kinsoku/>
        <w:overflowPunct/>
        <w:topLinePunct w:val="0"/>
        <w:bidi w:val="0"/>
        <w:spacing w:line="360" w:lineRule="auto"/>
        <w:ind w:firstLine="645"/>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第3种方式：</w:t>
      </w:r>
      <w:r>
        <w:rPr>
          <w:rFonts w:hint="eastAsia" w:ascii="宋体" w:hAnsi="宋体" w:eastAsia="宋体" w:cs="宋体"/>
          <w:color w:val="000000"/>
          <w:sz w:val="21"/>
          <w:szCs w:val="21"/>
          <w:highlight w:val="none"/>
          <w:u w:val="single"/>
        </w:rPr>
        <w:t>其他价格调整方式：除合同约定可以调整的主要材料外，材料单价在合同实施期间不因市场价格变化因素而变动，因征地拆迁影响及重大设计变更等发包人的原因，在招标后延迟开工或中途停建重新复工的施工工期内，主要材料涨跌的调整幅度</w:t>
      </w:r>
      <w:r>
        <w:rPr>
          <w:rFonts w:hint="eastAsia" w:ascii="宋体" w:hAnsi="宋体" w:eastAsia="宋体" w:cs="宋体"/>
          <w:color w:val="000000"/>
          <w:sz w:val="21"/>
          <w:szCs w:val="21"/>
          <w:highlight w:val="none"/>
          <w:u w:val="single"/>
          <w:lang w:eastAsia="zh-CN"/>
        </w:rPr>
        <w:t>由</w:t>
      </w:r>
      <w:r>
        <w:rPr>
          <w:rFonts w:hint="eastAsia" w:ascii="宋体" w:hAnsi="宋体" w:eastAsia="宋体" w:cs="宋体"/>
          <w:color w:val="000000"/>
          <w:sz w:val="21"/>
          <w:szCs w:val="21"/>
          <w:highlight w:val="none"/>
          <w:u w:val="single"/>
        </w:rPr>
        <w:t xml:space="preserve">甲乙双方协商调价，以招标控制价采用的《防城港市建设工程造价信息》上发布的市场价格信息确定为基准材料价格  </w:t>
      </w:r>
      <w:r>
        <w:rPr>
          <w:rFonts w:hint="eastAsia" w:ascii="宋体" w:hAnsi="宋体" w:eastAsia="宋体" w:cs="宋体"/>
          <w:color w:val="000000"/>
          <w:sz w:val="21"/>
          <w:szCs w:val="21"/>
          <w:highlight w:val="none"/>
        </w:rPr>
        <w:t>。</w:t>
      </w:r>
    </w:p>
    <w:bookmarkEnd w:id="540"/>
    <w:bookmarkEnd w:id="541"/>
    <w:bookmarkEnd w:id="542"/>
    <w:bookmarkEnd w:id="543"/>
    <w:bookmarkEnd w:id="544"/>
    <w:bookmarkEnd w:id="545"/>
    <w:p w14:paraId="2A24C2CA">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686" w:name="_Toc296891033"/>
      <w:bookmarkStart w:id="687" w:name="_Toc296347204"/>
      <w:bookmarkStart w:id="688" w:name="_Toc296891245"/>
      <w:bookmarkStart w:id="689" w:name="_Toc296944544"/>
      <w:bookmarkStart w:id="690" w:name="_Toc292559915"/>
      <w:bookmarkStart w:id="691" w:name="_Toc296503205"/>
      <w:bookmarkStart w:id="692" w:name="_Toc296346706"/>
      <w:bookmarkStart w:id="693" w:name="_Toc297048391"/>
      <w:bookmarkStart w:id="694" w:name="_Toc297120505"/>
      <w:bookmarkStart w:id="695" w:name="_Toc292559410"/>
      <w:bookmarkStart w:id="696" w:name="_Toc373478395"/>
      <w:bookmarkStart w:id="697" w:name="_Toc351203644"/>
      <w:bookmarkStart w:id="698" w:name="_Toc373227748"/>
      <w:bookmarkStart w:id="699" w:name="_Toc4351"/>
      <w:bookmarkStart w:id="700" w:name="_Toc303539159"/>
      <w:bookmarkStart w:id="701" w:name="_Toc297123552"/>
      <w:bookmarkStart w:id="702" w:name="_Toc304295579"/>
      <w:bookmarkStart w:id="703" w:name="_Toc312678040"/>
      <w:bookmarkStart w:id="704" w:name="_Toc297216211"/>
      <w:bookmarkStart w:id="705" w:name="_Toc300935002"/>
      <w:r>
        <w:rPr>
          <w:rFonts w:hint="eastAsia" w:ascii="宋体" w:hAnsi="宋体" w:eastAsia="宋体" w:cs="宋体"/>
          <w:color w:val="000000"/>
          <w:sz w:val="21"/>
          <w:szCs w:val="21"/>
          <w:highlight w:val="none"/>
        </w:rPr>
        <w:t xml:space="preserve">12. </w:t>
      </w:r>
      <w:bookmarkEnd w:id="686"/>
      <w:bookmarkEnd w:id="687"/>
      <w:bookmarkEnd w:id="688"/>
      <w:bookmarkEnd w:id="689"/>
      <w:bookmarkEnd w:id="690"/>
      <w:bookmarkEnd w:id="691"/>
      <w:bookmarkEnd w:id="692"/>
      <w:bookmarkEnd w:id="693"/>
      <w:bookmarkEnd w:id="694"/>
      <w:bookmarkEnd w:id="695"/>
      <w:r>
        <w:rPr>
          <w:rFonts w:hint="eastAsia" w:ascii="宋体" w:hAnsi="宋体" w:eastAsia="宋体" w:cs="宋体"/>
          <w:color w:val="000000"/>
          <w:sz w:val="21"/>
          <w:szCs w:val="21"/>
          <w:highlight w:val="none"/>
        </w:rPr>
        <w:t>合同价格、计量与支付</w:t>
      </w:r>
      <w:bookmarkEnd w:id="696"/>
      <w:bookmarkEnd w:id="697"/>
      <w:bookmarkEnd w:id="698"/>
      <w:bookmarkEnd w:id="699"/>
    </w:p>
    <w:bookmarkEnd w:id="700"/>
    <w:bookmarkEnd w:id="701"/>
    <w:bookmarkEnd w:id="702"/>
    <w:bookmarkEnd w:id="703"/>
    <w:bookmarkEnd w:id="704"/>
    <w:bookmarkEnd w:id="705"/>
    <w:p w14:paraId="28686824">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706" w:name="_Toc292559411"/>
      <w:bookmarkStart w:id="707" w:name="_Toc292559916"/>
      <w:bookmarkStart w:id="708" w:name="_Toc267251461"/>
      <w:bookmarkStart w:id="709" w:name="_Toc297048392"/>
      <w:bookmarkStart w:id="710" w:name="_Toc297120506"/>
      <w:bookmarkStart w:id="711" w:name="_Toc296891034"/>
      <w:bookmarkStart w:id="712" w:name="_Toc296347205"/>
      <w:bookmarkStart w:id="713" w:name="_Toc296346707"/>
      <w:bookmarkStart w:id="714" w:name="_Toc296891246"/>
      <w:bookmarkStart w:id="715" w:name="_Toc296503206"/>
      <w:bookmarkStart w:id="716" w:name="_Toc296944545"/>
      <w:bookmarkStart w:id="717" w:name="_Toc389065314"/>
      <w:bookmarkStart w:id="718" w:name="_Toc373478396"/>
      <w:bookmarkStart w:id="719" w:name="_Toc13093"/>
      <w:bookmarkStart w:id="720" w:name="_Toc373227749"/>
      <w:bookmarkStart w:id="721" w:name="_Toc304295580"/>
      <w:bookmarkStart w:id="722" w:name="_Toc312678041"/>
      <w:bookmarkStart w:id="723" w:name="_Toc297123553"/>
      <w:bookmarkStart w:id="724" w:name="_Toc303539160"/>
      <w:bookmarkStart w:id="725" w:name="_Toc297216212"/>
      <w:bookmarkStart w:id="726" w:name="_Toc300935003"/>
      <w:r>
        <w:rPr>
          <w:rFonts w:hint="eastAsia" w:ascii="宋体" w:hAnsi="宋体" w:eastAsia="宋体" w:cs="宋体"/>
          <w:color w:val="000000"/>
          <w:sz w:val="21"/>
          <w:szCs w:val="21"/>
          <w:highlight w:val="none"/>
        </w:rPr>
        <w:t>12.1 合</w:t>
      </w:r>
      <w:bookmarkEnd w:id="706"/>
      <w:bookmarkEnd w:id="707"/>
      <w:bookmarkEnd w:id="708"/>
      <w:r>
        <w:rPr>
          <w:rFonts w:hint="eastAsia" w:ascii="宋体" w:hAnsi="宋体" w:eastAsia="宋体" w:cs="宋体"/>
          <w:color w:val="000000"/>
          <w:sz w:val="21"/>
          <w:szCs w:val="21"/>
          <w:highlight w:val="none"/>
        </w:rPr>
        <w:t>同价</w:t>
      </w:r>
      <w:bookmarkEnd w:id="709"/>
      <w:bookmarkEnd w:id="710"/>
      <w:bookmarkEnd w:id="711"/>
      <w:bookmarkEnd w:id="712"/>
      <w:bookmarkEnd w:id="713"/>
      <w:bookmarkEnd w:id="714"/>
      <w:bookmarkEnd w:id="715"/>
      <w:bookmarkEnd w:id="716"/>
      <w:r>
        <w:rPr>
          <w:rFonts w:hint="eastAsia" w:ascii="宋体" w:hAnsi="宋体" w:eastAsia="宋体" w:cs="宋体"/>
          <w:color w:val="000000"/>
          <w:sz w:val="21"/>
          <w:szCs w:val="21"/>
          <w:highlight w:val="none"/>
        </w:rPr>
        <w:t>格形式</w:t>
      </w:r>
      <w:bookmarkEnd w:id="717"/>
      <w:bookmarkEnd w:id="718"/>
      <w:bookmarkEnd w:id="719"/>
      <w:bookmarkEnd w:id="720"/>
    </w:p>
    <w:bookmarkEnd w:id="721"/>
    <w:bookmarkEnd w:id="722"/>
    <w:bookmarkEnd w:id="723"/>
    <w:bookmarkEnd w:id="724"/>
    <w:bookmarkEnd w:id="725"/>
    <w:bookmarkEnd w:id="726"/>
    <w:p w14:paraId="2180095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bookmarkStart w:id="727" w:name="_Toc373227750"/>
      <w:bookmarkStart w:id="728" w:name="_Toc389065315"/>
      <w:bookmarkStart w:id="729" w:name="_Toc373478397"/>
      <w:bookmarkStart w:id="730" w:name="_Toc312678042"/>
      <w:bookmarkStart w:id="731" w:name="_Toc304295581"/>
      <w:bookmarkStart w:id="732" w:name="_Toc300935004"/>
      <w:bookmarkStart w:id="733" w:name="_Toc303539161"/>
      <w:bookmarkStart w:id="734" w:name="_Toc297123554"/>
      <w:bookmarkStart w:id="735" w:name="_Toc297216213"/>
      <w:bookmarkStart w:id="736" w:name="_Toc296347206"/>
      <w:bookmarkStart w:id="737" w:name="_Toc296944546"/>
      <w:bookmarkStart w:id="738" w:name="_Toc297120507"/>
      <w:bookmarkStart w:id="739" w:name="_Toc292559917"/>
      <w:bookmarkStart w:id="740" w:name="_Toc296503207"/>
      <w:bookmarkStart w:id="741" w:name="_Toc292559412"/>
      <w:bookmarkStart w:id="742" w:name="_Toc296891035"/>
      <w:bookmarkStart w:id="743" w:name="_Toc296346708"/>
      <w:bookmarkStart w:id="744" w:name="_Toc297048393"/>
      <w:bookmarkStart w:id="745" w:name="_Toc296891247"/>
      <w:r>
        <w:rPr>
          <w:rFonts w:hint="eastAsia" w:ascii="宋体" w:hAnsi="宋体" w:eastAsia="宋体" w:cs="宋体"/>
          <w:color w:val="000000"/>
          <w:sz w:val="21"/>
          <w:szCs w:val="21"/>
          <w:highlight w:val="none"/>
        </w:rPr>
        <w:t>本工程采用</w:t>
      </w:r>
      <w:r>
        <w:rPr>
          <w:rFonts w:hint="eastAsia" w:ascii="宋体" w:hAnsi="宋体" w:eastAsia="宋体" w:cs="宋体"/>
          <w:color w:val="000000"/>
          <w:sz w:val="21"/>
          <w:szCs w:val="21"/>
          <w:highlight w:val="none"/>
          <w:u w:val="single"/>
        </w:rPr>
        <w:t xml:space="preserve">   固定综合单价   </w:t>
      </w:r>
      <w:r>
        <w:rPr>
          <w:rFonts w:hint="eastAsia" w:ascii="宋体" w:hAnsi="宋体" w:eastAsia="宋体" w:cs="宋体"/>
          <w:color w:val="000000"/>
          <w:sz w:val="21"/>
          <w:szCs w:val="21"/>
          <w:highlight w:val="none"/>
        </w:rPr>
        <w:t>合同价格形式，合同价格包含增值税，本工程计价时采用的增值税计税方法为：</w:t>
      </w:r>
      <w:r>
        <w:rPr>
          <w:rFonts w:hint="eastAsia" w:ascii="宋体" w:hAnsi="宋体" w:eastAsia="宋体" w:cs="宋体"/>
          <w:color w:val="000000"/>
          <w:sz w:val="21"/>
          <w:szCs w:val="21"/>
          <w:highlight w:val="none"/>
        </w:rPr>
        <w:sym w:font="Wingdings 2" w:char="0052"/>
      </w:r>
      <w:r>
        <w:rPr>
          <w:rFonts w:hint="eastAsia" w:ascii="宋体" w:hAnsi="宋体" w:eastAsia="宋体" w:cs="宋体"/>
          <w:color w:val="000000"/>
          <w:sz w:val="21"/>
          <w:szCs w:val="21"/>
          <w:highlight w:val="none"/>
        </w:rPr>
        <w:t>一般计税法   □简易计税法。</w:t>
      </w:r>
    </w:p>
    <w:p w14:paraId="38B9637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（1）单价合同。</w:t>
      </w:r>
    </w:p>
    <w:p w14:paraId="3E1547A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采用综合单价合同方式时，工程量按建设单位、监理单位、施工单位三方确认的竣工图结算。</w:t>
      </w:r>
    </w:p>
    <w:p w14:paraId="323FA25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综合单价包含的风险范围：</w:t>
      </w:r>
      <w:r>
        <w:rPr>
          <w:rFonts w:hint="eastAsia" w:ascii="宋体" w:hAnsi="宋体" w:eastAsia="宋体" w:cs="宋体"/>
          <w:color w:val="000000"/>
          <w:sz w:val="21"/>
          <w:szCs w:val="21"/>
          <w:highlight w:val="none"/>
          <w:u w:val="single"/>
        </w:rPr>
        <w:t>除工程变更、项目特征不符、工程量清单缺项、工程量偏差、政策性调整、本工程《承包人提供主要材料和设备一览表》中约定的材料和设备价格变动风险以外的其他风险因素。</w:t>
      </w:r>
    </w:p>
    <w:p w14:paraId="0CAAF8A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风险范围以外合同价格的调整方法：</w:t>
      </w:r>
    </w:p>
    <w:p w14:paraId="6C7A760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①工程变更、项目特征不符、工程量清单缺项：按10.4.1变更估价原则的约定调整。</w:t>
      </w:r>
    </w:p>
    <w:p w14:paraId="433022B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②工程量偏差：按1.13工程量清单错误修正的约定调整。</w:t>
      </w:r>
    </w:p>
    <w:p w14:paraId="5786E3D8">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③政策性调整：按自治区住房</w:t>
      </w:r>
      <w:r>
        <w:rPr>
          <w:rFonts w:hint="eastAsia" w:ascii="宋体" w:hAnsi="宋体" w:eastAsia="宋体" w:cs="宋体"/>
          <w:color w:val="000000"/>
          <w:sz w:val="21"/>
          <w:szCs w:val="21"/>
          <w:highlight w:val="none"/>
          <w:lang w:val="en-US" w:eastAsia="zh-CN"/>
        </w:rPr>
        <w:t>和</w:t>
      </w:r>
      <w:r>
        <w:rPr>
          <w:rFonts w:hint="eastAsia" w:ascii="宋体" w:hAnsi="宋体" w:eastAsia="宋体" w:cs="宋体"/>
          <w:color w:val="000000"/>
          <w:sz w:val="21"/>
          <w:szCs w:val="21"/>
          <w:highlight w:val="none"/>
        </w:rPr>
        <w:t>城乡建设厅或工程所在地住房</w:t>
      </w:r>
      <w:r>
        <w:rPr>
          <w:rFonts w:hint="eastAsia" w:ascii="宋体" w:hAnsi="宋体" w:eastAsia="宋体" w:cs="宋体"/>
          <w:color w:val="000000"/>
          <w:sz w:val="21"/>
          <w:szCs w:val="21"/>
          <w:highlight w:val="none"/>
          <w:lang w:val="en-US" w:eastAsia="zh-CN"/>
        </w:rPr>
        <w:t>和</w:t>
      </w:r>
      <w:r>
        <w:rPr>
          <w:rFonts w:hint="eastAsia" w:ascii="宋体" w:hAnsi="宋体" w:eastAsia="宋体" w:cs="宋体"/>
          <w:color w:val="000000"/>
          <w:sz w:val="21"/>
          <w:szCs w:val="21"/>
          <w:highlight w:val="none"/>
        </w:rPr>
        <w:t>城乡建设主管部门颁布的文件执行。</w:t>
      </w:r>
    </w:p>
    <w:p w14:paraId="01B3A26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④材料价格风险：按11.1的约定调整。</w:t>
      </w:r>
    </w:p>
    <w:p w14:paraId="5885BD6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⑤其它：</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579D86B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（2）总价合同。</w:t>
      </w:r>
    </w:p>
    <w:p w14:paraId="62833AB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总价包含的风险范围：包含除工程变更、政策性调整、</w:t>
      </w:r>
      <w:r>
        <w:rPr>
          <w:rFonts w:hint="eastAsia" w:ascii="宋体" w:hAnsi="宋体" w:eastAsia="宋体" w:cs="宋体"/>
          <w:color w:val="000000"/>
          <w:sz w:val="21"/>
          <w:szCs w:val="21"/>
          <w:highlight w:val="none"/>
          <w:u w:val="single"/>
        </w:rPr>
        <w:t xml:space="preserve">本工程《承包人提供主要材料和设备一览表》中约定的材料和设备价格变动风险以外的其他风险。除工程变更外，结算时不再对招标施工图对应的工程量重新计量    </w:t>
      </w:r>
      <w:r>
        <w:rPr>
          <w:rFonts w:hint="eastAsia" w:ascii="宋体" w:hAnsi="宋体" w:eastAsia="宋体" w:cs="宋体"/>
          <w:color w:val="000000"/>
          <w:sz w:val="21"/>
          <w:szCs w:val="21"/>
          <w:highlight w:val="none"/>
          <w:u w:val="single"/>
          <w:lang w:eastAsia="zh-CN"/>
        </w:rPr>
        <w:t>。</w:t>
      </w:r>
    </w:p>
    <w:p w14:paraId="7D62ED58">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风险范围以外合同价格的调整方法：</w:t>
      </w:r>
    </w:p>
    <w:p w14:paraId="1DC66D1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①工程变更：按10.4.1变更估价原则的约定调整。</w:t>
      </w:r>
    </w:p>
    <w:p w14:paraId="6850497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②政策性调整：按自治区住房城乡建设厅或工程所在地住房城乡建设主管部门颁布的文件执行。</w:t>
      </w:r>
    </w:p>
    <w:p w14:paraId="3998D8D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③材料价格风险：按11.1的约定调整。</w:t>
      </w:r>
    </w:p>
    <w:p w14:paraId="3B986D5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fldChar w:fldCharType="begin"/>
      </w:r>
      <w:r>
        <w:rPr>
          <w:rFonts w:hint="eastAsia" w:ascii="宋体" w:hAnsi="宋体" w:eastAsia="宋体" w:cs="宋体"/>
          <w:color w:val="000000"/>
          <w:sz w:val="21"/>
          <w:szCs w:val="21"/>
          <w:highlight w:val="none"/>
        </w:rPr>
        <w:instrText xml:space="preserve"> = 4 \* GB3 </w:instrText>
      </w:r>
      <w:r>
        <w:rPr>
          <w:rFonts w:hint="eastAsia" w:ascii="宋体" w:hAnsi="宋体" w:eastAsia="宋体" w:cs="宋体"/>
          <w:color w:val="000000"/>
          <w:sz w:val="21"/>
          <w:szCs w:val="21"/>
          <w:highlight w:val="none"/>
        </w:rPr>
        <w:fldChar w:fldCharType="separate"/>
      </w:r>
      <w:r>
        <w:rPr>
          <w:rFonts w:hint="eastAsia" w:ascii="宋体" w:hAnsi="宋体" w:eastAsia="宋体" w:cs="宋体"/>
          <w:color w:val="000000"/>
          <w:sz w:val="21"/>
          <w:szCs w:val="21"/>
          <w:highlight w:val="none"/>
        </w:rPr>
        <w:t>④</w:t>
      </w:r>
      <w:r>
        <w:rPr>
          <w:rFonts w:hint="eastAsia" w:ascii="宋体" w:hAnsi="宋体" w:eastAsia="宋体" w:cs="宋体"/>
          <w:color w:val="000000"/>
          <w:sz w:val="21"/>
          <w:szCs w:val="21"/>
          <w:highlight w:val="none"/>
        </w:rPr>
        <w:fldChar w:fldCharType="end"/>
      </w:r>
      <w:r>
        <w:rPr>
          <w:rFonts w:hint="eastAsia" w:ascii="宋体" w:hAnsi="宋体" w:eastAsia="宋体" w:cs="宋体"/>
          <w:color w:val="000000"/>
          <w:sz w:val="21"/>
          <w:szCs w:val="21"/>
          <w:highlight w:val="none"/>
        </w:rPr>
        <w:t>其它：</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7E813068">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（3）其他价格方式：</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34C1C525">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746" w:name="_Toc1843"/>
      <w:r>
        <w:rPr>
          <w:rFonts w:hint="eastAsia" w:ascii="宋体" w:hAnsi="宋体" w:eastAsia="宋体" w:cs="宋体"/>
          <w:color w:val="000000"/>
          <w:sz w:val="21"/>
          <w:szCs w:val="21"/>
          <w:highlight w:val="none"/>
        </w:rPr>
        <w:t>12.2 预付款</w:t>
      </w:r>
      <w:bookmarkEnd w:id="727"/>
      <w:bookmarkEnd w:id="728"/>
      <w:bookmarkEnd w:id="729"/>
      <w:bookmarkEnd w:id="746"/>
    </w:p>
    <w:bookmarkEnd w:id="730"/>
    <w:bookmarkEnd w:id="731"/>
    <w:bookmarkEnd w:id="732"/>
    <w:bookmarkEnd w:id="733"/>
    <w:bookmarkEnd w:id="734"/>
    <w:bookmarkEnd w:id="735"/>
    <w:p w14:paraId="533911E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12.2.1 预付款的支付</w:t>
      </w:r>
    </w:p>
    <w:p w14:paraId="600CCBA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预付款支付比例或金额：</w:t>
      </w:r>
      <w:r>
        <w:rPr>
          <w:rFonts w:hint="eastAsia" w:ascii="宋体" w:hAnsi="宋体" w:eastAsia="宋体" w:cs="宋体"/>
          <w:color w:val="000000"/>
          <w:sz w:val="21"/>
          <w:szCs w:val="21"/>
          <w:highlight w:val="none"/>
          <w:u w:val="single"/>
          <w:lang w:val="en-US" w:eastAsia="zh-CN"/>
        </w:rPr>
        <w:t xml:space="preserve">合同价款的30% 。 </w:t>
      </w:r>
    </w:p>
    <w:p w14:paraId="5969EC8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预付款支付期限</w:t>
      </w:r>
      <w:r>
        <w:rPr>
          <w:rFonts w:hint="eastAsia" w:ascii="宋体" w:hAnsi="宋体" w:eastAsia="宋体" w:cs="宋体"/>
          <w:color w:val="000000"/>
          <w:sz w:val="21"/>
          <w:szCs w:val="21"/>
          <w:highlight w:val="none"/>
          <w:u w:val="single"/>
          <w:lang w:val="en-US" w:eastAsia="zh-CN"/>
        </w:rPr>
        <w:t>：</w:t>
      </w:r>
      <w:r>
        <w:rPr>
          <w:rFonts w:hint="eastAsia" w:ascii="宋体" w:hAnsi="宋体" w:eastAsia="宋体" w:cs="宋体"/>
          <w:color w:val="000000"/>
          <w:sz w:val="21"/>
          <w:szCs w:val="21"/>
          <w:highlight w:val="none"/>
          <w:u w:val="single"/>
        </w:rPr>
        <w:t>乙方接到开工令之日起一个星期内，施工项目人员、机械、材料进场且达到施工条件后，乙方凭工程支出有效票据（税票）向甲方申请</w:t>
      </w:r>
      <w:r>
        <w:rPr>
          <w:rFonts w:hint="eastAsia" w:ascii="宋体" w:hAnsi="宋体" w:eastAsia="宋体" w:cs="宋体"/>
          <w:color w:val="000000"/>
          <w:sz w:val="21"/>
          <w:szCs w:val="21"/>
          <w:highlight w:val="none"/>
        </w:rPr>
        <w:t>。</w:t>
      </w:r>
    </w:p>
    <w:p w14:paraId="4C02D73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预付款扣回的方式：</w:t>
      </w:r>
      <w:r>
        <w:rPr>
          <w:rFonts w:hint="eastAsia" w:ascii="宋体" w:hAnsi="宋体" w:eastAsia="宋体" w:cs="宋体"/>
          <w:color w:val="000000"/>
          <w:sz w:val="21"/>
          <w:szCs w:val="21"/>
          <w:highlight w:val="none"/>
          <w:u w:val="single"/>
          <w:lang w:val="en-US" w:eastAsia="zh-CN"/>
        </w:rPr>
        <w:t>每</w:t>
      </w:r>
      <w:r>
        <w:rPr>
          <w:rFonts w:hint="eastAsia" w:ascii="宋体" w:hAnsi="宋体" w:eastAsia="宋体" w:cs="宋体"/>
          <w:color w:val="000000"/>
          <w:sz w:val="21"/>
          <w:szCs w:val="21"/>
          <w:highlight w:val="none"/>
          <w:u w:val="single"/>
          <w:lang w:val="zh-TW" w:eastAsia="zh-CN"/>
        </w:rPr>
        <w:t>次抵扣的比例为每次进度款付款金额的</w:t>
      </w:r>
      <w:r>
        <w:rPr>
          <w:rFonts w:hint="eastAsia" w:ascii="宋体" w:hAnsi="宋体" w:eastAsia="宋体" w:cs="宋体"/>
          <w:color w:val="000000"/>
          <w:sz w:val="21"/>
          <w:szCs w:val="21"/>
          <w:highlight w:val="none"/>
          <w:u w:val="single"/>
          <w:lang w:val="en-US" w:eastAsia="zh-CN"/>
        </w:rPr>
        <w:t>100%，直至扣完预付款为止。</w:t>
      </w:r>
    </w:p>
    <w:p w14:paraId="0B0E9D1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12.2.2 预付款担保</w:t>
      </w:r>
    </w:p>
    <w:p w14:paraId="62F798D8">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承包人提交预付款担保的期限：</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39E994B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预付款担保的形式为：</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bookmarkEnd w:id="736"/>
    <w:bookmarkEnd w:id="737"/>
    <w:bookmarkEnd w:id="738"/>
    <w:bookmarkEnd w:id="739"/>
    <w:bookmarkEnd w:id="740"/>
    <w:bookmarkEnd w:id="741"/>
    <w:bookmarkEnd w:id="742"/>
    <w:bookmarkEnd w:id="743"/>
    <w:bookmarkEnd w:id="744"/>
    <w:bookmarkEnd w:id="745"/>
    <w:p w14:paraId="08D867CA">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747" w:name="_Toc389065316"/>
      <w:bookmarkStart w:id="748" w:name="_Toc373227751"/>
      <w:bookmarkStart w:id="749" w:name="_Toc30134"/>
      <w:bookmarkStart w:id="750" w:name="_Toc373478398"/>
      <w:r>
        <w:rPr>
          <w:rFonts w:hint="eastAsia" w:ascii="宋体" w:hAnsi="宋体" w:eastAsia="宋体" w:cs="宋体"/>
          <w:color w:val="000000"/>
          <w:sz w:val="21"/>
          <w:szCs w:val="21"/>
          <w:highlight w:val="none"/>
        </w:rPr>
        <w:t>12.3 计量</w:t>
      </w:r>
      <w:bookmarkEnd w:id="747"/>
      <w:bookmarkEnd w:id="748"/>
      <w:bookmarkEnd w:id="749"/>
      <w:bookmarkEnd w:id="750"/>
    </w:p>
    <w:p w14:paraId="0ECE3AB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12.3.1 计量原则</w:t>
      </w:r>
    </w:p>
    <w:p w14:paraId="06F9072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工程量计算规则：</w:t>
      </w:r>
      <w:r>
        <w:rPr>
          <w:rFonts w:hint="eastAsia" w:ascii="宋体" w:hAnsi="宋体" w:eastAsia="宋体" w:cs="宋体"/>
          <w:color w:val="000000"/>
          <w:sz w:val="21"/>
          <w:szCs w:val="21"/>
          <w:highlight w:val="none"/>
          <w:u w:val="single"/>
        </w:rPr>
        <w:t>工程的计量均以《建设工程工程量清单计价规范》（GB50500－2013）和及其广西壮族自治区实施细则、《建设工程工程量清单计算规范》（GB50854~50862－2013）及其广西实施细则、本工程补充项目清单为准。</w:t>
      </w:r>
    </w:p>
    <w:p w14:paraId="3F08614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12.3.2 计量周期</w:t>
      </w:r>
    </w:p>
    <w:p w14:paraId="5788816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关于计量周期的约定：</w:t>
      </w:r>
      <w:r>
        <w:rPr>
          <w:rFonts w:hint="eastAsia" w:ascii="宋体" w:hAnsi="宋体" w:eastAsia="宋体" w:cs="宋体"/>
          <w:color w:val="000000"/>
          <w:sz w:val="21"/>
          <w:szCs w:val="21"/>
          <w:highlight w:val="none"/>
          <w:u w:val="single"/>
        </w:rPr>
        <w:t>每月25日前</w:t>
      </w:r>
      <w:r>
        <w:rPr>
          <w:rFonts w:hint="eastAsia" w:ascii="宋体" w:hAnsi="宋体" w:eastAsia="宋体" w:cs="宋体"/>
          <w:color w:val="000000"/>
          <w:sz w:val="21"/>
          <w:szCs w:val="21"/>
          <w:highlight w:val="none"/>
        </w:rPr>
        <w:t>。</w:t>
      </w:r>
    </w:p>
    <w:p w14:paraId="78C83FD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12.3.3 单价合同的计量</w:t>
      </w:r>
    </w:p>
    <w:p w14:paraId="371721F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关于单价合同计量的约定：</w:t>
      </w:r>
    </w:p>
    <w:p w14:paraId="1479119C">
      <w:pPr>
        <w:pageBreakBefore w:val="0"/>
        <w:kinsoku/>
        <w:overflowPunct/>
        <w:topLinePunct w:val="0"/>
        <w:bidi w:val="0"/>
        <w:spacing w:line="360" w:lineRule="auto"/>
        <w:ind w:firstLine="441" w:firstLineChars="21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 工程量清单所列的工程量，不能作为承包人按合同履行其责任依据，实际施工中发生的工程量增加或减少并不影响承包人履行合同的责任，工程结算以完成的实际工程量为准。</w:t>
      </w:r>
    </w:p>
    <w:p w14:paraId="4193B2D1">
      <w:pPr>
        <w:pageBreakBefore w:val="0"/>
        <w:kinsoku/>
        <w:overflowPunct/>
        <w:topLinePunct w:val="0"/>
        <w:bidi w:val="0"/>
        <w:spacing w:line="360" w:lineRule="auto"/>
        <w:ind w:firstLine="441" w:firstLineChars="21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 除另有规定外，工程师应按照合同通过计量来核实确定已完成的工程量和价款，承包人应得到该价款扣除保留金后的金额。当工程师要对已完工的工程量进行计量时，应适时地通知承包人参加。</w:t>
      </w:r>
    </w:p>
    <w:p w14:paraId="6A6BFCD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12.3.4 总价合同的计量</w:t>
      </w:r>
    </w:p>
    <w:p w14:paraId="7B4A603B">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（1）总价合同计量约定：进度款按支付分解表支付，支付分解表在招标完成后签合同之前制定，具体详见本专用合同条款12.4.6。</w:t>
      </w:r>
    </w:p>
    <w:p w14:paraId="61B5420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12.3.6 其他价格形式合同的计量</w:t>
      </w:r>
    </w:p>
    <w:p w14:paraId="4FA769F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其他价格形式的计量方式和程序：</w:t>
      </w:r>
      <w:r>
        <w:rPr>
          <w:rFonts w:hint="eastAsia" w:ascii="宋体" w:hAnsi="宋体" w:eastAsia="宋体" w:cs="宋体"/>
          <w:color w:val="000000"/>
          <w:sz w:val="21"/>
          <w:szCs w:val="21"/>
          <w:highlight w:val="none"/>
          <w:u w:val="single"/>
          <w:lang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6DF6412B">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bookmarkStart w:id="751" w:name="_Toc373478399"/>
      <w:bookmarkStart w:id="752" w:name="_Toc389065317"/>
      <w:bookmarkStart w:id="753" w:name="_Toc373227752"/>
      <w:bookmarkStart w:id="754" w:name="_Toc23445"/>
      <w:r>
        <w:rPr>
          <w:rFonts w:hint="eastAsia" w:ascii="宋体" w:hAnsi="宋体" w:eastAsia="宋体" w:cs="宋体"/>
          <w:color w:val="000000"/>
          <w:sz w:val="21"/>
          <w:szCs w:val="21"/>
          <w:highlight w:val="none"/>
        </w:rPr>
        <w:t>12.4 工程进度款支付</w:t>
      </w:r>
      <w:bookmarkEnd w:id="751"/>
      <w:bookmarkEnd w:id="752"/>
      <w:bookmarkEnd w:id="753"/>
      <w:bookmarkEnd w:id="754"/>
    </w:p>
    <w:p w14:paraId="2ED130BA">
      <w:pPr>
        <w:wordWrap/>
        <w:adjustRightInd/>
        <w:spacing w:line="360" w:lineRule="auto"/>
        <w:ind w:firstLine="420" w:firstLineChars="200"/>
        <w:jc w:val="left"/>
        <w:textAlignment w:val="auto"/>
        <w:outlineLvl w:val="9"/>
        <w:rPr>
          <w:rFonts w:hint="eastAsia" w:ascii="宋体" w:hAnsi="宋体" w:eastAsia="宋体" w:cs="宋体"/>
          <w:color w:val="000000"/>
          <w:sz w:val="21"/>
          <w:szCs w:val="21"/>
          <w:highlight w:val="none"/>
        </w:rPr>
      </w:pPr>
      <w:bookmarkStart w:id="755" w:name="_Toc297123556"/>
      <w:bookmarkStart w:id="756" w:name="_Toc296503211"/>
      <w:bookmarkStart w:id="757" w:name="_Toc297048397"/>
      <w:bookmarkStart w:id="758" w:name="_Toc292559416"/>
      <w:bookmarkStart w:id="759" w:name="_Toc303539163"/>
      <w:bookmarkStart w:id="760" w:name="_Toc296944550"/>
      <w:bookmarkStart w:id="761" w:name="_Toc296891039"/>
      <w:bookmarkStart w:id="762" w:name="_Toc296346712"/>
      <w:bookmarkStart w:id="763" w:name="_Toc297120511"/>
      <w:bookmarkStart w:id="764" w:name="_Toc296347210"/>
      <w:bookmarkStart w:id="765" w:name="_Toc300935006"/>
      <w:bookmarkStart w:id="766" w:name="_Toc296891251"/>
      <w:bookmarkStart w:id="767" w:name="_Toc297216215"/>
      <w:bookmarkStart w:id="768" w:name="_Toc292559921"/>
      <w:r>
        <w:rPr>
          <w:rFonts w:hint="eastAsia" w:ascii="宋体" w:hAnsi="宋体" w:eastAsia="宋体" w:cs="宋体"/>
          <w:color w:val="000000"/>
          <w:sz w:val="21"/>
          <w:szCs w:val="21"/>
          <w:highlight w:val="none"/>
        </w:rPr>
        <w:t>12.4.1 付款方式及条件：</w:t>
      </w:r>
    </w:p>
    <w:p w14:paraId="0430ECD3">
      <w:pPr>
        <w:wordWrap/>
        <w:adjustRightInd/>
        <w:spacing w:line="360" w:lineRule="auto"/>
        <w:ind w:firstLine="420" w:firstLineChars="200"/>
        <w:jc w:val="left"/>
        <w:textAlignment w:val="auto"/>
        <w:outlineLvl w:val="9"/>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项目进度款按照工程进度支付相应的进度款，合同内进度款支付限额为已完成工程量的80%，工程完工验收达到质量合格要求后，结算经区财政局审定后乙方凭工程支出有效票据（税票）向甲方申请工程款支付至结算总价的97%。</w:t>
      </w:r>
    </w:p>
    <w:p w14:paraId="6BA80A3F">
      <w:pPr>
        <w:wordWrap/>
        <w:adjustRightInd/>
        <w:spacing w:line="360" w:lineRule="auto"/>
        <w:ind w:firstLine="420" w:firstLineChars="200"/>
        <w:jc w:val="left"/>
        <w:textAlignment w:val="auto"/>
        <w:outlineLvl w:val="9"/>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）甲方按工程价款结算总额3%预留工程质量保证金，如未发生工程质量问题的，在保质期满后1月内一次付清。</w:t>
      </w:r>
    </w:p>
    <w:p w14:paraId="71DD4707">
      <w:pPr>
        <w:wordWrap/>
        <w:adjustRightInd/>
        <w:spacing w:line="360" w:lineRule="auto"/>
        <w:ind w:firstLine="420" w:firstLineChars="200"/>
        <w:jc w:val="left"/>
        <w:textAlignment w:val="auto"/>
        <w:outlineLvl w:val="9"/>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）乙方不得以任何理由拒付农民工工资。</w:t>
      </w:r>
    </w:p>
    <w:p w14:paraId="6943DC83">
      <w:pPr>
        <w:wordWrap/>
        <w:adjustRightInd/>
        <w:spacing w:line="360" w:lineRule="auto"/>
        <w:ind w:firstLine="420" w:firstLineChars="200"/>
        <w:jc w:val="left"/>
        <w:textAlignment w:val="auto"/>
        <w:outlineLvl w:val="9"/>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r>
        <w:rPr>
          <w:rFonts w:hint="eastAsia" w:ascii="宋体"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）结算（付款）方式</w:t>
      </w:r>
    </w:p>
    <w:p w14:paraId="43CC7F2C">
      <w:pPr>
        <w:wordWrap/>
        <w:adjustRightInd/>
        <w:spacing w:line="360" w:lineRule="auto"/>
        <w:ind w:firstLine="420" w:firstLineChars="200"/>
        <w:jc w:val="left"/>
        <w:textAlignment w:val="auto"/>
        <w:outlineLvl w:val="9"/>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甲方以银行转账方式，项目验收合格病经业主管理部门审核后、再按照相关程序结算拨付。</w:t>
      </w:r>
    </w:p>
    <w:p w14:paraId="00CCA0EC">
      <w:pPr>
        <w:pageBreakBefore w:val="0"/>
        <w:kinsoku/>
        <w:overflowPunct/>
        <w:topLinePunct w:val="0"/>
        <w:bidi w:val="0"/>
        <w:spacing w:line="360" w:lineRule="auto"/>
        <w:ind w:firstLine="420" w:firstLineChars="20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12.4.2 进度付款申请单的编制</w:t>
      </w:r>
    </w:p>
    <w:p w14:paraId="418CB35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关于进度付款申请单编制的约定：</w:t>
      </w:r>
      <w:r>
        <w:rPr>
          <w:rFonts w:hint="eastAsia" w:ascii="宋体" w:hAnsi="宋体" w:eastAsia="宋体" w:cs="宋体"/>
          <w:color w:val="000000"/>
          <w:sz w:val="21"/>
          <w:szCs w:val="21"/>
          <w:highlight w:val="none"/>
          <w:u w:val="single"/>
        </w:rPr>
        <w:t xml:space="preserve">  按通用条款12.4.2执行   </w:t>
      </w:r>
      <w:r>
        <w:rPr>
          <w:rFonts w:hint="eastAsia" w:ascii="宋体" w:hAnsi="宋体" w:eastAsia="宋体" w:cs="宋体"/>
          <w:color w:val="000000"/>
          <w:sz w:val="21"/>
          <w:szCs w:val="21"/>
          <w:highlight w:val="none"/>
        </w:rPr>
        <w:t>。</w:t>
      </w:r>
    </w:p>
    <w:p w14:paraId="529EDCC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r>
        <w:rPr>
          <w:rFonts w:hint="eastAsia" w:ascii="宋体" w:hAnsi="宋体" w:eastAsia="宋体" w:cs="宋体"/>
          <w:color w:val="000000"/>
          <w:sz w:val="21"/>
          <w:szCs w:val="21"/>
          <w:highlight w:val="none"/>
        </w:rPr>
        <w:t>2.4.3 进度付款申请单的提交</w:t>
      </w:r>
    </w:p>
    <w:p w14:paraId="5E91C2FB">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（1）单价合同进度付款申请单提交的约定：</w:t>
      </w:r>
      <w:r>
        <w:rPr>
          <w:rFonts w:hint="eastAsia" w:ascii="宋体" w:hAnsi="宋体" w:eastAsia="宋体" w:cs="宋体"/>
          <w:bCs/>
          <w:color w:val="000000"/>
          <w:sz w:val="21"/>
          <w:szCs w:val="21"/>
          <w:highlight w:val="none"/>
          <w:u w:val="single"/>
          <w:lang w:val="en-US" w:eastAsia="zh-CN"/>
        </w:rPr>
        <w:t>按“通用合同条款执行”</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34FBE0E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（2）总价合同进度付款申请单提交的约定：</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03C4E2C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（3）其他价格形式合同进度付款申请单提交的约定：</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37F3CC3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12.4.4 进度款审核和支付</w:t>
      </w:r>
    </w:p>
    <w:p w14:paraId="6ECE5C10">
      <w:pPr>
        <w:pStyle w:val="29"/>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（1）监理人审查并报送发包人的期限：</w:t>
      </w:r>
      <w:r>
        <w:rPr>
          <w:rFonts w:hint="eastAsia" w:ascii="宋体" w:hAnsi="宋体" w:eastAsia="宋体" w:cs="宋体"/>
          <w:color w:val="000000"/>
          <w:sz w:val="21"/>
          <w:szCs w:val="21"/>
          <w:highlight w:val="none"/>
          <w:u w:val="single"/>
        </w:rPr>
        <w:t xml:space="preserve"> 监理人应在收到承包人进度付款申请单以及相关资料后 7 个工作</w:t>
      </w:r>
      <w:r>
        <w:rPr>
          <w:rFonts w:hint="eastAsia" w:ascii="宋体" w:hAnsi="宋体" w:cs="宋体"/>
          <w:color w:val="000000"/>
          <w:sz w:val="21"/>
          <w:szCs w:val="21"/>
          <w:highlight w:val="none"/>
          <w:u w:val="single"/>
          <w:lang w:val="en-US" w:eastAsia="zh-CN"/>
        </w:rPr>
        <w:t>日</w:t>
      </w:r>
      <w:r>
        <w:rPr>
          <w:rFonts w:hint="eastAsia" w:ascii="宋体" w:hAnsi="宋体" w:eastAsia="宋体" w:cs="宋体"/>
          <w:color w:val="000000"/>
          <w:sz w:val="21"/>
          <w:szCs w:val="21"/>
          <w:highlight w:val="none"/>
          <w:u w:val="single"/>
        </w:rPr>
        <w:t xml:space="preserve">内完成审查并报送发包人   </w:t>
      </w:r>
      <w:r>
        <w:rPr>
          <w:rFonts w:hint="eastAsia" w:ascii="宋体" w:hAnsi="宋体" w:eastAsia="宋体" w:cs="宋体"/>
          <w:color w:val="000000"/>
          <w:sz w:val="21"/>
          <w:szCs w:val="21"/>
          <w:highlight w:val="none"/>
        </w:rPr>
        <w:t>。</w:t>
      </w:r>
    </w:p>
    <w:p w14:paraId="52F97A5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发包人完成审批并签发进度款支付证书的期限：</w:t>
      </w:r>
      <w:r>
        <w:rPr>
          <w:rFonts w:hint="eastAsia" w:ascii="宋体" w:hAnsi="宋体" w:eastAsia="宋体" w:cs="宋体"/>
          <w:color w:val="000000"/>
          <w:sz w:val="21"/>
          <w:szCs w:val="21"/>
          <w:highlight w:val="none"/>
          <w:u w:val="single"/>
        </w:rPr>
        <w:t xml:space="preserve"> 发包人应在收到后 7 </w:t>
      </w:r>
      <w:r>
        <w:rPr>
          <w:rFonts w:hint="eastAsia" w:ascii="宋体" w:hAnsi="宋体" w:eastAsia="宋体" w:cs="宋体"/>
          <w:color w:val="000000"/>
          <w:sz w:val="21"/>
          <w:szCs w:val="21"/>
          <w:highlight w:val="none"/>
          <w:u w:val="single"/>
          <w:lang w:val="en-US" w:eastAsia="zh-CN"/>
        </w:rPr>
        <w:t>个工作日</w:t>
      </w:r>
      <w:r>
        <w:rPr>
          <w:rFonts w:hint="eastAsia" w:ascii="宋体" w:hAnsi="宋体" w:eastAsia="宋体" w:cs="宋体"/>
          <w:color w:val="000000"/>
          <w:sz w:val="21"/>
          <w:szCs w:val="21"/>
          <w:highlight w:val="none"/>
          <w:u w:val="single"/>
        </w:rPr>
        <w:t xml:space="preserve">内完成审批并签发进度款支付证书       </w:t>
      </w:r>
      <w:r>
        <w:rPr>
          <w:rFonts w:hint="eastAsia" w:ascii="宋体" w:hAnsi="宋体" w:eastAsia="宋体" w:cs="宋体"/>
          <w:color w:val="000000"/>
          <w:sz w:val="21"/>
          <w:szCs w:val="21"/>
          <w:highlight w:val="none"/>
        </w:rPr>
        <w:t>。</w:t>
      </w:r>
    </w:p>
    <w:p w14:paraId="14B274C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（2）发包人支付进度款的期限：</w:t>
      </w:r>
      <w:r>
        <w:rPr>
          <w:rFonts w:hint="eastAsia" w:ascii="宋体" w:hAnsi="宋体" w:eastAsia="宋体" w:cs="宋体"/>
          <w:color w:val="000000"/>
          <w:sz w:val="21"/>
          <w:szCs w:val="21"/>
          <w:highlight w:val="none"/>
          <w:u w:val="single"/>
        </w:rPr>
        <w:t xml:space="preserve">  自收到承包人递交的申请单起15天内 </w:t>
      </w:r>
      <w:r>
        <w:rPr>
          <w:rFonts w:hint="eastAsia" w:ascii="宋体" w:hAnsi="宋体" w:eastAsia="宋体" w:cs="宋体"/>
          <w:color w:val="000000"/>
          <w:sz w:val="21"/>
          <w:szCs w:val="21"/>
          <w:highlight w:val="none"/>
        </w:rPr>
        <w:t>。</w:t>
      </w:r>
    </w:p>
    <w:p w14:paraId="57845649">
      <w:pPr>
        <w:pageBreakBefore w:val="0"/>
        <w:kinsoku/>
        <w:overflowPunct/>
        <w:topLinePunct w:val="0"/>
        <w:bidi w:val="0"/>
        <w:spacing w:line="360" w:lineRule="auto"/>
        <w:ind w:firstLine="525" w:firstLineChars="25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发包人逾期支付进度款的违约金的计算方式：</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1109A40F">
      <w:pPr>
        <w:pageBreakBefore w:val="0"/>
        <w:kinsoku/>
        <w:overflowPunct/>
        <w:topLinePunct w:val="0"/>
        <w:bidi w:val="0"/>
        <w:spacing w:line="360" w:lineRule="auto"/>
        <w:ind w:firstLine="525" w:firstLineChars="25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进度款支付方式：</w:t>
      </w:r>
      <w:r>
        <w:rPr>
          <w:rFonts w:hint="eastAsia" w:ascii="宋体" w:hAnsi="宋体" w:eastAsia="宋体" w:cs="宋体"/>
          <w:color w:val="000000"/>
          <w:sz w:val="21"/>
          <w:szCs w:val="21"/>
          <w:highlight w:val="none"/>
          <w:u w:val="single"/>
        </w:rPr>
        <w:t>银行转账</w:t>
      </w:r>
      <w:r>
        <w:rPr>
          <w:rFonts w:hint="eastAsia" w:ascii="宋体" w:hAnsi="宋体" w:eastAsia="宋体" w:cs="宋体"/>
          <w:color w:val="000000"/>
          <w:sz w:val="21"/>
          <w:szCs w:val="21"/>
          <w:highlight w:val="none"/>
        </w:rPr>
        <w:t>。</w:t>
      </w:r>
    </w:p>
    <w:p w14:paraId="446518DE">
      <w:pPr>
        <w:pageBreakBefore w:val="0"/>
        <w:kinsoku/>
        <w:overflowPunct/>
        <w:topLinePunct w:val="0"/>
        <w:bidi w:val="0"/>
        <w:spacing w:line="360" w:lineRule="auto"/>
        <w:ind w:firstLine="525" w:firstLineChars="25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 农民工工资支付</w:t>
      </w:r>
    </w:p>
    <w:p w14:paraId="401A844E">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农民工工资应与其它工程进度款分帐管理。承包人向发包人申请工程进度款时必须把工人工资部分单独列明，如果未单独列明，监理单位不得签支付证书等支付工程款的手续，发包人单位不得审批和支付工程款。发包人必须把工程款分帐出来的农民工工资转入承包人工人工资支付专用账户专户，转入专户环节必须有银行流水凭证。</w:t>
      </w:r>
    </w:p>
    <w:p w14:paraId="1D01C835">
      <w:pPr>
        <w:pageBreakBefore w:val="0"/>
        <w:kinsoku/>
        <w:overflowPunct/>
        <w:topLinePunct w:val="0"/>
        <w:bidi w:val="0"/>
        <w:spacing w:line="360" w:lineRule="auto"/>
        <w:ind w:firstLine="525" w:firstLineChars="25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2）发包人依据工程进度，按与承包人约定的农民工支付比例，将工程人工费分账支付到承包人的农民工工资专户，工程完工时发包人向承包人农民工工资专户支付的完工工程量的人工费支付比例不低于   %，其余工程进度款项由发包人支付到承包人的单位基本户。</w:t>
      </w:r>
    </w:p>
    <w:p w14:paraId="331DA5E3">
      <w:pPr>
        <w:pageBreakBefore w:val="0"/>
        <w:kinsoku/>
        <w:overflowPunct/>
        <w:topLinePunct w:val="0"/>
        <w:bidi w:val="0"/>
        <w:spacing w:line="360" w:lineRule="auto"/>
        <w:ind w:firstLine="525" w:firstLineChars="25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承包人依据分包专业工程进度，按与分包人约定农民工支付比例，通过承包人农民工工资专户将分包工程的人工费分账支付到分包人的农民工工资专户，专业分包工程完工时承包人向分包人农民工工资专户支付完工工程量的人工费支付比例不低于   %。其余分包工程进度款项由承包人支付到分包人的单位基本户。</w:t>
      </w:r>
    </w:p>
    <w:p w14:paraId="0DE67752">
      <w:pPr>
        <w:pageBreakBefore w:val="0"/>
        <w:kinsoku/>
        <w:overflowPunct/>
        <w:topLinePunct w:val="0"/>
        <w:bidi w:val="0"/>
        <w:spacing w:line="360" w:lineRule="auto"/>
        <w:ind w:firstLine="525" w:firstLineChars="25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4）凡未向付款单位提供农民工工资专户的，或者请款单位在申请工程进度款时未将人工费单列的，付款单位有权拒绝支付工程进度款。</w:t>
      </w:r>
    </w:p>
    <w:p w14:paraId="4D763B44">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5）农民工工资使用要求：专款专用，除发放工人工资外，不得用于其他用途。</w:t>
      </w:r>
    </w:p>
    <w:p w14:paraId="5A13DB5C">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6）承包人将农民工工资支付情况定期报告发包人和监理单位，并提供相应的材料接受建设行政主管部门和劳动保障行政主管部门对此事项监管。</w:t>
      </w:r>
    </w:p>
    <w:p w14:paraId="592F27C3">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（4）农民工工资支付专用账户：××××公司农民工工资支付专用账户 。账号：                   </w:t>
      </w:r>
    </w:p>
    <w:p w14:paraId="3EB8E621">
      <w:pPr>
        <w:pageBreakBefore w:val="0"/>
        <w:kinsoku/>
        <w:overflowPunct/>
        <w:topLinePunct w:val="0"/>
        <w:bidi w:val="0"/>
        <w:spacing w:line="360" w:lineRule="auto"/>
        <w:ind w:firstLine="525" w:firstLineChars="25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12.4.6 支付分解表的编制</w:t>
      </w:r>
    </w:p>
    <w:p w14:paraId="231CC8ED">
      <w:pPr>
        <w:pageBreakBefore w:val="0"/>
        <w:kinsoku/>
        <w:overflowPunct/>
        <w:topLinePunct w:val="0"/>
        <w:bidi w:val="0"/>
        <w:spacing w:line="360" w:lineRule="auto"/>
        <w:ind w:firstLine="525" w:firstLineChars="25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（1） 总价合同支付分解表的编制与审批：</w:t>
      </w:r>
      <w:r>
        <w:rPr>
          <w:rFonts w:hint="eastAsia" w:ascii="宋体" w:hAnsi="宋体" w:eastAsia="宋体" w:cs="宋体"/>
          <w:color w:val="000000"/>
          <w:sz w:val="21"/>
          <w:szCs w:val="21"/>
          <w:highlight w:val="none"/>
          <w:u w:val="single"/>
        </w:rPr>
        <w:t xml:space="preserve">  总价合同支付分解表在招标完成后由发包人和承包人共同编制，发包人审批，并作为本合同内容，具体详见合同附件14。</w:t>
      </w:r>
    </w:p>
    <w:p w14:paraId="6BE40C70">
      <w:pPr>
        <w:pageBreakBefore w:val="0"/>
        <w:kinsoku/>
        <w:overflowPunct/>
        <w:topLinePunct w:val="0"/>
        <w:bidi w:val="0"/>
        <w:spacing w:line="360" w:lineRule="auto"/>
        <w:ind w:firstLine="525" w:firstLineChars="25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（2）单价合同的总价项目支付分解表的编制与审批：总价项目不采用支付分解表的方式计算，而按《建设工程工程量清单计价规范（GB50500-2013）广西壮族自治区实施细则》的规定执行。</w:t>
      </w:r>
    </w:p>
    <w:bookmarkEnd w:id="546"/>
    <w:p w14:paraId="01E76D3C">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769" w:name="_Toc351203645"/>
      <w:bookmarkStart w:id="770" w:name="_Toc372"/>
      <w:bookmarkStart w:id="771" w:name="_Toc373478400"/>
      <w:bookmarkStart w:id="772" w:name="_Toc373227753"/>
      <w:bookmarkStart w:id="773" w:name="_Toc389065318"/>
      <w:bookmarkStart w:id="774" w:name="_Toc296503219"/>
      <w:bookmarkStart w:id="775" w:name="_Toc297123564"/>
      <w:bookmarkStart w:id="776" w:name="_Toc292559929"/>
      <w:bookmarkStart w:id="777" w:name="_Toc303539172"/>
      <w:bookmarkStart w:id="778" w:name="_Toc292559424"/>
      <w:bookmarkStart w:id="779" w:name="_Toc304295593"/>
      <w:bookmarkStart w:id="780" w:name="_Toc297216223"/>
      <w:bookmarkStart w:id="781" w:name="_Toc297120519"/>
      <w:bookmarkStart w:id="782" w:name="_Toc312678053"/>
      <w:bookmarkStart w:id="783" w:name="_Toc300935015"/>
      <w:bookmarkStart w:id="784" w:name="_Toc296944558"/>
      <w:bookmarkStart w:id="785" w:name="_Toc296346720"/>
      <w:bookmarkStart w:id="786" w:name="_Toc297048405"/>
      <w:bookmarkStart w:id="787" w:name="_Toc296347218"/>
      <w:bookmarkStart w:id="788" w:name="_Toc296891259"/>
      <w:bookmarkStart w:id="789" w:name="_Toc296891047"/>
      <w:r>
        <w:rPr>
          <w:rFonts w:hint="eastAsia" w:ascii="宋体" w:hAnsi="宋体" w:eastAsia="宋体" w:cs="宋体"/>
          <w:color w:val="000000"/>
          <w:sz w:val="21"/>
          <w:szCs w:val="21"/>
          <w:highlight w:val="none"/>
        </w:rPr>
        <w:t>13. 验收和工程试车</w:t>
      </w:r>
      <w:bookmarkEnd w:id="769"/>
      <w:bookmarkEnd w:id="770"/>
      <w:bookmarkEnd w:id="771"/>
      <w:bookmarkEnd w:id="772"/>
      <w:bookmarkEnd w:id="773"/>
    </w:p>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14:paraId="08C2EAA7">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790" w:name="_Toc1622"/>
      <w:bookmarkStart w:id="791" w:name="_Toc389065319"/>
      <w:bookmarkStart w:id="792" w:name="_Toc373227754"/>
      <w:bookmarkStart w:id="793" w:name="_Toc373478401"/>
      <w:r>
        <w:rPr>
          <w:rFonts w:hint="eastAsia" w:ascii="宋体" w:hAnsi="宋体" w:eastAsia="宋体" w:cs="宋体"/>
          <w:color w:val="000000"/>
          <w:sz w:val="21"/>
          <w:szCs w:val="21"/>
          <w:highlight w:val="none"/>
        </w:rPr>
        <w:t>13.1 分部分项工程验收</w:t>
      </w:r>
      <w:bookmarkEnd w:id="790"/>
      <w:bookmarkEnd w:id="791"/>
      <w:bookmarkEnd w:id="792"/>
      <w:bookmarkEnd w:id="793"/>
    </w:p>
    <w:p w14:paraId="7FAEBA7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13.1.2监理人不能按时进行验收时，应提前</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48</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小时提交书面延期要求。</w:t>
      </w:r>
    </w:p>
    <w:p w14:paraId="22CDC8AE">
      <w:pPr>
        <w:pageBreakBefore w:val="0"/>
        <w:kinsoku/>
        <w:overflowPunct/>
        <w:topLinePunct w:val="0"/>
        <w:bidi w:val="0"/>
        <w:spacing w:line="360" w:lineRule="auto"/>
        <w:ind w:firstLine="420" w:firstLineChars="200"/>
        <w:jc w:val="left"/>
        <w:outlineLvl w:val="9"/>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关于延期最长不得超过：</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24</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小时。</w:t>
      </w:r>
    </w:p>
    <w:p w14:paraId="595A5294">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794" w:name="_Toc373478402"/>
      <w:bookmarkStart w:id="795" w:name="_Toc23904"/>
      <w:bookmarkStart w:id="796" w:name="_Toc389065320"/>
      <w:bookmarkStart w:id="797" w:name="_Toc373227755"/>
      <w:bookmarkStart w:id="798" w:name="_Toc296891051"/>
      <w:bookmarkStart w:id="799" w:name="_Toc300935016"/>
      <w:bookmarkStart w:id="800" w:name="_Toc297048409"/>
      <w:bookmarkStart w:id="801" w:name="_Toc296347222"/>
      <w:bookmarkStart w:id="802" w:name="_Toc312678056"/>
      <w:bookmarkStart w:id="803" w:name="_Toc296346724"/>
      <w:bookmarkStart w:id="804" w:name="_Toc297120523"/>
      <w:bookmarkStart w:id="805" w:name="_Toc296944562"/>
      <w:bookmarkStart w:id="806" w:name="_Toc304295596"/>
      <w:bookmarkStart w:id="807" w:name="_Toc292559933"/>
      <w:bookmarkStart w:id="808" w:name="_Toc303539173"/>
      <w:bookmarkStart w:id="809" w:name="_Toc297216224"/>
      <w:bookmarkStart w:id="810" w:name="_Toc292559428"/>
      <w:bookmarkStart w:id="811" w:name="_Toc296891263"/>
      <w:bookmarkStart w:id="812" w:name="_Toc297123565"/>
      <w:bookmarkStart w:id="813" w:name="_Toc296503223"/>
      <w:bookmarkStart w:id="814" w:name="_Toc267251471"/>
      <w:bookmarkStart w:id="815" w:name="_Toc267251475"/>
      <w:bookmarkStart w:id="816" w:name="_Toc267251470"/>
      <w:bookmarkStart w:id="817" w:name="_Toc267251476"/>
      <w:bookmarkStart w:id="818" w:name="_Toc267251473"/>
      <w:bookmarkStart w:id="819" w:name="_Toc267251472"/>
      <w:bookmarkStart w:id="820" w:name="_Toc267251474"/>
      <w:r>
        <w:rPr>
          <w:rFonts w:hint="eastAsia" w:ascii="宋体" w:hAnsi="宋体" w:eastAsia="宋体" w:cs="宋体"/>
          <w:color w:val="000000"/>
          <w:sz w:val="21"/>
          <w:szCs w:val="21"/>
          <w:highlight w:val="none"/>
        </w:rPr>
        <w:t>13.2 竣工验收</w:t>
      </w:r>
      <w:bookmarkEnd w:id="794"/>
      <w:bookmarkEnd w:id="795"/>
      <w:bookmarkEnd w:id="796"/>
      <w:bookmarkEnd w:id="797"/>
    </w:p>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14:paraId="68DA04A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bookmarkStart w:id="821" w:name="_Toc280868704"/>
      <w:bookmarkStart w:id="822" w:name="_Toc280868705"/>
      <w:bookmarkStart w:id="823" w:name="_Toc280868706"/>
      <w:bookmarkStart w:id="824" w:name="_Toc280868707"/>
      <w:bookmarkStart w:id="825" w:name="_Toc280868708"/>
      <w:bookmarkStart w:id="826" w:name="_Toc280868709"/>
      <w:r>
        <w:rPr>
          <w:rFonts w:hint="eastAsia" w:ascii="宋体" w:hAnsi="宋体" w:eastAsia="宋体" w:cs="宋体"/>
          <w:color w:val="000000"/>
          <w:sz w:val="21"/>
          <w:szCs w:val="21"/>
          <w:highlight w:val="none"/>
        </w:rPr>
        <w:t>13.2.1竣工验收条件</w:t>
      </w:r>
    </w:p>
    <w:p w14:paraId="0ECBBE06">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（3）承包人负责整理和提交的竣工验收资料应当符合工程所在地建设行政主管部门和(或)城市建设档案管理机构有关施工资料的要求，具体内容包括：</w:t>
      </w:r>
      <w:r>
        <w:rPr>
          <w:rFonts w:hint="eastAsia" w:ascii="宋体" w:hAnsi="宋体" w:eastAsia="宋体" w:cs="宋体"/>
          <w:color w:val="000000"/>
          <w:sz w:val="21"/>
          <w:szCs w:val="21"/>
          <w:highlight w:val="none"/>
          <w:u w:val="single"/>
          <w:lang w:val="en-US" w:eastAsia="zh-CN"/>
        </w:rPr>
        <w:t xml:space="preserve"> 按发包人要求执行     </w:t>
      </w:r>
      <w:r>
        <w:rPr>
          <w:rFonts w:hint="eastAsia" w:ascii="宋体" w:hAnsi="宋体" w:eastAsia="宋体" w:cs="宋体"/>
          <w:color w:val="000000"/>
          <w:sz w:val="21"/>
          <w:szCs w:val="21"/>
          <w:highlight w:val="none"/>
        </w:rPr>
        <w:t>。</w:t>
      </w:r>
    </w:p>
    <w:p w14:paraId="6819F7E5">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竣工验收资料的份数：</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 xml:space="preserve">按发包人要求执行 </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7F06DF4A">
      <w:pPr>
        <w:pageBreakBefore w:val="0"/>
        <w:kinsoku/>
        <w:overflowPunct/>
        <w:topLinePunct w:val="0"/>
        <w:bidi w:val="0"/>
        <w:spacing w:line="360" w:lineRule="auto"/>
        <w:ind w:firstLine="420" w:firstLineChars="200"/>
        <w:jc w:val="left"/>
        <w:outlineLvl w:val="9"/>
        <w:rPr>
          <w:rFonts w:hint="eastAsia" w:ascii="宋体" w:hAnsi="宋体" w:eastAsia="宋体" w:cs="宋体"/>
          <w:bCs/>
          <w:color w:val="000000"/>
          <w:sz w:val="21"/>
          <w:szCs w:val="21"/>
          <w:highlight w:val="none"/>
          <w:u w:val="single"/>
        </w:rPr>
      </w:pPr>
      <w:r>
        <w:rPr>
          <w:rFonts w:hint="eastAsia" w:ascii="宋体" w:hAnsi="宋体" w:eastAsia="宋体" w:cs="宋体"/>
          <w:bCs/>
          <w:color w:val="000000"/>
          <w:sz w:val="21"/>
          <w:szCs w:val="21"/>
          <w:highlight w:val="none"/>
        </w:rPr>
        <w:t>承包人提供竣工图的约定：</w:t>
      </w:r>
      <w:r>
        <w:rPr>
          <w:rFonts w:hint="eastAsia" w:ascii="宋体" w:hAnsi="宋体" w:eastAsia="宋体" w:cs="宋体"/>
          <w:bCs/>
          <w:color w:val="000000"/>
          <w:sz w:val="21"/>
          <w:szCs w:val="21"/>
          <w:highlight w:val="none"/>
          <w:u w:val="single"/>
        </w:rPr>
        <w:t>竣工验收正式通过后5天（工程造价在500万元以下含500万元）、10天（工程造价在500万元至1000万元之间含1000万元）、15天（工程造价在1000万元以上），提供竣工图的数量分别为2套、4套、6套。</w:t>
      </w:r>
    </w:p>
    <w:p w14:paraId="35C1EFE6">
      <w:pPr>
        <w:pageBreakBefore w:val="0"/>
        <w:kinsoku/>
        <w:overflowPunct/>
        <w:topLinePunct w:val="0"/>
        <w:bidi w:val="0"/>
        <w:spacing w:line="360" w:lineRule="auto"/>
        <w:ind w:firstLine="420" w:firstLineChars="200"/>
        <w:jc w:val="left"/>
        <w:outlineLvl w:val="9"/>
        <w:rPr>
          <w:rFonts w:hint="default" w:ascii="宋体" w:hAnsi="宋体" w:eastAsia="宋体" w:cs="宋体"/>
          <w:color w:val="000000"/>
          <w:sz w:val="21"/>
          <w:szCs w:val="21"/>
          <w:highlight w:val="none"/>
          <w:lang w:val="en-US"/>
        </w:rPr>
      </w:pPr>
      <w:r>
        <w:rPr>
          <w:rFonts w:hint="eastAsia" w:ascii="宋体" w:hAnsi="宋体" w:eastAsia="宋体" w:cs="宋体"/>
          <w:b w:val="0"/>
          <w:bCs/>
          <w:color w:val="000000"/>
          <w:sz w:val="21"/>
          <w:szCs w:val="21"/>
          <w:highlight w:val="none"/>
          <w:lang w:val="en-US" w:eastAsia="zh-CN"/>
        </w:rPr>
        <w:t>其他约定：承包人未严格按照《财政部办公厅 住房城乡建设部办公厅 工业和信息化部办公厅关于印发&lt;政府采购支持绿色建材促进建筑品质提升政策项目实施指南&gt;的通知》(财办库</w:t>
      </w:r>
      <w:r>
        <w:rPr>
          <w:rFonts w:hint="eastAsia" w:ascii="宋体" w:hAnsi="宋体" w:eastAsia="宋体" w:cs="宋体"/>
          <w:b w:val="0"/>
          <w:bCs/>
          <w:color w:val="000000"/>
          <w:sz w:val="21"/>
          <w:szCs w:val="21"/>
          <w:highlight w:val="none"/>
        </w:rPr>
        <w:t>〔</w:t>
      </w:r>
      <w:r>
        <w:rPr>
          <w:rFonts w:hint="eastAsia" w:ascii="宋体" w:hAnsi="宋体" w:eastAsia="宋体" w:cs="宋体"/>
          <w:b w:val="0"/>
          <w:bCs/>
          <w:color w:val="000000"/>
          <w:sz w:val="21"/>
          <w:szCs w:val="21"/>
          <w:highlight w:val="none"/>
          <w:lang w:val="en-US" w:eastAsia="zh-CN"/>
        </w:rPr>
        <w:t>2023</w:t>
      </w:r>
      <w:r>
        <w:rPr>
          <w:rFonts w:hint="eastAsia" w:ascii="宋体" w:hAnsi="宋体" w:eastAsia="宋体" w:cs="宋体"/>
          <w:b w:val="0"/>
          <w:bCs/>
          <w:color w:val="000000"/>
          <w:sz w:val="21"/>
          <w:szCs w:val="21"/>
          <w:highlight w:val="none"/>
        </w:rPr>
        <w:t>〕</w:t>
      </w:r>
      <w:r>
        <w:rPr>
          <w:rFonts w:hint="eastAsia" w:ascii="宋体" w:hAnsi="宋体" w:eastAsia="宋体" w:cs="宋体"/>
          <w:b w:val="0"/>
          <w:bCs/>
          <w:color w:val="000000"/>
          <w:sz w:val="21"/>
          <w:szCs w:val="21"/>
          <w:highlight w:val="none"/>
          <w:lang w:val="en-US" w:eastAsia="zh-CN"/>
        </w:rPr>
        <w:t>52号)和《财政部 住房城乡建设部 工业和信息化部关于进一步扩大政府采购支持绿色建材促进建筑品质提升政策实施范围的通知》(财库</w:t>
      </w:r>
      <w:r>
        <w:rPr>
          <w:rFonts w:hint="eastAsia" w:ascii="宋体" w:hAnsi="宋体" w:eastAsia="宋体" w:cs="宋体"/>
          <w:b w:val="0"/>
          <w:bCs/>
          <w:color w:val="000000"/>
          <w:sz w:val="21"/>
          <w:szCs w:val="21"/>
          <w:highlight w:val="none"/>
        </w:rPr>
        <w:t>〔</w:t>
      </w:r>
      <w:r>
        <w:rPr>
          <w:rFonts w:hint="eastAsia" w:ascii="宋体" w:hAnsi="宋体" w:eastAsia="宋体" w:cs="宋体"/>
          <w:b w:val="0"/>
          <w:bCs/>
          <w:color w:val="000000"/>
          <w:sz w:val="21"/>
          <w:szCs w:val="21"/>
          <w:highlight w:val="none"/>
          <w:lang w:val="en-US" w:eastAsia="zh-CN"/>
        </w:rPr>
        <w:t>2024</w:t>
      </w:r>
      <w:r>
        <w:rPr>
          <w:rFonts w:hint="eastAsia" w:ascii="宋体" w:hAnsi="宋体" w:eastAsia="宋体" w:cs="宋体"/>
          <w:b w:val="0"/>
          <w:bCs/>
          <w:color w:val="000000"/>
          <w:sz w:val="21"/>
          <w:szCs w:val="21"/>
          <w:highlight w:val="none"/>
        </w:rPr>
        <w:t>〕</w:t>
      </w:r>
      <w:r>
        <w:rPr>
          <w:rFonts w:hint="eastAsia" w:ascii="宋体" w:hAnsi="宋体" w:eastAsia="宋体" w:cs="宋体"/>
          <w:b w:val="0"/>
          <w:bCs/>
          <w:color w:val="000000"/>
          <w:sz w:val="21"/>
          <w:szCs w:val="21"/>
          <w:highlight w:val="none"/>
          <w:lang w:val="en-US" w:eastAsia="zh-CN"/>
        </w:rPr>
        <w:t>36号的有关规定，所采购的产品属于</w:t>
      </w:r>
      <w:r>
        <w:rPr>
          <w:rFonts w:hint="eastAsia" w:ascii="宋体" w:hAnsi="宋体" w:eastAsia="宋体" w:cs="宋体"/>
          <w:b w:val="0"/>
          <w:bCs/>
          <w:i w:val="0"/>
          <w:iCs w:val="0"/>
          <w:caps w:val="0"/>
          <w:color w:val="000000"/>
          <w:spacing w:val="0"/>
          <w:sz w:val="21"/>
          <w:szCs w:val="21"/>
          <w:highlight w:val="none"/>
          <w:shd w:val="clear" w:color="auto" w:fill="auto"/>
          <w:vertAlign w:val="baseline"/>
        </w:rPr>
        <w:t>《绿色建筑和绿色建材政府采购需求标准（2025年版）》</w:t>
      </w:r>
      <w:r>
        <w:rPr>
          <w:rFonts w:hint="eastAsia" w:ascii="宋体" w:hAnsi="宋体" w:eastAsia="宋体" w:cs="宋体"/>
          <w:b w:val="0"/>
          <w:bCs/>
          <w:i w:val="0"/>
          <w:iCs w:val="0"/>
          <w:caps w:val="0"/>
          <w:color w:val="000000"/>
          <w:spacing w:val="0"/>
          <w:sz w:val="21"/>
          <w:szCs w:val="21"/>
          <w:highlight w:val="none"/>
          <w:shd w:val="clear" w:color="auto" w:fill="auto"/>
          <w:vertAlign w:val="baseline"/>
          <w:lang w:val="en-US" w:eastAsia="zh-CN"/>
        </w:rPr>
        <w:t>规定范围内的“必选类”的，应当全部采购和使用符合相关标准的绿色建材；属于“可选类”的，选择使用性价比高的绿色建材产品且选用种类应不低于建筑项目所涉及的建材种类的40%，供应商在供货时应当出具所提供建材产品符合需求标准的证明性文件，包括国家统一推行的绿色建材产品认证证书或符合需求标准的有效检测报告等。否则发包人有权不予验收。</w:t>
      </w:r>
    </w:p>
    <w:p w14:paraId="674D746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13.2.2竣工验收程序</w:t>
      </w:r>
    </w:p>
    <w:bookmarkEnd w:id="821"/>
    <w:p w14:paraId="337C0B3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关于竣工验收程序的约定：</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 xml:space="preserve">按发包人要求执行 </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7859752B">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发包人不按照本项约定组织竣工验收、颁发工程接收证书的违约金的计算方法：</w:t>
      </w:r>
      <w:r>
        <w:rPr>
          <w:rFonts w:hint="eastAsia" w:ascii="宋体" w:hAnsi="宋体" w:eastAsia="宋体" w:cs="宋体"/>
          <w:color w:val="000000"/>
          <w:sz w:val="21"/>
          <w:szCs w:val="21"/>
          <w:highlight w:val="none"/>
          <w:u w:val="single"/>
          <w:lang w:val="en-US" w:eastAsia="zh-CN"/>
        </w:rPr>
        <w:t xml:space="preserve"> 无 </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bookmarkEnd w:id="822"/>
    <w:p w14:paraId="7EDA7FF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13.2.5移交、接收全部与部分工程</w:t>
      </w:r>
    </w:p>
    <w:bookmarkEnd w:id="823"/>
    <w:p w14:paraId="02C9CA4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承包人向发包人移交工程的期限：</w:t>
      </w:r>
      <w:r>
        <w:rPr>
          <w:rFonts w:hint="eastAsia" w:ascii="宋体" w:hAnsi="宋体" w:eastAsia="宋体" w:cs="宋体"/>
          <w:color w:val="000000"/>
          <w:sz w:val="21"/>
          <w:szCs w:val="21"/>
          <w:highlight w:val="none"/>
          <w:u w:val="single"/>
        </w:rPr>
        <w:t xml:space="preserve"> 颁发工程接收证书后 7 </w:t>
      </w:r>
      <w:r>
        <w:rPr>
          <w:rFonts w:hint="eastAsia" w:ascii="宋体" w:hAnsi="宋体" w:eastAsia="宋体" w:cs="宋体"/>
          <w:color w:val="000000"/>
          <w:sz w:val="21"/>
          <w:szCs w:val="21"/>
          <w:highlight w:val="none"/>
          <w:u w:val="single"/>
          <w:lang w:val="en-US" w:eastAsia="zh-CN"/>
        </w:rPr>
        <w:t>个工作日</w:t>
      </w:r>
      <w:r>
        <w:rPr>
          <w:rFonts w:hint="eastAsia" w:ascii="宋体" w:hAnsi="宋体" w:eastAsia="宋体" w:cs="宋体"/>
          <w:color w:val="000000"/>
          <w:sz w:val="21"/>
          <w:szCs w:val="21"/>
          <w:highlight w:val="none"/>
          <w:u w:val="single"/>
        </w:rPr>
        <w:t xml:space="preserve">内完成工程的移交  </w:t>
      </w:r>
      <w:r>
        <w:rPr>
          <w:rFonts w:hint="eastAsia" w:ascii="宋体" w:hAnsi="宋体" w:eastAsia="宋体" w:cs="宋体"/>
          <w:color w:val="000000"/>
          <w:sz w:val="21"/>
          <w:szCs w:val="21"/>
          <w:highlight w:val="none"/>
        </w:rPr>
        <w:t>。</w:t>
      </w:r>
    </w:p>
    <w:p w14:paraId="313C26B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发包人未按本合同约定接收全部或部分工程的，违约金的计算方法为：</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无</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bookmarkEnd w:id="824"/>
    <w:p w14:paraId="6F242C3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承包人未按时移交工程的，违约金的计算方法为：</w:t>
      </w:r>
      <w:r>
        <w:rPr>
          <w:rFonts w:hint="eastAsia" w:ascii="宋体" w:hAnsi="宋体" w:eastAsia="宋体" w:cs="宋体"/>
          <w:color w:val="000000"/>
          <w:sz w:val="21"/>
          <w:szCs w:val="21"/>
          <w:highlight w:val="none"/>
          <w:u w:val="single"/>
        </w:rPr>
        <w:t xml:space="preserve"> 每逾期一天，承包人按合同价款的万分之四向发包人支付违约金    </w:t>
      </w:r>
      <w:r>
        <w:rPr>
          <w:rFonts w:hint="eastAsia" w:ascii="宋体" w:hAnsi="宋体" w:eastAsia="宋体" w:cs="宋体"/>
          <w:color w:val="000000"/>
          <w:sz w:val="21"/>
          <w:szCs w:val="21"/>
          <w:highlight w:val="none"/>
        </w:rPr>
        <w:t>。</w:t>
      </w:r>
    </w:p>
    <w:p w14:paraId="27F0DDBF">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827" w:name="_Toc373478403"/>
      <w:bookmarkStart w:id="828" w:name="_Toc373227756"/>
      <w:bookmarkStart w:id="829" w:name="_Toc389065321"/>
      <w:bookmarkStart w:id="830" w:name="_Toc2983"/>
      <w:r>
        <w:rPr>
          <w:rFonts w:hint="eastAsia" w:ascii="宋体" w:hAnsi="宋体" w:eastAsia="宋体" w:cs="宋体"/>
          <w:color w:val="000000"/>
          <w:sz w:val="21"/>
          <w:szCs w:val="21"/>
          <w:highlight w:val="none"/>
        </w:rPr>
        <w:t>13.3 工程试车</w:t>
      </w:r>
      <w:bookmarkEnd w:id="827"/>
      <w:bookmarkEnd w:id="828"/>
      <w:bookmarkEnd w:id="829"/>
      <w:bookmarkEnd w:id="830"/>
    </w:p>
    <w:bookmarkEnd w:id="825"/>
    <w:p w14:paraId="268FC43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13.3.1 试车程序</w:t>
      </w:r>
    </w:p>
    <w:p w14:paraId="41AE661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工程试车内容：</w:t>
      </w:r>
      <w:r>
        <w:rPr>
          <w:rFonts w:hint="eastAsia" w:ascii="宋体" w:hAnsi="宋体" w:eastAsia="宋体" w:cs="宋体"/>
          <w:color w:val="000000"/>
          <w:sz w:val="21"/>
          <w:szCs w:val="21"/>
          <w:highlight w:val="none"/>
          <w:u w:val="single"/>
        </w:rPr>
        <w:t xml:space="preserve">    按通用条款 13.3.1 条执行     </w:t>
      </w:r>
      <w:r>
        <w:rPr>
          <w:rFonts w:hint="eastAsia" w:ascii="宋体" w:hAnsi="宋体" w:eastAsia="宋体" w:cs="宋体"/>
          <w:color w:val="000000"/>
          <w:sz w:val="21"/>
          <w:szCs w:val="21"/>
          <w:highlight w:val="none"/>
        </w:rPr>
        <w:t>。</w:t>
      </w:r>
    </w:p>
    <w:p w14:paraId="163A2F6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（1）单机无负荷试车费用由</w:t>
      </w:r>
      <w:r>
        <w:rPr>
          <w:rFonts w:hint="eastAsia" w:ascii="宋体" w:hAnsi="宋体" w:eastAsia="宋体" w:cs="宋体"/>
          <w:color w:val="000000"/>
          <w:sz w:val="21"/>
          <w:szCs w:val="21"/>
          <w:highlight w:val="none"/>
          <w:u w:val="single"/>
        </w:rPr>
        <w:t xml:space="preserve">   承包人        </w:t>
      </w:r>
      <w:r>
        <w:rPr>
          <w:rFonts w:hint="eastAsia" w:ascii="宋体" w:hAnsi="宋体" w:eastAsia="宋体" w:cs="宋体"/>
          <w:color w:val="000000"/>
          <w:sz w:val="21"/>
          <w:szCs w:val="21"/>
          <w:highlight w:val="none"/>
        </w:rPr>
        <w:t>承担；</w:t>
      </w:r>
    </w:p>
    <w:p w14:paraId="5F07C7FB">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（2）无负荷联动试车费用由</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 xml:space="preserve">承包人        </w:t>
      </w:r>
      <w:r>
        <w:rPr>
          <w:rFonts w:hint="eastAsia" w:ascii="宋体" w:hAnsi="宋体" w:eastAsia="宋体" w:cs="宋体"/>
          <w:color w:val="000000"/>
          <w:sz w:val="21"/>
          <w:szCs w:val="21"/>
          <w:highlight w:val="none"/>
        </w:rPr>
        <w:t>承担。</w:t>
      </w:r>
    </w:p>
    <w:p w14:paraId="480CABD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13.3.3 投料试车</w:t>
      </w:r>
    </w:p>
    <w:p w14:paraId="4339E23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关于投料试车相关事项的约定：</w:t>
      </w:r>
      <w:r>
        <w:rPr>
          <w:rFonts w:hint="eastAsia" w:ascii="宋体" w:hAnsi="宋体" w:eastAsia="宋体" w:cs="宋体"/>
          <w:color w:val="000000"/>
          <w:sz w:val="21"/>
          <w:szCs w:val="21"/>
          <w:highlight w:val="none"/>
          <w:u w:val="single"/>
          <w:lang w:val="en-US" w:eastAsia="zh-CN"/>
        </w:rPr>
        <w:t>另行约定</w:t>
      </w:r>
      <w:r>
        <w:rPr>
          <w:rFonts w:hint="eastAsia" w:ascii="宋体" w:hAnsi="宋体" w:eastAsia="宋体" w:cs="宋体"/>
          <w:color w:val="000000"/>
          <w:sz w:val="21"/>
          <w:szCs w:val="21"/>
          <w:highlight w:val="none"/>
        </w:rPr>
        <w:t>。</w:t>
      </w:r>
    </w:p>
    <w:p w14:paraId="77098C4E">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831" w:name="_Toc373227757"/>
      <w:bookmarkStart w:id="832" w:name="_Toc373478404"/>
      <w:bookmarkStart w:id="833" w:name="_Toc389065322"/>
      <w:bookmarkStart w:id="834" w:name="_Toc31058"/>
      <w:r>
        <w:rPr>
          <w:rFonts w:hint="eastAsia" w:ascii="宋体" w:hAnsi="宋体" w:eastAsia="宋体" w:cs="宋体"/>
          <w:color w:val="000000"/>
          <w:sz w:val="21"/>
          <w:szCs w:val="21"/>
          <w:highlight w:val="none"/>
        </w:rPr>
        <w:t>13.6 竣工退场</w:t>
      </w:r>
      <w:bookmarkEnd w:id="831"/>
      <w:bookmarkEnd w:id="832"/>
      <w:bookmarkEnd w:id="833"/>
      <w:bookmarkEnd w:id="834"/>
    </w:p>
    <w:p w14:paraId="4EAF3D5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13.6.1 竣工退场</w:t>
      </w:r>
    </w:p>
    <w:p w14:paraId="1B642AC3">
      <w:pPr>
        <w:pStyle w:val="29"/>
        <w:pageBreakBefore w:val="0"/>
        <w:kinsoku/>
        <w:overflowPunct/>
        <w:topLinePunct w:val="0"/>
        <w:bidi w:val="0"/>
        <w:spacing w:line="360" w:lineRule="auto"/>
        <w:ind w:firstLine="420" w:firstLineChars="200"/>
        <w:jc w:val="left"/>
        <w:outlineLvl w:val="9"/>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承包人完成竣工退场的期限：</w:t>
      </w:r>
      <w:r>
        <w:rPr>
          <w:rFonts w:hint="eastAsia" w:ascii="宋体" w:hAnsi="宋体" w:eastAsia="宋体" w:cs="宋体"/>
          <w:color w:val="000000"/>
          <w:sz w:val="21"/>
          <w:szCs w:val="21"/>
          <w:highlight w:val="none"/>
          <w:u w:val="single"/>
        </w:rPr>
        <w:t xml:space="preserve">  监理人颁发(出具)工程接收证书后，承包人负责按照通用合同条款本项约定的要求对施工场地进行清理并承担相关费用，直至监理人检验合格后七日内，如承包人到期后不退场，发包人有权安排其他人员进行清理，费用从承包人工程款中扣除  </w:t>
      </w:r>
      <w:r>
        <w:rPr>
          <w:rFonts w:hint="eastAsia" w:ascii="宋体" w:hAnsi="宋体" w:eastAsia="宋体" w:cs="宋体"/>
          <w:color w:val="000000"/>
          <w:kern w:val="0"/>
          <w:sz w:val="21"/>
          <w:szCs w:val="21"/>
          <w:highlight w:val="none"/>
        </w:rPr>
        <w:t>。</w:t>
      </w:r>
    </w:p>
    <w:p w14:paraId="08B2D547">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835" w:name="_Toc373227758"/>
      <w:bookmarkStart w:id="836" w:name="_Toc351203646"/>
      <w:bookmarkStart w:id="837" w:name="_Toc389065323"/>
      <w:bookmarkStart w:id="838" w:name="_Toc20157"/>
      <w:bookmarkStart w:id="839" w:name="_Toc373478405"/>
      <w:r>
        <w:rPr>
          <w:rFonts w:hint="eastAsia" w:ascii="宋体" w:hAnsi="宋体" w:eastAsia="宋体" w:cs="宋体"/>
          <w:color w:val="000000"/>
          <w:sz w:val="21"/>
          <w:szCs w:val="21"/>
          <w:highlight w:val="none"/>
        </w:rPr>
        <w:t>14. 竣工结算</w:t>
      </w:r>
      <w:bookmarkEnd w:id="835"/>
      <w:bookmarkEnd w:id="836"/>
      <w:bookmarkEnd w:id="837"/>
      <w:bookmarkEnd w:id="838"/>
      <w:bookmarkEnd w:id="839"/>
    </w:p>
    <w:p w14:paraId="247A11B0">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840" w:name="_Toc373478406"/>
      <w:bookmarkStart w:id="841" w:name="_Toc389065324"/>
      <w:bookmarkStart w:id="842" w:name="_Toc7016"/>
      <w:bookmarkStart w:id="843" w:name="_Toc373227759"/>
      <w:r>
        <w:rPr>
          <w:rFonts w:hint="eastAsia" w:ascii="宋体" w:hAnsi="宋体" w:eastAsia="宋体" w:cs="宋体"/>
          <w:color w:val="000000"/>
          <w:sz w:val="21"/>
          <w:szCs w:val="21"/>
          <w:highlight w:val="none"/>
        </w:rPr>
        <w:t>14.1 竣工付款申请</w:t>
      </w:r>
      <w:bookmarkEnd w:id="840"/>
      <w:bookmarkEnd w:id="841"/>
      <w:bookmarkEnd w:id="842"/>
      <w:bookmarkEnd w:id="843"/>
    </w:p>
    <w:p w14:paraId="5DCBFD0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bookmarkStart w:id="844" w:name="_Toc389065325"/>
      <w:bookmarkStart w:id="845" w:name="_Toc373227760"/>
      <w:bookmarkStart w:id="846" w:name="_Toc373478407"/>
      <w:r>
        <w:rPr>
          <w:rFonts w:hint="eastAsia" w:ascii="宋体" w:hAnsi="宋体" w:eastAsia="宋体" w:cs="宋体"/>
          <w:color w:val="000000"/>
          <w:sz w:val="21"/>
          <w:szCs w:val="21"/>
          <w:highlight w:val="none"/>
        </w:rPr>
        <w:t>承包人提交竣工付款申请单的期限：</w:t>
      </w:r>
      <w:r>
        <w:rPr>
          <w:rFonts w:hint="eastAsia" w:ascii="宋体" w:hAnsi="宋体" w:eastAsia="宋体" w:cs="宋体"/>
          <w:color w:val="000000"/>
          <w:sz w:val="21"/>
          <w:szCs w:val="21"/>
          <w:highlight w:val="none"/>
          <w:u w:val="single"/>
        </w:rPr>
        <w:t xml:space="preserve"> 本工程结算审定后 28 日内  </w:t>
      </w:r>
      <w:r>
        <w:rPr>
          <w:rFonts w:hint="eastAsia" w:ascii="宋体" w:hAnsi="宋体" w:eastAsia="宋体" w:cs="宋体"/>
          <w:color w:val="000000"/>
          <w:sz w:val="21"/>
          <w:szCs w:val="21"/>
          <w:highlight w:val="none"/>
        </w:rPr>
        <w:t>。</w:t>
      </w:r>
    </w:p>
    <w:p w14:paraId="07909ECD">
      <w:pPr>
        <w:pStyle w:val="29"/>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竣工付款申请单应包括的内容：</w:t>
      </w:r>
      <w:r>
        <w:rPr>
          <w:rFonts w:hint="eastAsia" w:ascii="宋体" w:hAnsi="宋体" w:eastAsia="宋体" w:cs="宋体"/>
          <w:color w:val="000000"/>
          <w:sz w:val="21"/>
          <w:szCs w:val="21"/>
          <w:highlight w:val="none"/>
          <w:u w:val="single"/>
        </w:rPr>
        <w:t xml:space="preserve">   除通用合同条款第 14.1 款约定的内容外，还应包括：工程结算审核结论书   </w:t>
      </w:r>
      <w:r>
        <w:rPr>
          <w:rFonts w:hint="eastAsia" w:ascii="宋体" w:hAnsi="宋体" w:eastAsia="宋体" w:cs="宋体"/>
          <w:color w:val="000000"/>
          <w:sz w:val="21"/>
          <w:szCs w:val="21"/>
          <w:highlight w:val="none"/>
        </w:rPr>
        <w:t>。</w:t>
      </w:r>
    </w:p>
    <w:p w14:paraId="4F353F74">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847" w:name="_Toc5653"/>
      <w:r>
        <w:rPr>
          <w:rFonts w:hint="eastAsia" w:ascii="宋体" w:hAnsi="宋体" w:eastAsia="宋体" w:cs="宋体"/>
          <w:color w:val="000000"/>
          <w:sz w:val="21"/>
          <w:szCs w:val="21"/>
          <w:highlight w:val="none"/>
        </w:rPr>
        <w:t>14.2 竣工结算审核</w:t>
      </w:r>
      <w:bookmarkEnd w:id="844"/>
      <w:bookmarkEnd w:id="845"/>
      <w:bookmarkEnd w:id="846"/>
      <w:bookmarkEnd w:id="847"/>
    </w:p>
    <w:p w14:paraId="79E58F1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发包人审批竣工付款申请单的期限：</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2643"/>
        <w:gridCol w:w="6357"/>
      </w:tblGrid>
      <w:tr w14:paraId="53641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noWrap w:val="0"/>
            <w:vAlign w:val="center"/>
          </w:tcPr>
          <w:p w14:paraId="6C5EB6BD">
            <w:pPr>
              <w:pageBreakBefore w:val="0"/>
              <w:kinsoku/>
              <w:overflowPunct/>
              <w:topLinePunct w:val="0"/>
              <w:bidi w:val="0"/>
              <w:spacing w:line="360" w:lineRule="auto"/>
              <w:outlineLvl w:val="9"/>
              <w:rPr>
                <w:rFonts w:hint="eastAsia" w:ascii="宋体" w:hAnsi="宋体" w:eastAsia="宋体" w:cs="宋体"/>
                <w:bCs/>
                <w:color w:val="000000"/>
                <w:sz w:val="21"/>
                <w:szCs w:val="21"/>
                <w:highlight w:val="none"/>
              </w:rPr>
            </w:pPr>
          </w:p>
        </w:tc>
        <w:tc>
          <w:tcPr>
            <w:tcW w:w="2643" w:type="dxa"/>
            <w:noWrap w:val="0"/>
            <w:vAlign w:val="center"/>
          </w:tcPr>
          <w:p w14:paraId="08F8C099">
            <w:pPr>
              <w:pageBreakBefore w:val="0"/>
              <w:kinsoku/>
              <w:overflowPunct/>
              <w:topLinePunct w:val="0"/>
              <w:bidi w:val="0"/>
              <w:spacing w:line="360" w:lineRule="auto"/>
              <w:ind w:firstLine="27" w:firstLineChars="13"/>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工程竣工结算报告金额</w:t>
            </w:r>
          </w:p>
        </w:tc>
        <w:tc>
          <w:tcPr>
            <w:tcW w:w="6357" w:type="dxa"/>
            <w:noWrap w:val="0"/>
            <w:vAlign w:val="center"/>
          </w:tcPr>
          <w:p w14:paraId="7B5A2561">
            <w:pPr>
              <w:pageBreakBefore w:val="0"/>
              <w:kinsoku/>
              <w:overflowPunct/>
              <w:topLinePunct w:val="0"/>
              <w:bidi w:val="0"/>
              <w:spacing w:line="360" w:lineRule="auto"/>
              <w:ind w:firstLine="441" w:firstLineChars="210"/>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发包人审查时间</w:t>
            </w:r>
          </w:p>
        </w:tc>
      </w:tr>
      <w:tr w14:paraId="1A87D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noWrap w:val="0"/>
            <w:vAlign w:val="center"/>
          </w:tcPr>
          <w:p w14:paraId="50D5F925">
            <w:pPr>
              <w:pageBreakBefore w:val="0"/>
              <w:kinsoku/>
              <w:overflowPunct/>
              <w:topLinePunct w:val="0"/>
              <w:bidi w:val="0"/>
              <w:spacing w:line="360" w:lineRule="auto"/>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1</w:t>
            </w:r>
          </w:p>
        </w:tc>
        <w:tc>
          <w:tcPr>
            <w:tcW w:w="2643" w:type="dxa"/>
            <w:noWrap w:val="0"/>
            <w:vAlign w:val="center"/>
          </w:tcPr>
          <w:p w14:paraId="14316D87">
            <w:pPr>
              <w:pageBreakBefore w:val="0"/>
              <w:kinsoku/>
              <w:overflowPunct/>
              <w:topLinePunct w:val="0"/>
              <w:bidi w:val="0"/>
              <w:spacing w:line="360" w:lineRule="auto"/>
              <w:ind w:firstLine="27" w:firstLineChars="13"/>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500万元以下</w:t>
            </w:r>
          </w:p>
        </w:tc>
        <w:tc>
          <w:tcPr>
            <w:tcW w:w="6357" w:type="dxa"/>
            <w:noWrap w:val="0"/>
            <w:vAlign w:val="center"/>
          </w:tcPr>
          <w:p w14:paraId="529A56E2">
            <w:pPr>
              <w:pageBreakBefore w:val="0"/>
              <w:kinsoku/>
              <w:overflowPunct/>
              <w:topLinePunct w:val="0"/>
              <w:bidi w:val="0"/>
              <w:spacing w:line="360" w:lineRule="auto"/>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从接到竣工结算报告和完整的竣工结算资料之日起20天</w:t>
            </w:r>
          </w:p>
        </w:tc>
      </w:tr>
      <w:tr w14:paraId="4A8AD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noWrap w:val="0"/>
            <w:vAlign w:val="center"/>
          </w:tcPr>
          <w:p w14:paraId="67234ECB">
            <w:pPr>
              <w:pageBreakBefore w:val="0"/>
              <w:kinsoku/>
              <w:overflowPunct/>
              <w:topLinePunct w:val="0"/>
              <w:bidi w:val="0"/>
              <w:spacing w:line="360" w:lineRule="auto"/>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2</w:t>
            </w:r>
          </w:p>
        </w:tc>
        <w:tc>
          <w:tcPr>
            <w:tcW w:w="2643" w:type="dxa"/>
            <w:noWrap w:val="0"/>
            <w:vAlign w:val="center"/>
          </w:tcPr>
          <w:p w14:paraId="2E211FC3">
            <w:pPr>
              <w:pageBreakBefore w:val="0"/>
              <w:kinsoku/>
              <w:overflowPunct/>
              <w:topLinePunct w:val="0"/>
              <w:bidi w:val="0"/>
              <w:spacing w:line="360" w:lineRule="auto"/>
              <w:ind w:firstLine="27" w:firstLineChars="13"/>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500万元-2000万元</w:t>
            </w:r>
          </w:p>
        </w:tc>
        <w:tc>
          <w:tcPr>
            <w:tcW w:w="6357" w:type="dxa"/>
            <w:noWrap w:val="0"/>
            <w:vAlign w:val="center"/>
          </w:tcPr>
          <w:p w14:paraId="469A09AA">
            <w:pPr>
              <w:pageBreakBefore w:val="0"/>
              <w:kinsoku/>
              <w:overflowPunct/>
              <w:topLinePunct w:val="0"/>
              <w:bidi w:val="0"/>
              <w:spacing w:line="360" w:lineRule="auto"/>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从接到竣工结算报告和完整的竣工结算资料之日起30天</w:t>
            </w:r>
          </w:p>
        </w:tc>
      </w:tr>
      <w:tr w14:paraId="4D74E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noWrap w:val="0"/>
            <w:vAlign w:val="center"/>
          </w:tcPr>
          <w:p w14:paraId="2D79C61C">
            <w:pPr>
              <w:pageBreakBefore w:val="0"/>
              <w:kinsoku/>
              <w:overflowPunct/>
              <w:topLinePunct w:val="0"/>
              <w:bidi w:val="0"/>
              <w:spacing w:line="360" w:lineRule="auto"/>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3</w:t>
            </w:r>
          </w:p>
        </w:tc>
        <w:tc>
          <w:tcPr>
            <w:tcW w:w="2643" w:type="dxa"/>
            <w:noWrap w:val="0"/>
            <w:vAlign w:val="center"/>
          </w:tcPr>
          <w:p w14:paraId="20658523">
            <w:pPr>
              <w:pageBreakBefore w:val="0"/>
              <w:kinsoku/>
              <w:overflowPunct/>
              <w:topLinePunct w:val="0"/>
              <w:bidi w:val="0"/>
              <w:spacing w:line="360" w:lineRule="auto"/>
              <w:ind w:firstLine="27" w:firstLineChars="13"/>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2000万元-5000万元</w:t>
            </w:r>
          </w:p>
        </w:tc>
        <w:tc>
          <w:tcPr>
            <w:tcW w:w="6357" w:type="dxa"/>
            <w:noWrap w:val="0"/>
            <w:vAlign w:val="center"/>
          </w:tcPr>
          <w:p w14:paraId="721AC8F1">
            <w:pPr>
              <w:pageBreakBefore w:val="0"/>
              <w:kinsoku/>
              <w:overflowPunct/>
              <w:topLinePunct w:val="0"/>
              <w:bidi w:val="0"/>
              <w:spacing w:line="360" w:lineRule="auto"/>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从接到竣工结算报告和完整的竣工结算资料之日起45天</w:t>
            </w:r>
          </w:p>
        </w:tc>
      </w:tr>
      <w:tr w14:paraId="4F8C7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noWrap w:val="0"/>
            <w:vAlign w:val="center"/>
          </w:tcPr>
          <w:p w14:paraId="7965095B">
            <w:pPr>
              <w:pageBreakBefore w:val="0"/>
              <w:kinsoku/>
              <w:overflowPunct/>
              <w:topLinePunct w:val="0"/>
              <w:bidi w:val="0"/>
              <w:spacing w:line="360" w:lineRule="auto"/>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4</w:t>
            </w:r>
          </w:p>
        </w:tc>
        <w:tc>
          <w:tcPr>
            <w:tcW w:w="2643" w:type="dxa"/>
            <w:noWrap w:val="0"/>
            <w:vAlign w:val="center"/>
          </w:tcPr>
          <w:p w14:paraId="657693F2">
            <w:pPr>
              <w:pageBreakBefore w:val="0"/>
              <w:kinsoku/>
              <w:overflowPunct/>
              <w:topLinePunct w:val="0"/>
              <w:bidi w:val="0"/>
              <w:spacing w:line="360" w:lineRule="auto"/>
              <w:ind w:firstLine="27" w:firstLineChars="13"/>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5000万元以上</w:t>
            </w:r>
          </w:p>
        </w:tc>
        <w:tc>
          <w:tcPr>
            <w:tcW w:w="6357" w:type="dxa"/>
            <w:noWrap w:val="0"/>
            <w:vAlign w:val="center"/>
          </w:tcPr>
          <w:p w14:paraId="4F949EA0">
            <w:pPr>
              <w:pageBreakBefore w:val="0"/>
              <w:kinsoku/>
              <w:overflowPunct/>
              <w:topLinePunct w:val="0"/>
              <w:bidi w:val="0"/>
              <w:spacing w:line="360" w:lineRule="auto"/>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从接到竣工结算报告和完整的竣工结算资料之日起60天</w:t>
            </w:r>
          </w:p>
        </w:tc>
      </w:tr>
      <w:tr w14:paraId="2290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tcBorders>
              <w:top w:val="single" w:color="auto" w:sz="4" w:space="0"/>
              <w:left w:val="single" w:color="auto" w:sz="4" w:space="0"/>
              <w:bottom w:val="single" w:color="auto" w:sz="4" w:space="0"/>
              <w:right w:val="single" w:color="auto" w:sz="4" w:space="0"/>
            </w:tcBorders>
            <w:noWrap w:val="0"/>
            <w:vAlign w:val="center"/>
          </w:tcPr>
          <w:p w14:paraId="411836C8">
            <w:pPr>
              <w:pageBreakBefore w:val="0"/>
              <w:kinsoku/>
              <w:overflowPunct/>
              <w:topLinePunct w:val="0"/>
              <w:bidi w:val="0"/>
              <w:spacing w:line="360" w:lineRule="auto"/>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5</w:t>
            </w:r>
          </w:p>
        </w:tc>
        <w:tc>
          <w:tcPr>
            <w:tcW w:w="2643" w:type="dxa"/>
            <w:tcBorders>
              <w:top w:val="single" w:color="auto" w:sz="4" w:space="0"/>
              <w:left w:val="single" w:color="auto" w:sz="4" w:space="0"/>
              <w:bottom w:val="single" w:color="auto" w:sz="4" w:space="0"/>
              <w:right w:val="single" w:color="auto" w:sz="4" w:space="0"/>
            </w:tcBorders>
            <w:noWrap w:val="0"/>
            <w:vAlign w:val="center"/>
          </w:tcPr>
          <w:p w14:paraId="09EC38A4">
            <w:pPr>
              <w:pageBreakBefore w:val="0"/>
              <w:kinsoku/>
              <w:overflowPunct/>
              <w:topLinePunct w:val="0"/>
              <w:bidi w:val="0"/>
              <w:spacing w:line="360" w:lineRule="auto"/>
              <w:ind w:firstLine="27" w:firstLineChars="13"/>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5000万以上每增加0.5亿(不足0.5亿不增加)</w:t>
            </w:r>
          </w:p>
        </w:tc>
        <w:tc>
          <w:tcPr>
            <w:tcW w:w="6357" w:type="dxa"/>
            <w:tcBorders>
              <w:top w:val="single" w:color="auto" w:sz="4" w:space="0"/>
              <w:left w:val="single" w:color="auto" w:sz="4" w:space="0"/>
              <w:bottom w:val="single" w:color="auto" w:sz="4" w:space="0"/>
              <w:right w:val="single" w:color="auto" w:sz="4" w:space="0"/>
            </w:tcBorders>
            <w:noWrap w:val="0"/>
            <w:vAlign w:val="center"/>
          </w:tcPr>
          <w:p w14:paraId="2E8F04BB">
            <w:pPr>
              <w:pageBreakBefore w:val="0"/>
              <w:kinsoku/>
              <w:overflowPunct/>
              <w:topLinePunct w:val="0"/>
              <w:bidi w:val="0"/>
              <w:spacing w:line="360" w:lineRule="auto"/>
              <w:ind w:firstLine="441" w:firstLineChars="210"/>
              <w:jc w:val="center"/>
              <w:outlineLvl w:val="9"/>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增加10天</w:t>
            </w:r>
          </w:p>
        </w:tc>
      </w:tr>
    </w:tbl>
    <w:p w14:paraId="5D5736E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bCs/>
          <w:color w:val="000000"/>
          <w:sz w:val="21"/>
          <w:szCs w:val="21"/>
          <w:highlight w:val="none"/>
        </w:rPr>
        <w:t>因承包人提供的结算资料不完整而需要补充或承包人不按时对账耽误时间时，审查时间应相应顺延</w:t>
      </w:r>
      <w:r>
        <w:rPr>
          <w:rFonts w:hint="eastAsia" w:ascii="宋体" w:hAnsi="宋体" w:eastAsia="宋体" w:cs="宋体"/>
          <w:color w:val="000000"/>
          <w:sz w:val="21"/>
          <w:szCs w:val="21"/>
          <w:highlight w:val="none"/>
        </w:rPr>
        <w:t>。</w:t>
      </w:r>
    </w:p>
    <w:p w14:paraId="00FC2D91">
      <w:pPr>
        <w:pageBreakBefore w:val="0"/>
        <w:kinsoku/>
        <w:overflowPunct/>
        <w:topLinePunct w:val="0"/>
        <w:bidi w:val="0"/>
        <w:spacing w:line="360" w:lineRule="auto"/>
        <w:ind w:firstLine="411" w:firstLineChars="196"/>
        <w:outlineLvl w:val="9"/>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竣工</w:t>
      </w:r>
      <w:r>
        <w:rPr>
          <w:rFonts w:hint="eastAsia" w:ascii="宋体" w:hAnsi="宋体" w:eastAsia="宋体" w:cs="宋体"/>
          <w:bCs/>
          <w:color w:val="000000"/>
          <w:sz w:val="21"/>
          <w:szCs w:val="21"/>
          <w:highlight w:val="none"/>
        </w:rPr>
        <w:t>结算审核约定：</w:t>
      </w:r>
    </w:p>
    <w:p w14:paraId="7F06E826">
      <w:pPr>
        <w:pageBreakBefore w:val="0"/>
        <w:kinsoku/>
        <w:overflowPunct/>
        <w:topLinePunct w:val="0"/>
        <w:bidi w:val="0"/>
        <w:spacing w:line="360" w:lineRule="auto"/>
        <w:ind w:firstLine="411" w:firstLineChars="196"/>
        <w:outlineLvl w:val="9"/>
        <w:rPr>
          <w:rFonts w:hint="eastAsia" w:ascii="宋体" w:hAnsi="宋体" w:eastAsia="宋体" w:cs="宋体"/>
          <w:bCs/>
          <w:color w:val="000000"/>
          <w:sz w:val="21"/>
          <w:szCs w:val="21"/>
          <w:highlight w:val="none"/>
          <w:u w:val="single"/>
        </w:rPr>
      </w:pPr>
      <w:r>
        <w:rPr>
          <w:rFonts w:hint="eastAsia" w:ascii="宋体" w:hAnsi="宋体" w:eastAsia="宋体" w:cs="宋体"/>
          <w:bCs/>
          <w:color w:val="000000"/>
          <w:sz w:val="21"/>
          <w:szCs w:val="21"/>
          <w:highlight w:val="none"/>
        </w:rPr>
        <w:t>非国有投资项目：</w:t>
      </w:r>
      <w:r>
        <w:rPr>
          <w:rFonts w:hint="eastAsia" w:ascii="宋体" w:hAnsi="宋体" w:eastAsia="宋体" w:cs="宋体"/>
          <w:bCs/>
          <w:color w:val="000000"/>
          <w:sz w:val="21"/>
          <w:szCs w:val="21"/>
          <w:highlight w:val="none"/>
          <w:u w:val="single"/>
        </w:rPr>
        <w:t>1、工程竣工验收报告经发包人认可后</w:t>
      </w:r>
      <w:r>
        <w:rPr>
          <w:rFonts w:hint="eastAsia" w:ascii="宋体" w:hAnsi="宋体" w:eastAsia="宋体" w:cs="宋体"/>
          <w:bCs/>
          <w:color w:val="000000"/>
          <w:sz w:val="21"/>
          <w:szCs w:val="21"/>
          <w:highlight w:val="none"/>
          <w:u w:val="single"/>
          <w:lang w:val="en-US" w:eastAsia="zh-CN"/>
        </w:rPr>
        <w:t>30</w:t>
      </w:r>
      <w:r>
        <w:rPr>
          <w:rFonts w:hint="eastAsia" w:ascii="宋体" w:hAnsi="宋体" w:eastAsia="宋体" w:cs="宋体"/>
          <w:bCs/>
          <w:color w:val="000000"/>
          <w:sz w:val="21"/>
          <w:szCs w:val="21"/>
          <w:highlight w:val="none"/>
          <w:u w:val="single"/>
        </w:rPr>
        <w:t xml:space="preserve"> 天内，承包人向发包人递交竣工验收合格资料及完整的结算资料和报告，双方按照协议书约定的合同价款及专用条款约定的合同价调整内容，进行工程竣工结算。2、发包人收到承包人递交的竣工结算报告及结算资料之日起   天内进行审核，给予确认或者提出初审意见。发包人逾期不予审定结算的视为发包人已同意上述竣工结算报告及结算资料，并以此作为最终结算的依据。发包人初审竣工结算完毕之日起  天内，按审定后的结算价款，通知经办银行向承包人支付工程竣工结算价款。承包人应根据发包人的需要随时将竣工工程交付发包人。</w:t>
      </w:r>
    </w:p>
    <w:p w14:paraId="6D216BF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bCs/>
          <w:color w:val="000000"/>
          <w:sz w:val="21"/>
          <w:szCs w:val="21"/>
          <w:highlight w:val="none"/>
          <w:u w:val="single"/>
        </w:rPr>
        <w:t xml:space="preserve">国有投资项目：（双方结合各地政府或有关部门管理规定进行局部调整）              </w:t>
      </w:r>
    </w:p>
    <w:p w14:paraId="1458DC18">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发包人完成竣工付款的期限：</w:t>
      </w:r>
      <w:r>
        <w:rPr>
          <w:rFonts w:hint="eastAsia" w:ascii="宋体" w:hAnsi="宋体" w:eastAsia="宋体" w:cs="宋体"/>
          <w:color w:val="000000"/>
          <w:sz w:val="21"/>
          <w:szCs w:val="21"/>
          <w:highlight w:val="none"/>
          <w:u w:val="single"/>
        </w:rPr>
        <w:t xml:space="preserve">     56 天内       </w:t>
      </w:r>
      <w:r>
        <w:rPr>
          <w:rFonts w:hint="eastAsia" w:ascii="宋体" w:hAnsi="宋体" w:eastAsia="宋体" w:cs="宋体"/>
          <w:color w:val="000000"/>
          <w:sz w:val="21"/>
          <w:szCs w:val="21"/>
          <w:highlight w:val="none"/>
        </w:rPr>
        <w:t>。</w:t>
      </w:r>
    </w:p>
    <w:p w14:paraId="18FA3F7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关于竣工付款证书异议部分复核的方式和程序：</w:t>
      </w:r>
      <w:r>
        <w:rPr>
          <w:rFonts w:hint="eastAsia" w:ascii="宋体" w:hAnsi="宋体" w:eastAsia="宋体" w:cs="宋体"/>
          <w:color w:val="000000"/>
          <w:sz w:val="21"/>
          <w:szCs w:val="21"/>
          <w:highlight w:val="none"/>
          <w:u w:val="single"/>
        </w:rPr>
        <w:t xml:space="preserve">    按本合同通用条款    </w:t>
      </w:r>
      <w:r>
        <w:rPr>
          <w:rFonts w:hint="eastAsia" w:ascii="宋体" w:hAnsi="宋体" w:eastAsia="宋体" w:cs="宋体"/>
          <w:color w:val="000000"/>
          <w:sz w:val="21"/>
          <w:szCs w:val="21"/>
          <w:highlight w:val="none"/>
        </w:rPr>
        <w:t>。</w:t>
      </w:r>
    </w:p>
    <w:p w14:paraId="07985600">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848" w:name="_Toc389065326"/>
      <w:bookmarkStart w:id="849" w:name="_Toc28081"/>
      <w:bookmarkStart w:id="850" w:name="_Toc373227761"/>
      <w:bookmarkStart w:id="851" w:name="_Toc373478408"/>
      <w:r>
        <w:rPr>
          <w:rFonts w:hint="eastAsia" w:ascii="宋体" w:hAnsi="宋体" w:eastAsia="宋体" w:cs="宋体"/>
          <w:color w:val="000000"/>
          <w:sz w:val="21"/>
          <w:szCs w:val="21"/>
          <w:highlight w:val="none"/>
        </w:rPr>
        <w:t>14.4 最终结清</w:t>
      </w:r>
      <w:bookmarkEnd w:id="848"/>
      <w:bookmarkEnd w:id="849"/>
      <w:bookmarkEnd w:id="850"/>
      <w:bookmarkEnd w:id="851"/>
    </w:p>
    <w:p w14:paraId="25D2D2F2">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14.4.1 最终结清申请单</w:t>
      </w:r>
    </w:p>
    <w:p w14:paraId="77E4A52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承包人提交最终结清申请单的份数：</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壹</w:t>
      </w:r>
      <w:r>
        <w:rPr>
          <w:rFonts w:hint="eastAsia" w:ascii="宋体" w:hAnsi="宋体" w:eastAsia="宋体" w:cs="宋体"/>
          <w:color w:val="000000"/>
          <w:sz w:val="21"/>
          <w:szCs w:val="21"/>
          <w:highlight w:val="none"/>
          <w:u w:val="single"/>
        </w:rPr>
        <w:t xml:space="preserve">式陆份    </w:t>
      </w:r>
      <w:r>
        <w:rPr>
          <w:rFonts w:hint="eastAsia" w:ascii="宋体" w:hAnsi="宋体" w:eastAsia="宋体" w:cs="宋体"/>
          <w:color w:val="000000"/>
          <w:sz w:val="21"/>
          <w:szCs w:val="21"/>
          <w:highlight w:val="none"/>
        </w:rPr>
        <w:t>。</w:t>
      </w:r>
    </w:p>
    <w:p w14:paraId="0BC969C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承包人提交最终结算申请单的期限：</w:t>
      </w:r>
      <w:r>
        <w:rPr>
          <w:rFonts w:hint="eastAsia" w:ascii="宋体" w:hAnsi="宋体" w:eastAsia="宋体" w:cs="宋体"/>
          <w:color w:val="000000"/>
          <w:sz w:val="21"/>
          <w:szCs w:val="21"/>
          <w:highlight w:val="none"/>
          <w:u w:val="single"/>
        </w:rPr>
        <w:t xml:space="preserve">   按合同通用条款执行    </w:t>
      </w:r>
      <w:r>
        <w:rPr>
          <w:rFonts w:hint="eastAsia" w:ascii="宋体" w:hAnsi="宋体" w:eastAsia="宋体" w:cs="宋体"/>
          <w:color w:val="000000"/>
          <w:sz w:val="21"/>
          <w:szCs w:val="21"/>
          <w:highlight w:val="none"/>
        </w:rPr>
        <w:t xml:space="preserve">。 </w:t>
      </w:r>
    </w:p>
    <w:p w14:paraId="61C44DBB">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14.4.2 最终结清证书和支付</w:t>
      </w:r>
    </w:p>
    <w:p w14:paraId="79B557FB">
      <w:pPr>
        <w:pStyle w:val="29"/>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（1）发包人完成最终结清申请单的审批并颁发最终结清证书的期限：</w:t>
      </w:r>
      <w:r>
        <w:rPr>
          <w:rFonts w:hint="eastAsia" w:ascii="宋体" w:hAnsi="宋体" w:eastAsia="宋体" w:cs="宋体"/>
          <w:color w:val="000000"/>
          <w:sz w:val="21"/>
          <w:szCs w:val="21"/>
          <w:highlight w:val="none"/>
          <w:u w:val="single"/>
        </w:rPr>
        <w:t xml:space="preserve"> 缺陷责任期终止证书颁发后 14 天内          </w:t>
      </w:r>
      <w:r>
        <w:rPr>
          <w:rFonts w:hint="eastAsia" w:ascii="宋体" w:hAnsi="宋体" w:eastAsia="宋体" w:cs="宋体"/>
          <w:color w:val="000000"/>
          <w:sz w:val="21"/>
          <w:szCs w:val="21"/>
          <w:highlight w:val="none"/>
        </w:rPr>
        <w:t>。</w:t>
      </w:r>
    </w:p>
    <w:p w14:paraId="496FF39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（2）发包人完成支付的期限：</w:t>
      </w:r>
      <w:r>
        <w:rPr>
          <w:rFonts w:hint="eastAsia" w:ascii="宋体" w:hAnsi="宋体" w:eastAsia="宋体" w:cs="宋体"/>
          <w:color w:val="000000"/>
          <w:sz w:val="21"/>
          <w:szCs w:val="21"/>
          <w:highlight w:val="none"/>
          <w:u w:val="single"/>
        </w:rPr>
        <w:t xml:space="preserve"> 缺陷责任期终止证书颁发后 28 天内   </w:t>
      </w:r>
      <w:r>
        <w:rPr>
          <w:rFonts w:hint="eastAsia" w:ascii="宋体" w:hAnsi="宋体" w:eastAsia="宋体" w:cs="宋体"/>
          <w:color w:val="000000"/>
          <w:sz w:val="21"/>
          <w:szCs w:val="21"/>
          <w:highlight w:val="none"/>
        </w:rPr>
        <w:t>。</w:t>
      </w:r>
    </w:p>
    <w:bookmarkEnd w:id="814"/>
    <w:bookmarkEnd w:id="815"/>
    <w:bookmarkEnd w:id="816"/>
    <w:bookmarkEnd w:id="817"/>
    <w:bookmarkEnd w:id="818"/>
    <w:bookmarkEnd w:id="819"/>
    <w:bookmarkEnd w:id="820"/>
    <w:bookmarkEnd w:id="826"/>
    <w:p w14:paraId="09DED8A5">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852" w:name="_Toc389065327"/>
      <w:bookmarkStart w:id="853" w:name="_Toc373227762"/>
      <w:bookmarkStart w:id="854" w:name="_Toc351203647"/>
      <w:bookmarkStart w:id="855" w:name="_Toc4833"/>
      <w:bookmarkStart w:id="856" w:name="_Toc373478409"/>
      <w:bookmarkStart w:id="857" w:name="_Toc267251483"/>
      <w:bookmarkStart w:id="858" w:name="_Toc267251484"/>
      <w:bookmarkStart w:id="859" w:name="_Toc267251482"/>
      <w:bookmarkStart w:id="860" w:name="_Toc267251485"/>
      <w:bookmarkStart w:id="861" w:name="_Toc267251490"/>
      <w:bookmarkStart w:id="862" w:name="_Toc267251488"/>
      <w:bookmarkStart w:id="863" w:name="_Toc267251486"/>
      <w:bookmarkStart w:id="864" w:name="_Toc267251489"/>
      <w:bookmarkStart w:id="865" w:name="_Toc267251491"/>
      <w:bookmarkStart w:id="866" w:name="_Toc267251502"/>
      <w:bookmarkStart w:id="867" w:name="_Toc267251503"/>
      <w:bookmarkStart w:id="868" w:name="_Toc267251494"/>
      <w:bookmarkStart w:id="869" w:name="_Toc267251495"/>
      <w:bookmarkStart w:id="870" w:name="_Toc267251493"/>
      <w:bookmarkStart w:id="871" w:name="_Toc267251499"/>
      <w:bookmarkStart w:id="872" w:name="_Toc267251501"/>
      <w:bookmarkStart w:id="873" w:name="_Toc267251492"/>
      <w:bookmarkStart w:id="874" w:name="_Toc267251498"/>
      <w:bookmarkStart w:id="875" w:name="_Toc267251496"/>
      <w:bookmarkStart w:id="876" w:name="_Toc267251497"/>
      <w:bookmarkStart w:id="877" w:name="_Toc267251506"/>
      <w:bookmarkStart w:id="878" w:name="_Toc267251504"/>
      <w:bookmarkStart w:id="879" w:name="_Toc267251507"/>
      <w:bookmarkStart w:id="880" w:name="_Toc267251508"/>
      <w:bookmarkStart w:id="881" w:name="_Toc267251514"/>
      <w:bookmarkStart w:id="882" w:name="_Toc267251509"/>
      <w:bookmarkStart w:id="883" w:name="_Toc267251511"/>
      <w:bookmarkStart w:id="884" w:name="_Toc267251515"/>
      <w:bookmarkStart w:id="885" w:name="_Toc267251510"/>
      <w:bookmarkStart w:id="886" w:name="_Toc267251513"/>
      <w:r>
        <w:rPr>
          <w:rFonts w:hint="eastAsia" w:ascii="宋体" w:hAnsi="宋体" w:eastAsia="宋体" w:cs="宋体"/>
          <w:color w:val="000000"/>
          <w:sz w:val="21"/>
          <w:szCs w:val="21"/>
          <w:highlight w:val="none"/>
        </w:rPr>
        <w:t>15. 缺陷责任期与保修</w:t>
      </w:r>
      <w:bookmarkEnd w:id="852"/>
      <w:bookmarkEnd w:id="853"/>
      <w:bookmarkEnd w:id="854"/>
      <w:bookmarkEnd w:id="855"/>
      <w:bookmarkEnd w:id="856"/>
    </w:p>
    <w:p w14:paraId="7BAAE07D">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887" w:name="_Toc389065328"/>
      <w:bookmarkStart w:id="888" w:name="_Toc373478410"/>
      <w:bookmarkStart w:id="889" w:name="_Toc22134"/>
      <w:bookmarkStart w:id="890" w:name="_Toc373227763"/>
      <w:r>
        <w:rPr>
          <w:rFonts w:hint="eastAsia" w:ascii="宋体" w:hAnsi="宋体" w:eastAsia="宋体" w:cs="宋体"/>
          <w:color w:val="000000"/>
          <w:sz w:val="21"/>
          <w:szCs w:val="21"/>
          <w:highlight w:val="none"/>
        </w:rPr>
        <w:t>15.2 缺陷责任期</w:t>
      </w:r>
      <w:bookmarkEnd w:id="857"/>
      <w:bookmarkEnd w:id="887"/>
      <w:bookmarkEnd w:id="888"/>
      <w:bookmarkEnd w:id="889"/>
      <w:bookmarkEnd w:id="890"/>
    </w:p>
    <w:p w14:paraId="16280ACA">
      <w:pPr>
        <w:pStyle w:val="18"/>
        <w:spacing w:line="360" w:lineRule="auto"/>
        <w:ind w:firstLine="420" w:firstLineChars="200"/>
        <w:jc w:val="left"/>
        <w:rPr>
          <w:rStyle w:val="16"/>
          <w:rFonts w:hint="eastAsia" w:ascii="Calibri" w:hAnsi="宋体" w:eastAsia="宋体" w:cs="宋体"/>
          <w:color w:val="auto"/>
          <w:highlight w:val="none"/>
        </w:rPr>
      </w:pPr>
      <w:r>
        <w:rPr>
          <w:rFonts w:hint="eastAsia" w:ascii="宋体" w:hAnsi="宋体" w:eastAsia="宋体" w:cs="宋体"/>
          <w:color w:val="000000"/>
          <w:sz w:val="21"/>
          <w:szCs w:val="21"/>
          <w:highlight w:val="none"/>
        </w:rPr>
        <w:t>缺陷责任期的具体期限：</w:t>
      </w:r>
      <w:r>
        <w:rPr>
          <w:rStyle w:val="16"/>
          <w:rFonts w:hint="eastAsia" w:ascii="Calibri" w:hAnsi="宋体" w:eastAsia="宋体" w:cs="宋体"/>
          <w:color w:val="auto"/>
          <w:highlight w:val="none"/>
          <w:u w:val="single"/>
        </w:rPr>
        <w:t>缺陷责任期从工程通过竣工验收之日起计</w:t>
      </w:r>
      <w:r>
        <w:rPr>
          <w:rStyle w:val="16"/>
          <w:rFonts w:hint="eastAsia" w:hAnsi="宋体" w:cs="宋体"/>
          <w:color w:val="auto"/>
          <w:highlight w:val="none"/>
          <w:u w:val="single"/>
          <w:lang w:val="en-US" w:eastAsia="zh-CN"/>
        </w:rPr>
        <w:t>算</w:t>
      </w:r>
      <w:r>
        <w:rPr>
          <w:rStyle w:val="16"/>
          <w:rFonts w:hint="eastAsia" w:ascii="Calibri" w:hAnsi="宋体" w:eastAsia="宋体" w:cs="宋体"/>
          <w:color w:val="auto"/>
          <w:highlight w:val="none"/>
          <w:u w:val="single"/>
        </w:rPr>
        <w:t>，缺陷责任期限为： 2 年 。由于承包人原因导致工程无法按规定期限进行竣工验收的，缺陷责任期从实际通过竣工验收之日起计</w:t>
      </w:r>
      <w:r>
        <w:rPr>
          <w:rStyle w:val="16"/>
          <w:rFonts w:hint="eastAsia" w:hAnsi="宋体" w:cs="宋体"/>
          <w:color w:val="auto"/>
          <w:highlight w:val="none"/>
          <w:u w:val="single"/>
          <w:lang w:val="en-US" w:eastAsia="zh-CN"/>
        </w:rPr>
        <w:t>算</w:t>
      </w:r>
      <w:r>
        <w:rPr>
          <w:rStyle w:val="16"/>
          <w:rFonts w:hint="eastAsia" w:ascii="Calibri" w:hAnsi="宋体" w:eastAsia="宋体" w:cs="宋体"/>
          <w:color w:val="auto"/>
          <w:highlight w:val="none"/>
          <w:u w:val="single"/>
        </w:rPr>
        <w:t>。由于发包人原因导致工程无法按规定期限进行竣工验收的，在承包人提交竣工验收报告 90 天后，工程自动进入缺陷责任期</w:t>
      </w:r>
      <w:r>
        <w:rPr>
          <w:rStyle w:val="16"/>
          <w:rFonts w:hint="eastAsia" w:ascii="Calibri" w:hAnsi="宋体" w:eastAsia="宋体" w:cs="宋体"/>
          <w:color w:val="auto"/>
          <w:highlight w:val="none"/>
        </w:rPr>
        <w:t>。</w:t>
      </w:r>
    </w:p>
    <w:p w14:paraId="0AA46A87">
      <w:pPr>
        <w:pStyle w:val="18"/>
        <w:spacing w:line="360" w:lineRule="auto"/>
        <w:ind w:firstLine="420" w:firstLineChars="200"/>
        <w:jc w:val="left"/>
        <w:rPr>
          <w:rFonts w:hint="eastAsia" w:ascii="宋体" w:hAnsi="宋体" w:eastAsia="宋体" w:cs="宋体"/>
          <w:color w:val="000000"/>
          <w:sz w:val="21"/>
          <w:szCs w:val="21"/>
          <w:highlight w:val="none"/>
          <w:u w:val="single"/>
        </w:rPr>
      </w:pPr>
      <w:r>
        <w:rPr>
          <w:rStyle w:val="16"/>
          <w:rFonts w:hint="eastAsia" w:ascii="Calibri" w:hAnsi="宋体" w:eastAsia="宋体" w:cs="宋体"/>
          <w:color w:val="auto"/>
          <w:highlight w:val="none"/>
          <w:u w:val="single"/>
        </w:rPr>
        <w:t>单位工程先于全部工程进行验收，经验收合格并交付使用的，该单位工程缺陷责任期自单位工程验收合格之日起算。发包人未经竣工验收擅自使用工程的，缺陷责任期自工程转移占有之日起开始计算</w:t>
      </w:r>
      <w:r>
        <w:rPr>
          <w:rFonts w:hint="eastAsia" w:ascii="宋体" w:hAnsi="宋体" w:eastAsia="宋体" w:cs="宋体"/>
          <w:color w:val="000000"/>
          <w:sz w:val="21"/>
          <w:szCs w:val="21"/>
          <w:highlight w:val="none"/>
        </w:rPr>
        <w:t>。</w:t>
      </w:r>
    </w:p>
    <w:p w14:paraId="3059D9AD">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891" w:name="_Toc373478411"/>
      <w:bookmarkStart w:id="892" w:name="_Toc389065329"/>
      <w:bookmarkStart w:id="893" w:name="_Toc373227764"/>
      <w:bookmarkStart w:id="894" w:name="_Toc3258"/>
      <w:r>
        <w:rPr>
          <w:rFonts w:hint="eastAsia" w:ascii="宋体" w:hAnsi="宋体" w:eastAsia="宋体" w:cs="宋体"/>
          <w:color w:val="000000"/>
          <w:sz w:val="21"/>
          <w:szCs w:val="21"/>
          <w:highlight w:val="none"/>
        </w:rPr>
        <w:t>15.3 质量保证金</w:t>
      </w:r>
      <w:bookmarkEnd w:id="891"/>
      <w:bookmarkEnd w:id="892"/>
      <w:bookmarkEnd w:id="893"/>
      <w:bookmarkEnd w:id="894"/>
    </w:p>
    <w:p w14:paraId="617869C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关于是否扣留质量保证金的约定：</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是</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68B96C68">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15.3.1 承包人提供质量保证金的方式</w:t>
      </w:r>
    </w:p>
    <w:p w14:paraId="14212E1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质量保证金采用以下第</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 xml:space="preserve"> 2</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种方式：</w:t>
      </w:r>
    </w:p>
    <w:p w14:paraId="4773DBBA">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（1）质量保证金保函，保证金额为：</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5DFD3539">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w:t>
      </w:r>
      <w:r>
        <w:rPr>
          <w:rFonts w:hint="eastAsia" w:ascii="宋体" w:hAnsi="宋体" w:eastAsia="宋体" w:cs="宋体"/>
          <w:bCs/>
          <w:color w:val="000000"/>
          <w:sz w:val="21"/>
          <w:szCs w:val="21"/>
          <w:highlight w:val="none"/>
        </w:rPr>
        <w:t>发包人按工程价款结算总额的</w:t>
      </w:r>
      <w:r>
        <w:rPr>
          <w:rFonts w:hint="eastAsia" w:ascii="宋体" w:hAnsi="宋体" w:eastAsia="宋体" w:cs="宋体"/>
          <w:bCs/>
          <w:color w:val="000000"/>
          <w:sz w:val="21"/>
          <w:szCs w:val="21"/>
          <w:highlight w:val="none"/>
          <w:u w:val="single"/>
          <w:lang w:val="en-US" w:eastAsia="zh-CN"/>
        </w:rPr>
        <w:t xml:space="preserve"> 3 </w:t>
      </w:r>
      <w:r>
        <w:rPr>
          <w:rFonts w:hint="eastAsia" w:ascii="宋体" w:hAnsi="宋体" w:eastAsia="宋体" w:cs="宋体"/>
          <w:bCs/>
          <w:color w:val="000000"/>
          <w:sz w:val="21"/>
          <w:szCs w:val="21"/>
          <w:highlight w:val="none"/>
          <w:u w:val="single"/>
        </w:rPr>
        <w:t xml:space="preserve"> </w:t>
      </w:r>
      <w:r>
        <w:rPr>
          <w:rFonts w:hint="eastAsia" w:ascii="宋体" w:hAnsi="宋体" w:eastAsia="宋体" w:cs="宋体"/>
          <w:bCs/>
          <w:color w:val="000000"/>
          <w:sz w:val="21"/>
          <w:szCs w:val="21"/>
          <w:highlight w:val="none"/>
        </w:rPr>
        <w:t>%（</w:t>
      </w:r>
      <w:r>
        <w:rPr>
          <w:rFonts w:hint="eastAsia" w:ascii="宋体" w:hAnsi="宋体" w:eastAsia="宋体" w:cs="宋体"/>
          <w:color w:val="000000"/>
          <w:sz w:val="21"/>
          <w:szCs w:val="21"/>
          <w:highlight w:val="none"/>
        </w:rPr>
        <w:t>不得超过3%</w:t>
      </w:r>
      <w:r>
        <w:rPr>
          <w:rFonts w:hint="eastAsia" w:ascii="宋体" w:hAnsi="宋体" w:eastAsia="宋体" w:cs="宋体"/>
          <w:bCs/>
          <w:color w:val="000000"/>
          <w:sz w:val="21"/>
          <w:szCs w:val="21"/>
          <w:highlight w:val="none"/>
        </w:rPr>
        <w:t>）预留工程质量保修金，待缺陷责任期满后返还，</w:t>
      </w:r>
      <w:r>
        <w:rPr>
          <w:rFonts w:hint="eastAsia" w:ascii="宋体" w:hAnsi="宋体" w:eastAsia="宋体" w:cs="宋体"/>
          <w:color w:val="000000"/>
          <w:sz w:val="21"/>
          <w:szCs w:val="21"/>
          <w:highlight w:val="none"/>
        </w:rPr>
        <w:t>是否付息及利息计算方式为：</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 xml:space="preserve">不付利息 </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22F28522">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（3）其他方式：</w:t>
      </w:r>
      <w:r>
        <w:rPr>
          <w:rFonts w:hint="eastAsia" w:ascii="宋体" w:hAnsi="宋体" w:eastAsia="宋体" w:cs="宋体"/>
          <w:bCs/>
          <w:color w:val="000000"/>
          <w:sz w:val="21"/>
          <w:szCs w:val="21"/>
          <w:highlight w:val="none"/>
          <w:u w:val="single"/>
        </w:rPr>
        <w:t xml:space="preserve">              </w:t>
      </w:r>
      <w:r>
        <w:rPr>
          <w:rFonts w:hint="eastAsia" w:ascii="宋体" w:hAnsi="宋体" w:eastAsia="宋体" w:cs="宋体"/>
          <w:bCs/>
          <w:color w:val="000000"/>
          <w:sz w:val="21"/>
          <w:szCs w:val="21"/>
          <w:highlight w:val="none"/>
          <w:u w:val="single"/>
          <w:lang w:val="en-US" w:eastAsia="zh-CN"/>
        </w:rPr>
        <w:t>/</w:t>
      </w:r>
      <w:r>
        <w:rPr>
          <w:rFonts w:hint="eastAsia" w:ascii="宋体" w:hAnsi="宋体" w:eastAsia="宋体" w:cs="宋体"/>
          <w:bCs/>
          <w:color w:val="000000"/>
          <w:sz w:val="21"/>
          <w:szCs w:val="21"/>
          <w:highlight w:val="none"/>
          <w:u w:val="single"/>
        </w:rPr>
        <w:t xml:space="preserve">                                             </w:t>
      </w:r>
      <w:r>
        <w:rPr>
          <w:rFonts w:hint="eastAsia" w:ascii="宋体" w:hAnsi="宋体" w:eastAsia="宋体" w:cs="宋体"/>
          <w:bCs/>
          <w:color w:val="000000"/>
          <w:sz w:val="21"/>
          <w:szCs w:val="21"/>
          <w:highlight w:val="none"/>
        </w:rPr>
        <w:t>。</w:t>
      </w:r>
    </w:p>
    <w:p w14:paraId="33F3950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15.3.2 质量保证金的扣留</w:t>
      </w:r>
    </w:p>
    <w:p w14:paraId="500091B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质量保证金的扣留采取以下第</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2</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种方式：</w:t>
      </w:r>
    </w:p>
    <w:p w14:paraId="6E6627DE">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（1）在支付工程进度款时逐次扣留，质量保证金的计算基数不包括预付款的支付、扣回以及价格调整的金额；</w:t>
      </w:r>
    </w:p>
    <w:p w14:paraId="0070E2EA">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（2）工程竣工结算时，一次性扣留质量保证金，由承包人以银行保函、保证保险替代预留质量保证金，保函金额不得高于工程价款结算总额的</w:t>
      </w:r>
      <w:r>
        <w:rPr>
          <w:rFonts w:hint="eastAsia" w:ascii="宋体" w:hAnsi="宋体" w:eastAsia="宋体" w:cs="宋体"/>
          <w:color w:val="000000"/>
          <w:sz w:val="21"/>
          <w:szCs w:val="21"/>
          <w:highlight w:val="none"/>
          <w:lang w:val="en-US" w:eastAsia="zh-CN"/>
        </w:rPr>
        <w:t xml:space="preserve"> 3 </w:t>
      </w:r>
      <w:r>
        <w:rPr>
          <w:rFonts w:hint="eastAsia" w:ascii="宋体" w:hAnsi="宋体" w:eastAsia="宋体" w:cs="宋体"/>
          <w:color w:val="000000"/>
          <w:sz w:val="21"/>
          <w:szCs w:val="21"/>
          <w:highlight w:val="none"/>
        </w:rPr>
        <w:t>%；</w:t>
      </w:r>
    </w:p>
    <w:p w14:paraId="2FD79329">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（3）其他扣留方式:</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279A4C1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关于质量保证金的补充约定：</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bookmarkEnd w:id="858"/>
    <w:bookmarkEnd w:id="859"/>
    <w:p w14:paraId="0012C513">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895" w:name="_Toc373227765"/>
      <w:bookmarkStart w:id="896" w:name="_Toc22419"/>
      <w:bookmarkStart w:id="897" w:name="_Toc389065330"/>
      <w:bookmarkStart w:id="898" w:name="_Toc373478412"/>
      <w:r>
        <w:rPr>
          <w:rFonts w:hint="eastAsia" w:ascii="宋体" w:hAnsi="宋体" w:eastAsia="宋体" w:cs="宋体"/>
          <w:color w:val="000000"/>
          <w:sz w:val="21"/>
          <w:szCs w:val="21"/>
          <w:highlight w:val="none"/>
        </w:rPr>
        <w:t>15.4 保修</w:t>
      </w:r>
      <w:bookmarkEnd w:id="895"/>
      <w:bookmarkEnd w:id="896"/>
      <w:bookmarkEnd w:id="897"/>
      <w:bookmarkEnd w:id="898"/>
    </w:p>
    <w:bookmarkEnd w:id="860"/>
    <w:p w14:paraId="412512EF">
      <w:pPr>
        <w:pageBreakBefore w:val="0"/>
        <w:kinsoku/>
        <w:overflowPunct/>
        <w:topLinePunct w:val="0"/>
        <w:bidi w:val="0"/>
        <w:spacing w:line="360" w:lineRule="auto"/>
        <w:ind w:firstLine="409" w:firstLineChars="195"/>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15.4.1 保修责任</w:t>
      </w:r>
    </w:p>
    <w:p w14:paraId="29174A71">
      <w:pPr>
        <w:pageBreakBefore w:val="0"/>
        <w:kinsoku/>
        <w:overflowPunct/>
        <w:topLinePunct w:val="0"/>
        <w:bidi w:val="0"/>
        <w:spacing w:line="360" w:lineRule="auto"/>
        <w:ind w:firstLine="409" w:firstLineChars="195"/>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工程保修期为：</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见“工程质量保修书”</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76BD86D2">
      <w:pPr>
        <w:pageBreakBefore w:val="0"/>
        <w:kinsoku/>
        <w:overflowPunct/>
        <w:topLinePunct w:val="0"/>
        <w:bidi w:val="0"/>
        <w:spacing w:line="360" w:lineRule="auto"/>
        <w:ind w:firstLine="409" w:firstLineChars="195"/>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工程保修书具体内容见合同附件2。</w:t>
      </w:r>
    </w:p>
    <w:p w14:paraId="011C400E">
      <w:pPr>
        <w:pageBreakBefore w:val="0"/>
        <w:kinsoku/>
        <w:overflowPunct/>
        <w:topLinePunct w:val="0"/>
        <w:bidi w:val="0"/>
        <w:spacing w:line="360" w:lineRule="auto"/>
        <w:ind w:firstLine="409" w:firstLineChars="195"/>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15.4.3 修复通知</w:t>
      </w:r>
    </w:p>
    <w:p w14:paraId="073F3B46">
      <w:pPr>
        <w:pageBreakBefore w:val="0"/>
        <w:kinsoku/>
        <w:overflowPunct/>
        <w:topLinePunct w:val="0"/>
        <w:bidi w:val="0"/>
        <w:spacing w:line="360" w:lineRule="auto"/>
        <w:ind w:firstLine="409" w:firstLineChars="195"/>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承包人收到保修通知并到达工程现场的合理时间：</w:t>
      </w:r>
      <w:r>
        <w:rPr>
          <w:rStyle w:val="16"/>
          <w:rFonts w:hint="eastAsia" w:ascii="Calibri" w:hAnsi="Calibri" w:eastAsia="宋体" w:cs="Times New Roman"/>
          <w:color w:val="auto"/>
          <w:kern w:val="0"/>
          <w:highlight w:val="none"/>
          <w:u w:val="single"/>
        </w:rPr>
        <w:t>接</w:t>
      </w:r>
      <w:r>
        <w:rPr>
          <w:rStyle w:val="16"/>
          <w:rFonts w:hint="eastAsia" w:ascii="Calibri" w:hAnsi="Calibri" w:eastAsia="宋体" w:cs="Times New Roman"/>
          <w:color w:val="auto"/>
          <w:kern w:val="0"/>
          <w:highlight w:val="none"/>
          <w:u w:val="single"/>
          <w:lang w:eastAsia="zh-CN"/>
        </w:rPr>
        <w:t>到</w:t>
      </w:r>
      <w:r>
        <w:rPr>
          <w:rStyle w:val="16"/>
          <w:rFonts w:hint="eastAsia" w:ascii="Calibri" w:hAnsi="Calibri" w:eastAsia="宋体" w:cs="Times New Roman"/>
          <w:color w:val="auto"/>
          <w:kern w:val="0"/>
          <w:highlight w:val="none"/>
          <w:u w:val="single"/>
        </w:rPr>
        <w:t>发包人通知之日起</w:t>
      </w:r>
      <w:r>
        <w:rPr>
          <w:rStyle w:val="16"/>
          <w:rFonts w:hint="eastAsia" w:ascii="Calibri" w:hAnsi="Calibri" w:eastAsia="宋体" w:cs="Times New Roman"/>
          <w:color w:val="auto"/>
          <w:kern w:val="0"/>
          <w:highlight w:val="none"/>
          <w:u w:val="single"/>
          <w:lang w:val="en-US" w:eastAsia="zh-CN"/>
        </w:rPr>
        <w:t>24小时</w:t>
      </w:r>
      <w:r>
        <w:rPr>
          <w:rStyle w:val="16"/>
          <w:rFonts w:hint="eastAsia" w:ascii="Calibri" w:hAnsi="Calibri" w:eastAsia="宋体" w:cs="Times New Roman"/>
          <w:color w:val="auto"/>
          <w:kern w:val="0"/>
          <w:highlight w:val="none"/>
          <w:u w:val="single"/>
        </w:rPr>
        <w:t>内到达</w:t>
      </w:r>
      <w:r>
        <w:rPr>
          <w:rStyle w:val="16"/>
          <w:rFonts w:ascii="Calibri" w:hAnsi="Calibri" w:eastAsia="宋体" w:cs="Times New Roman"/>
          <w:color w:val="auto"/>
          <w:kern w:val="0"/>
          <w:highlight w:val="none"/>
          <w:u w:val="single"/>
        </w:rPr>
        <w:t xml:space="preserve"> </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bookmarkEnd w:id="861"/>
    <w:bookmarkEnd w:id="862"/>
    <w:bookmarkEnd w:id="863"/>
    <w:bookmarkEnd w:id="864"/>
    <w:p w14:paraId="28866E05">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899" w:name="_Toc351203648"/>
      <w:bookmarkStart w:id="900" w:name="_Toc389065331"/>
      <w:bookmarkStart w:id="901" w:name="_Toc373478413"/>
      <w:bookmarkStart w:id="902" w:name="_Toc7183"/>
      <w:bookmarkStart w:id="903" w:name="_Toc373227766"/>
      <w:bookmarkStart w:id="904" w:name="_Toc280868717"/>
      <w:bookmarkStart w:id="905" w:name="_Toc280868718"/>
      <w:r>
        <w:rPr>
          <w:rFonts w:hint="eastAsia" w:ascii="宋体" w:hAnsi="宋体" w:eastAsia="宋体" w:cs="宋体"/>
          <w:color w:val="000000"/>
          <w:sz w:val="21"/>
          <w:szCs w:val="21"/>
          <w:highlight w:val="none"/>
        </w:rPr>
        <w:t>16. 违约</w:t>
      </w:r>
      <w:bookmarkEnd w:id="899"/>
      <w:bookmarkEnd w:id="900"/>
      <w:bookmarkEnd w:id="901"/>
      <w:bookmarkEnd w:id="902"/>
      <w:bookmarkEnd w:id="903"/>
    </w:p>
    <w:p w14:paraId="0776FFE7">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06" w:name="_Toc373227767"/>
      <w:bookmarkStart w:id="907" w:name="_Toc373478414"/>
      <w:bookmarkStart w:id="908" w:name="_Toc21939"/>
      <w:bookmarkStart w:id="909" w:name="_Toc389065332"/>
      <w:r>
        <w:rPr>
          <w:rFonts w:hint="eastAsia" w:ascii="宋体" w:hAnsi="宋体" w:eastAsia="宋体" w:cs="宋体"/>
          <w:color w:val="000000"/>
          <w:sz w:val="21"/>
          <w:szCs w:val="21"/>
          <w:highlight w:val="none"/>
        </w:rPr>
        <w:t>16.1 发包人违约</w:t>
      </w:r>
      <w:bookmarkEnd w:id="906"/>
      <w:bookmarkEnd w:id="907"/>
      <w:bookmarkEnd w:id="908"/>
      <w:bookmarkEnd w:id="909"/>
    </w:p>
    <w:p w14:paraId="24A8322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16.1.1发包人违约的情形</w:t>
      </w:r>
    </w:p>
    <w:p w14:paraId="770FA1C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发包人违约的其他情形：</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01F1DB4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16.1.2 发包人违约的责任</w:t>
      </w:r>
    </w:p>
    <w:p w14:paraId="47FE2AD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发包人违约责任的承担方式和计算方法：</w:t>
      </w:r>
    </w:p>
    <w:p w14:paraId="4089034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（1）因发包人原因未能在计划开工日期前7天内下达开工通知的违约责任：</w:t>
      </w:r>
      <w:r>
        <w:rPr>
          <w:rFonts w:hint="eastAsia" w:ascii="宋体" w:hAnsi="宋体" w:eastAsia="宋体" w:cs="宋体"/>
          <w:color w:val="000000"/>
          <w:sz w:val="21"/>
          <w:szCs w:val="21"/>
          <w:highlight w:val="none"/>
          <w:u w:val="single"/>
        </w:rPr>
        <w:t xml:space="preserve">    </w:t>
      </w:r>
      <w:r>
        <w:rPr>
          <w:rStyle w:val="16"/>
          <w:rFonts w:hint="eastAsia" w:ascii="Calibri" w:hAnsi="Calibri" w:eastAsia="宋体" w:cs="Times New Roman"/>
          <w:color w:val="auto"/>
          <w:kern w:val="0"/>
          <w:highlight w:val="none"/>
          <w:u w:val="single"/>
          <w:lang w:eastAsia="zh-CN"/>
        </w:rPr>
        <w:t>工期顺延</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78DCF3D4">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（2）因发包人原因未能按合同约定支付合同价款的违约责任：</w:t>
      </w:r>
      <w:r>
        <w:rPr>
          <w:rFonts w:hint="eastAsia" w:ascii="宋体" w:hAnsi="宋体" w:eastAsia="宋体" w:cs="宋体"/>
          <w:color w:val="000000"/>
          <w:sz w:val="21"/>
          <w:szCs w:val="21"/>
          <w:highlight w:val="none"/>
          <w:u w:val="single"/>
        </w:rPr>
        <w:t xml:space="preserve"> </w:t>
      </w:r>
      <w:r>
        <w:rPr>
          <w:rStyle w:val="16"/>
          <w:rFonts w:hint="eastAsia" w:ascii="Calibri" w:hAnsi="Calibri" w:eastAsia="宋体" w:cs="Times New Roman"/>
          <w:color w:val="auto"/>
          <w:kern w:val="0"/>
          <w:highlight w:val="none"/>
          <w:u w:val="single"/>
          <w:lang w:eastAsia="zh-CN"/>
        </w:rPr>
        <w:t>工期顺延，</w:t>
      </w:r>
      <w:r>
        <w:rPr>
          <w:rStyle w:val="16"/>
          <w:rFonts w:hint="eastAsia" w:ascii="Calibri" w:hAnsi="Calibri" w:eastAsia="宋体" w:cs="Times New Roman"/>
          <w:color w:val="auto"/>
          <w:kern w:val="0"/>
          <w:highlight w:val="none"/>
          <w:u w:val="single"/>
          <w:lang w:val="en-US" w:eastAsia="zh-CN"/>
        </w:rPr>
        <w:t>不支付延期利息</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3FAB5E6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（3）发包人违反第10.1款〔变更的范围〕第（2）项约定，自行实施被取消的工作或转由他人实施的违约责任：</w:t>
      </w:r>
      <w:r>
        <w:rPr>
          <w:rStyle w:val="16"/>
          <w:rFonts w:ascii="Calibri" w:hAnsi="Calibri" w:eastAsia="宋体" w:cs="Times New Roman"/>
          <w:color w:val="auto"/>
          <w:kern w:val="0"/>
          <w:highlight w:val="none"/>
          <w:u w:val="single"/>
        </w:rPr>
        <w:t xml:space="preserve">  </w:t>
      </w:r>
      <w:r>
        <w:rPr>
          <w:rStyle w:val="16"/>
          <w:rFonts w:hint="eastAsia" w:ascii="Calibri" w:hAnsi="Calibri" w:eastAsia="宋体" w:cs="Times New Roman"/>
          <w:color w:val="auto"/>
          <w:kern w:val="0"/>
          <w:highlight w:val="none"/>
          <w:u w:val="single"/>
        </w:rPr>
        <w:t>甲乙双方商定，另签补充协议</w:t>
      </w:r>
      <w:r>
        <w:rPr>
          <w:rStyle w:val="16"/>
          <w:rFonts w:ascii="Calibri" w:hAnsi="Calibri" w:eastAsia="宋体" w:cs="Times New Roman"/>
          <w:color w:val="auto"/>
          <w:kern w:val="0"/>
          <w:highlight w:val="none"/>
          <w:u w:val="single"/>
        </w:rPr>
        <w:t xml:space="preserve">  </w:t>
      </w:r>
      <w:r>
        <w:rPr>
          <w:rStyle w:val="16"/>
          <w:rFonts w:hint="eastAsia" w:ascii="Calibri" w:hAnsi="Calibri" w:eastAsia="宋体" w:cs="Times New Roman"/>
          <w:color w:val="auto"/>
          <w:kern w:val="0"/>
          <w:highlight w:val="none"/>
          <w:u w:val="single"/>
          <w:lang w:val="en-US" w:eastAsia="zh-CN"/>
        </w:rPr>
        <w:t xml:space="preserve"> </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335AE902">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（4）发包人提供的材料、工程设备的规格、数量或质量不符合合同约定，或因发包人原因导致交货日期延误或交货地点变更等情况的违约责任：</w:t>
      </w:r>
      <w:r>
        <w:rPr>
          <w:rStyle w:val="16"/>
          <w:rFonts w:ascii="Calibri" w:hAnsi="Calibri" w:eastAsia="宋体" w:cs="Times New Roman"/>
          <w:color w:val="auto"/>
          <w:kern w:val="0"/>
          <w:highlight w:val="none"/>
          <w:u w:val="single"/>
        </w:rPr>
        <w:t xml:space="preserve">   </w:t>
      </w:r>
      <w:r>
        <w:rPr>
          <w:rStyle w:val="16"/>
          <w:rFonts w:hint="eastAsia" w:ascii="Calibri" w:hAnsi="Calibri" w:eastAsia="宋体" w:cs="Times New Roman"/>
          <w:color w:val="auto"/>
          <w:kern w:val="0"/>
          <w:highlight w:val="none"/>
          <w:u w:val="single"/>
          <w:lang w:eastAsia="zh-CN"/>
        </w:rPr>
        <w:t>更换材料设备，工期顺延</w:t>
      </w:r>
      <w:r>
        <w:rPr>
          <w:rStyle w:val="16"/>
          <w:rFonts w:ascii="Calibri" w:hAnsi="Calibri" w:eastAsia="宋体" w:cs="Times New Roman"/>
          <w:color w:val="auto"/>
          <w:kern w:val="0"/>
          <w:highlight w:val="none"/>
          <w:u w:val="single"/>
        </w:rPr>
        <w:t xml:space="preserve">  </w:t>
      </w:r>
      <w:r>
        <w:rPr>
          <w:rFonts w:hint="eastAsia" w:ascii="宋体" w:hAnsi="宋体" w:eastAsia="宋体" w:cs="宋体"/>
          <w:color w:val="000000"/>
          <w:sz w:val="21"/>
          <w:szCs w:val="21"/>
          <w:highlight w:val="none"/>
        </w:rPr>
        <w:t>。</w:t>
      </w:r>
    </w:p>
    <w:p w14:paraId="636ACA96">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（5）因发包人违反合同约定造成暂停施工的违约责任：</w:t>
      </w:r>
      <w:r>
        <w:rPr>
          <w:rFonts w:hint="eastAsia" w:ascii="宋体" w:hAnsi="宋体" w:eastAsia="宋体" w:cs="宋体"/>
          <w:color w:val="000000"/>
          <w:sz w:val="21"/>
          <w:szCs w:val="21"/>
          <w:highlight w:val="none"/>
          <w:u w:val="single"/>
        </w:rPr>
        <w:t xml:space="preserve">  </w:t>
      </w:r>
      <w:r>
        <w:rPr>
          <w:rStyle w:val="16"/>
          <w:rFonts w:hint="eastAsia" w:ascii="Calibri" w:hAnsi="Calibri" w:eastAsia="宋体" w:cs="Times New Roman"/>
          <w:color w:val="auto"/>
          <w:kern w:val="0"/>
          <w:highlight w:val="none"/>
          <w:u w:val="single"/>
          <w:lang w:eastAsia="zh-CN"/>
        </w:rPr>
        <w:t>工期顺延</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2154431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（6）发包人无正当理由没有在约定期限内发出复工指示，导致承包人无法复工的违约责任：</w:t>
      </w:r>
      <w:r>
        <w:rPr>
          <w:rFonts w:hint="eastAsia" w:ascii="宋体" w:hAnsi="宋体" w:eastAsia="宋体" w:cs="宋体"/>
          <w:color w:val="000000"/>
          <w:sz w:val="21"/>
          <w:szCs w:val="21"/>
          <w:highlight w:val="none"/>
          <w:u w:val="single"/>
        </w:rPr>
        <w:t xml:space="preserve">  </w:t>
      </w:r>
      <w:r>
        <w:rPr>
          <w:rStyle w:val="16"/>
          <w:rFonts w:hint="eastAsia" w:ascii="Calibri" w:hAnsi="Calibri" w:eastAsia="宋体" w:cs="Times New Roman"/>
          <w:color w:val="auto"/>
          <w:kern w:val="0"/>
          <w:highlight w:val="none"/>
          <w:u w:val="single"/>
          <w:lang w:eastAsia="zh-CN"/>
        </w:rPr>
        <w:t>工期顺延</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2DB95EE2">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（7）其他：</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p w14:paraId="18CC7AC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16.1.3 因发包人违约解除合同</w:t>
      </w:r>
    </w:p>
    <w:p w14:paraId="0ACC319F">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承包人按16.1.1项〔发包人违约的情形〕约定暂停施工满</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28</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天后发包人仍不纠正其违约行为并致使合同目的不能实现的，承包人有权解除合同。</w:t>
      </w:r>
    </w:p>
    <w:p w14:paraId="58D6F5DB">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10" w:name="_Toc373227768"/>
      <w:bookmarkStart w:id="911" w:name="_Toc373478415"/>
      <w:bookmarkStart w:id="912" w:name="_Toc28910"/>
      <w:bookmarkStart w:id="913" w:name="_Toc389065333"/>
      <w:r>
        <w:rPr>
          <w:rFonts w:hint="eastAsia" w:ascii="宋体" w:hAnsi="宋体" w:eastAsia="宋体" w:cs="宋体"/>
          <w:color w:val="000000"/>
          <w:sz w:val="21"/>
          <w:szCs w:val="21"/>
          <w:highlight w:val="none"/>
        </w:rPr>
        <w:t>16.2 承包人违约</w:t>
      </w:r>
      <w:bookmarkEnd w:id="910"/>
      <w:bookmarkEnd w:id="911"/>
      <w:bookmarkEnd w:id="912"/>
      <w:bookmarkEnd w:id="913"/>
    </w:p>
    <w:p w14:paraId="7130F2C2">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16.2.1 承包人违约的情形</w:t>
      </w:r>
    </w:p>
    <w:p w14:paraId="35CA5B4A">
      <w:pPr>
        <w:pStyle w:val="29"/>
        <w:spacing w:line="360" w:lineRule="auto"/>
        <w:ind w:firstLine="420" w:firstLineChars="200"/>
        <w:jc w:val="left"/>
        <w:rPr>
          <w:rStyle w:val="16"/>
          <w:rFonts w:ascii="宋体" w:hAnsi="宋体" w:eastAsia="宋体" w:cs="Times New Roman"/>
          <w:color w:val="auto"/>
          <w:kern w:val="0"/>
          <w:sz w:val="21"/>
          <w:szCs w:val="21"/>
          <w:highlight w:val="none"/>
          <w:u w:val="none"/>
        </w:rPr>
      </w:pPr>
      <w:r>
        <w:rPr>
          <w:rStyle w:val="16"/>
          <w:rFonts w:hint="eastAsia" w:ascii="宋体" w:hAnsi="宋体" w:eastAsia="宋体" w:cs="Times New Roman"/>
          <w:color w:val="auto"/>
          <w:kern w:val="0"/>
          <w:sz w:val="21"/>
          <w:szCs w:val="21"/>
          <w:highlight w:val="none"/>
          <w:u w:val="none"/>
        </w:rPr>
        <w:t>（</w:t>
      </w:r>
      <w:r>
        <w:rPr>
          <w:rStyle w:val="16"/>
          <w:rFonts w:hint="eastAsia" w:ascii="宋体" w:hAnsi="宋体" w:eastAsia="宋体" w:cs="Times New Roman"/>
          <w:color w:val="auto"/>
          <w:kern w:val="0"/>
          <w:sz w:val="21"/>
          <w:szCs w:val="21"/>
          <w:highlight w:val="none"/>
          <w:u w:val="none"/>
          <w:lang w:val="en-US" w:eastAsia="zh-CN"/>
        </w:rPr>
        <w:t>1</w:t>
      </w:r>
      <w:r>
        <w:rPr>
          <w:rStyle w:val="16"/>
          <w:rFonts w:hint="eastAsia" w:ascii="宋体" w:hAnsi="宋体" w:eastAsia="宋体" w:cs="Times New Roman"/>
          <w:color w:val="auto"/>
          <w:kern w:val="0"/>
          <w:sz w:val="21"/>
          <w:szCs w:val="21"/>
          <w:highlight w:val="none"/>
          <w:u w:val="none"/>
        </w:rPr>
        <w:t>）承包人未经发包人、监理人事先同意，擅自更换合同工程项目经理、技术负责人或其他主要管理人员。</w:t>
      </w:r>
    </w:p>
    <w:p w14:paraId="5CEF9C81">
      <w:pPr>
        <w:pStyle w:val="29"/>
        <w:spacing w:line="360" w:lineRule="auto"/>
        <w:ind w:firstLine="420" w:firstLineChars="200"/>
        <w:jc w:val="left"/>
        <w:rPr>
          <w:rStyle w:val="16"/>
          <w:rFonts w:ascii="宋体" w:hAnsi="宋体" w:eastAsia="宋体" w:cs="Times New Roman"/>
          <w:color w:val="auto"/>
          <w:kern w:val="0"/>
          <w:sz w:val="21"/>
          <w:szCs w:val="21"/>
          <w:highlight w:val="none"/>
          <w:u w:val="none"/>
        </w:rPr>
      </w:pPr>
      <w:r>
        <w:rPr>
          <w:rStyle w:val="16"/>
          <w:rFonts w:hint="eastAsia" w:ascii="宋体" w:hAnsi="宋体" w:eastAsia="宋体" w:cs="Times New Roman"/>
          <w:color w:val="auto"/>
          <w:kern w:val="0"/>
          <w:sz w:val="21"/>
          <w:szCs w:val="21"/>
          <w:highlight w:val="none"/>
          <w:u w:val="none"/>
        </w:rPr>
        <w:t>（</w:t>
      </w:r>
      <w:r>
        <w:rPr>
          <w:rStyle w:val="16"/>
          <w:rFonts w:hint="eastAsia" w:ascii="宋体" w:hAnsi="宋体" w:eastAsia="宋体" w:cs="Times New Roman"/>
          <w:color w:val="auto"/>
          <w:kern w:val="0"/>
          <w:sz w:val="21"/>
          <w:szCs w:val="21"/>
          <w:highlight w:val="none"/>
          <w:u w:val="none"/>
          <w:lang w:val="en-US" w:eastAsia="zh-CN"/>
        </w:rPr>
        <w:t>2</w:t>
      </w:r>
      <w:r>
        <w:rPr>
          <w:rStyle w:val="16"/>
          <w:rFonts w:hint="eastAsia" w:ascii="宋体" w:hAnsi="宋体" w:eastAsia="宋体" w:cs="Times New Roman"/>
          <w:color w:val="auto"/>
          <w:kern w:val="0"/>
          <w:sz w:val="21"/>
          <w:szCs w:val="21"/>
          <w:highlight w:val="none"/>
          <w:u w:val="none"/>
        </w:rPr>
        <w:t>）将工程预付款、进度款以及发包人支付用于本项目的其他费用挪作他用；</w:t>
      </w:r>
    </w:p>
    <w:p w14:paraId="0D70F1B4">
      <w:pPr>
        <w:pStyle w:val="29"/>
        <w:spacing w:line="360" w:lineRule="auto"/>
        <w:ind w:firstLine="420" w:firstLineChars="200"/>
        <w:jc w:val="left"/>
        <w:rPr>
          <w:rStyle w:val="16"/>
          <w:rFonts w:ascii="宋体" w:hAnsi="宋体" w:eastAsia="宋体" w:cs="Times New Roman"/>
          <w:color w:val="auto"/>
          <w:kern w:val="0"/>
          <w:sz w:val="21"/>
          <w:szCs w:val="21"/>
          <w:highlight w:val="none"/>
          <w:u w:val="none"/>
        </w:rPr>
      </w:pPr>
      <w:r>
        <w:rPr>
          <w:rStyle w:val="16"/>
          <w:rFonts w:hint="eastAsia" w:ascii="宋体" w:hAnsi="宋体" w:eastAsia="宋体" w:cs="Times New Roman"/>
          <w:color w:val="auto"/>
          <w:kern w:val="0"/>
          <w:sz w:val="21"/>
          <w:szCs w:val="21"/>
          <w:highlight w:val="none"/>
          <w:u w:val="none"/>
        </w:rPr>
        <w:t>（</w:t>
      </w:r>
      <w:r>
        <w:rPr>
          <w:rStyle w:val="16"/>
          <w:rFonts w:hint="eastAsia" w:ascii="宋体" w:hAnsi="宋体" w:eastAsia="宋体" w:cs="Times New Roman"/>
          <w:color w:val="auto"/>
          <w:kern w:val="0"/>
          <w:sz w:val="21"/>
          <w:szCs w:val="21"/>
          <w:highlight w:val="none"/>
          <w:u w:val="none"/>
          <w:lang w:val="en-US" w:eastAsia="zh-CN"/>
        </w:rPr>
        <w:t>3</w:t>
      </w:r>
      <w:r>
        <w:rPr>
          <w:rStyle w:val="16"/>
          <w:rFonts w:hint="eastAsia" w:ascii="宋体" w:hAnsi="宋体" w:eastAsia="宋体" w:cs="Times New Roman"/>
          <w:color w:val="auto"/>
          <w:kern w:val="0"/>
          <w:sz w:val="21"/>
          <w:szCs w:val="21"/>
          <w:highlight w:val="none"/>
          <w:u w:val="none"/>
        </w:rPr>
        <w:t>）承包人使用了不合格的材料或工程设备又拒绝清除不合格的材料或工程设备，或因使用了不合格的材料或工程设备导致工程质量达不到标准要求又拒绝清除或修复不合格工程；</w:t>
      </w:r>
    </w:p>
    <w:p w14:paraId="53B85D89">
      <w:pPr>
        <w:pStyle w:val="29"/>
        <w:spacing w:line="360" w:lineRule="auto"/>
        <w:ind w:firstLine="420" w:firstLineChars="200"/>
        <w:jc w:val="left"/>
        <w:rPr>
          <w:rStyle w:val="16"/>
          <w:rFonts w:ascii="宋体" w:hAnsi="宋体" w:eastAsia="宋体" w:cs="Times New Roman"/>
          <w:color w:val="auto"/>
          <w:kern w:val="0"/>
          <w:sz w:val="21"/>
          <w:szCs w:val="21"/>
          <w:highlight w:val="none"/>
          <w:u w:val="none"/>
        </w:rPr>
      </w:pPr>
      <w:r>
        <w:rPr>
          <w:rStyle w:val="16"/>
          <w:rFonts w:hint="eastAsia" w:ascii="宋体" w:hAnsi="宋体" w:eastAsia="宋体" w:cs="Times New Roman"/>
          <w:color w:val="auto"/>
          <w:kern w:val="0"/>
          <w:sz w:val="21"/>
          <w:szCs w:val="21"/>
          <w:highlight w:val="none"/>
          <w:u w:val="none"/>
        </w:rPr>
        <w:t>（</w:t>
      </w:r>
      <w:r>
        <w:rPr>
          <w:rStyle w:val="16"/>
          <w:rFonts w:hint="eastAsia" w:ascii="宋体" w:hAnsi="宋体" w:eastAsia="宋体" w:cs="Times New Roman"/>
          <w:color w:val="auto"/>
          <w:kern w:val="0"/>
          <w:sz w:val="21"/>
          <w:szCs w:val="21"/>
          <w:highlight w:val="none"/>
          <w:u w:val="none"/>
          <w:lang w:val="en-US" w:eastAsia="zh-CN"/>
        </w:rPr>
        <w:t>4</w:t>
      </w:r>
      <w:r>
        <w:rPr>
          <w:rStyle w:val="16"/>
          <w:rFonts w:hint="eastAsia" w:ascii="宋体" w:hAnsi="宋体" w:eastAsia="宋体" w:cs="Times New Roman"/>
          <w:color w:val="auto"/>
          <w:kern w:val="0"/>
          <w:sz w:val="21"/>
          <w:szCs w:val="21"/>
          <w:highlight w:val="none"/>
          <w:u w:val="none"/>
        </w:rPr>
        <w:t>）承包人使用了不合格的材料或工程设备或工程质量达不到标准要求等造成安全质量事故；</w:t>
      </w:r>
    </w:p>
    <w:p w14:paraId="4A9B3F53">
      <w:pPr>
        <w:pStyle w:val="29"/>
        <w:spacing w:line="360" w:lineRule="auto"/>
        <w:ind w:firstLine="420" w:firstLineChars="200"/>
        <w:jc w:val="left"/>
        <w:rPr>
          <w:rStyle w:val="16"/>
          <w:rFonts w:ascii="宋体" w:hAnsi="宋体" w:eastAsia="宋体" w:cs="Times New Roman"/>
          <w:color w:val="auto"/>
          <w:kern w:val="0"/>
          <w:sz w:val="21"/>
          <w:szCs w:val="21"/>
          <w:highlight w:val="none"/>
          <w:u w:val="none"/>
        </w:rPr>
      </w:pPr>
      <w:r>
        <w:rPr>
          <w:rStyle w:val="16"/>
          <w:rFonts w:hint="eastAsia" w:ascii="宋体" w:hAnsi="宋体" w:eastAsia="宋体" w:cs="Times New Roman"/>
          <w:color w:val="auto"/>
          <w:kern w:val="0"/>
          <w:sz w:val="21"/>
          <w:szCs w:val="21"/>
          <w:highlight w:val="none"/>
          <w:u w:val="none"/>
        </w:rPr>
        <w:t>（</w:t>
      </w:r>
      <w:r>
        <w:rPr>
          <w:rStyle w:val="16"/>
          <w:rFonts w:hint="eastAsia" w:ascii="宋体" w:hAnsi="宋体" w:eastAsia="宋体" w:cs="Times New Roman"/>
          <w:color w:val="auto"/>
          <w:kern w:val="0"/>
          <w:sz w:val="21"/>
          <w:szCs w:val="21"/>
          <w:highlight w:val="none"/>
          <w:u w:val="none"/>
          <w:lang w:val="en-US" w:eastAsia="zh-CN"/>
        </w:rPr>
        <w:t>5</w:t>
      </w:r>
      <w:r>
        <w:rPr>
          <w:rStyle w:val="16"/>
          <w:rFonts w:hint="eastAsia" w:ascii="宋体" w:hAnsi="宋体" w:eastAsia="宋体" w:cs="Times New Roman"/>
          <w:color w:val="auto"/>
          <w:kern w:val="0"/>
          <w:sz w:val="21"/>
          <w:szCs w:val="21"/>
          <w:highlight w:val="none"/>
          <w:u w:val="none"/>
        </w:rPr>
        <w:t>）合同工程竣工后，经两次验收仍不能达到合同约定的质量标准；</w:t>
      </w:r>
    </w:p>
    <w:p w14:paraId="23E52FA8">
      <w:pPr>
        <w:pStyle w:val="29"/>
        <w:spacing w:line="360" w:lineRule="auto"/>
        <w:ind w:firstLine="420" w:firstLineChars="200"/>
        <w:jc w:val="left"/>
        <w:rPr>
          <w:rStyle w:val="16"/>
          <w:rFonts w:ascii="宋体" w:hAnsi="宋体" w:eastAsia="宋体" w:cs="Times New Roman"/>
          <w:color w:val="auto"/>
          <w:kern w:val="0"/>
          <w:sz w:val="21"/>
          <w:szCs w:val="21"/>
          <w:highlight w:val="none"/>
          <w:u w:val="none"/>
        </w:rPr>
      </w:pPr>
      <w:r>
        <w:rPr>
          <w:rStyle w:val="16"/>
          <w:rFonts w:hint="eastAsia" w:ascii="宋体" w:hAnsi="宋体" w:eastAsia="宋体" w:cs="Times New Roman"/>
          <w:color w:val="auto"/>
          <w:kern w:val="0"/>
          <w:sz w:val="21"/>
          <w:szCs w:val="21"/>
          <w:highlight w:val="none"/>
          <w:u w:val="none"/>
        </w:rPr>
        <w:t>（</w:t>
      </w:r>
      <w:r>
        <w:rPr>
          <w:rStyle w:val="16"/>
          <w:rFonts w:hint="eastAsia" w:ascii="宋体" w:hAnsi="宋体" w:eastAsia="宋体" w:cs="Times New Roman"/>
          <w:color w:val="auto"/>
          <w:kern w:val="0"/>
          <w:sz w:val="21"/>
          <w:szCs w:val="21"/>
          <w:highlight w:val="none"/>
          <w:u w:val="none"/>
          <w:lang w:val="en-US" w:eastAsia="zh-CN"/>
        </w:rPr>
        <w:t>6</w:t>
      </w:r>
      <w:r>
        <w:rPr>
          <w:rStyle w:val="16"/>
          <w:rFonts w:hint="eastAsia" w:ascii="宋体" w:hAnsi="宋体" w:eastAsia="宋体" w:cs="Times New Roman"/>
          <w:color w:val="auto"/>
          <w:kern w:val="0"/>
          <w:sz w:val="21"/>
          <w:szCs w:val="21"/>
          <w:highlight w:val="none"/>
          <w:u w:val="none"/>
        </w:rPr>
        <w:t>）承包人拒绝执行发包人或监理人发出的关于本工程的指令的；或以招标工程量清单中的措施项目出现错误、缺项、漏项情况为由，拒绝执行相应部分内容施工的；或以变更或增加部分与本合同无实质性关联为由，拒绝执行的；或以变更或增加部分子目单价低或超出施工能力范围等为由拒绝施工的；或拒绝执行合同约定的其他情形的。</w:t>
      </w:r>
    </w:p>
    <w:p w14:paraId="417C88FE">
      <w:pPr>
        <w:pStyle w:val="29"/>
        <w:spacing w:line="360" w:lineRule="auto"/>
        <w:ind w:firstLine="420" w:firstLineChars="200"/>
        <w:jc w:val="left"/>
        <w:rPr>
          <w:rStyle w:val="16"/>
          <w:rFonts w:ascii="宋体" w:hAnsi="宋体" w:eastAsia="宋体" w:cs="Times New Roman"/>
          <w:color w:val="auto"/>
          <w:kern w:val="0"/>
          <w:sz w:val="21"/>
          <w:szCs w:val="21"/>
          <w:highlight w:val="none"/>
          <w:u w:val="none"/>
        </w:rPr>
      </w:pPr>
      <w:r>
        <w:rPr>
          <w:rStyle w:val="16"/>
          <w:rFonts w:hint="eastAsia" w:ascii="宋体" w:hAnsi="宋体" w:eastAsia="宋体" w:cs="Times New Roman"/>
          <w:color w:val="auto"/>
          <w:kern w:val="0"/>
          <w:sz w:val="21"/>
          <w:szCs w:val="21"/>
          <w:highlight w:val="none"/>
          <w:u w:val="none"/>
        </w:rPr>
        <w:t>（</w:t>
      </w:r>
      <w:r>
        <w:rPr>
          <w:rStyle w:val="16"/>
          <w:rFonts w:hint="eastAsia" w:ascii="宋体" w:hAnsi="宋体" w:eastAsia="宋体" w:cs="Times New Roman"/>
          <w:color w:val="auto"/>
          <w:kern w:val="0"/>
          <w:sz w:val="21"/>
          <w:szCs w:val="21"/>
          <w:highlight w:val="none"/>
          <w:u w:val="none"/>
          <w:lang w:val="en-US" w:eastAsia="zh-CN"/>
        </w:rPr>
        <w:t>7</w:t>
      </w:r>
      <w:r>
        <w:rPr>
          <w:rStyle w:val="16"/>
          <w:rFonts w:hint="eastAsia" w:ascii="宋体" w:hAnsi="宋体" w:eastAsia="宋体" w:cs="Times New Roman"/>
          <w:color w:val="auto"/>
          <w:kern w:val="0"/>
          <w:sz w:val="21"/>
          <w:szCs w:val="21"/>
          <w:highlight w:val="none"/>
          <w:u w:val="none"/>
        </w:rPr>
        <w:t>）如果承包人或承包人的工作人员（不论承包人是否知晓）以贿赂或变相贿赂的方式，谋取不当利益或损害发包人权益的；</w:t>
      </w:r>
    </w:p>
    <w:p w14:paraId="111A9502">
      <w:pPr>
        <w:pStyle w:val="29"/>
        <w:spacing w:line="360" w:lineRule="auto"/>
        <w:ind w:firstLine="420" w:firstLineChars="200"/>
        <w:jc w:val="left"/>
        <w:rPr>
          <w:rStyle w:val="16"/>
          <w:rFonts w:ascii="宋体" w:hAnsi="宋体" w:eastAsia="宋体" w:cs="Times New Roman"/>
          <w:color w:val="auto"/>
          <w:kern w:val="0"/>
          <w:sz w:val="21"/>
          <w:szCs w:val="21"/>
          <w:highlight w:val="none"/>
          <w:u w:val="none"/>
        </w:rPr>
      </w:pPr>
      <w:r>
        <w:rPr>
          <w:rStyle w:val="16"/>
          <w:rFonts w:hint="eastAsia" w:ascii="宋体" w:hAnsi="宋体" w:eastAsia="宋体" w:cs="Times New Roman"/>
          <w:color w:val="auto"/>
          <w:kern w:val="0"/>
          <w:sz w:val="21"/>
          <w:szCs w:val="21"/>
          <w:highlight w:val="none"/>
          <w:u w:val="none"/>
        </w:rPr>
        <w:t>（</w:t>
      </w:r>
      <w:r>
        <w:rPr>
          <w:rStyle w:val="16"/>
          <w:rFonts w:hint="eastAsia" w:ascii="宋体" w:hAnsi="宋体" w:eastAsia="宋体" w:cs="Times New Roman"/>
          <w:color w:val="auto"/>
          <w:kern w:val="0"/>
          <w:sz w:val="21"/>
          <w:szCs w:val="21"/>
          <w:highlight w:val="none"/>
          <w:u w:val="none"/>
          <w:lang w:val="en-US" w:eastAsia="zh-CN"/>
        </w:rPr>
        <w:t>8</w:t>
      </w:r>
      <w:r>
        <w:rPr>
          <w:rStyle w:val="16"/>
          <w:rFonts w:hint="eastAsia" w:ascii="宋体" w:hAnsi="宋体" w:eastAsia="宋体" w:cs="Times New Roman"/>
          <w:color w:val="auto"/>
          <w:kern w:val="0"/>
          <w:sz w:val="21"/>
          <w:szCs w:val="21"/>
          <w:highlight w:val="none"/>
          <w:u w:val="none"/>
        </w:rPr>
        <w:t>) 未经验收或验收不合格，擅自进行隐蔽工程的覆盖或其他工程下道工序的施工，或验收合格后到隐蔽施工前对通过隐蔽验收的合格部分有任何改动；</w:t>
      </w:r>
    </w:p>
    <w:p w14:paraId="6FD283F2">
      <w:pPr>
        <w:pStyle w:val="29"/>
        <w:spacing w:line="360" w:lineRule="auto"/>
        <w:ind w:firstLine="420" w:firstLineChars="200"/>
        <w:jc w:val="left"/>
        <w:rPr>
          <w:rStyle w:val="16"/>
          <w:rFonts w:ascii="宋体" w:hAnsi="宋体" w:eastAsia="宋体" w:cs="Times New Roman"/>
          <w:color w:val="auto"/>
          <w:kern w:val="0"/>
          <w:sz w:val="21"/>
          <w:szCs w:val="21"/>
          <w:highlight w:val="none"/>
          <w:u w:val="none"/>
        </w:rPr>
      </w:pPr>
      <w:r>
        <w:rPr>
          <w:rStyle w:val="16"/>
          <w:rFonts w:hint="eastAsia" w:ascii="宋体" w:hAnsi="宋体" w:eastAsia="宋体" w:cs="Times New Roman"/>
          <w:color w:val="auto"/>
          <w:kern w:val="0"/>
          <w:sz w:val="21"/>
          <w:szCs w:val="21"/>
          <w:highlight w:val="none"/>
          <w:u w:val="none"/>
        </w:rPr>
        <w:t>（</w:t>
      </w:r>
      <w:r>
        <w:rPr>
          <w:rStyle w:val="16"/>
          <w:rFonts w:hint="eastAsia" w:ascii="宋体" w:hAnsi="宋体" w:eastAsia="宋体" w:cs="Times New Roman"/>
          <w:color w:val="auto"/>
          <w:kern w:val="0"/>
          <w:sz w:val="21"/>
          <w:szCs w:val="21"/>
          <w:highlight w:val="none"/>
          <w:u w:val="none"/>
          <w:lang w:val="en-US" w:eastAsia="zh-CN"/>
        </w:rPr>
        <w:t>9</w:t>
      </w:r>
      <w:r>
        <w:rPr>
          <w:rStyle w:val="16"/>
          <w:rFonts w:hint="eastAsia" w:ascii="宋体" w:hAnsi="宋体" w:eastAsia="宋体" w:cs="Times New Roman"/>
          <w:color w:val="auto"/>
          <w:kern w:val="0"/>
          <w:sz w:val="21"/>
          <w:szCs w:val="21"/>
          <w:highlight w:val="none"/>
          <w:u w:val="none"/>
        </w:rPr>
        <w:t>）承包人在缺陷责任期内，未能对缺陷责任期内发生的缺陷进行修复而又拒绝按发包人或监理人指示再进行修补或同一部位出现二次以上维修的；</w:t>
      </w:r>
    </w:p>
    <w:p w14:paraId="49BD5ED6">
      <w:pPr>
        <w:pStyle w:val="29"/>
        <w:spacing w:line="360" w:lineRule="auto"/>
        <w:ind w:firstLine="420" w:firstLineChars="200"/>
        <w:jc w:val="left"/>
        <w:rPr>
          <w:rFonts w:hint="eastAsia" w:ascii="宋体" w:hAnsi="宋体" w:eastAsia="宋体" w:cs="宋体"/>
          <w:color w:val="000000"/>
          <w:sz w:val="21"/>
          <w:szCs w:val="21"/>
          <w:highlight w:val="none"/>
          <w:u w:val="single"/>
        </w:rPr>
      </w:pPr>
      <w:r>
        <w:rPr>
          <w:rStyle w:val="16"/>
          <w:rFonts w:hint="eastAsia" w:ascii="宋体" w:hAnsi="宋体" w:eastAsia="宋体" w:cs="Times New Roman"/>
          <w:color w:val="auto"/>
          <w:kern w:val="0"/>
          <w:sz w:val="21"/>
          <w:szCs w:val="21"/>
          <w:highlight w:val="none"/>
          <w:u w:val="none"/>
        </w:rPr>
        <w:t>（</w:t>
      </w:r>
      <w:r>
        <w:rPr>
          <w:rStyle w:val="16"/>
          <w:rFonts w:hint="eastAsia" w:ascii="宋体" w:hAnsi="宋体" w:eastAsia="宋体" w:cs="Times New Roman"/>
          <w:color w:val="auto"/>
          <w:kern w:val="0"/>
          <w:sz w:val="21"/>
          <w:szCs w:val="21"/>
          <w:highlight w:val="none"/>
          <w:u w:val="none"/>
          <w:lang w:val="en-US" w:eastAsia="zh-CN"/>
        </w:rPr>
        <w:t>10</w:t>
      </w:r>
      <w:r>
        <w:rPr>
          <w:rStyle w:val="16"/>
          <w:rFonts w:hint="eastAsia" w:ascii="宋体" w:hAnsi="宋体" w:eastAsia="宋体" w:cs="Times New Roman"/>
          <w:color w:val="auto"/>
          <w:kern w:val="0"/>
          <w:sz w:val="21"/>
          <w:szCs w:val="21"/>
          <w:highlight w:val="none"/>
          <w:u w:val="none"/>
        </w:rPr>
        <w:t>）承包人的雇员或其分包人的雇员、或承包人的供应商扰乱发包人生产、生活秩序的。</w:t>
      </w:r>
    </w:p>
    <w:p w14:paraId="28774EB7">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16.2.2承包人违约的责任</w:t>
      </w:r>
    </w:p>
    <w:p w14:paraId="799B18F5">
      <w:pPr>
        <w:pStyle w:val="18"/>
        <w:spacing w:line="360" w:lineRule="auto"/>
        <w:ind w:firstLine="420" w:firstLineChars="200"/>
        <w:jc w:val="left"/>
        <w:rPr>
          <w:rStyle w:val="16"/>
          <w:rFonts w:ascii="Calibri" w:hAnsi="宋体" w:eastAsia="宋体" w:cs="Times New Roman"/>
          <w:color w:val="auto"/>
          <w:kern w:val="0"/>
          <w:highlight w:val="none"/>
        </w:rPr>
      </w:pPr>
      <w:r>
        <w:rPr>
          <w:rStyle w:val="16"/>
          <w:rFonts w:hint="eastAsia" w:ascii="Calibri" w:hAnsi="宋体" w:eastAsia="宋体" w:cs="宋体"/>
          <w:color w:val="auto"/>
          <w:kern w:val="0"/>
          <w:highlight w:val="none"/>
        </w:rPr>
        <w:t>（</w:t>
      </w:r>
      <w:r>
        <w:rPr>
          <w:rStyle w:val="16"/>
          <w:rFonts w:ascii="Calibri" w:hAnsi="Calibri" w:eastAsia="宋体" w:cs="Times New Roman"/>
          <w:color w:val="auto"/>
          <w:kern w:val="0"/>
          <w:highlight w:val="none"/>
        </w:rPr>
        <w:t>1</w:t>
      </w:r>
      <w:r>
        <w:rPr>
          <w:rStyle w:val="16"/>
          <w:rFonts w:hint="eastAsia" w:ascii="Calibri" w:hAnsi="宋体" w:eastAsia="宋体" w:cs="宋体"/>
          <w:color w:val="auto"/>
          <w:kern w:val="0"/>
          <w:highlight w:val="none"/>
        </w:rPr>
        <w:t>）承包人发生本合同第 16.2.1 项中（1）、</w:t>
      </w:r>
      <w:r>
        <w:rPr>
          <w:rStyle w:val="16"/>
          <w:rFonts w:hint="eastAsia" w:ascii="Calibri" w:hAnsi="宋体" w:eastAsia="宋体" w:cs="宋体"/>
          <w:color w:val="auto"/>
          <w:kern w:val="0"/>
          <w:highlight w:val="none"/>
          <w:lang w:eastAsia="zh-CN"/>
        </w:rPr>
        <w:t>（</w:t>
      </w:r>
      <w:r>
        <w:rPr>
          <w:rStyle w:val="16"/>
          <w:rFonts w:hint="eastAsia" w:ascii="Calibri" w:hAnsi="宋体" w:eastAsia="宋体" w:cs="宋体"/>
          <w:color w:val="auto"/>
          <w:kern w:val="0"/>
          <w:highlight w:val="none"/>
          <w:lang w:val="en-US" w:eastAsia="zh-CN"/>
        </w:rPr>
        <w:t>2</w:t>
      </w:r>
      <w:r>
        <w:rPr>
          <w:rStyle w:val="16"/>
          <w:rFonts w:hint="eastAsia" w:ascii="Calibri" w:hAnsi="宋体" w:eastAsia="宋体" w:cs="宋体"/>
          <w:color w:val="auto"/>
          <w:kern w:val="0"/>
          <w:highlight w:val="none"/>
          <w:lang w:eastAsia="zh-CN"/>
        </w:rPr>
        <w:t>）、</w:t>
      </w:r>
      <w:r>
        <w:rPr>
          <w:rStyle w:val="16"/>
          <w:rFonts w:hint="eastAsia" w:ascii="Calibri" w:hAnsi="宋体" w:eastAsia="宋体" w:cs="宋体"/>
          <w:color w:val="auto"/>
          <w:kern w:val="0"/>
          <w:highlight w:val="none"/>
        </w:rPr>
        <w:t>（3）、（4）、（7）、（8）、（9）、（1</w:t>
      </w:r>
      <w:r>
        <w:rPr>
          <w:rStyle w:val="16"/>
          <w:rFonts w:hint="eastAsia" w:ascii="Calibri" w:hAnsi="宋体" w:eastAsia="宋体" w:cs="宋体"/>
          <w:color w:val="auto"/>
          <w:kern w:val="0"/>
          <w:highlight w:val="none"/>
          <w:lang w:val="en-US" w:eastAsia="zh-CN"/>
        </w:rPr>
        <w:t>0</w:t>
      </w:r>
      <w:r>
        <w:rPr>
          <w:rStyle w:val="16"/>
          <w:rFonts w:hint="eastAsia" w:ascii="Calibri" w:hAnsi="宋体" w:eastAsia="宋体" w:cs="宋体"/>
          <w:color w:val="auto"/>
          <w:kern w:val="0"/>
          <w:highlight w:val="none"/>
        </w:rPr>
        <w:t>）约定的违约情况时，除按照专用条款的约定支付违约金外，</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有权通知</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解除合同，</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并有权向履约保函的担保单位进行索赔，以提取履约保函下的担保金额（或没收履约保证金），</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应承担由此给</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造成的一切损失。</w:t>
      </w:r>
    </w:p>
    <w:p w14:paraId="649DBCFE">
      <w:pPr>
        <w:pStyle w:val="18"/>
        <w:spacing w:line="360" w:lineRule="auto"/>
        <w:ind w:firstLine="420" w:firstLineChars="200"/>
        <w:jc w:val="left"/>
        <w:rPr>
          <w:rStyle w:val="16"/>
          <w:rFonts w:ascii="Times New Roman" w:hAnsi="宋体" w:eastAsia="宋体" w:cs="Times New Roman"/>
          <w:color w:val="auto"/>
          <w:kern w:val="0"/>
          <w:sz w:val="22"/>
          <w:highlight w:val="none"/>
        </w:rPr>
      </w:pPr>
      <w:r>
        <w:rPr>
          <w:rStyle w:val="16"/>
          <w:rFonts w:hint="eastAsia" w:ascii="Calibri" w:hAnsi="宋体" w:eastAsia="宋体" w:cs="宋体"/>
          <w:color w:val="auto"/>
          <w:kern w:val="0"/>
          <w:highlight w:val="none"/>
        </w:rPr>
        <w:t>（</w:t>
      </w:r>
      <w:r>
        <w:rPr>
          <w:rStyle w:val="16"/>
          <w:rFonts w:ascii="Calibri" w:hAnsi="Calibri" w:eastAsia="宋体" w:cs="Times New Roman"/>
          <w:color w:val="auto"/>
          <w:kern w:val="0"/>
          <w:highlight w:val="none"/>
        </w:rPr>
        <w:t>2</w:t>
      </w:r>
      <w:r>
        <w:rPr>
          <w:rStyle w:val="16"/>
          <w:rFonts w:hint="eastAsia" w:ascii="Calibri" w:hAnsi="宋体" w:eastAsia="宋体" w:cs="宋体"/>
          <w:color w:val="auto"/>
          <w:kern w:val="0"/>
          <w:highlight w:val="none"/>
        </w:rPr>
        <w:t>）</w:t>
      </w:r>
      <w:r>
        <w:rPr>
          <w:rStyle w:val="16"/>
          <w:rFonts w:hint="eastAsia" w:ascii="Times New Roman" w:hAnsi="宋体" w:eastAsia="宋体" w:cs="宋体"/>
          <w:color w:val="auto"/>
          <w:kern w:val="0"/>
          <w:sz w:val="21"/>
          <w:highlight w:val="none"/>
          <w:lang w:eastAsia="zh-CN"/>
        </w:rPr>
        <w:t>承包人</w:t>
      </w:r>
      <w:r>
        <w:rPr>
          <w:rStyle w:val="16"/>
          <w:rFonts w:hint="eastAsia" w:ascii="Times New Roman" w:hAnsi="宋体" w:eastAsia="宋体" w:cs="宋体"/>
          <w:color w:val="auto"/>
          <w:kern w:val="0"/>
          <w:sz w:val="21"/>
          <w:highlight w:val="none"/>
        </w:rPr>
        <w:t>发生第 16.2.1 项中（5）的违约情况时，如合同工程第一次验收不合格，</w:t>
      </w:r>
      <w:r>
        <w:rPr>
          <w:rStyle w:val="16"/>
          <w:rFonts w:hint="eastAsia" w:ascii="Times New Roman" w:hAnsi="宋体" w:eastAsia="宋体" w:cs="宋体"/>
          <w:color w:val="auto"/>
          <w:kern w:val="0"/>
          <w:sz w:val="21"/>
          <w:highlight w:val="none"/>
          <w:lang w:eastAsia="zh-CN"/>
        </w:rPr>
        <w:t>承包人</w:t>
      </w:r>
      <w:r>
        <w:rPr>
          <w:rStyle w:val="16"/>
          <w:rFonts w:hint="eastAsia" w:ascii="Times New Roman" w:hAnsi="宋体" w:eastAsia="宋体" w:cs="宋体"/>
          <w:color w:val="auto"/>
          <w:kern w:val="0"/>
          <w:sz w:val="21"/>
          <w:highlight w:val="none"/>
        </w:rPr>
        <w:t>应将不符合质量标准的部分进行整改直至符合标准，费用由</w:t>
      </w:r>
      <w:r>
        <w:rPr>
          <w:rStyle w:val="16"/>
          <w:rFonts w:hint="eastAsia" w:ascii="Times New Roman" w:hAnsi="宋体" w:eastAsia="宋体" w:cs="宋体"/>
          <w:color w:val="auto"/>
          <w:kern w:val="0"/>
          <w:sz w:val="21"/>
          <w:highlight w:val="none"/>
          <w:lang w:eastAsia="zh-CN"/>
        </w:rPr>
        <w:t>承包人</w:t>
      </w:r>
      <w:r>
        <w:rPr>
          <w:rStyle w:val="16"/>
          <w:rFonts w:hint="eastAsia" w:ascii="Times New Roman" w:hAnsi="宋体" w:eastAsia="宋体" w:cs="宋体"/>
          <w:color w:val="auto"/>
          <w:kern w:val="0"/>
          <w:sz w:val="21"/>
          <w:highlight w:val="none"/>
        </w:rPr>
        <w:t>承担。如第二次仍验收不合格的，</w:t>
      </w:r>
      <w:r>
        <w:rPr>
          <w:rStyle w:val="16"/>
          <w:rFonts w:hint="eastAsia" w:ascii="Times New Roman" w:hAnsi="宋体" w:eastAsia="宋体" w:cs="宋体"/>
          <w:color w:val="auto"/>
          <w:kern w:val="0"/>
          <w:sz w:val="21"/>
          <w:highlight w:val="none"/>
          <w:lang w:eastAsia="zh-CN"/>
        </w:rPr>
        <w:t>发包人</w:t>
      </w:r>
      <w:r>
        <w:rPr>
          <w:rStyle w:val="16"/>
          <w:rFonts w:hint="eastAsia" w:ascii="Times New Roman" w:hAnsi="宋体" w:eastAsia="宋体" w:cs="宋体"/>
          <w:color w:val="auto"/>
          <w:kern w:val="0"/>
          <w:sz w:val="21"/>
          <w:highlight w:val="none"/>
        </w:rPr>
        <w:t>有权另行委托他人重建或修复，重建或修复费用由</w:t>
      </w:r>
      <w:r>
        <w:rPr>
          <w:rStyle w:val="16"/>
          <w:rFonts w:hint="eastAsia" w:ascii="Times New Roman" w:hAnsi="宋体" w:eastAsia="宋体" w:cs="宋体"/>
          <w:color w:val="auto"/>
          <w:kern w:val="0"/>
          <w:sz w:val="21"/>
          <w:highlight w:val="none"/>
          <w:lang w:eastAsia="zh-CN"/>
        </w:rPr>
        <w:t>承包人</w:t>
      </w:r>
      <w:r>
        <w:rPr>
          <w:rStyle w:val="16"/>
          <w:rFonts w:hint="eastAsia" w:ascii="Times New Roman" w:hAnsi="宋体" w:eastAsia="宋体" w:cs="宋体"/>
          <w:color w:val="auto"/>
          <w:kern w:val="0"/>
          <w:sz w:val="21"/>
          <w:highlight w:val="none"/>
        </w:rPr>
        <w:t>承担，</w:t>
      </w:r>
      <w:r>
        <w:rPr>
          <w:rStyle w:val="16"/>
          <w:rFonts w:hint="eastAsia" w:ascii="Times New Roman" w:hAnsi="宋体" w:eastAsia="宋体" w:cs="宋体"/>
          <w:color w:val="auto"/>
          <w:kern w:val="0"/>
          <w:sz w:val="21"/>
          <w:highlight w:val="none"/>
          <w:lang w:eastAsia="zh-CN"/>
        </w:rPr>
        <w:t>发包人</w:t>
      </w:r>
      <w:r>
        <w:rPr>
          <w:rStyle w:val="16"/>
          <w:rFonts w:hint="eastAsia" w:ascii="Times New Roman" w:hAnsi="宋体" w:eastAsia="宋体" w:cs="宋体"/>
          <w:color w:val="auto"/>
          <w:kern w:val="0"/>
          <w:sz w:val="21"/>
          <w:highlight w:val="none"/>
        </w:rPr>
        <w:t>有权直接从应付或拟付</w:t>
      </w:r>
      <w:r>
        <w:rPr>
          <w:rStyle w:val="16"/>
          <w:rFonts w:hint="eastAsia" w:ascii="Times New Roman" w:hAnsi="宋体" w:eastAsia="宋体" w:cs="宋体"/>
          <w:color w:val="auto"/>
          <w:kern w:val="0"/>
          <w:sz w:val="21"/>
          <w:highlight w:val="none"/>
          <w:lang w:eastAsia="zh-CN"/>
        </w:rPr>
        <w:t>承包人</w:t>
      </w:r>
      <w:r>
        <w:rPr>
          <w:rStyle w:val="16"/>
          <w:rFonts w:hint="eastAsia" w:ascii="Times New Roman" w:hAnsi="宋体" w:eastAsia="宋体" w:cs="宋体"/>
          <w:color w:val="auto"/>
          <w:kern w:val="0"/>
          <w:sz w:val="21"/>
          <w:highlight w:val="none"/>
        </w:rPr>
        <w:t>的任何款项中扣除。同时，</w:t>
      </w:r>
      <w:r>
        <w:rPr>
          <w:rStyle w:val="16"/>
          <w:rFonts w:hint="eastAsia" w:ascii="Times New Roman" w:hAnsi="宋体" w:eastAsia="宋体" w:cs="宋体"/>
          <w:color w:val="auto"/>
          <w:kern w:val="0"/>
          <w:sz w:val="21"/>
          <w:highlight w:val="none"/>
          <w:lang w:eastAsia="zh-CN"/>
        </w:rPr>
        <w:t>承包人</w:t>
      </w:r>
      <w:r>
        <w:rPr>
          <w:rStyle w:val="16"/>
          <w:rFonts w:hint="eastAsia" w:ascii="Times New Roman" w:hAnsi="宋体" w:eastAsia="宋体" w:cs="宋体"/>
          <w:color w:val="auto"/>
          <w:kern w:val="0"/>
          <w:sz w:val="21"/>
          <w:highlight w:val="none"/>
        </w:rPr>
        <w:t>应按专用条款的约定支付违约金及赔偿损失。</w:t>
      </w:r>
    </w:p>
    <w:p w14:paraId="08565F33">
      <w:pPr>
        <w:pStyle w:val="18"/>
        <w:spacing w:line="360" w:lineRule="auto"/>
        <w:ind w:firstLine="440" w:firstLineChars="200"/>
        <w:jc w:val="left"/>
        <w:rPr>
          <w:rStyle w:val="16"/>
          <w:rFonts w:hint="eastAsia" w:ascii="Times New Roman" w:hAnsi="宋体" w:eastAsia="宋体" w:cs="宋体"/>
          <w:color w:val="auto"/>
          <w:kern w:val="0"/>
          <w:sz w:val="21"/>
          <w:highlight w:val="none"/>
        </w:rPr>
      </w:pPr>
      <w:r>
        <w:rPr>
          <w:rStyle w:val="16"/>
          <w:rFonts w:hint="eastAsia" w:ascii="Times New Roman" w:hAnsi="宋体" w:eastAsia="宋体" w:cs="Times New Roman"/>
          <w:color w:val="auto"/>
          <w:kern w:val="0"/>
          <w:sz w:val="22"/>
          <w:highlight w:val="none"/>
          <w:lang w:eastAsia="zh-CN"/>
        </w:rPr>
        <w:t>（</w:t>
      </w:r>
      <w:r>
        <w:rPr>
          <w:rStyle w:val="16"/>
          <w:rFonts w:hint="eastAsia" w:ascii="Times New Roman" w:hAnsi="宋体" w:eastAsia="宋体" w:cs="Times New Roman"/>
          <w:color w:val="auto"/>
          <w:kern w:val="0"/>
          <w:sz w:val="22"/>
          <w:highlight w:val="none"/>
          <w:lang w:val="en-US" w:eastAsia="zh-CN"/>
        </w:rPr>
        <w:t>3</w:t>
      </w:r>
      <w:r>
        <w:rPr>
          <w:rStyle w:val="16"/>
          <w:rFonts w:hint="eastAsia" w:ascii="Times New Roman" w:hAnsi="宋体" w:eastAsia="宋体" w:cs="Times New Roman"/>
          <w:color w:val="auto"/>
          <w:kern w:val="0"/>
          <w:sz w:val="22"/>
          <w:highlight w:val="none"/>
          <w:lang w:eastAsia="zh-CN"/>
        </w:rPr>
        <w:t>）</w:t>
      </w:r>
      <w:r>
        <w:rPr>
          <w:rStyle w:val="16"/>
          <w:rFonts w:hint="eastAsia" w:ascii="Calibri" w:hAnsi="宋体" w:eastAsia="宋体" w:cs="宋体"/>
          <w:color w:val="auto"/>
          <w:kern w:val="0"/>
          <w:highlight w:val="none"/>
        </w:rPr>
        <w:t>承包人有本合同通用条款第</w:t>
      </w:r>
      <w:r>
        <w:rPr>
          <w:rStyle w:val="16"/>
          <w:rFonts w:ascii="Calibri" w:hAnsi="Calibri" w:eastAsia="宋体" w:cs="Times New Roman"/>
          <w:color w:val="auto"/>
          <w:kern w:val="0"/>
          <w:highlight w:val="none"/>
        </w:rPr>
        <w:t>16.2.1</w:t>
      </w:r>
      <w:r>
        <w:rPr>
          <w:rStyle w:val="16"/>
          <w:rFonts w:hint="eastAsia" w:ascii="Calibri" w:hAnsi="宋体" w:eastAsia="宋体" w:cs="宋体"/>
          <w:color w:val="auto"/>
          <w:kern w:val="0"/>
          <w:highlight w:val="none"/>
        </w:rPr>
        <w:t>（</w:t>
      </w:r>
      <w:r>
        <w:rPr>
          <w:rStyle w:val="16"/>
          <w:rFonts w:ascii="Calibri" w:hAnsi="Calibri" w:eastAsia="宋体" w:cs="Times New Roman"/>
          <w:color w:val="auto"/>
          <w:kern w:val="0"/>
          <w:highlight w:val="none"/>
        </w:rPr>
        <w:t>6</w:t>
      </w:r>
      <w:r>
        <w:rPr>
          <w:rStyle w:val="16"/>
          <w:rFonts w:hint="eastAsia" w:ascii="Calibri" w:hAnsi="宋体" w:eastAsia="宋体" w:cs="宋体"/>
          <w:color w:val="auto"/>
          <w:kern w:val="0"/>
          <w:highlight w:val="none"/>
        </w:rPr>
        <w:t>）条情形的，或经监理人检验认为修复质量不合格而承包人拒绝再进行修补的，发包人有权另行委托他人重建或修复，重建或修复费用由承包人承担，发包人有权直接从应付或拟付承包人的任何款项中</w:t>
      </w:r>
      <w:r>
        <w:rPr>
          <w:rStyle w:val="16"/>
          <w:rFonts w:hint="eastAsia" w:ascii="Times New Roman" w:hAnsi="宋体" w:eastAsia="宋体" w:cs="宋体"/>
          <w:color w:val="auto"/>
          <w:kern w:val="0"/>
          <w:highlight w:val="none"/>
        </w:rPr>
        <w:t>扣除</w:t>
      </w:r>
      <w:r>
        <w:rPr>
          <w:rStyle w:val="16"/>
          <w:rFonts w:hint="eastAsia" w:ascii="Times New Roman" w:hAnsi="宋体" w:eastAsia="宋体" w:cs="宋体"/>
          <w:color w:val="auto"/>
          <w:kern w:val="0"/>
          <w:highlight w:val="none"/>
          <w:lang w:eastAsia="zh-CN"/>
        </w:rPr>
        <w:t>，</w:t>
      </w:r>
      <w:r>
        <w:rPr>
          <w:rStyle w:val="16"/>
          <w:rFonts w:hint="eastAsia" w:ascii="Times New Roman" w:hAnsi="宋体" w:eastAsia="宋体" w:cs="宋体"/>
          <w:color w:val="auto"/>
          <w:kern w:val="0"/>
          <w:sz w:val="21"/>
          <w:highlight w:val="none"/>
        </w:rPr>
        <w:t>同时，</w:t>
      </w:r>
      <w:r>
        <w:rPr>
          <w:rStyle w:val="16"/>
          <w:rFonts w:hint="eastAsia" w:ascii="Times New Roman" w:hAnsi="宋体" w:eastAsia="宋体" w:cs="宋体"/>
          <w:color w:val="auto"/>
          <w:kern w:val="0"/>
          <w:sz w:val="21"/>
          <w:highlight w:val="none"/>
          <w:lang w:eastAsia="zh-CN"/>
        </w:rPr>
        <w:t>承包人</w:t>
      </w:r>
      <w:r>
        <w:rPr>
          <w:rStyle w:val="16"/>
          <w:rFonts w:hint="eastAsia" w:ascii="Times New Roman" w:hAnsi="宋体" w:eastAsia="宋体" w:cs="宋体"/>
          <w:color w:val="auto"/>
          <w:kern w:val="0"/>
          <w:sz w:val="21"/>
          <w:highlight w:val="none"/>
        </w:rPr>
        <w:t>应按专用条款的约定支付违约金及赔偿损失</w:t>
      </w:r>
      <w:r>
        <w:rPr>
          <w:rStyle w:val="16"/>
          <w:rFonts w:hint="eastAsia" w:ascii="Times New Roman" w:hAnsi="宋体" w:eastAsia="宋体" w:cs="宋体"/>
          <w:color w:val="auto"/>
          <w:kern w:val="0"/>
          <w:highlight w:val="none"/>
        </w:rPr>
        <w:t>。</w:t>
      </w:r>
    </w:p>
    <w:p w14:paraId="31B27BCE">
      <w:pPr>
        <w:pStyle w:val="18"/>
        <w:spacing w:line="360" w:lineRule="auto"/>
        <w:ind w:firstLine="420" w:firstLineChars="200"/>
        <w:jc w:val="left"/>
        <w:rPr>
          <w:rStyle w:val="16"/>
          <w:rFonts w:hint="default" w:ascii="Calibri" w:hAnsi="宋体" w:eastAsia="宋体" w:cs="宋体"/>
          <w:color w:val="auto"/>
          <w:kern w:val="0"/>
          <w:highlight w:val="none"/>
          <w:lang w:val="en-US" w:eastAsia="zh-CN"/>
        </w:rPr>
      </w:pPr>
      <w:r>
        <w:rPr>
          <w:rStyle w:val="16"/>
          <w:rFonts w:hint="eastAsia" w:ascii="Calibri" w:hAnsi="宋体" w:eastAsia="宋体" w:cs="宋体"/>
          <w:color w:val="auto"/>
          <w:kern w:val="0"/>
          <w:highlight w:val="none"/>
        </w:rPr>
        <w:t>（</w:t>
      </w:r>
      <w:r>
        <w:rPr>
          <w:rStyle w:val="16"/>
          <w:rFonts w:hint="eastAsia" w:ascii="Calibri" w:hAnsi="Calibri" w:eastAsia="宋体" w:cs="Times New Roman"/>
          <w:color w:val="auto"/>
          <w:kern w:val="0"/>
          <w:highlight w:val="none"/>
          <w:lang w:val="en-US" w:eastAsia="zh-CN"/>
        </w:rPr>
        <w:t>4</w:t>
      </w:r>
      <w:r>
        <w:rPr>
          <w:rStyle w:val="16"/>
          <w:rFonts w:hint="eastAsia" w:ascii="Calibri" w:hAnsi="宋体" w:eastAsia="宋体" w:cs="宋体"/>
          <w:color w:val="auto"/>
          <w:kern w:val="0"/>
          <w:highlight w:val="none"/>
        </w:rPr>
        <w:t>）</w:t>
      </w:r>
      <w:r>
        <w:rPr>
          <w:rStyle w:val="16"/>
          <w:rFonts w:hint="eastAsia" w:ascii="Calibri" w:hAnsi="宋体" w:eastAsia="宋体" w:cs="宋体"/>
          <w:color w:val="auto"/>
          <w:kern w:val="0"/>
          <w:highlight w:val="none"/>
          <w:lang w:val="en-US" w:eastAsia="zh-CN"/>
        </w:rPr>
        <w:t>承包人违约责任的承担方式</w:t>
      </w:r>
    </w:p>
    <w:p w14:paraId="3765E35C">
      <w:pPr>
        <w:pStyle w:val="18"/>
        <w:spacing w:line="360" w:lineRule="auto"/>
        <w:ind w:firstLine="420" w:firstLineChars="200"/>
        <w:jc w:val="left"/>
        <w:rPr>
          <w:rStyle w:val="16"/>
          <w:rFonts w:hint="eastAsia" w:ascii="Calibri" w:hAnsi="宋体" w:eastAsia="宋体" w:cs="宋体"/>
          <w:color w:val="auto"/>
          <w:kern w:val="0"/>
          <w:highlight w:val="none"/>
        </w:rPr>
      </w:pPr>
      <w:r>
        <w:rPr>
          <w:rStyle w:val="16"/>
          <w:rFonts w:hint="eastAsia" w:ascii="Calibri" w:hAnsi="宋体" w:eastAsia="宋体" w:cs="宋体"/>
          <w:color w:val="auto"/>
          <w:kern w:val="0"/>
          <w:highlight w:val="none"/>
        </w:rPr>
        <w:t>1）</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未按本合同第 16.2.1 项中（3）、（4）、（5）、（8）条内容完成的，</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无条件返工处理，修复至工程质量要求并承担相关费用，并在</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规定的时间内完成返工，否则</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有权扣除该分项工程万分之二的工程款作为违约金。</w:t>
      </w:r>
    </w:p>
    <w:p w14:paraId="69544BB5">
      <w:pPr>
        <w:pStyle w:val="18"/>
        <w:spacing w:line="360" w:lineRule="auto"/>
        <w:ind w:firstLine="420" w:firstLineChars="200"/>
        <w:jc w:val="left"/>
        <w:rPr>
          <w:rStyle w:val="16"/>
          <w:rFonts w:hint="eastAsia" w:ascii="Calibri" w:hAnsi="宋体" w:eastAsia="宋体" w:cs="宋体"/>
          <w:color w:val="auto"/>
          <w:kern w:val="0"/>
          <w:highlight w:val="none"/>
        </w:rPr>
      </w:pPr>
      <w:r>
        <w:rPr>
          <w:rStyle w:val="16"/>
          <w:rFonts w:hint="eastAsia" w:ascii="Calibri" w:hAnsi="宋体" w:eastAsia="宋体" w:cs="宋体"/>
          <w:color w:val="auto"/>
          <w:kern w:val="0"/>
          <w:highlight w:val="none"/>
        </w:rPr>
        <w:t>2）</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有本合同第 16.2.1（9）条情形的，或经监理人检验认为修复质量不合格而</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拒绝再进行修补的，</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将扣除</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相应质量保修金。</w:t>
      </w:r>
    </w:p>
    <w:p w14:paraId="1A5C06ED">
      <w:pPr>
        <w:pStyle w:val="18"/>
        <w:spacing w:line="360" w:lineRule="auto"/>
        <w:ind w:firstLine="420" w:firstLineChars="200"/>
        <w:jc w:val="left"/>
        <w:rPr>
          <w:rStyle w:val="16"/>
          <w:rFonts w:hint="eastAsia" w:ascii="Calibri" w:hAnsi="宋体" w:eastAsia="宋体" w:cs="宋体"/>
          <w:color w:val="auto"/>
          <w:kern w:val="0"/>
          <w:highlight w:val="none"/>
        </w:rPr>
      </w:pPr>
      <w:r>
        <w:rPr>
          <w:rStyle w:val="16"/>
          <w:rFonts w:hint="eastAsia" w:ascii="Calibri" w:hAnsi="宋体" w:eastAsia="宋体" w:cs="宋体"/>
          <w:color w:val="auto"/>
          <w:kern w:val="0"/>
          <w:highlight w:val="none"/>
        </w:rPr>
        <w:t>3）</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有本专用合同条款 （3）、（4）、（5）、（8）条违约责任的，</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有权扣除</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的违约金。违约金均在</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的履约保证金及计量支付款内扣除。监理人预先下发含有违约意向的指令，如</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不及时采取措施纠正，则在指令下达后十五天下发违约通知书（不再陈述违约理由）。</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履约保证金被扣除后由</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从最近一次计量支付时扣除相应金额补足履约保证金。</w:t>
      </w:r>
    </w:p>
    <w:p w14:paraId="0C40E663">
      <w:pPr>
        <w:pStyle w:val="18"/>
        <w:spacing w:line="360" w:lineRule="auto"/>
        <w:ind w:firstLine="420" w:firstLineChars="200"/>
        <w:jc w:val="left"/>
        <w:rPr>
          <w:rStyle w:val="16"/>
          <w:rFonts w:hint="eastAsia" w:ascii="Calibri" w:hAnsi="宋体" w:eastAsia="宋体" w:cs="宋体"/>
          <w:color w:val="auto"/>
          <w:kern w:val="0"/>
          <w:highlight w:val="none"/>
        </w:rPr>
      </w:pPr>
      <w:r>
        <w:rPr>
          <w:rStyle w:val="16"/>
          <w:rFonts w:hint="eastAsia" w:ascii="Calibri" w:hAnsi="宋体" w:eastAsia="宋体" w:cs="宋体"/>
          <w:color w:val="auto"/>
          <w:kern w:val="0"/>
          <w:highlight w:val="none"/>
        </w:rPr>
        <w:t>4)</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有本专用合同条款 （3）、（4）、（5）、（8）条违约责任的，</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有权扣除</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的违约金。</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在合同期内，完成合同约定的全部工程，且质量合格，在本工程施工竣工验收后十五天内可申请返还一半违约金，返还金额由监理人审核，</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批准；其余违约金不得返还。违约金返还时不包括银行利息。</w:t>
      </w:r>
    </w:p>
    <w:p w14:paraId="32106B15">
      <w:pPr>
        <w:pStyle w:val="18"/>
        <w:spacing w:line="360" w:lineRule="auto"/>
        <w:ind w:firstLine="420" w:firstLineChars="200"/>
        <w:jc w:val="left"/>
        <w:rPr>
          <w:rStyle w:val="16"/>
          <w:rFonts w:hint="eastAsia" w:ascii="Calibri" w:hAnsi="宋体" w:eastAsia="宋体" w:cs="宋体"/>
          <w:color w:val="auto"/>
          <w:kern w:val="0"/>
          <w:highlight w:val="none"/>
        </w:rPr>
      </w:pPr>
      <w:r>
        <w:rPr>
          <w:rStyle w:val="16"/>
          <w:rFonts w:hint="eastAsia" w:ascii="Calibri" w:hAnsi="宋体" w:eastAsia="宋体" w:cs="宋体"/>
          <w:color w:val="auto"/>
          <w:kern w:val="0"/>
          <w:highlight w:val="none"/>
        </w:rPr>
        <w:t>（</w:t>
      </w:r>
      <w:r>
        <w:rPr>
          <w:rStyle w:val="16"/>
          <w:rFonts w:hint="eastAsia" w:ascii="Calibri" w:hAnsi="Calibri" w:eastAsia="宋体" w:cs="Times New Roman"/>
          <w:color w:val="auto"/>
          <w:kern w:val="0"/>
          <w:highlight w:val="none"/>
          <w:lang w:val="en-US" w:eastAsia="zh-CN"/>
        </w:rPr>
        <w:t>4</w:t>
      </w:r>
      <w:r>
        <w:rPr>
          <w:rStyle w:val="16"/>
          <w:rFonts w:hint="eastAsia" w:ascii="Calibri" w:hAnsi="宋体" w:eastAsia="宋体" w:cs="宋体"/>
          <w:color w:val="auto"/>
          <w:kern w:val="0"/>
          <w:highlight w:val="none"/>
        </w:rPr>
        <w:t>）</w:t>
      </w:r>
      <w:r>
        <w:rPr>
          <w:rStyle w:val="16"/>
          <w:rFonts w:hint="eastAsia" w:ascii="Calibri" w:hAnsi="宋体" w:eastAsia="宋体" w:cs="宋体"/>
          <w:color w:val="auto"/>
          <w:kern w:val="0"/>
          <w:highlight w:val="none"/>
          <w:lang w:val="en-US" w:eastAsia="zh-CN"/>
        </w:rPr>
        <w:t>承包人</w:t>
      </w:r>
      <w:r>
        <w:rPr>
          <w:rStyle w:val="16"/>
          <w:rFonts w:hint="eastAsia" w:ascii="Calibri" w:hAnsi="宋体" w:eastAsia="宋体" w:cs="宋体"/>
          <w:color w:val="auto"/>
          <w:kern w:val="0"/>
          <w:highlight w:val="none"/>
        </w:rPr>
        <w:t>违约金计算方法：</w:t>
      </w:r>
    </w:p>
    <w:p w14:paraId="4D29319A">
      <w:pPr>
        <w:pStyle w:val="18"/>
        <w:spacing w:line="360" w:lineRule="auto"/>
        <w:ind w:firstLine="420" w:firstLineChars="200"/>
        <w:jc w:val="left"/>
        <w:rPr>
          <w:rStyle w:val="16"/>
          <w:rFonts w:hint="eastAsia" w:ascii="Calibri" w:hAnsi="宋体" w:eastAsia="宋体" w:cs="宋体"/>
          <w:color w:val="auto"/>
          <w:kern w:val="0"/>
          <w:highlight w:val="none"/>
        </w:rPr>
      </w:pPr>
      <w:r>
        <w:rPr>
          <w:rStyle w:val="16"/>
          <w:rFonts w:hint="eastAsia" w:ascii="Calibri" w:hAnsi="宋体" w:eastAsia="宋体" w:cs="宋体"/>
          <w:color w:val="auto"/>
          <w:kern w:val="0"/>
          <w:highlight w:val="none"/>
        </w:rPr>
        <w:t>1）</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违约金的支付情形及标准</w:t>
      </w:r>
    </w:p>
    <w:p w14:paraId="0F3BFC11">
      <w:pPr>
        <w:pStyle w:val="18"/>
        <w:spacing w:line="360" w:lineRule="auto"/>
        <w:ind w:firstLine="420" w:firstLineChars="200"/>
        <w:jc w:val="left"/>
        <w:rPr>
          <w:rStyle w:val="16"/>
          <w:rFonts w:hint="eastAsia" w:ascii="Calibri" w:hAnsi="宋体" w:eastAsia="宋体" w:cs="宋体"/>
          <w:color w:val="auto"/>
          <w:kern w:val="0"/>
          <w:highlight w:val="none"/>
        </w:rPr>
      </w:pP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应当支付违约金的情形包括但不限于：</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违反上述约定，将合同的全部或部分合同工作非法转包或违法分包给其他人，或私自将合同的全部或部分权利或义务转移给其他人，</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有权解除合同并有权要求</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支付转包或违法分包合同价款10%的违约金。</w:t>
      </w:r>
    </w:p>
    <w:p w14:paraId="398F4FB5">
      <w:pPr>
        <w:pStyle w:val="18"/>
        <w:spacing w:line="360" w:lineRule="auto"/>
        <w:ind w:firstLine="420" w:firstLineChars="200"/>
        <w:jc w:val="left"/>
        <w:rPr>
          <w:rStyle w:val="16"/>
          <w:rFonts w:hint="eastAsia" w:ascii="Calibri" w:hAnsi="宋体" w:eastAsia="宋体" w:cs="宋体"/>
          <w:color w:val="auto"/>
          <w:kern w:val="0"/>
          <w:highlight w:val="none"/>
        </w:rPr>
      </w:pP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违反上述约定使用了不合格的材料或工程设备又拒绝清除不合格的材料或工程设备，或因使用了不合格的材料或工程设备导致工程质量达不到标准要求又拒绝清除或修复不合格工程，每发生一次，</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应向</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支付单项工程</w:t>
      </w:r>
      <w:r>
        <w:rPr>
          <w:rStyle w:val="16"/>
          <w:rFonts w:hint="eastAsia" w:hAnsi="宋体" w:eastAsia="宋体" w:cs="宋体"/>
          <w:color w:val="auto"/>
          <w:kern w:val="0"/>
          <w:highlight w:val="none"/>
          <w:lang w:val="en-US" w:eastAsia="zh-CN"/>
        </w:rPr>
        <w:t>5</w:t>
      </w:r>
      <w:r>
        <w:rPr>
          <w:rStyle w:val="16"/>
          <w:rFonts w:hint="eastAsia" w:ascii="Calibri" w:hAnsi="宋体" w:eastAsia="宋体" w:cs="宋体"/>
          <w:color w:val="auto"/>
          <w:kern w:val="0"/>
          <w:highlight w:val="none"/>
        </w:rPr>
        <w:t>%的违约金。</w:t>
      </w:r>
    </w:p>
    <w:p w14:paraId="1E4C5FFC">
      <w:pPr>
        <w:pStyle w:val="18"/>
        <w:spacing w:line="360" w:lineRule="auto"/>
        <w:ind w:firstLine="420" w:firstLineChars="200"/>
        <w:jc w:val="left"/>
        <w:rPr>
          <w:rStyle w:val="16"/>
          <w:rFonts w:hint="eastAsia" w:ascii="Calibri" w:hAnsi="宋体" w:eastAsia="宋体" w:cs="宋体"/>
          <w:color w:val="auto"/>
          <w:kern w:val="0"/>
          <w:highlight w:val="none"/>
        </w:rPr>
      </w:pPr>
      <w:r>
        <w:rPr>
          <w:rStyle w:val="16"/>
          <w:rFonts w:hint="eastAsia" w:ascii="Calibri" w:hAnsi="宋体" w:eastAsia="宋体" w:cs="宋体"/>
          <w:color w:val="auto"/>
          <w:kern w:val="0"/>
          <w:highlight w:val="none"/>
        </w:rPr>
        <w:t>将工程预付款、进度款以及</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支付用于本项目的其他费用挪作他用，每发现一次，</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应当向</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支付该款项10%的违约金。</w:t>
      </w:r>
    </w:p>
    <w:p w14:paraId="722E7C5F">
      <w:pPr>
        <w:pStyle w:val="18"/>
        <w:spacing w:line="360" w:lineRule="auto"/>
        <w:ind w:firstLine="420" w:firstLineChars="200"/>
        <w:jc w:val="left"/>
        <w:rPr>
          <w:rStyle w:val="16"/>
          <w:rFonts w:hint="eastAsia" w:ascii="Calibri" w:hAnsi="宋体" w:eastAsia="宋体" w:cs="宋体"/>
          <w:color w:val="auto"/>
          <w:kern w:val="0"/>
          <w:highlight w:val="none"/>
        </w:rPr>
      </w:pPr>
      <w:r>
        <w:rPr>
          <w:rStyle w:val="16"/>
          <w:rFonts w:hint="eastAsia" w:ascii="Calibri" w:hAnsi="宋体" w:eastAsia="宋体" w:cs="宋体"/>
          <w:color w:val="auto"/>
          <w:kern w:val="0"/>
          <w:highlight w:val="none"/>
        </w:rPr>
        <w:t>违反上述约定，未经监理人批准，私自将已进入施工场地的施工设备、临时设施或材料设备撤离施工场地或将材料设备用于其它工程项目的，每发现一次，</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有权要求</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向</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支付该施工设备、临时设施或材料设备原价</w:t>
      </w:r>
      <w:r>
        <w:rPr>
          <w:rStyle w:val="16"/>
          <w:rFonts w:hint="eastAsia" w:hAnsi="宋体" w:eastAsia="宋体" w:cs="宋体"/>
          <w:color w:val="auto"/>
          <w:kern w:val="0"/>
          <w:highlight w:val="none"/>
          <w:lang w:val="en-US" w:eastAsia="zh-CN"/>
        </w:rPr>
        <w:t>5</w:t>
      </w:r>
      <w:r>
        <w:rPr>
          <w:rStyle w:val="16"/>
          <w:rFonts w:hint="eastAsia" w:ascii="Calibri" w:hAnsi="宋体" w:eastAsia="宋体" w:cs="宋体"/>
          <w:color w:val="auto"/>
          <w:kern w:val="0"/>
          <w:highlight w:val="none"/>
        </w:rPr>
        <w:t>%的违约金。</w:t>
      </w:r>
    </w:p>
    <w:p w14:paraId="4B385F04">
      <w:pPr>
        <w:pStyle w:val="18"/>
        <w:spacing w:line="360" w:lineRule="auto"/>
        <w:ind w:firstLine="420" w:firstLineChars="200"/>
        <w:jc w:val="left"/>
        <w:rPr>
          <w:rStyle w:val="16"/>
          <w:rFonts w:hint="eastAsia" w:ascii="Calibri" w:hAnsi="宋体" w:eastAsia="宋体" w:cs="宋体"/>
          <w:color w:val="auto"/>
          <w:kern w:val="0"/>
          <w:highlight w:val="none"/>
        </w:rPr>
      </w:pPr>
      <w:r>
        <w:rPr>
          <w:rStyle w:val="16"/>
          <w:rFonts w:hint="eastAsia" w:ascii="Calibri" w:hAnsi="宋体" w:eastAsia="宋体" w:cs="宋体"/>
          <w:color w:val="auto"/>
          <w:kern w:val="0"/>
          <w:highlight w:val="none"/>
        </w:rPr>
        <w:t>如合同工程第一次验收不合格，</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应将不符合质量标准的部分进行整改直至符合标准，费用由</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承担。如第二次仍验收不合格的，</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还应再次向</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支付数额不低于签约合同价</w:t>
      </w:r>
      <w:r>
        <w:rPr>
          <w:rStyle w:val="16"/>
          <w:rFonts w:hint="eastAsia" w:hAnsi="宋体" w:eastAsia="宋体" w:cs="宋体"/>
          <w:color w:val="auto"/>
          <w:kern w:val="0"/>
          <w:highlight w:val="none"/>
          <w:lang w:val="en-US" w:eastAsia="zh-CN"/>
        </w:rPr>
        <w:t>5</w:t>
      </w:r>
      <w:r>
        <w:rPr>
          <w:rStyle w:val="16"/>
          <w:rFonts w:hint="eastAsia" w:ascii="Calibri" w:hAnsi="宋体" w:eastAsia="宋体" w:cs="宋体"/>
          <w:color w:val="auto"/>
          <w:kern w:val="0"/>
          <w:highlight w:val="none"/>
        </w:rPr>
        <w:t>%的违约金，该约定的违约金不能弥补实际损失的，</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应补充赔偿不足部分。</w:t>
      </w:r>
    </w:p>
    <w:p w14:paraId="50F76152">
      <w:pPr>
        <w:pStyle w:val="18"/>
        <w:spacing w:line="360" w:lineRule="auto"/>
        <w:ind w:firstLine="420" w:firstLineChars="200"/>
        <w:jc w:val="left"/>
        <w:rPr>
          <w:rStyle w:val="16"/>
          <w:rFonts w:hint="eastAsia" w:ascii="Calibri" w:hAnsi="宋体" w:eastAsia="宋体" w:cs="宋体"/>
          <w:color w:val="auto"/>
          <w:kern w:val="0"/>
          <w:highlight w:val="none"/>
        </w:rPr>
      </w:pPr>
      <w:r>
        <w:rPr>
          <w:rStyle w:val="16"/>
          <w:rFonts w:hint="eastAsia" w:ascii="Calibri" w:hAnsi="宋体" w:eastAsia="宋体" w:cs="宋体"/>
          <w:color w:val="auto"/>
          <w:kern w:val="0"/>
          <w:highlight w:val="none"/>
        </w:rPr>
        <w:t>若</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或监理人发现未经验收或验收不合格，</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擅自进行隐蔽工程覆盖或其他工程下一道工序的施工，或验收合格后到隐蔽施工前对通过隐蔽验收的合格部分有任何改动，</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必须拆除重建，因此支出的费用及造成的工期延误责任均由</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承担。</w:t>
      </w:r>
    </w:p>
    <w:p w14:paraId="23F0414A">
      <w:pPr>
        <w:pStyle w:val="18"/>
        <w:spacing w:line="360" w:lineRule="auto"/>
        <w:ind w:firstLine="420" w:firstLineChars="200"/>
        <w:jc w:val="left"/>
        <w:rPr>
          <w:rStyle w:val="16"/>
          <w:rFonts w:hint="eastAsia" w:ascii="Calibri" w:hAnsi="宋体" w:eastAsia="宋体" w:cs="宋体"/>
          <w:color w:val="auto"/>
          <w:kern w:val="0"/>
          <w:highlight w:val="none"/>
        </w:rPr>
      </w:pP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在缺陷责任期内，未能对缺陷责任期内发生的缺陷进行修复而又拒绝按</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或监理人指示再进行修补或同一部位出现二次以上维修的，每发生一次，</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应向</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支付签约合同价</w:t>
      </w:r>
      <w:r>
        <w:rPr>
          <w:rStyle w:val="16"/>
          <w:rFonts w:hint="eastAsia" w:hAnsi="宋体" w:eastAsia="宋体" w:cs="宋体"/>
          <w:color w:val="auto"/>
          <w:kern w:val="0"/>
          <w:highlight w:val="none"/>
          <w:lang w:val="en-US" w:eastAsia="zh-CN"/>
        </w:rPr>
        <w:t>2</w:t>
      </w:r>
      <w:r>
        <w:rPr>
          <w:rStyle w:val="16"/>
          <w:rFonts w:hint="eastAsia" w:ascii="Calibri" w:hAnsi="宋体" w:eastAsia="宋体" w:cs="宋体"/>
          <w:color w:val="auto"/>
          <w:kern w:val="0"/>
          <w:highlight w:val="none"/>
        </w:rPr>
        <w:t>%的违约金。</w:t>
      </w:r>
    </w:p>
    <w:p w14:paraId="74B3DA11">
      <w:pPr>
        <w:pStyle w:val="18"/>
        <w:spacing w:line="360" w:lineRule="auto"/>
        <w:ind w:firstLine="420" w:firstLineChars="200"/>
        <w:jc w:val="left"/>
        <w:rPr>
          <w:rStyle w:val="16"/>
          <w:rFonts w:hint="eastAsia" w:ascii="Calibri" w:hAnsi="宋体" w:eastAsia="宋体" w:cs="宋体"/>
          <w:color w:val="auto"/>
          <w:kern w:val="0"/>
          <w:highlight w:val="none"/>
        </w:rPr>
      </w:pP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的项目经理及技术负责人签署的文件和资料不得代签，一经发现，监理人和</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有权拒收并视为</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违约，</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每次向</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 xml:space="preserve">支付违约金 </w:t>
      </w:r>
      <w:r>
        <w:rPr>
          <w:rStyle w:val="16"/>
          <w:rFonts w:hint="eastAsia" w:hAnsi="宋体" w:cs="宋体"/>
          <w:color w:val="auto"/>
          <w:kern w:val="0"/>
          <w:highlight w:val="none"/>
          <w:lang w:val="en-US" w:eastAsia="zh-CN"/>
        </w:rPr>
        <w:t>2000</w:t>
      </w:r>
      <w:r>
        <w:rPr>
          <w:rStyle w:val="16"/>
          <w:rFonts w:hint="eastAsia" w:ascii="Calibri" w:hAnsi="宋体" w:eastAsia="宋体" w:cs="宋体"/>
          <w:color w:val="auto"/>
          <w:kern w:val="0"/>
          <w:highlight w:val="none"/>
        </w:rPr>
        <w:t>元。</w:t>
      </w:r>
    </w:p>
    <w:p w14:paraId="1FF19EAF">
      <w:pPr>
        <w:pStyle w:val="18"/>
        <w:spacing w:line="360" w:lineRule="auto"/>
        <w:ind w:firstLine="420" w:firstLineChars="200"/>
        <w:jc w:val="left"/>
        <w:rPr>
          <w:rStyle w:val="16"/>
          <w:rFonts w:hint="eastAsia" w:ascii="Calibri" w:hAnsi="宋体" w:eastAsia="宋体" w:cs="宋体"/>
          <w:color w:val="auto"/>
          <w:kern w:val="0"/>
          <w:highlight w:val="none"/>
        </w:rPr>
      </w:pP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不履行或不全面履行总承包管理与配合服务的责任和义务，或监理人接到各分包工程</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对</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管理配合服务不到位的投诉，经监理人和</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确认，</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有权暂扣施工总承包服务费直至监理人和</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满意。</w:t>
      </w:r>
    </w:p>
    <w:p w14:paraId="681380E3">
      <w:pPr>
        <w:pStyle w:val="18"/>
        <w:spacing w:line="360" w:lineRule="auto"/>
        <w:ind w:firstLine="420" w:firstLineChars="200"/>
        <w:jc w:val="left"/>
        <w:rPr>
          <w:rStyle w:val="16"/>
          <w:rFonts w:hint="eastAsia" w:ascii="Calibri" w:hAnsi="宋体" w:eastAsia="宋体" w:cs="宋体"/>
          <w:color w:val="auto"/>
          <w:kern w:val="0"/>
          <w:highlight w:val="none"/>
        </w:rPr>
      </w:pP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未按照法律法规、政府要求、</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要求、</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的施工组织设计采取安全文明施工措施的，应负责整改，并且每发现一次，应向</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 xml:space="preserve">支付违约金 </w:t>
      </w:r>
      <w:r>
        <w:rPr>
          <w:rStyle w:val="16"/>
          <w:rFonts w:hint="eastAsia" w:hAnsi="宋体" w:cs="宋体"/>
          <w:color w:val="auto"/>
          <w:kern w:val="0"/>
          <w:highlight w:val="none"/>
          <w:lang w:val="en-US" w:eastAsia="zh-CN"/>
        </w:rPr>
        <w:t>2</w:t>
      </w:r>
      <w:r>
        <w:rPr>
          <w:rStyle w:val="16"/>
          <w:rFonts w:hint="eastAsia" w:ascii="Calibri" w:hAnsi="宋体" w:eastAsia="宋体" w:cs="宋体"/>
          <w:color w:val="auto"/>
          <w:kern w:val="0"/>
          <w:highlight w:val="none"/>
          <w:lang w:eastAsia="zh-CN"/>
        </w:rPr>
        <w:t>0</w:t>
      </w:r>
      <w:r>
        <w:rPr>
          <w:rStyle w:val="16"/>
          <w:rFonts w:hint="eastAsia" w:ascii="Calibri" w:hAnsi="宋体" w:eastAsia="宋体" w:cs="宋体"/>
          <w:color w:val="auto"/>
          <w:kern w:val="0"/>
          <w:highlight w:val="none"/>
          <w:lang w:val="en-US" w:eastAsia="zh-CN"/>
        </w:rPr>
        <w:t>00</w:t>
      </w:r>
      <w:r>
        <w:rPr>
          <w:rStyle w:val="16"/>
          <w:rFonts w:hint="eastAsia" w:ascii="Calibri" w:hAnsi="宋体" w:eastAsia="宋体" w:cs="宋体"/>
          <w:color w:val="auto"/>
          <w:kern w:val="0"/>
          <w:highlight w:val="none"/>
        </w:rPr>
        <w:t>元。</w:t>
      </w:r>
    </w:p>
    <w:p w14:paraId="53693F06">
      <w:pPr>
        <w:pStyle w:val="18"/>
        <w:spacing w:line="360" w:lineRule="auto"/>
        <w:ind w:firstLine="420" w:firstLineChars="200"/>
        <w:jc w:val="left"/>
        <w:rPr>
          <w:rStyle w:val="16"/>
          <w:rFonts w:hint="eastAsia" w:ascii="Calibri" w:hAnsi="宋体" w:eastAsia="宋体" w:cs="宋体"/>
          <w:color w:val="auto"/>
          <w:kern w:val="0"/>
          <w:highlight w:val="none"/>
        </w:rPr>
      </w:pPr>
      <w:r>
        <w:rPr>
          <w:rStyle w:val="16"/>
          <w:rFonts w:hint="eastAsia" w:ascii="Calibri" w:hAnsi="宋体" w:eastAsia="宋体" w:cs="宋体"/>
          <w:color w:val="auto"/>
          <w:kern w:val="0"/>
          <w:highlight w:val="none"/>
        </w:rPr>
        <w:t>未经</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许可，各类挖掘机、汽车、搅拌站、砼输送泵等主要施工设备未按时进场，或</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未按监理人或</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书面要求的时间增加或更换施工设备，则每台机械每延误一天，</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应向</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 xml:space="preserve">支付违约金 </w:t>
      </w:r>
      <w:r>
        <w:rPr>
          <w:rStyle w:val="16"/>
          <w:rFonts w:hint="eastAsia" w:hAnsi="宋体" w:cs="宋体"/>
          <w:color w:val="auto"/>
          <w:kern w:val="0"/>
          <w:highlight w:val="none"/>
          <w:lang w:val="en-US" w:eastAsia="zh-CN"/>
        </w:rPr>
        <w:t>1</w:t>
      </w:r>
      <w:r>
        <w:rPr>
          <w:rStyle w:val="16"/>
          <w:rFonts w:hint="eastAsia" w:ascii="Calibri" w:hAnsi="宋体" w:eastAsia="宋体" w:cs="宋体"/>
          <w:color w:val="auto"/>
          <w:kern w:val="0"/>
          <w:highlight w:val="none"/>
          <w:lang w:eastAsia="zh-CN"/>
        </w:rPr>
        <w:t>0</w:t>
      </w:r>
      <w:r>
        <w:rPr>
          <w:rStyle w:val="16"/>
          <w:rFonts w:hint="eastAsia" w:ascii="Calibri" w:hAnsi="宋体" w:eastAsia="宋体" w:cs="宋体"/>
          <w:color w:val="auto"/>
          <w:kern w:val="0"/>
          <w:highlight w:val="none"/>
          <w:lang w:val="en-US" w:eastAsia="zh-CN"/>
        </w:rPr>
        <w:t>00</w:t>
      </w:r>
      <w:r>
        <w:rPr>
          <w:rStyle w:val="16"/>
          <w:rFonts w:hint="eastAsia" w:ascii="Calibri" w:hAnsi="宋体" w:eastAsia="宋体" w:cs="宋体"/>
          <w:color w:val="auto"/>
          <w:kern w:val="0"/>
          <w:highlight w:val="none"/>
        </w:rPr>
        <w:t>元。</w:t>
      </w:r>
    </w:p>
    <w:p w14:paraId="05A79D3F">
      <w:pPr>
        <w:pStyle w:val="18"/>
        <w:spacing w:line="360" w:lineRule="auto"/>
        <w:ind w:firstLine="420" w:firstLineChars="200"/>
        <w:jc w:val="left"/>
        <w:rPr>
          <w:rStyle w:val="16"/>
          <w:rFonts w:hint="eastAsia" w:ascii="Calibri" w:hAnsi="宋体" w:eastAsia="宋体" w:cs="宋体"/>
          <w:color w:val="auto"/>
          <w:kern w:val="0"/>
          <w:highlight w:val="none"/>
        </w:rPr>
      </w:pPr>
      <w:r>
        <w:rPr>
          <w:rStyle w:val="16"/>
          <w:rFonts w:hint="eastAsia" w:ascii="Calibri" w:hAnsi="宋体" w:eastAsia="宋体" w:cs="宋体"/>
          <w:color w:val="auto"/>
          <w:kern w:val="0"/>
          <w:highlight w:val="none"/>
        </w:rPr>
        <w:t>2）</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违反合同的违约金：</w:t>
      </w:r>
    </w:p>
    <w:p w14:paraId="6B0E5156">
      <w:pPr>
        <w:pStyle w:val="18"/>
        <w:spacing w:line="360" w:lineRule="auto"/>
        <w:ind w:firstLine="420" w:firstLineChars="200"/>
        <w:jc w:val="left"/>
        <w:rPr>
          <w:rStyle w:val="16"/>
          <w:rFonts w:hint="eastAsia" w:ascii="Calibri" w:hAnsi="宋体" w:eastAsia="宋体" w:cs="宋体"/>
          <w:color w:val="auto"/>
          <w:kern w:val="0"/>
          <w:highlight w:val="none"/>
        </w:rPr>
      </w:pPr>
      <w:r>
        <w:rPr>
          <w:rStyle w:val="16"/>
          <w:rFonts w:hint="eastAsia" w:ascii="Calibri" w:hAnsi="宋体" w:eastAsia="宋体" w:cs="宋体"/>
          <w:color w:val="auto"/>
          <w:kern w:val="0"/>
          <w:highlight w:val="none"/>
        </w:rPr>
        <w:t>① 被当地政府部门勒令停工整顿的，以实际停工的天数，每天</w:t>
      </w:r>
      <w:r>
        <w:rPr>
          <w:rStyle w:val="16"/>
          <w:rFonts w:hint="eastAsia" w:hAnsi="宋体" w:cs="宋体"/>
          <w:color w:val="auto"/>
          <w:kern w:val="0"/>
          <w:highlight w:val="none"/>
          <w:lang w:val="en-US" w:eastAsia="zh-CN"/>
        </w:rPr>
        <w:t>千</w:t>
      </w:r>
      <w:r>
        <w:rPr>
          <w:rStyle w:val="16"/>
          <w:rFonts w:hint="eastAsia" w:ascii="Calibri" w:hAnsi="宋体" w:eastAsia="宋体" w:cs="宋体"/>
          <w:color w:val="auto"/>
          <w:kern w:val="0"/>
          <w:highlight w:val="none"/>
        </w:rPr>
        <w:t>分之一的标准向</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支付违约金；</w:t>
      </w:r>
    </w:p>
    <w:p w14:paraId="64E0FF7A">
      <w:pPr>
        <w:pStyle w:val="18"/>
        <w:spacing w:line="360" w:lineRule="auto"/>
        <w:ind w:firstLine="420" w:firstLineChars="200"/>
        <w:jc w:val="left"/>
        <w:rPr>
          <w:rStyle w:val="16"/>
          <w:rFonts w:hint="eastAsia" w:ascii="Calibri" w:hAnsi="宋体" w:eastAsia="宋体" w:cs="宋体"/>
          <w:color w:val="auto"/>
          <w:kern w:val="0"/>
          <w:highlight w:val="none"/>
        </w:rPr>
      </w:pPr>
      <w:r>
        <w:rPr>
          <w:rStyle w:val="16"/>
          <w:rFonts w:hint="eastAsia" w:ascii="Calibri" w:hAnsi="宋体" w:eastAsia="宋体" w:cs="宋体"/>
          <w:color w:val="auto"/>
          <w:kern w:val="0"/>
          <w:highlight w:val="none"/>
        </w:rPr>
        <w:t>②被新闻媒体曝光给工程或</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 xml:space="preserve">带来负面影响、经济损失的，每被曝光一次扣除违约金 </w:t>
      </w:r>
      <w:r>
        <w:rPr>
          <w:rStyle w:val="16"/>
          <w:rFonts w:hint="eastAsia" w:hAnsi="宋体" w:cs="宋体"/>
          <w:color w:val="auto"/>
          <w:kern w:val="0"/>
          <w:highlight w:val="none"/>
          <w:lang w:val="en-US" w:eastAsia="zh-CN"/>
        </w:rPr>
        <w:t>1</w:t>
      </w:r>
      <w:r>
        <w:rPr>
          <w:rStyle w:val="16"/>
          <w:rFonts w:hint="eastAsia" w:ascii="Calibri" w:hAnsi="宋体" w:eastAsia="宋体" w:cs="宋体"/>
          <w:color w:val="auto"/>
          <w:kern w:val="0"/>
          <w:highlight w:val="none"/>
        </w:rPr>
        <w:t xml:space="preserve"> 万元；</w:t>
      </w:r>
    </w:p>
    <w:p w14:paraId="780202B7">
      <w:pPr>
        <w:pStyle w:val="18"/>
        <w:spacing w:line="360" w:lineRule="auto"/>
        <w:ind w:firstLine="420" w:firstLineChars="200"/>
        <w:jc w:val="left"/>
        <w:rPr>
          <w:rStyle w:val="16"/>
          <w:rFonts w:hint="eastAsia" w:ascii="Calibri" w:hAnsi="宋体" w:eastAsia="宋体" w:cs="宋体"/>
          <w:color w:val="auto"/>
          <w:kern w:val="0"/>
          <w:highlight w:val="none"/>
        </w:rPr>
      </w:pPr>
      <w:r>
        <w:rPr>
          <w:rStyle w:val="16"/>
          <w:rFonts w:hint="eastAsia" w:ascii="Calibri" w:hAnsi="宋体" w:eastAsia="宋体" w:cs="宋体"/>
          <w:color w:val="auto"/>
          <w:kern w:val="0"/>
          <w:highlight w:val="none"/>
        </w:rPr>
        <w:t>③</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及其分包人的行为，根据现场例会确定或现场管理规定检查，应当接受违约的，相应的金额即为违约金。</w:t>
      </w:r>
    </w:p>
    <w:p w14:paraId="4ADE374A">
      <w:pPr>
        <w:pStyle w:val="18"/>
        <w:spacing w:line="360" w:lineRule="auto"/>
        <w:ind w:firstLine="420" w:firstLineChars="200"/>
        <w:jc w:val="left"/>
        <w:rPr>
          <w:rStyle w:val="16"/>
          <w:rFonts w:hint="eastAsia" w:ascii="Calibri" w:hAnsi="宋体" w:eastAsia="宋体" w:cs="宋体"/>
          <w:color w:val="auto"/>
          <w:kern w:val="0"/>
          <w:highlight w:val="none"/>
        </w:rPr>
      </w:pPr>
      <w:r>
        <w:rPr>
          <w:rStyle w:val="16"/>
          <w:rFonts w:hint="eastAsia" w:ascii="Calibri" w:hAnsi="宋体" w:eastAsia="宋体" w:cs="宋体"/>
          <w:color w:val="auto"/>
          <w:kern w:val="0"/>
          <w:highlight w:val="none"/>
        </w:rPr>
        <w:t>未按期提交竣工结算报告文件和相应的支持文件结算，每逾期一天，应按照签约合同价的</w:t>
      </w:r>
      <w:r>
        <w:rPr>
          <w:rStyle w:val="16"/>
          <w:rFonts w:hint="eastAsia" w:hAnsi="宋体" w:cs="宋体"/>
          <w:color w:val="auto"/>
          <w:kern w:val="0"/>
          <w:highlight w:val="none"/>
          <w:lang w:val="en-US" w:eastAsia="zh-CN"/>
        </w:rPr>
        <w:t>千</w:t>
      </w:r>
      <w:r>
        <w:rPr>
          <w:rStyle w:val="16"/>
          <w:rFonts w:hint="eastAsia" w:ascii="Calibri" w:hAnsi="宋体" w:eastAsia="宋体" w:cs="宋体"/>
          <w:color w:val="auto"/>
          <w:kern w:val="0"/>
          <w:highlight w:val="none"/>
        </w:rPr>
        <w:t>分之一向</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支付违约金。</w:t>
      </w:r>
    </w:p>
    <w:p w14:paraId="3FC68BDB">
      <w:pPr>
        <w:pStyle w:val="18"/>
        <w:spacing w:line="360" w:lineRule="auto"/>
        <w:ind w:firstLine="420" w:firstLineChars="200"/>
        <w:jc w:val="left"/>
        <w:rPr>
          <w:rFonts w:hint="eastAsia" w:ascii="宋体" w:hAnsi="宋体" w:eastAsia="宋体" w:cs="宋体"/>
          <w:color w:val="000000"/>
          <w:sz w:val="21"/>
          <w:szCs w:val="21"/>
          <w:highlight w:val="none"/>
        </w:rPr>
      </w:pP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未按约定的时间进行竣工清场或</w:t>
      </w:r>
      <w:r>
        <w:rPr>
          <w:rStyle w:val="16"/>
          <w:rFonts w:hint="eastAsia" w:ascii="Calibri" w:hAnsi="宋体" w:eastAsia="宋体" w:cs="宋体"/>
          <w:color w:val="auto"/>
          <w:kern w:val="0"/>
          <w:highlight w:val="none"/>
          <w:lang w:eastAsia="zh-CN"/>
        </w:rPr>
        <w:t>承包人</w:t>
      </w:r>
      <w:r>
        <w:rPr>
          <w:rStyle w:val="16"/>
          <w:rFonts w:hint="eastAsia" w:ascii="Calibri" w:hAnsi="宋体" w:eastAsia="宋体" w:cs="宋体"/>
          <w:color w:val="auto"/>
          <w:kern w:val="0"/>
          <w:highlight w:val="none"/>
        </w:rPr>
        <w:t>未按约定的时间将工程或资料移交给</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，每逾期一天，应按照签约合同价的</w:t>
      </w:r>
      <w:r>
        <w:rPr>
          <w:rStyle w:val="16"/>
          <w:rFonts w:hint="eastAsia" w:hAnsi="宋体" w:cs="宋体"/>
          <w:color w:val="auto"/>
          <w:kern w:val="0"/>
          <w:highlight w:val="none"/>
          <w:lang w:val="en-US" w:eastAsia="zh-CN"/>
        </w:rPr>
        <w:t>千</w:t>
      </w:r>
      <w:r>
        <w:rPr>
          <w:rStyle w:val="16"/>
          <w:rFonts w:hint="eastAsia" w:ascii="Calibri" w:hAnsi="宋体" w:eastAsia="宋体" w:cs="宋体"/>
          <w:color w:val="auto"/>
          <w:kern w:val="0"/>
          <w:highlight w:val="none"/>
        </w:rPr>
        <w:t>分之一向</w:t>
      </w:r>
      <w:r>
        <w:rPr>
          <w:rStyle w:val="16"/>
          <w:rFonts w:hint="eastAsia" w:ascii="Calibri" w:hAnsi="宋体" w:eastAsia="宋体" w:cs="宋体"/>
          <w:color w:val="auto"/>
          <w:kern w:val="0"/>
          <w:highlight w:val="none"/>
          <w:lang w:eastAsia="zh-CN"/>
        </w:rPr>
        <w:t>发包人</w:t>
      </w:r>
      <w:r>
        <w:rPr>
          <w:rStyle w:val="16"/>
          <w:rFonts w:hint="eastAsia" w:ascii="Calibri" w:hAnsi="宋体" w:eastAsia="宋体" w:cs="宋体"/>
          <w:color w:val="auto"/>
          <w:kern w:val="0"/>
          <w:highlight w:val="none"/>
        </w:rPr>
        <w:t>支付违约金。</w:t>
      </w:r>
    </w:p>
    <w:p w14:paraId="0750B81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16.2.3 因承包人违约解除合同</w:t>
      </w:r>
    </w:p>
    <w:p w14:paraId="25147CB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关于承包人违约解除合同的特别约定：</w:t>
      </w:r>
      <w:r>
        <w:rPr>
          <w:rFonts w:hint="eastAsia" w:ascii="宋体" w:hAnsi="宋体" w:eastAsia="宋体" w:cs="宋体"/>
          <w:color w:val="000000"/>
          <w:sz w:val="21"/>
          <w:szCs w:val="21"/>
          <w:highlight w:val="none"/>
          <w:u w:val="single"/>
        </w:rPr>
        <w:t>承包人有违反以下情况之一的，发包人有权解除合同</w:t>
      </w:r>
      <w:r>
        <w:rPr>
          <w:rFonts w:hint="eastAsia" w:ascii="宋体" w:hAnsi="宋体" w:eastAsia="宋体" w:cs="宋体"/>
          <w:color w:val="000000"/>
          <w:sz w:val="21"/>
          <w:szCs w:val="21"/>
          <w:highlight w:val="none"/>
        </w:rPr>
        <w:t>。</w:t>
      </w:r>
    </w:p>
    <w:p w14:paraId="58F3EE1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(1)承包人无正当理由不按开工通知的要求及时进场组织施工和不按签订协议书时商定的进度计划有效地开展施工准备，造成工期延误的；</w:t>
      </w:r>
    </w:p>
    <w:p w14:paraId="34607EFC">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(2)承包人违反本合同通用条款第3.5条规定私自将合同或合同的任何部分或任何权利转让给其他人，或私自将工程或工程的一部分分包出去的；</w:t>
      </w:r>
    </w:p>
    <w:p w14:paraId="39C2471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(3)未经监理人批准，承包人私自将已按投标文件承诺进入工地的工程设备、施工设备、临时工程或材料撤离工地的；</w:t>
      </w:r>
    </w:p>
    <w:p w14:paraId="182398A9">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(4)由于承包人原因拒绝按合同进度计划及时完成合同规定的工程，而又未采取有效措施赶上进度，造成工期严重延误的；</w:t>
      </w:r>
    </w:p>
    <w:p w14:paraId="00166F35">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(5)承包人否认合同有效或拒绝履行合同规定的承包人义务，或由于法律、财务等原因导致承包人无法继续履行或实质上已停止履行合同的义务的；</w:t>
      </w:r>
    </w:p>
    <w:p w14:paraId="7C9F6AAC">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 合同签订且具备法定开工条件后之日起十五日内，承包人无法按合同规定及投标文件的承诺进场经监理工程师认可的该施工阶段应有的全部人员和机械的。</w:t>
      </w:r>
    </w:p>
    <w:p w14:paraId="637A3173">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发包人继续使用承包人在施工现场的材料、设备、临时工程、承包人文件和由承包人或以其名义编制的其他文件的费用承担方式：</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不承担费用</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6FC9A655">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14" w:name="_Toc373227769"/>
      <w:bookmarkStart w:id="915" w:name="_Toc373478416"/>
      <w:bookmarkStart w:id="916" w:name="_Toc389065334"/>
      <w:bookmarkStart w:id="917" w:name="_Toc351203649"/>
      <w:bookmarkStart w:id="918" w:name="_Toc28282"/>
      <w:r>
        <w:rPr>
          <w:rFonts w:hint="eastAsia" w:ascii="宋体" w:hAnsi="宋体" w:eastAsia="宋体" w:cs="宋体"/>
          <w:color w:val="000000"/>
          <w:sz w:val="21"/>
          <w:szCs w:val="21"/>
          <w:highlight w:val="none"/>
        </w:rPr>
        <w:t>17. 不可抗力</w:t>
      </w:r>
      <w:bookmarkEnd w:id="914"/>
      <w:bookmarkEnd w:id="915"/>
      <w:bookmarkEnd w:id="916"/>
      <w:bookmarkEnd w:id="917"/>
      <w:bookmarkEnd w:id="918"/>
      <w:r>
        <w:rPr>
          <w:rFonts w:hint="eastAsia" w:ascii="宋体" w:hAnsi="宋体" w:eastAsia="宋体" w:cs="宋体"/>
          <w:color w:val="000000"/>
          <w:sz w:val="21"/>
          <w:szCs w:val="21"/>
          <w:highlight w:val="none"/>
        </w:rPr>
        <w:t xml:space="preserve"> </w:t>
      </w:r>
      <w:bookmarkEnd w:id="904"/>
    </w:p>
    <w:p w14:paraId="170AB13E">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19" w:name="_Toc373227770"/>
      <w:bookmarkStart w:id="920" w:name="_Toc20751"/>
      <w:bookmarkStart w:id="921" w:name="_Toc373478417"/>
      <w:bookmarkStart w:id="922" w:name="_Toc389065335"/>
      <w:r>
        <w:rPr>
          <w:rFonts w:hint="eastAsia" w:ascii="宋体" w:hAnsi="宋体" w:eastAsia="宋体" w:cs="宋体"/>
          <w:color w:val="000000"/>
          <w:sz w:val="21"/>
          <w:szCs w:val="21"/>
          <w:highlight w:val="none"/>
        </w:rPr>
        <w:t>17.1 不可抗力的确认</w:t>
      </w:r>
      <w:bookmarkEnd w:id="919"/>
      <w:bookmarkEnd w:id="920"/>
      <w:bookmarkEnd w:id="921"/>
      <w:bookmarkEnd w:id="922"/>
    </w:p>
    <w:p w14:paraId="7007FFB1">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除通用合同条款约定的不可抗力事件之外，视为不可抗力的其他情形：</w:t>
      </w:r>
      <w:r>
        <w:rPr>
          <w:rFonts w:hint="eastAsia" w:ascii="宋体" w:hAnsi="宋体" w:eastAsia="宋体" w:cs="宋体"/>
          <w:color w:val="000000"/>
          <w:sz w:val="21"/>
          <w:szCs w:val="21"/>
          <w:highlight w:val="none"/>
          <w:u w:val="single"/>
        </w:rPr>
        <w:t xml:space="preserve"> 因政府或相关主管部门要求导致项目中断施工</w:t>
      </w:r>
      <w:r>
        <w:rPr>
          <w:rFonts w:hint="eastAsia" w:ascii="宋体" w:hAnsi="宋体" w:eastAsia="宋体" w:cs="宋体"/>
          <w:color w:val="000000"/>
          <w:sz w:val="21"/>
          <w:szCs w:val="21"/>
          <w:highlight w:val="none"/>
          <w:u w:val="single"/>
          <w:lang w:eastAsia="zh-CN"/>
        </w:rPr>
        <w:t>，</w:t>
      </w:r>
      <w:r>
        <w:rPr>
          <w:rStyle w:val="16"/>
          <w:rFonts w:ascii="Calibri" w:hAnsi="Calibri" w:eastAsia="宋体" w:cs="Times New Roman"/>
          <w:color w:val="auto"/>
          <w:kern w:val="0"/>
          <w:highlight w:val="none"/>
          <w:u w:val="single"/>
        </w:rPr>
        <w:t>但由于承包人的雇员原因引起的骚乱及其他灾难性事件不属于不可抗力</w:t>
      </w:r>
      <w:r>
        <w:rPr>
          <w:rStyle w:val="16"/>
          <w:rFonts w:hint="eastAsia" w:ascii="Calibri" w:hAnsi="Calibri" w:eastAsia="宋体" w:cs="Times New Roman"/>
          <w:color w:val="auto"/>
          <w:kern w:val="0"/>
          <w:highlight w:val="none"/>
          <w:u w:val="single"/>
          <w:lang w:val="en-US" w:eastAsia="zh-CN"/>
        </w:rPr>
        <w:t xml:space="preserve"> </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4BC811EB">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23" w:name="_Toc389065336"/>
      <w:bookmarkStart w:id="924" w:name="_Toc373227771"/>
      <w:bookmarkStart w:id="925" w:name="_Toc373478418"/>
      <w:bookmarkStart w:id="926" w:name="_Toc31960"/>
      <w:r>
        <w:rPr>
          <w:rFonts w:hint="eastAsia" w:ascii="宋体" w:hAnsi="宋体" w:eastAsia="宋体" w:cs="宋体"/>
          <w:color w:val="000000"/>
          <w:sz w:val="21"/>
          <w:szCs w:val="21"/>
          <w:highlight w:val="none"/>
        </w:rPr>
        <w:t>17.4 因不可抗力解除合同</w:t>
      </w:r>
      <w:bookmarkEnd w:id="923"/>
      <w:bookmarkEnd w:id="924"/>
      <w:bookmarkEnd w:id="925"/>
      <w:bookmarkEnd w:id="926"/>
    </w:p>
    <w:p w14:paraId="5476A6C0">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合同解除后，发包人应在商定或确定发包人应支付款项后</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28</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天内完成款项的支付。</w:t>
      </w:r>
    </w:p>
    <w:p w14:paraId="72CBC30F">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27" w:name="_Toc351203650"/>
      <w:bookmarkStart w:id="928" w:name="_Toc3919"/>
      <w:bookmarkStart w:id="929" w:name="_Toc373478419"/>
      <w:bookmarkStart w:id="930" w:name="_Toc389065337"/>
      <w:bookmarkStart w:id="931" w:name="_Toc373227772"/>
      <w:r>
        <w:rPr>
          <w:rFonts w:hint="eastAsia" w:ascii="宋体" w:hAnsi="宋体" w:eastAsia="宋体" w:cs="宋体"/>
          <w:color w:val="000000"/>
          <w:sz w:val="21"/>
          <w:szCs w:val="21"/>
          <w:highlight w:val="none"/>
        </w:rPr>
        <w:t>18. 保险</w:t>
      </w:r>
      <w:bookmarkEnd w:id="927"/>
      <w:bookmarkEnd w:id="928"/>
      <w:bookmarkEnd w:id="929"/>
      <w:bookmarkEnd w:id="930"/>
      <w:bookmarkEnd w:id="931"/>
    </w:p>
    <w:bookmarkEnd w:id="905"/>
    <w:p w14:paraId="1AB5A84B">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32" w:name="_Toc373227773"/>
      <w:bookmarkStart w:id="933" w:name="_Toc389065338"/>
      <w:bookmarkStart w:id="934" w:name="_Toc9503"/>
      <w:bookmarkStart w:id="935" w:name="_Toc373478420"/>
      <w:r>
        <w:rPr>
          <w:rFonts w:hint="eastAsia" w:ascii="宋体" w:hAnsi="宋体" w:eastAsia="宋体" w:cs="宋体"/>
          <w:color w:val="000000"/>
          <w:sz w:val="21"/>
          <w:szCs w:val="21"/>
          <w:highlight w:val="none"/>
        </w:rPr>
        <w:t>18.1 工程保险</w:t>
      </w:r>
      <w:bookmarkEnd w:id="932"/>
      <w:bookmarkEnd w:id="933"/>
      <w:bookmarkEnd w:id="934"/>
      <w:bookmarkEnd w:id="935"/>
    </w:p>
    <w:p w14:paraId="586ADD48">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关于工程保险的特别约定：</w:t>
      </w:r>
      <w:r>
        <w:rPr>
          <w:rStyle w:val="16"/>
          <w:rFonts w:ascii="宋体" w:hAnsi="宋体" w:eastAsia="宋体" w:cs="宋体"/>
          <w:color w:val="auto"/>
          <w:spacing w:val="0"/>
          <w:sz w:val="21"/>
          <w:szCs w:val="21"/>
          <w:highlight w:val="none"/>
          <w:u w:val="single" w:color="auto"/>
        </w:rPr>
        <w:t>本项目工程一切险(或安装工程一切险)和第三者责任险由承包人投保，</w:t>
      </w:r>
      <w:r>
        <w:rPr>
          <w:rStyle w:val="16"/>
          <w:rFonts w:ascii="宋体" w:hAnsi="宋体" w:eastAsia="宋体" w:cs="宋体"/>
          <w:color w:val="auto"/>
          <w:sz w:val="21"/>
          <w:szCs w:val="21"/>
          <w:highlight w:val="none"/>
          <w:u w:val="single" w:color="auto"/>
        </w:rPr>
        <w:t>投保产生的相关费用</w:t>
      </w:r>
      <w:r>
        <w:rPr>
          <w:rStyle w:val="16"/>
          <w:rFonts w:ascii="宋体" w:hAnsi="宋体" w:eastAsia="宋体" w:cs="宋体"/>
          <w:color w:val="auto"/>
          <w:spacing w:val="0"/>
          <w:sz w:val="21"/>
          <w:szCs w:val="21"/>
          <w:highlight w:val="none"/>
          <w:u w:val="single" w:color="auto"/>
        </w:rPr>
        <w:t>由承包人在措施费中考虑，由于承包人</w:t>
      </w:r>
      <w:r>
        <w:rPr>
          <w:rStyle w:val="16"/>
          <w:rFonts w:ascii="宋体" w:hAnsi="宋体" w:eastAsia="宋体" w:cs="宋体"/>
          <w:color w:val="auto"/>
          <w:sz w:val="21"/>
          <w:szCs w:val="21"/>
          <w:highlight w:val="none"/>
          <w:u w:val="single" w:color="auto"/>
        </w:rPr>
        <w:t>预估费用低于实际费用，不足部</w:t>
      </w:r>
      <w:r>
        <w:rPr>
          <w:rFonts w:hint="eastAsia" w:ascii="宋体" w:hAnsi="宋体" w:eastAsia="宋体" w:cs="宋体"/>
          <w:color w:val="000000"/>
          <w:sz w:val="21"/>
          <w:szCs w:val="21"/>
          <w:highlight w:val="none"/>
          <w:u w:val="single"/>
        </w:rPr>
        <w:t>分由承包人补齐</w:t>
      </w:r>
      <w:r>
        <w:rPr>
          <w:rFonts w:hint="eastAsia" w:ascii="宋体" w:hAnsi="宋体" w:eastAsia="宋体" w:cs="宋体"/>
          <w:color w:val="000000"/>
          <w:sz w:val="21"/>
          <w:szCs w:val="21"/>
          <w:highlight w:val="none"/>
        </w:rPr>
        <w:t>。</w:t>
      </w:r>
    </w:p>
    <w:p w14:paraId="281CA726">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36" w:name="_Toc389065339"/>
      <w:bookmarkStart w:id="937" w:name="_Toc373227774"/>
      <w:bookmarkStart w:id="938" w:name="_Toc4100"/>
      <w:bookmarkStart w:id="939" w:name="_Toc373478421"/>
      <w:r>
        <w:rPr>
          <w:rFonts w:hint="eastAsia" w:ascii="宋体" w:hAnsi="宋体" w:eastAsia="宋体" w:cs="宋体"/>
          <w:color w:val="000000"/>
          <w:sz w:val="21"/>
          <w:szCs w:val="21"/>
          <w:highlight w:val="none"/>
        </w:rPr>
        <w:t>18.3 其他保险</w:t>
      </w:r>
      <w:bookmarkEnd w:id="936"/>
      <w:bookmarkEnd w:id="937"/>
      <w:bookmarkEnd w:id="938"/>
      <w:bookmarkEnd w:id="939"/>
    </w:p>
    <w:p w14:paraId="45E69AAD">
      <w:pPr>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关于其他保险的约定：</w:t>
      </w:r>
      <w:r>
        <w:rPr>
          <w:rFonts w:hint="eastAsia" w:ascii="宋体" w:hAnsi="宋体" w:eastAsia="宋体" w:cs="宋体"/>
          <w:bCs/>
          <w:color w:val="000000"/>
          <w:sz w:val="21"/>
          <w:szCs w:val="21"/>
          <w:highlight w:val="none"/>
          <w:u w:val="single"/>
        </w:rPr>
        <w:t xml:space="preserve">   承包人必须为施工现场从事施工的自有作业人员和管理人员办理意外伤害保险，并支付保险费，费用已包含在综合单价中不再另计计价     </w:t>
      </w:r>
      <w:r>
        <w:rPr>
          <w:rFonts w:hint="eastAsia" w:ascii="宋体" w:hAnsi="宋体" w:eastAsia="宋体" w:cs="宋体"/>
          <w:bCs/>
          <w:color w:val="000000"/>
          <w:sz w:val="21"/>
          <w:szCs w:val="21"/>
          <w:highlight w:val="none"/>
        </w:rPr>
        <w:t>。</w:t>
      </w:r>
    </w:p>
    <w:p w14:paraId="3CB91A80">
      <w:pPr>
        <w:pStyle w:val="30"/>
        <w:keepNext/>
        <w:keepLines/>
        <w:pageBreakBefore w:val="0"/>
        <w:widowControl w:val="0"/>
        <w:kinsoku/>
        <w:wordWrap/>
        <w:overflowPunct/>
        <w:topLinePunct w:val="0"/>
        <w:autoSpaceDE/>
        <w:autoSpaceDN/>
        <w:bidi w:val="0"/>
        <w:adjustRightInd/>
        <w:snapToGrid/>
        <w:spacing w:before="0" w:after="0" w:line="360" w:lineRule="auto"/>
        <w:ind w:firstLine="420" w:firstLineChars="200"/>
        <w:textAlignment w:val="auto"/>
        <w:outlineLvl w:val="9"/>
        <w:rPr>
          <w:rFonts w:hint="eastAsia" w:ascii="宋体" w:hAnsi="宋体" w:eastAsia="宋体" w:cs="宋体"/>
          <w:b w:val="0"/>
          <w:bCs/>
          <w:color w:val="000000"/>
          <w:kern w:val="2"/>
          <w:sz w:val="21"/>
          <w:szCs w:val="21"/>
          <w:highlight w:val="none"/>
          <w:u w:val="single"/>
          <w:lang w:val="en-US" w:eastAsia="zh-CN" w:bidi="ar-SA"/>
        </w:rPr>
      </w:pPr>
      <w:bookmarkStart w:id="940" w:name="_Toc1398"/>
      <w:bookmarkStart w:id="941" w:name="_Toc24987"/>
      <w:bookmarkStart w:id="942" w:name="_Toc9866"/>
      <w:r>
        <w:rPr>
          <w:rFonts w:hint="eastAsia" w:ascii="宋体" w:hAnsi="宋体" w:eastAsia="宋体" w:cs="宋体"/>
          <w:b w:val="0"/>
          <w:bCs/>
          <w:color w:val="000000"/>
          <w:kern w:val="2"/>
          <w:sz w:val="21"/>
          <w:szCs w:val="21"/>
          <w:highlight w:val="none"/>
          <w:u w:val="single"/>
          <w:lang w:val="en-US" w:eastAsia="zh-CN" w:bidi="ar-SA"/>
        </w:rPr>
        <w:t>安全生产责任保险费：根据《自治区住房城乡建设厅关于印发广西壮族自治区房屋建筑和市政基础设施工程安全生产责任保险计价规定的通知》（桂建发[2023]6号）规定：安全生产责任保险费按分部分项工程费及措施项目费（含单价及总价措施项目费）为计算基数乘以0.2%计入暂估价，工程结算时，由发承包双方根据工程实际情况确认的安全生产责任保险费计入工程造价。</w:t>
      </w:r>
      <w:bookmarkEnd w:id="940"/>
      <w:bookmarkEnd w:id="941"/>
      <w:bookmarkEnd w:id="942"/>
    </w:p>
    <w:p w14:paraId="2FDD4B6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承包人是否应为其施工设备等办理财产保险：</w:t>
      </w:r>
      <w:r>
        <w:rPr>
          <w:rFonts w:hint="eastAsia" w:ascii="宋体" w:hAnsi="宋体" w:eastAsia="宋体" w:cs="宋体"/>
          <w:color w:val="000000"/>
          <w:sz w:val="21"/>
          <w:szCs w:val="21"/>
          <w:highlight w:val="none"/>
          <w:u w:val="single"/>
        </w:rPr>
        <w:t xml:space="preserve">  承包人自行考虑    </w:t>
      </w:r>
      <w:r>
        <w:rPr>
          <w:rFonts w:hint="eastAsia" w:ascii="宋体" w:hAnsi="宋体" w:eastAsia="宋体" w:cs="宋体"/>
          <w:color w:val="000000"/>
          <w:sz w:val="21"/>
          <w:szCs w:val="21"/>
          <w:highlight w:val="none"/>
        </w:rPr>
        <w:t>。</w:t>
      </w:r>
    </w:p>
    <w:p w14:paraId="1F3F85A5">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43" w:name="_Toc20108"/>
      <w:bookmarkStart w:id="944" w:name="_Toc373227775"/>
      <w:bookmarkStart w:id="945" w:name="_Toc373478422"/>
      <w:bookmarkStart w:id="946" w:name="_Toc389065340"/>
      <w:r>
        <w:rPr>
          <w:rFonts w:hint="eastAsia" w:ascii="宋体" w:hAnsi="宋体" w:eastAsia="宋体" w:cs="宋体"/>
          <w:color w:val="000000"/>
          <w:sz w:val="21"/>
          <w:szCs w:val="21"/>
          <w:highlight w:val="none"/>
        </w:rPr>
        <w:t>18.7 通知义务</w:t>
      </w:r>
      <w:bookmarkEnd w:id="943"/>
      <w:bookmarkEnd w:id="944"/>
      <w:bookmarkEnd w:id="945"/>
      <w:bookmarkEnd w:id="946"/>
    </w:p>
    <w:p w14:paraId="5FD956DE">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关于变更保险合同时的通知义务的约定：</w:t>
      </w:r>
      <w:r>
        <w:rPr>
          <w:rFonts w:hint="eastAsia" w:ascii="宋体" w:hAnsi="宋体" w:eastAsia="宋体" w:cs="宋体"/>
          <w:color w:val="000000"/>
          <w:sz w:val="21"/>
          <w:szCs w:val="21"/>
          <w:highlight w:val="none"/>
          <w:u w:val="single"/>
        </w:rPr>
        <w:t xml:space="preserve">  无   </w:t>
      </w:r>
      <w:r>
        <w:rPr>
          <w:rFonts w:hint="eastAsia" w:ascii="宋体" w:hAnsi="宋体" w:eastAsia="宋体" w:cs="宋体"/>
          <w:color w:val="000000"/>
          <w:sz w:val="21"/>
          <w:szCs w:val="21"/>
          <w:highlight w:val="none"/>
        </w:rPr>
        <w:t>。</w:t>
      </w:r>
    </w:p>
    <w:bookmarkEnd w:id="865"/>
    <w:bookmarkEnd w:id="866"/>
    <w:bookmarkEnd w:id="867"/>
    <w:bookmarkEnd w:id="868"/>
    <w:bookmarkEnd w:id="869"/>
    <w:bookmarkEnd w:id="870"/>
    <w:bookmarkEnd w:id="871"/>
    <w:bookmarkEnd w:id="872"/>
    <w:bookmarkEnd w:id="873"/>
    <w:bookmarkEnd w:id="874"/>
    <w:bookmarkEnd w:id="875"/>
    <w:bookmarkEnd w:id="876"/>
    <w:p w14:paraId="4A89181E">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47" w:name="_Toc389065341"/>
      <w:bookmarkStart w:id="948" w:name="_Toc373227776"/>
      <w:bookmarkStart w:id="949" w:name="_Toc18626"/>
      <w:bookmarkStart w:id="950" w:name="_Toc351203651"/>
      <w:bookmarkStart w:id="951" w:name="_Toc373478423"/>
      <w:r>
        <w:rPr>
          <w:rFonts w:hint="eastAsia" w:ascii="宋体" w:hAnsi="宋体" w:eastAsia="宋体" w:cs="宋体"/>
          <w:color w:val="000000"/>
          <w:sz w:val="21"/>
          <w:szCs w:val="21"/>
          <w:highlight w:val="none"/>
        </w:rPr>
        <w:t>20. 争议解决</w:t>
      </w:r>
      <w:bookmarkEnd w:id="947"/>
      <w:bookmarkEnd w:id="948"/>
      <w:bookmarkEnd w:id="949"/>
      <w:bookmarkEnd w:id="950"/>
      <w:bookmarkEnd w:id="951"/>
    </w:p>
    <w:bookmarkEnd w:id="877"/>
    <w:bookmarkEnd w:id="878"/>
    <w:p w14:paraId="11C30968">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52" w:name="_Toc373227777"/>
      <w:bookmarkStart w:id="953" w:name="_Toc373478424"/>
      <w:bookmarkStart w:id="954" w:name="_Toc24166"/>
      <w:bookmarkStart w:id="955" w:name="_Toc389065342"/>
      <w:r>
        <w:rPr>
          <w:rFonts w:hint="eastAsia" w:ascii="宋体" w:hAnsi="宋体" w:eastAsia="宋体" w:cs="宋体"/>
          <w:color w:val="000000"/>
          <w:sz w:val="21"/>
          <w:szCs w:val="21"/>
          <w:highlight w:val="none"/>
        </w:rPr>
        <w:t>20.3 争</w:t>
      </w:r>
      <w:bookmarkEnd w:id="879"/>
      <w:r>
        <w:rPr>
          <w:rFonts w:hint="eastAsia" w:ascii="宋体" w:hAnsi="宋体" w:eastAsia="宋体" w:cs="宋体"/>
          <w:color w:val="000000"/>
          <w:sz w:val="21"/>
          <w:szCs w:val="21"/>
          <w:highlight w:val="none"/>
        </w:rPr>
        <w:t>议评审</w:t>
      </w:r>
      <w:bookmarkEnd w:id="952"/>
      <w:bookmarkEnd w:id="953"/>
      <w:bookmarkEnd w:id="954"/>
      <w:bookmarkEnd w:id="955"/>
    </w:p>
    <w:p w14:paraId="77998767">
      <w:pPr>
        <w:pageBreakBefore w:val="0"/>
        <w:kinsoku/>
        <w:overflowPunct/>
        <w:topLinePunct w:val="0"/>
        <w:bidi w:val="0"/>
        <w:spacing w:line="360" w:lineRule="auto"/>
        <w:ind w:left="149" w:leftChars="71" w:firstLine="315" w:firstLineChars="15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合同当事人是否同意将工程争议提交争议评审小组决定：</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lang w:eastAsia="zh-CN"/>
        </w:rPr>
        <w:t>是</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14:paraId="3BAA4ABF">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20.3.1 争议评审小组的确定</w:t>
      </w:r>
    </w:p>
    <w:p w14:paraId="20A4D67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争议评审小组成员的确定：</w:t>
      </w:r>
      <w:r>
        <w:rPr>
          <w:rFonts w:hint="eastAsia" w:ascii="宋体" w:hAnsi="宋体" w:eastAsia="宋体" w:cs="宋体"/>
          <w:color w:val="000000"/>
          <w:sz w:val="21"/>
          <w:szCs w:val="21"/>
          <w:highlight w:val="none"/>
          <w:u w:val="single"/>
        </w:rPr>
        <w:t xml:space="preserve">      按本合同通用条款相关规定执行      </w:t>
      </w:r>
      <w:r>
        <w:rPr>
          <w:rFonts w:hint="eastAsia" w:ascii="宋体" w:hAnsi="宋体" w:eastAsia="宋体" w:cs="宋体"/>
          <w:color w:val="000000"/>
          <w:sz w:val="21"/>
          <w:szCs w:val="21"/>
          <w:highlight w:val="none"/>
        </w:rPr>
        <w:t>。</w:t>
      </w:r>
    </w:p>
    <w:p w14:paraId="6C3907D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选定争议评审员的期限：</w:t>
      </w:r>
      <w:r>
        <w:rPr>
          <w:rFonts w:hint="eastAsia" w:ascii="宋体" w:hAnsi="宋体" w:eastAsia="宋体" w:cs="宋体"/>
          <w:color w:val="000000"/>
          <w:sz w:val="21"/>
          <w:szCs w:val="21"/>
          <w:highlight w:val="none"/>
          <w:u w:val="single"/>
        </w:rPr>
        <w:t xml:space="preserve"> 按本合同通用条款相关规定执行   </w:t>
      </w:r>
      <w:r>
        <w:rPr>
          <w:rFonts w:hint="eastAsia" w:ascii="宋体" w:hAnsi="宋体" w:eastAsia="宋体" w:cs="宋体"/>
          <w:color w:val="000000"/>
          <w:sz w:val="21"/>
          <w:szCs w:val="21"/>
          <w:highlight w:val="none"/>
        </w:rPr>
        <w:t>。</w:t>
      </w:r>
    </w:p>
    <w:p w14:paraId="6E1207ED">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争议评审小组成员的报酬承担方式：</w:t>
      </w:r>
      <w:r>
        <w:rPr>
          <w:rFonts w:hint="eastAsia" w:ascii="宋体" w:hAnsi="宋体" w:eastAsia="宋体" w:cs="宋体"/>
          <w:color w:val="000000"/>
          <w:sz w:val="21"/>
          <w:szCs w:val="21"/>
          <w:highlight w:val="none"/>
          <w:u w:val="single"/>
        </w:rPr>
        <w:t xml:space="preserve"> 按本合同通用条款相关规定执行  </w:t>
      </w:r>
      <w:r>
        <w:rPr>
          <w:rFonts w:hint="eastAsia" w:ascii="宋体" w:hAnsi="宋体" w:eastAsia="宋体" w:cs="宋体"/>
          <w:color w:val="000000"/>
          <w:sz w:val="21"/>
          <w:szCs w:val="21"/>
          <w:highlight w:val="none"/>
        </w:rPr>
        <w:t>。</w:t>
      </w:r>
    </w:p>
    <w:p w14:paraId="4B34209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其他事项的约定：</w:t>
      </w:r>
      <w:r>
        <w:rPr>
          <w:rFonts w:hint="eastAsia" w:ascii="宋体" w:hAnsi="宋体" w:eastAsia="宋体" w:cs="宋体"/>
          <w:color w:val="000000"/>
          <w:sz w:val="21"/>
          <w:szCs w:val="21"/>
          <w:highlight w:val="none"/>
          <w:u w:val="single"/>
        </w:rPr>
        <w:t xml:space="preserve">  按本合同通用条款相关规定执行    </w:t>
      </w:r>
      <w:r>
        <w:rPr>
          <w:rFonts w:hint="eastAsia" w:ascii="宋体" w:hAnsi="宋体" w:eastAsia="宋体" w:cs="宋体"/>
          <w:color w:val="000000"/>
          <w:sz w:val="21"/>
          <w:szCs w:val="21"/>
          <w:highlight w:val="none"/>
        </w:rPr>
        <w:t>。</w:t>
      </w:r>
    </w:p>
    <w:p w14:paraId="3942DBDA">
      <w:pPr>
        <w:pageBreakBefore w:val="0"/>
        <w:kinsoku/>
        <w:overflowPunct/>
        <w:topLinePunct w:val="0"/>
        <w:autoSpaceDE w:val="0"/>
        <w:autoSpaceDN w:val="0"/>
        <w:bidi w:val="0"/>
        <w:adjustRightInd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20.3.2 争议评审小组的决定</w:t>
      </w:r>
    </w:p>
    <w:p w14:paraId="466D37BA">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合同当事人关于本项的约定：</w:t>
      </w:r>
      <w:r>
        <w:rPr>
          <w:rFonts w:hint="eastAsia" w:ascii="宋体" w:hAnsi="宋体" w:eastAsia="宋体" w:cs="宋体"/>
          <w:color w:val="000000"/>
          <w:sz w:val="21"/>
          <w:szCs w:val="21"/>
          <w:highlight w:val="none"/>
          <w:u w:val="single"/>
        </w:rPr>
        <w:t xml:space="preserve">  按本合同通用条款相关规定执行     </w:t>
      </w:r>
      <w:r>
        <w:rPr>
          <w:rFonts w:hint="eastAsia" w:ascii="宋体" w:hAnsi="宋体" w:eastAsia="宋体" w:cs="宋体"/>
          <w:color w:val="000000"/>
          <w:sz w:val="21"/>
          <w:szCs w:val="21"/>
          <w:highlight w:val="none"/>
        </w:rPr>
        <w:t>。</w:t>
      </w:r>
    </w:p>
    <w:p w14:paraId="1C822C9B">
      <w:pPr>
        <w:pageBreakBefore w:val="0"/>
        <w:kinsoku/>
        <w:overflowPunct/>
        <w:topLinePunct w:val="0"/>
        <w:bidi w:val="0"/>
        <w:spacing w:line="360" w:lineRule="auto"/>
        <w:outlineLvl w:val="9"/>
        <w:rPr>
          <w:rFonts w:hint="eastAsia" w:ascii="宋体" w:hAnsi="宋体" w:eastAsia="宋体" w:cs="宋体"/>
          <w:color w:val="000000"/>
          <w:sz w:val="21"/>
          <w:szCs w:val="21"/>
          <w:highlight w:val="none"/>
        </w:rPr>
      </w:pPr>
      <w:bookmarkStart w:id="956" w:name="_Toc24467"/>
      <w:bookmarkStart w:id="957" w:name="_Toc373227778"/>
      <w:bookmarkStart w:id="958" w:name="_Toc373478425"/>
      <w:bookmarkStart w:id="959" w:name="_Toc389065343"/>
      <w:r>
        <w:rPr>
          <w:rFonts w:hint="eastAsia" w:ascii="宋体" w:hAnsi="宋体" w:eastAsia="宋体" w:cs="宋体"/>
          <w:color w:val="000000"/>
          <w:sz w:val="21"/>
          <w:szCs w:val="21"/>
          <w:highlight w:val="none"/>
        </w:rPr>
        <w:t>20.4 仲裁或诉讼</w:t>
      </w:r>
      <w:bookmarkEnd w:id="880"/>
      <w:bookmarkEnd w:id="956"/>
      <w:bookmarkEnd w:id="957"/>
      <w:bookmarkEnd w:id="958"/>
      <w:bookmarkEnd w:id="959"/>
    </w:p>
    <w:p w14:paraId="0F649D96">
      <w:pPr>
        <w:pageBreakBefore w:val="0"/>
        <w:kinsoku/>
        <w:overflowPunct/>
        <w:topLinePunct w:val="0"/>
        <w:bidi w:val="0"/>
        <w:spacing w:line="360" w:lineRule="auto"/>
        <w:ind w:firstLine="420" w:firstLineChars="200"/>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因合同及合同有关事项发生的争议，按下列第</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2</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种方式解决：</w:t>
      </w:r>
    </w:p>
    <w:p w14:paraId="225E2AD5">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（1）提请</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防城港</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仲裁委员会按照该会仲裁规则进行仲裁，仲裁裁决是终局的，对合同双方均有约束力。</w:t>
      </w:r>
    </w:p>
    <w:p w14:paraId="5B75E9B3">
      <w:pPr>
        <w:pageBreakBefore w:val="0"/>
        <w:kinsoku/>
        <w:overflowPunct/>
        <w:topLinePunct w:val="0"/>
        <w:bidi w:val="0"/>
        <w:spacing w:line="360" w:lineRule="auto"/>
        <w:ind w:firstLine="420" w:firstLineChars="200"/>
        <w:jc w:val="left"/>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（2）向</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工程所在地</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人民法院起诉。</w:t>
      </w:r>
      <w:bookmarkEnd w:id="881"/>
      <w:bookmarkEnd w:id="882"/>
      <w:bookmarkEnd w:id="883"/>
      <w:bookmarkEnd w:id="884"/>
      <w:bookmarkEnd w:id="885"/>
      <w:bookmarkEnd w:id="886"/>
    </w:p>
    <w:p w14:paraId="78F28186">
      <w:pPr>
        <w:pageBreakBefore w:val="0"/>
        <w:kinsoku/>
        <w:overflowPunct/>
        <w:topLinePunct w:val="0"/>
        <w:bidi w:val="0"/>
        <w:spacing w:line="360" w:lineRule="auto"/>
        <w:jc w:val="left"/>
        <w:outlineLvl w:val="9"/>
        <w:rPr>
          <w:rFonts w:hint="default" w:ascii="宋体" w:hAnsi="宋体" w:eastAsia="宋体" w:cs="宋体"/>
          <w:b/>
          <w:color w:val="000000"/>
          <w:sz w:val="21"/>
          <w:szCs w:val="21"/>
          <w:highlight w:val="none"/>
          <w:lang w:val="en-US" w:eastAsia="zh-CN"/>
        </w:rPr>
      </w:pPr>
      <w:r>
        <w:rPr>
          <w:rFonts w:hint="eastAsia" w:ascii="宋体" w:hAnsi="宋体" w:eastAsia="宋体" w:cs="宋体"/>
          <w:b/>
          <w:color w:val="000000"/>
          <w:sz w:val="21"/>
          <w:szCs w:val="21"/>
          <w:highlight w:val="none"/>
          <w:lang w:val="en-US" w:eastAsia="zh-CN"/>
        </w:rPr>
        <w:t>21.其他</w:t>
      </w:r>
    </w:p>
    <w:p w14:paraId="34FA7C54">
      <w:pPr>
        <w:pStyle w:val="18"/>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Style w:val="16"/>
          <w:rFonts w:hint="eastAsia" w:ascii="宋体" w:hAnsi="宋体" w:eastAsia="宋体" w:cs="Times New Roman"/>
          <w:b/>
          <w:bCs/>
          <w:color w:val="auto"/>
          <w:kern w:val="2"/>
          <w:sz w:val="21"/>
          <w:szCs w:val="22"/>
          <w:highlight w:val="none"/>
          <w:lang w:val="en-US" w:eastAsia="zh-CN" w:bidi="ar-SA"/>
        </w:rPr>
      </w:pPr>
      <w:r>
        <w:rPr>
          <w:rStyle w:val="16"/>
          <w:rFonts w:hint="eastAsia" w:ascii="宋体" w:hAnsi="宋体" w:cs="Times New Roman"/>
          <w:b/>
          <w:bCs/>
          <w:color w:val="auto"/>
          <w:kern w:val="2"/>
          <w:sz w:val="21"/>
          <w:szCs w:val="22"/>
          <w:highlight w:val="none"/>
          <w:lang w:val="en-US" w:eastAsia="zh-CN" w:bidi="ar-SA"/>
        </w:rPr>
        <w:t>（1）</w:t>
      </w:r>
      <w:r>
        <w:rPr>
          <w:rStyle w:val="16"/>
          <w:rFonts w:hint="eastAsia" w:ascii="宋体" w:hAnsi="宋体" w:eastAsia="宋体" w:cs="Times New Roman"/>
          <w:b/>
          <w:bCs/>
          <w:color w:val="auto"/>
          <w:kern w:val="2"/>
          <w:sz w:val="21"/>
          <w:szCs w:val="22"/>
          <w:highlight w:val="none"/>
          <w:lang w:val="en-US" w:eastAsia="zh-CN" w:bidi="ar-SA"/>
        </w:rPr>
        <w:t>根据《广西壮族自治区人民政府办公厅关于印发广西开展松材线虫病疫情防控五年攻坚行动八条措施的通知》（桂政办发〔2021〕126号）的文件要求，本项目建设过程中不得使用松木及其包装材料。</w:t>
      </w:r>
    </w:p>
    <w:p w14:paraId="1C4B8779">
      <w:pPr>
        <w:pStyle w:val="18"/>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Style w:val="16"/>
          <w:rFonts w:hint="eastAsia" w:ascii="宋体" w:hAnsi="宋体" w:eastAsia="宋体" w:cs="Times New Roman"/>
          <w:b/>
          <w:bCs/>
          <w:color w:val="auto"/>
          <w:kern w:val="2"/>
          <w:sz w:val="21"/>
          <w:szCs w:val="22"/>
          <w:highlight w:val="none"/>
          <w:lang w:val="en-US" w:eastAsia="zh-CN" w:bidi="ar-SA"/>
        </w:rPr>
      </w:pPr>
      <w:r>
        <w:rPr>
          <w:rStyle w:val="16"/>
          <w:rFonts w:hint="eastAsia" w:ascii="宋体" w:hAnsi="宋体" w:eastAsia="宋体" w:cs="Times New Roman"/>
          <w:b/>
          <w:bCs/>
          <w:color w:val="auto"/>
          <w:kern w:val="2"/>
          <w:sz w:val="21"/>
          <w:szCs w:val="22"/>
          <w:highlight w:val="none"/>
          <w:lang w:val="en-US" w:eastAsia="zh-CN" w:bidi="ar-SA"/>
        </w:rPr>
        <w:t>（2）</w:t>
      </w:r>
      <w:r>
        <w:rPr>
          <w:rStyle w:val="16"/>
          <w:rFonts w:hint="eastAsia" w:ascii="宋体" w:hAnsi="宋体" w:eastAsia="宋体" w:cs="Times New Roman"/>
          <w:b/>
          <w:bCs/>
          <w:color w:val="auto"/>
          <w:sz w:val="21"/>
          <w:szCs w:val="22"/>
          <w:highlight w:val="none"/>
          <w:lang w:val="en-US" w:eastAsia="zh-CN"/>
        </w:rPr>
        <w:t>按照</w:t>
      </w:r>
      <w:r>
        <w:rPr>
          <w:rStyle w:val="16"/>
          <w:rFonts w:hint="eastAsia" w:ascii="宋体" w:hAnsi="宋体" w:eastAsia="宋体" w:cs="Times New Roman"/>
          <w:b/>
          <w:bCs/>
          <w:color w:val="auto"/>
          <w:sz w:val="21"/>
          <w:szCs w:val="22"/>
          <w:highlight w:val="none"/>
        </w:rPr>
        <w:t>《财政部办公厅 住房城乡建设部办公厅 工业和信息化部办公厅关于印发&lt;政府采购支持绿色建材促进建筑品质提升政策项目实施指南&gt;的通知》(财办库〔2023〕52号)和《财政部 住房城乡建设部 工业和信息化部关于进一步扩大政府采购支持绿色建材促进建筑品质提升政策实施范围的通知》(财库〔2024〕36号的有关规定，工程中涉及的建筑材料和设备如属于《绿色建筑和绿色建材政府采购需求标准（2025年版）》规定范围内的“必选类”的，应当全部采购和使用符合相关标准的绿色建材；属于“可选类”的，选择使用性价比高的绿色建材产品且选用种类应不低于建筑项目所涉及的建材种类的40%，供应商在供货时应当出具所提供建材产品符合需求标准的证明性文件，包括国家统一推行的绿色建材产品认证证书或符合需求标准的有效检测报告等，</w:t>
      </w:r>
    </w:p>
    <w:p w14:paraId="687D94F9">
      <w:pPr>
        <w:pageBreakBefore w:val="0"/>
        <w:kinsoku/>
        <w:overflowPunct/>
        <w:topLinePunct w:val="0"/>
        <w:bidi w:val="0"/>
        <w:spacing w:line="360" w:lineRule="auto"/>
        <w:jc w:val="left"/>
        <w:outlineLvl w:val="9"/>
        <w:rPr>
          <w:rFonts w:hint="eastAsia" w:ascii="宋体" w:hAnsi="宋体" w:eastAsia="宋体" w:cs="宋体"/>
          <w:b/>
          <w:color w:val="000000"/>
          <w:sz w:val="21"/>
          <w:szCs w:val="21"/>
          <w:highlight w:val="none"/>
        </w:rPr>
      </w:pPr>
    </w:p>
    <w:p w14:paraId="076D12F5">
      <w:pPr>
        <w:pageBreakBefore w:val="0"/>
        <w:kinsoku/>
        <w:overflowPunct/>
        <w:topLinePunct w:val="0"/>
        <w:bidi w:val="0"/>
        <w:spacing w:line="360" w:lineRule="auto"/>
        <w:jc w:val="left"/>
        <w:outlineLvl w:val="9"/>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附件</w:t>
      </w:r>
    </w:p>
    <w:p w14:paraId="5976E7F0">
      <w:pPr>
        <w:pageBreakBefore w:val="0"/>
        <w:kinsoku/>
        <w:overflowPunct/>
        <w:topLinePunct w:val="0"/>
        <w:bidi w:val="0"/>
        <w:spacing w:line="360" w:lineRule="auto"/>
        <w:jc w:val="left"/>
        <w:rPr>
          <w:rFonts w:hint="eastAsia" w:ascii="宋体" w:hAnsi="宋体" w:eastAsia="宋体" w:cs="宋体"/>
          <w:color w:val="000000"/>
          <w:sz w:val="21"/>
          <w:szCs w:val="21"/>
          <w:highlight w:val="none"/>
          <w:lang w:val="zh-CN"/>
        </w:rPr>
      </w:pPr>
      <w:r>
        <w:rPr>
          <w:rFonts w:hint="eastAsia" w:ascii="宋体" w:hAnsi="宋体" w:eastAsia="宋体" w:cs="宋体"/>
          <w:color w:val="000000"/>
          <w:sz w:val="21"/>
          <w:szCs w:val="21"/>
          <w:highlight w:val="none"/>
          <w:lang w:val="zh-CN"/>
        </w:rPr>
        <w:t>附件1：工程质量保修书</w:t>
      </w:r>
    </w:p>
    <w:p w14:paraId="6FB61CD8">
      <w:pPr>
        <w:pageBreakBefore w:val="0"/>
        <w:kinsoku/>
        <w:overflowPunct/>
        <w:topLinePunct w:val="0"/>
        <w:bidi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zh-CN"/>
        </w:rPr>
        <w:t>附件</w:t>
      </w:r>
      <w:r>
        <w:rPr>
          <w:rFonts w:hint="eastAsia" w:ascii="宋体" w:hAnsi="宋体" w:eastAsia="宋体" w:cs="宋体"/>
          <w:color w:val="000000"/>
          <w:sz w:val="21"/>
          <w:szCs w:val="21"/>
          <w:highlight w:val="none"/>
          <w:lang w:val="en-US"/>
        </w:rPr>
        <w:t>2</w:t>
      </w:r>
      <w:r>
        <w:rPr>
          <w:rFonts w:hint="eastAsia" w:ascii="宋体" w:hAnsi="宋体" w:eastAsia="宋体" w:cs="宋体"/>
          <w:color w:val="000000"/>
          <w:sz w:val="21"/>
          <w:szCs w:val="21"/>
          <w:highlight w:val="none"/>
          <w:lang w:val="zh-CN"/>
        </w:rPr>
        <w:t>：</w:t>
      </w:r>
      <w:r>
        <w:rPr>
          <w:rFonts w:hint="eastAsia" w:ascii="宋体" w:hAnsi="宋体" w:eastAsia="宋体" w:cs="宋体"/>
          <w:color w:val="000000"/>
          <w:sz w:val="21"/>
          <w:szCs w:val="21"/>
          <w:highlight w:val="none"/>
        </w:rPr>
        <w:t>项目经理委任书</w:t>
      </w:r>
    </w:p>
    <w:p w14:paraId="08BDE87D">
      <w:pPr>
        <w:pageBreakBefore w:val="0"/>
        <w:kinsoku/>
        <w:overflowPunct/>
        <w:topLinePunct w:val="0"/>
        <w:bidi w:val="0"/>
        <w:spacing w:line="360" w:lineRule="auto"/>
        <w:jc w:val="left"/>
        <w:rPr>
          <w:rFonts w:hint="eastAsia" w:ascii="宋体" w:hAnsi="宋体" w:eastAsia="宋体" w:cs="宋体"/>
          <w:color w:val="000000"/>
          <w:sz w:val="21"/>
          <w:szCs w:val="21"/>
          <w:highlight w:val="none"/>
          <w:lang w:val="zh-CN"/>
        </w:rPr>
      </w:pPr>
      <w:r>
        <w:rPr>
          <w:rFonts w:hint="eastAsia" w:ascii="宋体" w:hAnsi="宋体" w:eastAsia="宋体" w:cs="宋体"/>
          <w:color w:val="000000"/>
          <w:sz w:val="21"/>
          <w:szCs w:val="21"/>
          <w:highlight w:val="none"/>
          <w:lang w:val="zh-CN"/>
        </w:rPr>
        <w:t>附件</w:t>
      </w:r>
      <w:r>
        <w:rPr>
          <w:rFonts w:hint="eastAsia" w:ascii="宋体" w:hAnsi="宋体" w:eastAsia="宋体" w:cs="宋体"/>
          <w:color w:val="000000"/>
          <w:sz w:val="21"/>
          <w:szCs w:val="21"/>
          <w:highlight w:val="none"/>
          <w:lang w:val="en-US"/>
        </w:rPr>
        <w:t>3</w:t>
      </w:r>
      <w:r>
        <w:rPr>
          <w:rFonts w:hint="eastAsia" w:ascii="宋体" w:hAnsi="宋体" w:eastAsia="宋体" w:cs="宋体"/>
          <w:color w:val="000000"/>
          <w:sz w:val="21"/>
          <w:szCs w:val="21"/>
          <w:highlight w:val="none"/>
          <w:lang w:val="zh-CN"/>
        </w:rPr>
        <w:t>：</w:t>
      </w:r>
      <w:r>
        <w:rPr>
          <w:rFonts w:hint="eastAsia" w:ascii="宋体" w:hAnsi="宋体" w:eastAsia="宋体" w:cs="宋体"/>
          <w:color w:val="000000"/>
          <w:sz w:val="21"/>
          <w:szCs w:val="21"/>
          <w:highlight w:val="none"/>
        </w:rPr>
        <w:t>廉政责任书</w:t>
      </w:r>
    </w:p>
    <w:p w14:paraId="0FCD9723">
      <w:pPr>
        <w:pageBreakBefore w:val="0"/>
        <w:kinsoku/>
        <w:overflowPunct/>
        <w:topLinePunct w:val="0"/>
        <w:bidi w:val="0"/>
        <w:spacing w:line="360" w:lineRule="auto"/>
        <w:jc w:val="left"/>
        <w:rPr>
          <w:rFonts w:hint="eastAsia" w:ascii="宋体" w:hAnsi="宋体" w:eastAsia="宋体" w:cs="宋体"/>
          <w:color w:val="000000"/>
          <w:sz w:val="21"/>
          <w:szCs w:val="21"/>
          <w:highlight w:val="none"/>
          <w:lang w:val="zh-CN"/>
        </w:rPr>
      </w:pPr>
      <w:r>
        <w:rPr>
          <w:rFonts w:hint="eastAsia" w:ascii="宋体" w:hAnsi="宋体" w:eastAsia="宋体" w:cs="宋体"/>
          <w:color w:val="000000"/>
          <w:sz w:val="21"/>
          <w:szCs w:val="21"/>
          <w:highlight w:val="none"/>
          <w:lang w:val="zh-CN"/>
        </w:rPr>
        <w:t>附件</w:t>
      </w:r>
      <w:r>
        <w:rPr>
          <w:rFonts w:hint="eastAsia" w:ascii="宋体" w:hAnsi="宋体" w:eastAsia="宋体" w:cs="宋体"/>
          <w:color w:val="000000"/>
          <w:sz w:val="21"/>
          <w:szCs w:val="21"/>
          <w:highlight w:val="none"/>
          <w:lang w:val="en-US"/>
        </w:rPr>
        <w:t>4</w:t>
      </w:r>
      <w:r>
        <w:rPr>
          <w:rFonts w:hint="eastAsia" w:ascii="宋体" w:hAnsi="宋体" w:eastAsia="宋体" w:cs="宋体"/>
          <w:color w:val="000000"/>
          <w:sz w:val="21"/>
          <w:szCs w:val="21"/>
          <w:highlight w:val="none"/>
          <w:lang w:val="zh-CN"/>
        </w:rPr>
        <w:t>：</w:t>
      </w:r>
      <w:r>
        <w:rPr>
          <w:rFonts w:hint="eastAsia" w:ascii="宋体" w:hAnsi="宋体" w:eastAsia="宋体" w:cs="宋体"/>
          <w:color w:val="000000"/>
          <w:sz w:val="21"/>
          <w:szCs w:val="21"/>
          <w:highlight w:val="none"/>
        </w:rPr>
        <w:t>安全生产合同</w:t>
      </w:r>
    </w:p>
    <w:p w14:paraId="6D75989E">
      <w:pPr>
        <w:pageBreakBefore w:val="0"/>
        <w:kinsoku/>
        <w:overflowPunct/>
        <w:topLinePunct w:val="0"/>
        <w:bidi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附件</w:t>
      </w:r>
      <w:r>
        <w:rPr>
          <w:rFonts w:hint="eastAsia" w:ascii="宋体" w:hAnsi="宋体" w:eastAsia="宋体" w:cs="宋体"/>
          <w:color w:val="000000"/>
          <w:sz w:val="21"/>
          <w:szCs w:val="21"/>
          <w:highlight w:val="none"/>
          <w:lang w:val="en-US" w:eastAsia="zh-CN"/>
        </w:rPr>
        <w:t>5</w:t>
      </w:r>
      <w:r>
        <w:rPr>
          <w:rFonts w:hint="eastAsia" w:ascii="宋体" w:hAnsi="宋体" w:eastAsia="宋体" w:cs="宋体"/>
          <w:color w:val="000000"/>
          <w:sz w:val="21"/>
          <w:szCs w:val="21"/>
          <w:highlight w:val="none"/>
        </w:rPr>
        <w:t>：主要建设工程文件目录</w:t>
      </w:r>
    </w:p>
    <w:p w14:paraId="48ED2AA5">
      <w:pPr>
        <w:pageBreakBefore w:val="0"/>
        <w:kinsoku/>
        <w:overflowPunct/>
        <w:topLinePunct w:val="0"/>
        <w:bidi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附件</w:t>
      </w: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：承包人用于本工程施工的机械设备表</w:t>
      </w:r>
    </w:p>
    <w:p w14:paraId="3CE18286">
      <w:pPr>
        <w:pageBreakBefore w:val="0"/>
        <w:kinsoku/>
        <w:overflowPunct/>
        <w:topLinePunct w:val="0"/>
        <w:bidi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附件</w:t>
      </w:r>
      <w:r>
        <w:rPr>
          <w:rFonts w:hint="eastAsia" w:ascii="宋体" w:hAnsi="宋体" w:eastAsia="宋体" w:cs="宋体"/>
          <w:color w:val="000000"/>
          <w:sz w:val="21"/>
          <w:szCs w:val="21"/>
          <w:highlight w:val="none"/>
          <w:lang w:val="en-US" w:eastAsia="zh-CN"/>
        </w:rPr>
        <w:t>7</w:t>
      </w:r>
      <w:r>
        <w:rPr>
          <w:rFonts w:hint="eastAsia" w:ascii="宋体" w:hAnsi="宋体" w:eastAsia="宋体" w:cs="宋体"/>
          <w:color w:val="000000"/>
          <w:sz w:val="21"/>
          <w:szCs w:val="21"/>
          <w:highlight w:val="none"/>
        </w:rPr>
        <w:t>：承包人主要施工管理人员表</w:t>
      </w:r>
    </w:p>
    <w:p w14:paraId="4CAA869C">
      <w:pPr>
        <w:pageBreakBefore w:val="0"/>
        <w:kinsoku/>
        <w:overflowPunct/>
        <w:topLinePunct w:val="0"/>
        <w:bidi w:val="0"/>
        <w:spacing w:line="360" w:lineRule="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附件</w:t>
      </w:r>
      <w:r>
        <w:rPr>
          <w:rFonts w:hint="eastAsia" w:ascii="宋体" w:hAnsi="宋体" w:eastAsia="宋体" w:cs="宋体"/>
          <w:color w:val="000000"/>
          <w:sz w:val="24"/>
          <w:highlight w:val="none"/>
          <w:lang w:val="en-US" w:eastAsia="zh-CN"/>
        </w:rPr>
        <w:t>1</w:t>
      </w:r>
      <w:r>
        <w:rPr>
          <w:rFonts w:hint="eastAsia" w:ascii="宋体" w:hAnsi="宋体" w:eastAsia="宋体" w:cs="宋体"/>
          <w:color w:val="000000"/>
          <w:sz w:val="24"/>
          <w:highlight w:val="none"/>
        </w:rPr>
        <w:t xml:space="preserve">：    </w:t>
      </w:r>
    </w:p>
    <w:p w14:paraId="0CD87EFC">
      <w:pPr>
        <w:pStyle w:val="18"/>
        <w:spacing w:before="120" w:beforeLines="50" w:after="120" w:afterLines="50" w:line="440" w:lineRule="exact"/>
        <w:jc w:val="center"/>
        <w:rPr>
          <w:rStyle w:val="16"/>
          <w:rFonts w:ascii="黑体" w:hAnsi="Calibri" w:eastAsia="黑体" w:cs="Times New Roman"/>
          <w:color w:val="auto"/>
          <w:sz w:val="32"/>
          <w:szCs w:val="32"/>
          <w:highlight w:val="none"/>
        </w:rPr>
      </w:pPr>
      <w:r>
        <w:rPr>
          <w:rStyle w:val="16"/>
          <w:rFonts w:hint="eastAsia" w:ascii="黑体" w:hAnsi="宋体" w:eastAsia="黑体" w:cs="黑体"/>
          <w:color w:val="auto"/>
          <w:sz w:val="32"/>
          <w:szCs w:val="32"/>
          <w:highlight w:val="none"/>
        </w:rPr>
        <w:t>工程质量保修书（房屋建筑工程）</w:t>
      </w:r>
    </w:p>
    <w:p w14:paraId="6FCE0A62">
      <w:pPr>
        <w:pStyle w:val="18"/>
        <w:spacing w:line="440" w:lineRule="exact"/>
        <w:ind w:firstLine="480" w:firstLineChars="200"/>
        <w:rPr>
          <w:rStyle w:val="16"/>
          <w:rFonts w:ascii="Calibri" w:hAnsi="Calibri" w:eastAsia="宋体" w:cs="Times New Roman"/>
          <w:color w:val="auto"/>
          <w:sz w:val="24"/>
          <w:szCs w:val="24"/>
          <w:highlight w:val="none"/>
        </w:rPr>
      </w:pPr>
      <w:r>
        <w:rPr>
          <w:rStyle w:val="16"/>
          <w:rFonts w:hint="eastAsia" w:ascii="Calibri" w:hAnsi="宋体" w:eastAsia="宋体" w:cs="宋体"/>
          <w:color w:val="auto"/>
          <w:sz w:val="24"/>
          <w:szCs w:val="24"/>
          <w:highlight w:val="none"/>
        </w:rPr>
        <w:t>发包人（全称）：</w:t>
      </w:r>
      <w:r>
        <w:rPr>
          <w:rStyle w:val="16"/>
          <w:rFonts w:ascii="Calibri" w:hAnsi="Calibri" w:eastAsia="宋体" w:cs="Times New Roman"/>
          <w:color w:val="auto"/>
          <w:sz w:val="24"/>
          <w:szCs w:val="24"/>
          <w:highlight w:val="none"/>
          <w:u w:val="single"/>
        </w:rPr>
        <w:t xml:space="preserve">                                </w:t>
      </w:r>
      <w:r>
        <w:rPr>
          <w:rStyle w:val="16"/>
          <w:rFonts w:ascii="Calibri" w:hAnsi="Calibri" w:eastAsia="宋体" w:cs="Times New Roman"/>
          <w:color w:val="auto"/>
          <w:sz w:val="24"/>
          <w:szCs w:val="24"/>
          <w:highlight w:val="none"/>
        </w:rPr>
        <w:t xml:space="preserve"> </w:t>
      </w:r>
    </w:p>
    <w:p w14:paraId="71A3558D">
      <w:pPr>
        <w:pStyle w:val="18"/>
        <w:spacing w:line="440" w:lineRule="exact"/>
        <w:ind w:firstLine="480" w:firstLineChars="200"/>
        <w:rPr>
          <w:rStyle w:val="16"/>
          <w:rFonts w:ascii="Calibri" w:hAnsi="Calibri" w:eastAsia="宋体" w:cs="Times New Roman"/>
          <w:color w:val="auto"/>
          <w:sz w:val="24"/>
          <w:szCs w:val="24"/>
          <w:highlight w:val="none"/>
        </w:rPr>
      </w:pPr>
      <w:r>
        <w:rPr>
          <w:rStyle w:val="16"/>
          <w:rFonts w:hint="eastAsia" w:ascii="Calibri" w:hAnsi="宋体" w:eastAsia="宋体" w:cs="宋体"/>
          <w:color w:val="auto"/>
          <w:sz w:val="24"/>
          <w:szCs w:val="24"/>
          <w:highlight w:val="none"/>
        </w:rPr>
        <w:t>承包人（全称）：</w:t>
      </w:r>
      <w:r>
        <w:rPr>
          <w:rStyle w:val="16"/>
          <w:rFonts w:ascii="Calibri" w:hAnsi="Calibri" w:eastAsia="宋体" w:cs="Times New Roman"/>
          <w:color w:val="auto"/>
          <w:sz w:val="24"/>
          <w:szCs w:val="24"/>
          <w:highlight w:val="none"/>
          <w:u w:val="single"/>
        </w:rPr>
        <w:t xml:space="preserve">                                </w:t>
      </w:r>
      <w:r>
        <w:rPr>
          <w:rStyle w:val="16"/>
          <w:rFonts w:ascii="Calibri" w:hAnsi="Calibri" w:eastAsia="宋体" w:cs="Times New Roman"/>
          <w:color w:val="auto"/>
          <w:sz w:val="24"/>
          <w:szCs w:val="24"/>
          <w:highlight w:val="none"/>
        </w:rPr>
        <w:t xml:space="preserve"> </w:t>
      </w:r>
    </w:p>
    <w:p w14:paraId="497B8E2C">
      <w:pPr>
        <w:pStyle w:val="18"/>
        <w:spacing w:line="440" w:lineRule="exact"/>
        <w:rPr>
          <w:rStyle w:val="16"/>
          <w:rFonts w:ascii="Calibri" w:hAnsi="Calibri" w:eastAsia="宋体" w:cs="Times New Roman"/>
          <w:color w:val="auto"/>
          <w:sz w:val="24"/>
          <w:szCs w:val="24"/>
          <w:highlight w:val="none"/>
        </w:rPr>
      </w:pPr>
    </w:p>
    <w:p w14:paraId="42141785">
      <w:pPr>
        <w:pStyle w:val="18"/>
        <w:spacing w:line="360" w:lineRule="auto"/>
        <w:ind w:firstLine="480" w:firstLineChars="200"/>
        <w:rPr>
          <w:rStyle w:val="16"/>
          <w:rFonts w:ascii="Calibri" w:hAnsi="宋体" w:eastAsia="宋体" w:cs="Times New Roman"/>
          <w:color w:val="auto"/>
          <w:sz w:val="24"/>
          <w:szCs w:val="24"/>
          <w:highlight w:val="none"/>
        </w:rPr>
      </w:pPr>
      <w:r>
        <w:rPr>
          <w:rStyle w:val="16"/>
          <w:rFonts w:hint="eastAsia" w:ascii="Calibri" w:hAnsi="宋体" w:eastAsia="宋体" w:cs="宋体"/>
          <w:color w:val="auto"/>
          <w:sz w:val="24"/>
          <w:szCs w:val="24"/>
          <w:highlight w:val="none"/>
        </w:rPr>
        <w:t>发包人和承包人根据《中华人民共和国建筑法》和《建设工程质量管理条例》，经协商一致就</w:t>
      </w:r>
      <w:r>
        <w:rPr>
          <w:rStyle w:val="16"/>
          <w:rFonts w:ascii="Calibri" w:hAnsi="Calibri" w:eastAsia="宋体" w:cs="Times New Roman"/>
          <w:color w:val="auto"/>
          <w:sz w:val="24"/>
          <w:szCs w:val="24"/>
          <w:highlight w:val="none"/>
          <w:u w:val="single"/>
        </w:rPr>
        <w:t xml:space="preserve">                                   </w:t>
      </w:r>
      <w:r>
        <w:rPr>
          <w:rStyle w:val="16"/>
          <w:rFonts w:hint="eastAsia" w:ascii="Calibri" w:hAnsi="宋体" w:eastAsia="宋体" w:cs="宋体"/>
          <w:color w:val="auto"/>
          <w:sz w:val="24"/>
          <w:szCs w:val="24"/>
          <w:highlight w:val="none"/>
        </w:rPr>
        <w:t>（工程全称）签订工程质量保修书。</w:t>
      </w:r>
    </w:p>
    <w:p w14:paraId="4EC16D72">
      <w:pPr>
        <w:pStyle w:val="18"/>
        <w:spacing w:line="360" w:lineRule="auto"/>
        <w:ind w:firstLine="480" w:firstLineChars="200"/>
        <w:rPr>
          <w:rStyle w:val="16"/>
          <w:rFonts w:ascii="黑体" w:hAnsi="宋体" w:eastAsia="黑体" w:cs="Times New Roman"/>
          <w:color w:val="auto"/>
          <w:sz w:val="24"/>
          <w:szCs w:val="24"/>
          <w:highlight w:val="none"/>
        </w:rPr>
      </w:pPr>
      <w:r>
        <w:rPr>
          <w:rStyle w:val="16"/>
          <w:rFonts w:hint="eastAsia" w:ascii="黑体" w:hAnsi="宋体" w:eastAsia="黑体" w:cs="黑体"/>
          <w:color w:val="auto"/>
          <w:sz w:val="24"/>
          <w:szCs w:val="24"/>
          <w:highlight w:val="none"/>
        </w:rPr>
        <w:t>一、工程质量保修范围和内容</w:t>
      </w:r>
    </w:p>
    <w:p w14:paraId="6465100B">
      <w:pPr>
        <w:pStyle w:val="18"/>
        <w:spacing w:line="360" w:lineRule="auto"/>
        <w:ind w:firstLine="480" w:firstLineChars="200"/>
        <w:rPr>
          <w:rStyle w:val="16"/>
          <w:rFonts w:ascii="Calibri" w:hAnsi="Calibri" w:eastAsia="宋体" w:cs="Times New Roman"/>
          <w:color w:val="auto"/>
          <w:sz w:val="24"/>
          <w:szCs w:val="24"/>
          <w:highlight w:val="none"/>
        </w:rPr>
      </w:pPr>
      <w:r>
        <w:rPr>
          <w:rStyle w:val="16"/>
          <w:rFonts w:hint="eastAsia" w:ascii="Calibri" w:hAnsi="宋体" w:eastAsia="宋体" w:cs="宋体"/>
          <w:color w:val="auto"/>
          <w:sz w:val="24"/>
          <w:szCs w:val="24"/>
          <w:highlight w:val="none"/>
        </w:rPr>
        <w:t>承包人在质量保修期内，按照有关法律规定和合同约定，承担工程质量保修责任。</w:t>
      </w:r>
    </w:p>
    <w:p w14:paraId="3783670A">
      <w:pPr>
        <w:pStyle w:val="18"/>
        <w:spacing w:line="360" w:lineRule="auto"/>
        <w:ind w:firstLine="420"/>
        <w:rPr>
          <w:rStyle w:val="16"/>
          <w:rFonts w:ascii="Calibri" w:hAnsi="宋体" w:eastAsia="宋体" w:cs="Times New Roman"/>
          <w:color w:val="auto"/>
          <w:sz w:val="24"/>
          <w:szCs w:val="24"/>
          <w:highlight w:val="none"/>
        </w:rPr>
      </w:pPr>
      <w:r>
        <w:rPr>
          <w:rStyle w:val="16"/>
          <w:rFonts w:hint="eastAsia" w:ascii="Calibri" w:hAnsi="宋体" w:eastAsia="宋体" w:cs="宋体"/>
          <w:color w:val="auto"/>
          <w:sz w:val="24"/>
          <w:szCs w:val="24"/>
          <w:highlight w:val="none"/>
        </w:rPr>
        <w:t>质量保修范围包括电气管线、设备安装和装修工程，以及双方约定的其他项目。具体保修的内容，双方约定如下：</w:t>
      </w:r>
    </w:p>
    <w:p w14:paraId="7E33B27C">
      <w:pPr>
        <w:pStyle w:val="18"/>
        <w:spacing w:line="360" w:lineRule="auto"/>
        <w:ind w:firstLine="420"/>
        <w:rPr>
          <w:rStyle w:val="16"/>
          <w:rFonts w:ascii="Calibri" w:hAnsi="宋体" w:eastAsia="宋体" w:cs="Times New Roman"/>
          <w:color w:val="auto"/>
          <w:sz w:val="24"/>
          <w:szCs w:val="24"/>
          <w:highlight w:val="none"/>
        </w:rPr>
      </w:pPr>
      <w:r>
        <w:rPr>
          <w:rStyle w:val="16"/>
          <w:rFonts w:ascii="Calibri" w:hAnsi="Calibri" w:eastAsia="宋体" w:cs="Times New Roman"/>
          <w:color w:val="auto"/>
          <w:sz w:val="24"/>
          <w:szCs w:val="24"/>
          <w:highlight w:val="none"/>
          <w:u w:val="single"/>
        </w:rPr>
        <w:t xml:space="preserve">                                                                                                                                                </w:t>
      </w:r>
      <w:r>
        <w:rPr>
          <w:rStyle w:val="16"/>
          <w:rFonts w:hint="eastAsia" w:ascii="Calibri" w:hAnsi="宋体" w:eastAsia="宋体" w:cs="宋体"/>
          <w:color w:val="auto"/>
          <w:sz w:val="24"/>
          <w:szCs w:val="24"/>
          <w:highlight w:val="none"/>
        </w:rPr>
        <w:t>。</w:t>
      </w:r>
    </w:p>
    <w:p w14:paraId="20CE9CC5">
      <w:pPr>
        <w:pStyle w:val="18"/>
        <w:spacing w:line="360" w:lineRule="auto"/>
        <w:ind w:firstLine="420"/>
        <w:rPr>
          <w:rStyle w:val="16"/>
          <w:rFonts w:ascii="黑体" w:hAnsi="宋体" w:eastAsia="黑体" w:cs="Times New Roman"/>
          <w:color w:val="auto"/>
          <w:sz w:val="24"/>
          <w:szCs w:val="24"/>
          <w:highlight w:val="none"/>
        </w:rPr>
      </w:pPr>
      <w:r>
        <w:rPr>
          <w:rStyle w:val="16"/>
          <w:rFonts w:hint="eastAsia" w:ascii="黑体" w:hAnsi="宋体" w:eastAsia="黑体" w:cs="黑体"/>
          <w:color w:val="auto"/>
          <w:sz w:val="24"/>
          <w:szCs w:val="24"/>
          <w:highlight w:val="none"/>
        </w:rPr>
        <w:t>二、质量保修期</w:t>
      </w:r>
    </w:p>
    <w:p w14:paraId="1174F09B">
      <w:pPr>
        <w:pStyle w:val="18"/>
        <w:spacing w:line="360" w:lineRule="auto"/>
        <w:ind w:firstLine="420"/>
        <w:rPr>
          <w:rStyle w:val="16"/>
          <w:rFonts w:ascii="Calibri" w:hAnsi="宋体" w:eastAsia="宋体" w:cs="Times New Roman"/>
          <w:color w:val="auto"/>
          <w:sz w:val="24"/>
          <w:szCs w:val="24"/>
          <w:highlight w:val="none"/>
        </w:rPr>
      </w:pPr>
      <w:r>
        <w:rPr>
          <w:rStyle w:val="16"/>
          <w:rFonts w:hint="eastAsia" w:ascii="Calibri" w:hAnsi="宋体" w:eastAsia="宋体" w:cs="宋体"/>
          <w:color w:val="auto"/>
          <w:sz w:val="24"/>
          <w:szCs w:val="24"/>
          <w:highlight w:val="none"/>
        </w:rPr>
        <w:t>根据《建设工程质量管理条例》及有关规定，工程的质量保修期如下：</w:t>
      </w:r>
    </w:p>
    <w:p w14:paraId="6F2B1552">
      <w:pPr>
        <w:pStyle w:val="18"/>
        <w:spacing w:line="360" w:lineRule="auto"/>
        <w:ind w:firstLine="420"/>
        <w:rPr>
          <w:rStyle w:val="16"/>
          <w:rFonts w:hint="eastAsia" w:ascii="Calibri" w:hAnsi="宋体" w:eastAsia="宋体" w:cs="宋体"/>
          <w:color w:val="auto"/>
          <w:sz w:val="24"/>
          <w:szCs w:val="24"/>
          <w:highlight w:val="none"/>
        </w:rPr>
      </w:pPr>
      <w:r>
        <w:rPr>
          <w:rStyle w:val="16"/>
          <w:rFonts w:hint="eastAsia" w:cs="Times New Roman"/>
          <w:color w:val="auto"/>
          <w:sz w:val="24"/>
          <w:szCs w:val="24"/>
          <w:highlight w:val="none"/>
          <w:lang w:val="en-US" w:eastAsia="zh-CN"/>
        </w:rPr>
        <w:t>1</w:t>
      </w:r>
      <w:r>
        <w:rPr>
          <w:rStyle w:val="16"/>
          <w:rFonts w:hint="eastAsia" w:ascii="Calibri" w:hAnsi="宋体" w:eastAsia="宋体" w:cs="宋体"/>
          <w:color w:val="auto"/>
          <w:sz w:val="24"/>
          <w:szCs w:val="24"/>
          <w:highlight w:val="none"/>
        </w:rPr>
        <w:t>．电气管线、设备安装工程为</w:t>
      </w:r>
      <w:r>
        <w:rPr>
          <w:rStyle w:val="16"/>
          <w:rFonts w:ascii="Calibri" w:hAnsi="Calibri" w:eastAsia="宋体" w:cs="Times New Roman"/>
          <w:color w:val="auto"/>
          <w:sz w:val="24"/>
          <w:szCs w:val="24"/>
          <w:highlight w:val="none"/>
          <w:u w:val="single"/>
        </w:rPr>
        <w:t xml:space="preserve">         </w:t>
      </w:r>
      <w:r>
        <w:rPr>
          <w:rStyle w:val="16"/>
          <w:rFonts w:hint="eastAsia" w:ascii="Calibri" w:hAnsi="宋体" w:eastAsia="宋体" w:cs="宋体"/>
          <w:color w:val="auto"/>
          <w:sz w:val="24"/>
          <w:szCs w:val="24"/>
          <w:highlight w:val="none"/>
        </w:rPr>
        <w:t>年；</w:t>
      </w:r>
    </w:p>
    <w:p w14:paraId="24EE25D9">
      <w:pPr>
        <w:pStyle w:val="18"/>
        <w:spacing w:line="360" w:lineRule="auto"/>
        <w:ind w:firstLine="420"/>
        <w:rPr>
          <w:rStyle w:val="16"/>
          <w:rFonts w:ascii="Calibri" w:hAnsi="宋体" w:eastAsia="宋体" w:cs="Times New Roman"/>
          <w:color w:val="auto"/>
          <w:sz w:val="24"/>
          <w:szCs w:val="24"/>
          <w:highlight w:val="none"/>
        </w:rPr>
      </w:pPr>
      <w:r>
        <w:rPr>
          <w:rStyle w:val="16"/>
          <w:rFonts w:hint="eastAsia" w:hAnsi="宋体" w:eastAsia="宋体" w:cs="宋体"/>
          <w:color w:val="auto"/>
          <w:sz w:val="24"/>
          <w:szCs w:val="24"/>
          <w:highlight w:val="none"/>
          <w:lang w:val="en-US" w:eastAsia="zh-CN"/>
        </w:rPr>
        <w:t>2</w:t>
      </w:r>
      <w:r>
        <w:rPr>
          <w:rStyle w:val="16"/>
          <w:rFonts w:hint="eastAsia" w:ascii="Calibri" w:hAnsi="宋体" w:eastAsia="宋体" w:cs="宋体"/>
          <w:color w:val="auto"/>
          <w:sz w:val="24"/>
          <w:szCs w:val="24"/>
          <w:highlight w:val="none"/>
        </w:rPr>
        <w:t>．装修工程为</w:t>
      </w:r>
      <w:r>
        <w:rPr>
          <w:rStyle w:val="16"/>
          <w:rFonts w:ascii="Calibri" w:hAnsi="Calibri" w:eastAsia="宋体" w:cs="Times New Roman"/>
          <w:color w:val="auto"/>
          <w:sz w:val="24"/>
          <w:szCs w:val="24"/>
          <w:highlight w:val="none"/>
          <w:u w:val="single"/>
        </w:rPr>
        <w:t xml:space="preserve">         </w:t>
      </w:r>
      <w:r>
        <w:rPr>
          <w:rStyle w:val="16"/>
          <w:rFonts w:hint="eastAsia" w:ascii="Calibri" w:hAnsi="宋体" w:eastAsia="宋体" w:cs="宋体"/>
          <w:color w:val="auto"/>
          <w:sz w:val="24"/>
          <w:szCs w:val="24"/>
          <w:highlight w:val="none"/>
        </w:rPr>
        <w:t>年；</w:t>
      </w:r>
    </w:p>
    <w:p w14:paraId="011F0A0E">
      <w:pPr>
        <w:pStyle w:val="18"/>
        <w:spacing w:line="360" w:lineRule="auto"/>
        <w:ind w:firstLine="420"/>
        <w:rPr>
          <w:rStyle w:val="16"/>
          <w:rFonts w:ascii="Calibri" w:hAnsi="宋体" w:eastAsia="宋体" w:cs="Times New Roman"/>
          <w:color w:val="auto"/>
          <w:sz w:val="24"/>
          <w:szCs w:val="24"/>
          <w:highlight w:val="none"/>
        </w:rPr>
      </w:pPr>
      <w:r>
        <w:rPr>
          <w:rStyle w:val="16"/>
          <w:rFonts w:hint="eastAsia" w:cs="Times New Roman"/>
          <w:color w:val="auto"/>
          <w:sz w:val="24"/>
          <w:szCs w:val="24"/>
          <w:highlight w:val="none"/>
          <w:lang w:val="en-US" w:eastAsia="zh-CN"/>
        </w:rPr>
        <w:t>3</w:t>
      </w:r>
      <w:r>
        <w:rPr>
          <w:rStyle w:val="16"/>
          <w:rFonts w:hint="eastAsia" w:ascii="Calibri" w:hAnsi="宋体" w:eastAsia="宋体" w:cs="宋体"/>
          <w:color w:val="auto"/>
          <w:sz w:val="24"/>
          <w:szCs w:val="24"/>
          <w:highlight w:val="none"/>
        </w:rPr>
        <w:t>．其他项目保修期限约定如下：</w:t>
      </w:r>
    </w:p>
    <w:p w14:paraId="30D7DD57">
      <w:pPr>
        <w:pStyle w:val="18"/>
        <w:spacing w:line="360" w:lineRule="auto"/>
        <w:ind w:firstLine="420"/>
        <w:rPr>
          <w:rStyle w:val="16"/>
          <w:rFonts w:ascii="Calibri" w:hAnsi="宋体" w:eastAsia="宋体" w:cs="Times New Roman"/>
          <w:color w:val="auto"/>
          <w:sz w:val="24"/>
          <w:szCs w:val="24"/>
          <w:highlight w:val="none"/>
        </w:rPr>
      </w:pPr>
      <w:r>
        <w:rPr>
          <w:rStyle w:val="16"/>
          <w:rFonts w:ascii="Calibri" w:hAnsi="Calibri" w:eastAsia="宋体" w:cs="Times New Roman"/>
          <w:color w:val="auto"/>
          <w:sz w:val="24"/>
          <w:szCs w:val="24"/>
          <w:highlight w:val="none"/>
          <w:u w:val="single"/>
        </w:rPr>
        <w:t xml:space="preserve">                                                                                                                                                </w:t>
      </w:r>
      <w:r>
        <w:rPr>
          <w:rStyle w:val="16"/>
          <w:rFonts w:hint="eastAsia" w:ascii="Calibri" w:hAnsi="宋体" w:eastAsia="宋体" w:cs="宋体"/>
          <w:color w:val="auto"/>
          <w:sz w:val="24"/>
          <w:szCs w:val="24"/>
          <w:highlight w:val="none"/>
        </w:rPr>
        <w:t>。</w:t>
      </w:r>
    </w:p>
    <w:p w14:paraId="1F45C91A">
      <w:pPr>
        <w:pStyle w:val="18"/>
        <w:spacing w:line="360" w:lineRule="auto"/>
        <w:ind w:firstLine="420"/>
        <w:rPr>
          <w:rStyle w:val="16"/>
          <w:rFonts w:ascii="Calibri" w:hAnsi="宋体" w:eastAsia="宋体" w:cs="Times New Roman"/>
          <w:color w:val="auto"/>
          <w:sz w:val="24"/>
          <w:szCs w:val="24"/>
          <w:highlight w:val="none"/>
        </w:rPr>
      </w:pPr>
      <w:r>
        <w:rPr>
          <w:rStyle w:val="16"/>
          <w:rFonts w:hint="eastAsia" w:ascii="Calibri" w:hAnsi="宋体" w:eastAsia="宋体" w:cs="宋体"/>
          <w:color w:val="auto"/>
          <w:sz w:val="24"/>
          <w:szCs w:val="24"/>
          <w:highlight w:val="none"/>
        </w:rPr>
        <w:t>质量保修期自工程竣工验收合格之日起计算。</w:t>
      </w:r>
    </w:p>
    <w:p w14:paraId="1F4BB628">
      <w:pPr>
        <w:pStyle w:val="18"/>
        <w:spacing w:line="360" w:lineRule="auto"/>
        <w:ind w:firstLine="420"/>
        <w:rPr>
          <w:rStyle w:val="16"/>
          <w:rFonts w:ascii="黑体" w:hAnsi="宋体" w:eastAsia="黑体" w:cs="Times New Roman"/>
          <w:color w:val="auto"/>
          <w:sz w:val="24"/>
          <w:szCs w:val="24"/>
          <w:highlight w:val="none"/>
        </w:rPr>
      </w:pPr>
      <w:r>
        <w:rPr>
          <w:rStyle w:val="16"/>
          <w:rFonts w:hint="eastAsia" w:ascii="黑体" w:hAnsi="宋体" w:eastAsia="黑体" w:cs="黑体"/>
          <w:color w:val="auto"/>
          <w:sz w:val="24"/>
          <w:szCs w:val="24"/>
          <w:highlight w:val="none"/>
        </w:rPr>
        <w:t>三、缺陷责任期</w:t>
      </w:r>
    </w:p>
    <w:p w14:paraId="66B5CCD8">
      <w:pPr>
        <w:pStyle w:val="18"/>
        <w:spacing w:line="360" w:lineRule="auto"/>
        <w:ind w:firstLine="420"/>
        <w:rPr>
          <w:rStyle w:val="16"/>
          <w:rFonts w:ascii="Calibri" w:hAnsi="宋体" w:eastAsia="宋体" w:cs="Times New Roman"/>
          <w:color w:val="auto"/>
          <w:sz w:val="24"/>
          <w:szCs w:val="24"/>
          <w:highlight w:val="none"/>
        </w:rPr>
      </w:pPr>
      <w:r>
        <w:rPr>
          <w:rStyle w:val="16"/>
          <w:rFonts w:hint="eastAsia" w:ascii="Calibri" w:hAnsi="宋体" w:eastAsia="宋体" w:cs="宋体"/>
          <w:color w:val="auto"/>
          <w:sz w:val="24"/>
          <w:szCs w:val="24"/>
          <w:highlight w:val="none"/>
        </w:rPr>
        <w:t>工程缺陷责任期为</w:t>
      </w:r>
      <w:r>
        <w:rPr>
          <w:rStyle w:val="16"/>
          <w:rFonts w:ascii="Calibri" w:hAnsi="Calibri" w:eastAsia="宋体" w:cs="Times New Roman"/>
          <w:color w:val="auto"/>
          <w:sz w:val="24"/>
          <w:szCs w:val="24"/>
          <w:highlight w:val="none"/>
          <w:u w:val="single"/>
        </w:rPr>
        <w:t xml:space="preserve">         </w:t>
      </w:r>
      <w:r>
        <w:rPr>
          <w:rStyle w:val="16"/>
          <w:rFonts w:hint="eastAsia" w:ascii="Calibri" w:hAnsi="宋体" w:eastAsia="宋体" w:cs="宋体"/>
          <w:color w:val="auto"/>
          <w:sz w:val="24"/>
          <w:szCs w:val="24"/>
          <w:highlight w:val="none"/>
        </w:rPr>
        <w:t>个月（最长不超过</w:t>
      </w:r>
      <w:r>
        <w:rPr>
          <w:rStyle w:val="16"/>
          <w:rFonts w:ascii="Calibri" w:hAnsi="宋体" w:eastAsia="宋体" w:cs="Times New Roman"/>
          <w:color w:val="auto"/>
          <w:sz w:val="24"/>
          <w:szCs w:val="24"/>
          <w:highlight w:val="none"/>
        </w:rPr>
        <w:t>24</w:t>
      </w:r>
      <w:r>
        <w:rPr>
          <w:rStyle w:val="16"/>
          <w:rFonts w:hint="eastAsia" w:ascii="Calibri" w:hAnsi="宋体" w:eastAsia="宋体" w:cs="宋体"/>
          <w:color w:val="auto"/>
          <w:sz w:val="24"/>
          <w:szCs w:val="24"/>
          <w:highlight w:val="none"/>
        </w:rPr>
        <w:t>个月），缺陷责任期自工程竣工验收合格之日起计算。单位工程先于全部工程进行验收，单位工程缺陷责任期自单位工程验收合格之日起算。</w:t>
      </w:r>
    </w:p>
    <w:p w14:paraId="3DCF54C0">
      <w:pPr>
        <w:pStyle w:val="18"/>
        <w:spacing w:line="360" w:lineRule="auto"/>
        <w:ind w:firstLine="420"/>
        <w:rPr>
          <w:rStyle w:val="16"/>
          <w:rFonts w:ascii="Calibri" w:hAnsi="宋体" w:eastAsia="宋体" w:cs="Times New Roman"/>
          <w:color w:val="auto"/>
          <w:sz w:val="24"/>
          <w:szCs w:val="24"/>
          <w:highlight w:val="none"/>
        </w:rPr>
      </w:pPr>
      <w:r>
        <w:rPr>
          <w:rStyle w:val="16"/>
          <w:rFonts w:hint="eastAsia" w:ascii="Calibri" w:hAnsi="宋体" w:eastAsia="宋体" w:cs="宋体"/>
          <w:color w:val="auto"/>
          <w:sz w:val="24"/>
          <w:szCs w:val="24"/>
          <w:highlight w:val="none"/>
        </w:rPr>
        <w:t>缺陷责任期</w:t>
      </w:r>
      <w:r>
        <w:rPr>
          <w:rStyle w:val="16"/>
          <w:rFonts w:hint="eastAsia" w:ascii="Calibri" w:hAnsi="宋体" w:eastAsia="宋体" w:cs="宋体"/>
          <w:color w:val="auto"/>
          <w:sz w:val="24"/>
          <w:szCs w:val="24"/>
          <w:highlight w:val="none"/>
          <w:u w:val="single"/>
        </w:rPr>
        <w:t>满</w:t>
      </w:r>
      <w:r>
        <w:rPr>
          <w:rStyle w:val="16"/>
          <w:rFonts w:hint="eastAsia" w:ascii="仿宋_GB2312" w:hAnsi="宋体" w:eastAsia="宋体" w:cs="Times New Roman"/>
          <w:color w:val="auto"/>
          <w:sz w:val="24"/>
          <w:szCs w:val="24"/>
          <w:highlight w:val="none"/>
        </w:rPr>
        <w:t>之日起</w:t>
      </w:r>
      <w:r>
        <w:rPr>
          <w:rStyle w:val="16"/>
          <w:rFonts w:hint="eastAsia" w:ascii="仿宋_GB2312" w:hAnsi="宋体" w:eastAsia="宋体" w:cs="Times New Roman"/>
          <w:color w:val="auto"/>
          <w:sz w:val="24"/>
          <w:szCs w:val="24"/>
          <w:highlight w:val="none"/>
          <w:u w:val="single"/>
        </w:rPr>
        <w:t xml:space="preserve"> </w:t>
      </w:r>
      <w:r>
        <w:rPr>
          <w:rStyle w:val="16"/>
          <w:rFonts w:ascii="仿宋_GB2312" w:hAnsi="宋体" w:eastAsia="宋体" w:cs="Times New Roman"/>
          <w:color w:val="auto"/>
          <w:sz w:val="24"/>
          <w:szCs w:val="24"/>
          <w:highlight w:val="none"/>
          <w:u w:val="single"/>
        </w:rPr>
        <w:t xml:space="preserve">  </w:t>
      </w:r>
      <w:r>
        <w:rPr>
          <w:rStyle w:val="16"/>
          <w:rFonts w:hint="eastAsia" w:ascii="仿宋_GB2312" w:hAnsi="宋体" w:eastAsia="宋体" w:cs="Times New Roman"/>
          <w:color w:val="auto"/>
          <w:sz w:val="24"/>
          <w:szCs w:val="24"/>
          <w:highlight w:val="none"/>
          <w:u w:val="single"/>
        </w:rPr>
        <w:t xml:space="preserve"> </w:t>
      </w:r>
      <w:r>
        <w:rPr>
          <w:rStyle w:val="16"/>
          <w:rFonts w:hint="eastAsia" w:ascii="仿宋_GB2312" w:hAnsi="宋体" w:eastAsia="宋体" w:cs="Times New Roman"/>
          <w:color w:val="auto"/>
          <w:sz w:val="24"/>
          <w:szCs w:val="24"/>
          <w:highlight w:val="none"/>
        </w:rPr>
        <w:t>天</w:t>
      </w:r>
      <w:r>
        <w:rPr>
          <w:rStyle w:val="16"/>
          <w:rFonts w:hint="eastAsia" w:ascii="Calibri" w:hAnsi="宋体" w:eastAsia="宋体" w:cs="宋体"/>
          <w:color w:val="auto"/>
          <w:sz w:val="24"/>
          <w:szCs w:val="24"/>
          <w:highlight w:val="none"/>
          <w:u w:val="single"/>
        </w:rPr>
        <w:t>（按</w:t>
      </w:r>
      <w:r>
        <w:rPr>
          <w:rStyle w:val="16"/>
          <w:rFonts w:ascii="Calibri" w:hAnsi="宋体" w:eastAsia="宋体" w:cs="宋体"/>
          <w:color w:val="auto"/>
          <w:sz w:val="24"/>
          <w:szCs w:val="24"/>
          <w:highlight w:val="none"/>
          <w:u w:val="single"/>
        </w:rPr>
        <w:t>合同约定期限）</w:t>
      </w:r>
      <w:r>
        <w:rPr>
          <w:rStyle w:val="16"/>
          <w:rFonts w:hint="eastAsia" w:ascii="Calibri" w:hAnsi="宋体" w:eastAsia="宋体" w:cs="宋体"/>
          <w:color w:val="auto"/>
          <w:sz w:val="24"/>
          <w:szCs w:val="24"/>
          <w:highlight w:val="none"/>
          <w:u w:val="single"/>
        </w:rPr>
        <w:t>，</w:t>
      </w:r>
      <w:r>
        <w:rPr>
          <w:rStyle w:val="16"/>
          <w:rFonts w:hint="eastAsia" w:ascii="Calibri" w:hAnsi="宋体" w:eastAsia="宋体" w:cs="宋体"/>
          <w:color w:val="auto"/>
          <w:sz w:val="24"/>
          <w:szCs w:val="24"/>
          <w:highlight w:val="none"/>
        </w:rPr>
        <w:t>发包人应退还剩余的质量保证金。</w:t>
      </w:r>
    </w:p>
    <w:p w14:paraId="1CD4B29F">
      <w:pPr>
        <w:pStyle w:val="18"/>
        <w:spacing w:line="360" w:lineRule="auto"/>
        <w:ind w:firstLine="420"/>
        <w:rPr>
          <w:rStyle w:val="16"/>
          <w:rFonts w:ascii="黑体" w:hAnsi="宋体" w:eastAsia="黑体" w:cs="Times New Roman"/>
          <w:color w:val="auto"/>
          <w:sz w:val="24"/>
          <w:szCs w:val="24"/>
          <w:highlight w:val="none"/>
        </w:rPr>
      </w:pPr>
      <w:r>
        <w:rPr>
          <w:rStyle w:val="16"/>
          <w:rFonts w:hint="eastAsia" w:ascii="黑体" w:hAnsi="宋体" w:eastAsia="黑体" w:cs="黑体"/>
          <w:color w:val="auto"/>
          <w:sz w:val="24"/>
          <w:szCs w:val="24"/>
          <w:highlight w:val="none"/>
        </w:rPr>
        <w:t>四、质量保修责任</w:t>
      </w:r>
    </w:p>
    <w:p w14:paraId="1A583181">
      <w:pPr>
        <w:pStyle w:val="18"/>
        <w:spacing w:line="360" w:lineRule="auto"/>
        <w:ind w:left="105" w:leftChars="50" w:firstLine="491" w:firstLineChars="205"/>
        <w:rPr>
          <w:rStyle w:val="16"/>
          <w:rFonts w:ascii="Calibri" w:hAnsi="宋体" w:eastAsia="宋体" w:cs="Times New Roman"/>
          <w:color w:val="auto"/>
          <w:sz w:val="24"/>
          <w:szCs w:val="24"/>
          <w:highlight w:val="none"/>
        </w:rPr>
      </w:pPr>
      <w:r>
        <w:rPr>
          <w:rStyle w:val="16"/>
          <w:rFonts w:ascii="Calibri" w:hAnsi="Calibri" w:eastAsia="宋体" w:cs="Times New Roman"/>
          <w:color w:val="auto"/>
          <w:sz w:val="24"/>
          <w:szCs w:val="24"/>
          <w:highlight w:val="none"/>
        </w:rPr>
        <w:t>1</w:t>
      </w:r>
      <w:r>
        <w:rPr>
          <w:rStyle w:val="16"/>
          <w:rFonts w:hint="eastAsia" w:ascii="Calibri" w:hAnsi="宋体" w:eastAsia="宋体" w:cs="宋体"/>
          <w:color w:val="auto"/>
          <w:sz w:val="24"/>
          <w:szCs w:val="24"/>
          <w:highlight w:val="none"/>
        </w:rPr>
        <w:t>．属于保修范围、内容的项目，承包人应当在接到保修通知之日起</w:t>
      </w:r>
      <w:r>
        <w:rPr>
          <w:rStyle w:val="16"/>
          <w:rFonts w:ascii="Calibri" w:hAnsi="Calibri" w:eastAsia="宋体" w:cs="Times New Roman"/>
          <w:color w:val="auto"/>
          <w:sz w:val="24"/>
          <w:szCs w:val="24"/>
          <w:highlight w:val="none"/>
          <w:u w:val="single"/>
        </w:rPr>
        <w:t xml:space="preserve">      </w:t>
      </w:r>
      <w:r>
        <w:rPr>
          <w:rStyle w:val="16"/>
          <w:rFonts w:hint="eastAsia" w:ascii="Calibri" w:hAnsi="宋体" w:eastAsia="宋体" w:cs="宋体"/>
          <w:color w:val="auto"/>
          <w:sz w:val="24"/>
          <w:szCs w:val="24"/>
          <w:highlight w:val="none"/>
        </w:rPr>
        <w:t>天内派人保修。承包人不在约定期限内派人保修的，发包人可以委托他人修理，修理费用从质量保证金内扣除。</w:t>
      </w:r>
    </w:p>
    <w:p w14:paraId="766FC236">
      <w:pPr>
        <w:pStyle w:val="18"/>
        <w:spacing w:line="360" w:lineRule="auto"/>
        <w:ind w:firstLine="420"/>
        <w:rPr>
          <w:rStyle w:val="16"/>
          <w:rFonts w:ascii="Calibri" w:hAnsi="宋体" w:eastAsia="宋体" w:cs="Times New Roman"/>
          <w:color w:val="auto"/>
          <w:sz w:val="24"/>
          <w:szCs w:val="24"/>
          <w:highlight w:val="none"/>
        </w:rPr>
      </w:pPr>
      <w:r>
        <w:rPr>
          <w:rStyle w:val="16"/>
          <w:rFonts w:ascii="Calibri" w:hAnsi="Calibri" w:eastAsia="宋体" w:cs="Times New Roman"/>
          <w:color w:val="auto"/>
          <w:sz w:val="24"/>
          <w:szCs w:val="24"/>
          <w:highlight w:val="none"/>
        </w:rPr>
        <w:t>2</w:t>
      </w:r>
      <w:r>
        <w:rPr>
          <w:rStyle w:val="16"/>
          <w:rFonts w:hint="eastAsia" w:ascii="Calibri" w:hAnsi="宋体" w:eastAsia="宋体" w:cs="宋体"/>
          <w:color w:val="auto"/>
          <w:sz w:val="24"/>
          <w:szCs w:val="24"/>
          <w:highlight w:val="none"/>
        </w:rPr>
        <w:t>．发生紧急事故需抢修的，承包人在接到事故通知后，应当立即到达事故现场抢修。</w:t>
      </w:r>
    </w:p>
    <w:p w14:paraId="7275AB21">
      <w:pPr>
        <w:pStyle w:val="18"/>
        <w:spacing w:line="360" w:lineRule="auto"/>
        <w:ind w:firstLine="420"/>
        <w:rPr>
          <w:rStyle w:val="16"/>
          <w:rFonts w:ascii="Calibri" w:hAnsi="宋体" w:eastAsia="宋体" w:cs="Times New Roman"/>
          <w:color w:val="auto"/>
          <w:sz w:val="24"/>
          <w:szCs w:val="24"/>
          <w:highlight w:val="none"/>
        </w:rPr>
      </w:pPr>
      <w:r>
        <w:rPr>
          <w:rStyle w:val="16"/>
          <w:rFonts w:ascii="Calibri" w:hAnsi="Calibri" w:eastAsia="宋体" w:cs="Times New Roman"/>
          <w:color w:val="auto"/>
          <w:sz w:val="24"/>
          <w:szCs w:val="24"/>
          <w:highlight w:val="none"/>
        </w:rPr>
        <w:t>3</w:t>
      </w:r>
      <w:r>
        <w:rPr>
          <w:rStyle w:val="16"/>
          <w:rFonts w:hint="eastAsia" w:ascii="Calibri" w:hAnsi="宋体" w:eastAsia="宋体" w:cs="宋体"/>
          <w:color w:val="auto"/>
          <w:sz w:val="24"/>
          <w:szCs w:val="24"/>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73D3A001">
      <w:pPr>
        <w:pStyle w:val="18"/>
        <w:spacing w:line="360" w:lineRule="auto"/>
        <w:ind w:firstLine="420"/>
        <w:rPr>
          <w:rStyle w:val="16"/>
          <w:rFonts w:ascii="Calibri" w:hAnsi="宋体" w:eastAsia="宋体" w:cs="Times New Roman"/>
          <w:color w:val="auto"/>
          <w:sz w:val="24"/>
          <w:szCs w:val="24"/>
          <w:highlight w:val="none"/>
        </w:rPr>
      </w:pPr>
      <w:r>
        <w:rPr>
          <w:rStyle w:val="16"/>
          <w:rFonts w:ascii="Calibri" w:hAnsi="Calibri" w:eastAsia="宋体" w:cs="Times New Roman"/>
          <w:color w:val="auto"/>
          <w:sz w:val="24"/>
          <w:szCs w:val="24"/>
          <w:highlight w:val="none"/>
        </w:rPr>
        <w:t>4</w:t>
      </w:r>
      <w:r>
        <w:rPr>
          <w:rStyle w:val="16"/>
          <w:rFonts w:hint="eastAsia" w:ascii="Calibri" w:hAnsi="宋体" w:eastAsia="宋体" w:cs="宋体"/>
          <w:color w:val="auto"/>
          <w:sz w:val="24"/>
          <w:szCs w:val="24"/>
          <w:highlight w:val="none"/>
        </w:rPr>
        <w:t>．质量保修完成后，由发包人组织验收。</w:t>
      </w:r>
    </w:p>
    <w:p w14:paraId="3BF06F76">
      <w:pPr>
        <w:pStyle w:val="18"/>
        <w:spacing w:line="360" w:lineRule="auto"/>
        <w:ind w:firstLine="420"/>
        <w:rPr>
          <w:rStyle w:val="16"/>
          <w:rFonts w:ascii="黑体" w:hAnsi="宋体" w:eastAsia="黑体" w:cs="Times New Roman"/>
          <w:color w:val="auto"/>
          <w:sz w:val="24"/>
          <w:szCs w:val="24"/>
          <w:highlight w:val="none"/>
        </w:rPr>
      </w:pPr>
      <w:r>
        <w:rPr>
          <w:rStyle w:val="16"/>
          <w:rFonts w:hint="eastAsia" w:ascii="黑体" w:hAnsi="宋体" w:eastAsia="黑体" w:cs="黑体"/>
          <w:color w:val="auto"/>
          <w:sz w:val="24"/>
          <w:szCs w:val="24"/>
          <w:highlight w:val="none"/>
        </w:rPr>
        <w:t>五、保修费用</w:t>
      </w:r>
    </w:p>
    <w:p w14:paraId="47DC0829">
      <w:pPr>
        <w:pStyle w:val="18"/>
        <w:tabs>
          <w:tab w:val="left" w:pos="7380"/>
        </w:tabs>
        <w:spacing w:line="360" w:lineRule="auto"/>
        <w:ind w:firstLine="420"/>
        <w:rPr>
          <w:rStyle w:val="16"/>
          <w:rFonts w:ascii="Calibri" w:hAnsi="宋体" w:eastAsia="宋体" w:cs="Times New Roman"/>
          <w:color w:val="auto"/>
          <w:sz w:val="24"/>
          <w:szCs w:val="24"/>
          <w:highlight w:val="none"/>
        </w:rPr>
      </w:pPr>
      <w:r>
        <w:rPr>
          <w:rStyle w:val="16"/>
          <w:rFonts w:hint="eastAsia" w:ascii="Calibri" w:hAnsi="宋体" w:eastAsia="宋体" w:cs="宋体"/>
          <w:color w:val="auto"/>
          <w:sz w:val="24"/>
          <w:szCs w:val="24"/>
          <w:highlight w:val="none"/>
        </w:rPr>
        <w:t>保修费用由造成质量缺陷的责任方承担。</w:t>
      </w:r>
    </w:p>
    <w:p w14:paraId="3E18945A">
      <w:pPr>
        <w:pStyle w:val="18"/>
        <w:spacing w:line="360" w:lineRule="auto"/>
        <w:ind w:firstLine="420"/>
        <w:rPr>
          <w:rStyle w:val="16"/>
          <w:rFonts w:ascii="黑体" w:hAnsi="宋体" w:eastAsia="黑体" w:cs="黑体"/>
          <w:color w:val="auto"/>
          <w:sz w:val="24"/>
          <w:szCs w:val="24"/>
          <w:highlight w:val="none"/>
        </w:rPr>
      </w:pPr>
      <w:r>
        <w:rPr>
          <w:rStyle w:val="16"/>
          <w:rFonts w:hint="eastAsia" w:ascii="黑体" w:hAnsi="宋体" w:eastAsia="黑体" w:cs="黑体"/>
          <w:color w:val="auto"/>
          <w:sz w:val="24"/>
          <w:szCs w:val="24"/>
          <w:highlight w:val="none"/>
        </w:rPr>
        <w:t>六、双方约定的其他工程质量保修事项：</w:t>
      </w:r>
      <w:r>
        <w:rPr>
          <w:rStyle w:val="16"/>
          <w:rFonts w:ascii="黑体" w:hAnsi="宋体" w:eastAsia="黑体" w:cs="黑体"/>
          <w:color w:val="auto"/>
          <w:sz w:val="24"/>
          <w:szCs w:val="24"/>
          <w:highlight w:val="none"/>
        </w:rPr>
        <w:t xml:space="preserve"> </w:t>
      </w:r>
    </w:p>
    <w:p w14:paraId="65F18D73">
      <w:pPr>
        <w:pStyle w:val="18"/>
        <w:spacing w:line="360" w:lineRule="auto"/>
        <w:ind w:firstLine="480" w:firstLineChars="200"/>
        <w:jc w:val="left"/>
        <w:rPr>
          <w:rStyle w:val="16"/>
          <w:rFonts w:ascii="Calibri" w:hAnsi="Calibri" w:eastAsia="宋体" w:cs="Times New Roman"/>
          <w:color w:val="auto"/>
          <w:sz w:val="24"/>
          <w:szCs w:val="24"/>
          <w:highlight w:val="none"/>
        </w:rPr>
      </w:pPr>
      <w:r>
        <w:rPr>
          <w:rStyle w:val="16"/>
          <w:rFonts w:ascii="Calibri" w:hAnsi="Calibri" w:eastAsia="宋体" w:cs="Times New Roman"/>
          <w:color w:val="auto"/>
          <w:sz w:val="24"/>
          <w:szCs w:val="24"/>
          <w:highlight w:val="none"/>
          <w:u w:val="single"/>
        </w:rPr>
        <w:t xml:space="preserve">                                                                                                                                                </w:t>
      </w:r>
      <w:r>
        <w:rPr>
          <w:rStyle w:val="16"/>
          <w:rFonts w:hint="eastAsia" w:ascii="Calibri" w:hAnsi="宋体" w:eastAsia="宋体" w:cs="宋体"/>
          <w:color w:val="auto"/>
          <w:sz w:val="24"/>
          <w:szCs w:val="24"/>
          <w:highlight w:val="none"/>
        </w:rPr>
        <w:t>。</w:t>
      </w:r>
    </w:p>
    <w:p w14:paraId="3CDD1D47">
      <w:pPr>
        <w:pStyle w:val="18"/>
        <w:spacing w:line="360" w:lineRule="auto"/>
        <w:ind w:firstLine="456" w:firstLineChars="190"/>
        <w:rPr>
          <w:rStyle w:val="16"/>
          <w:rFonts w:ascii="Calibri" w:hAnsi="Calibri" w:eastAsia="宋体" w:cs="Times New Roman"/>
          <w:color w:val="auto"/>
          <w:sz w:val="24"/>
          <w:szCs w:val="24"/>
          <w:highlight w:val="none"/>
        </w:rPr>
      </w:pPr>
      <w:r>
        <w:rPr>
          <w:rStyle w:val="16"/>
          <w:rFonts w:hint="eastAsia" w:ascii="Calibri" w:hAnsi="宋体" w:eastAsia="宋体" w:cs="宋体"/>
          <w:color w:val="auto"/>
          <w:sz w:val="24"/>
          <w:szCs w:val="24"/>
          <w:highlight w:val="none"/>
        </w:rPr>
        <w:t>工程质量保修书由发包人、承包人在工程竣工验收前共同签署，作为施工合同附件，其有效期限至保修期满。</w:t>
      </w:r>
    </w:p>
    <w:p w14:paraId="08F22BEF">
      <w:pPr>
        <w:pStyle w:val="18"/>
        <w:spacing w:line="360" w:lineRule="auto"/>
        <w:ind w:firstLine="420"/>
        <w:rPr>
          <w:rStyle w:val="16"/>
          <w:rFonts w:ascii="Calibri" w:hAnsi="Calibri" w:eastAsia="宋体" w:cs="Times New Roman"/>
          <w:color w:val="auto"/>
          <w:sz w:val="24"/>
          <w:szCs w:val="24"/>
          <w:highlight w:val="none"/>
        </w:rPr>
      </w:pPr>
    </w:p>
    <w:p w14:paraId="169C28B7">
      <w:pPr>
        <w:pStyle w:val="18"/>
        <w:spacing w:line="360" w:lineRule="auto"/>
        <w:rPr>
          <w:rStyle w:val="16"/>
          <w:rFonts w:ascii="Calibri" w:hAnsi="Calibri" w:eastAsia="宋体" w:cs="Times New Roman"/>
          <w:color w:val="auto"/>
          <w:sz w:val="24"/>
          <w:szCs w:val="24"/>
          <w:highlight w:val="none"/>
        </w:rPr>
      </w:pPr>
      <w:r>
        <w:rPr>
          <w:rStyle w:val="16"/>
          <w:rFonts w:ascii="Calibri" w:hAnsi="宋体" w:eastAsia="宋体" w:cs="Times New Roman"/>
          <w:color w:val="auto"/>
          <w:sz w:val="24"/>
          <w:szCs w:val="24"/>
          <w:highlight w:val="none"/>
        </w:rPr>
        <w:t>发包人</w:t>
      </w:r>
      <w:r>
        <w:rPr>
          <w:rStyle w:val="16"/>
          <w:rFonts w:hint="eastAsia" w:ascii="Calibri" w:hAnsi="Calibri" w:eastAsia="宋体" w:cs="Times New Roman"/>
          <w:color w:val="auto"/>
          <w:sz w:val="24"/>
          <w:szCs w:val="24"/>
          <w:highlight w:val="none"/>
        </w:rPr>
        <w:t>（</w:t>
      </w:r>
      <w:r>
        <w:rPr>
          <w:rStyle w:val="16"/>
          <w:rFonts w:ascii="Calibri" w:hAnsi="宋体" w:eastAsia="宋体" w:cs="Times New Roman"/>
          <w:color w:val="auto"/>
          <w:sz w:val="24"/>
          <w:szCs w:val="24"/>
          <w:highlight w:val="none"/>
        </w:rPr>
        <w:t>公章</w:t>
      </w:r>
      <w:r>
        <w:rPr>
          <w:rStyle w:val="16"/>
          <w:rFonts w:hint="eastAsia" w:ascii="Calibri" w:hAnsi="Calibri" w:eastAsia="宋体" w:cs="Times New Roman"/>
          <w:color w:val="auto"/>
          <w:sz w:val="24"/>
          <w:szCs w:val="24"/>
          <w:highlight w:val="none"/>
        </w:rPr>
        <w:t>）</w:t>
      </w:r>
      <w:r>
        <w:rPr>
          <w:rStyle w:val="16"/>
          <w:rFonts w:ascii="Calibri" w:hAnsi="宋体" w:eastAsia="宋体" w:cs="Times New Roman"/>
          <w:color w:val="auto"/>
          <w:sz w:val="24"/>
          <w:szCs w:val="24"/>
          <w:highlight w:val="none"/>
        </w:rPr>
        <w:t>：</w:t>
      </w:r>
      <w:r>
        <w:rPr>
          <w:rStyle w:val="16"/>
          <w:rFonts w:ascii="Calibri" w:hAnsi="Calibri" w:eastAsia="宋体" w:cs="Times New Roman"/>
          <w:color w:val="auto"/>
          <w:sz w:val="24"/>
          <w:szCs w:val="24"/>
          <w:highlight w:val="none"/>
          <w:u w:val="single"/>
        </w:rPr>
        <w:t xml:space="preserve"> </w:t>
      </w:r>
      <w:r>
        <w:rPr>
          <w:rStyle w:val="16"/>
          <w:rFonts w:ascii="宋体" w:hAnsi="宋体" w:eastAsia="宋体" w:cs="Times New Roman"/>
          <w:color w:val="auto"/>
          <w:sz w:val="24"/>
          <w:szCs w:val="24"/>
          <w:highlight w:val="none"/>
          <w:u w:val="single"/>
        </w:rPr>
        <w:t></w:t>
      </w:r>
      <w:r>
        <w:rPr>
          <w:rStyle w:val="16"/>
          <w:rFonts w:ascii="Calibri" w:hAnsi="Calibri" w:eastAsia="宋体" w:cs="Times New Roman"/>
          <w:color w:val="auto"/>
          <w:sz w:val="24"/>
          <w:szCs w:val="24"/>
          <w:highlight w:val="none"/>
          <w:u w:val="single"/>
        </w:rPr>
        <w:t xml:space="preserve"> </w:t>
      </w:r>
      <w:r>
        <w:rPr>
          <w:rStyle w:val="16"/>
          <w:rFonts w:ascii="宋体" w:hAnsi="宋体" w:eastAsia="宋体" w:cs="Times New Roman"/>
          <w:color w:val="auto"/>
          <w:sz w:val="24"/>
          <w:szCs w:val="24"/>
          <w:highlight w:val="none"/>
          <w:u w:val="single"/>
        </w:rPr>
        <w:t></w:t>
      </w:r>
      <w:r>
        <w:rPr>
          <w:rStyle w:val="16"/>
          <w:rFonts w:ascii="Calibri" w:hAnsi="Calibri" w:eastAsia="宋体" w:cs="Times New Roman"/>
          <w:color w:val="auto"/>
          <w:sz w:val="24"/>
          <w:szCs w:val="24"/>
          <w:highlight w:val="none"/>
          <w:u w:val="single"/>
        </w:rPr>
        <w:t xml:space="preserve"> </w:t>
      </w:r>
      <w:r>
        <w:rPr>
          <w:rStyle w:val="16"/>
          <w:rFonts w:hint="eastAsia" w:ascii="Calibri" w:hAnsi="Calibri" w:eastAsia="宋体" w:cs="Times New Roman"/>
          <w:color w:val="auto"/>
          <w:sz w:val="24"/>
          <w:szCs w:val="24"/>
          <w:highlight w:val="none"/>
          <w:u w:val="single"/>
        </w:rPr>
        <w:t xml:space="preserve"> </w:t>
      </w:r>
      <w:r>
        <w:rPr>
          <w:rStyle w:val="16"/>
          <w:rFonts w:ascii="Calibri" w:hAnsi="Calibri" w:eastAsia="宋体" w:cs="Times New Roman"/>
          <w:color w:val="auto"/>
          <w:sz w:val="24"/>
          <w:szCs w:val="24"/>
          <w:highlight w:val="none"/>
          <w:u w:val="single"/>
        </w:rPr>
        <w:t xml:space="preserve">     </w:t>
      </w:r>
      <w:r>
        <w:rPr>
          <w:rStyle w:val="16"/>
          <w:rFonts w:ascii="Calibri" w:hAnsi="Calibri" w:eastAsia="宋体" w:cs="Times New Roman"/>
          <w:color w:val="auto"/>
          <w:sz w:val="24"/>
          <w:szCs w:val="24"/>
          <w:highlight w:val="none"/>
        </w:rPr>
        <w:t xml:space="preserve"> </w:t>
      </w:r>
      <w:r>
        <w:rPr>
          <w:rStyle w:val="16"/>
          <w:rFonts w:hint="eastAsia" w:ascii="Calibri" w:hAnsi="Calibri" w:eastAsia="宋体" w:cs="Times New Roman"/>
          <w:color w:val="auto"/>
          <w:sz w:val="24"/>
          <w:szCs w:val="24"/>
          <w:highlight w:val="none"/>
        </w:rPr>
        <w:t xml:space="preserve">            </w:t>
      </w:r>
      <w:r>
        <w:rPr>
          <w:rStyle w:val="16"/>
          <w:rFonts w:ascii="Calibri" w:hAnsi="宋体" w:eastAsia="宋体" w:cs="Times New Roman"/>
          <w:color w:val="auto"/>
          <w:sz w:val="24"/>
          <w:szCs w:val="24"/>
          <w:highlight w:val="none"/>
        </w:rPr>
        <w:t>承包人</w:t>
      </w:r>
      <w:r>
        <w:rPr>
          <w:rStyle w:val="16"/>
          <w:rFonts w:hint="eastAsia" w:ascii="Calibri" w:hAnsi="Calibri" w:eastAsia="宋体" w:cs="Times New Roman"/>
          <w:color w:val="auto"/>
          <w:sz w:val="24"/>
          <w:szCs w:val="24"/>
          <w:highlight w:val="none"/>
        </w:rPr>
        <w:t>（</w:t>
      </w:r>
      <w:r>
        <w:rPr>
          <w:rStyle w:val="16"/>
          <w:rFonts w:ascii="Calibri" w:hAnsi="宋体" w:eastAsia="宋体" w:cs="Times New Roman"/>
          <w:color w:val="auto"/>
          <w:sz w:val="24"/>
          <w:szCs w:val="24"/>
          <w:highlight w:val="none"/>
        </w:rPr>
        <w:t>公章</w:t>
      </w:r>
      <w:r>
        <w:rPr>
          <w:rStyle w:val="16"/>
          <w:rFonts w:hint="eastAsia" w:ascii="Calibri" w:hAnsi="Calibri" w:eastAsia="宋体" w:cs="Times New Roman"/>
          <w:color w:val="auto"/>
          <w:sz w:val="24"/>
          <w:szCs w:val="24"/>
          <w:highlight w:val="none"/>
        </w:rPr>
        <w:t>）</w:t>
      </w:r>
      <w:r>
        <w:rPr>
          <w:rStyle w:val="16"/>
          <w:rFonts w:ascii="Calibri" w:hAnsi="宋体" w:eastAsia="宋体" w:cs="Times New Roman"/>
          <w:color w:val="auto"/>
          <w:sz w:val="24"/>
          <w:szCs w:val="24"/>
          <w:highlight w:val="none"/>
        </w:rPr>
        <w:t>：</w:t>
      </w:r>
      <w:r>
        <w:rPr>
          <w:rStyle w:val="16"/>
          <w:rFonts w:ascii="宋体" w:hAnsi="宋体" w:eastAsia="宋体" w:cs="Times New Roman"/>
          <w:color w:val="auto"/>
          <w:sz w:val="24"/>
          <w:szCs w:val="24"/>
          <w:highlight w:val="none"/>
          <w:u w:val="single"/>
        </w:rPr>
        <w:t></w:t>
      </w:r>
      <w:r>
        <w:rPr>
          <w:rStyle w:val="16"/>
          <w:rFonts w:ascii="Calibri" w:hAnsi="Calibri" w:eastAsia="宋体" w:cs="Times New Roman"/>
          <w:color w:val="auto"/>
          <w:sz w:val="24"/>
          <w:szCs w:val="24"/>
          <w:highlight w:val="none"/>
          <w:u w:val="single"/>
        </w:rPr>
        <w:t xml:space="preserve">          </w:t>
      </w:r>
      <w:r>
        <w:rPr>
          <w:rStyle w:val="16"/>
          <w:rFonts w:ascii="宋体" w:hAnsi="宋体" w:eastAsia="宋体" w:cs="Times New Roman"/>
          <w:color w:val="auto"/>
          <w:sz w:val="24"/>
          <w:szCs w:val="24"/>
          <w:highlight w:val="none"/>
          <w:u w:val="single"/>
        </w:rPr>
        <w:t></w:t>
      </w:r>
    </w:p>
    <w:p w14:paraId="30CEBB41">
      <w:pPr>
        <w:pStyle w:val="18"/>
        <w:spacing w:line="360" w:lineRule="auto"/>
        <w:rPr>
          <w:rStyle w:val="16"/>
          <w:rFonts w:ascii="Calibri" w:hAnsi="Calibri" w:eastAsia="宋体" w:cs="Times New Roman"/>
          <w:color w:val="auto"/>
          <w:sz w:val="24"/>
          <w:szCs w:val="24"/>
          <w:highlight w:val="none"/>
        </w:rPr>
      </w:pPr>
      <w:r>
        <w:rPr>
          <w:rStyle w:val="16"/>
          <w:rFonts w:ascii="Calibri" w:hAnsi="宋体" w:eastAsia="宋体" w:cs="Times New Roman"/>
          <w:color w:val="auto"/>
          <w:sz w:val="24"/>
          <w:szCs w:val="24"/>
          <w:highlight w:val="none"/>
        </w:rPr>
        <w:t>地</w:t>
      </w:r>
      <w:r>
        <w:rPr>
          <w:rStyle w:val="16"/>
          <w:rFonts w:ascii="Calibri" w:hAnsi="Calibri" w:eastAsia="宋体" w:cs="Times New Roman"/>
          <w:color w:val="auto"/>
          <w:sz w:val="24"/>
          <w:szCs w:val="24"/>
          <w:highlight w:val="none"/>
        </w:rPr>
        <w:t xml:space="preserve">  </w:t>
      </w:r>
      <w:r>
        <w:rPr>
          <w:rStyle w:val="16"/>
          <w:rFonts w:ascii="Calibri" w:hAnsi="宋体" w:eastAsia="宋体" w:cs="Times New Roman"/>
          <w:color w:val="auto"/>
          <w:sz w:val="24"/>
          <w:szCs w:val="24"/>
          <w:highlight w:val="none"/>
        </w:rPr>
        <w:t>址：</w:t>
      </w:r>
      <w:r>
        <w:rPr>
          <w:rStyle w:val="16"/>
          <w:rFonts w:ascii="Calibri" w:hAnsi="Calibri" w:eastAsia="宋体" w:cs="Times New Roman"/>
          <w:color w:val="auto"/>
          <w:sz w:val="24"/>
          <w:szCs w:val="24"/>
          <w:highlight w:val="none"/>
          <w:u w:val="single"/>
        </w:rPr>
        <w:t xml:space="preserve"> </w:t>
      </w:r>
      <w:r>
        <w:rPr>
          <w:rStyle w:val="16"/>
          <w:rFonts w:ascii="宋体" w:hAnsi="宋体" w:eastAsia="宋体" w:cs="Times New Roman"/>
          <w:color w:val="auto"/>
          <w:sz w:val="24"/>
          <w:szCs w:val="24"/>
          <w:highlight w:val="none"/>
          <w:u w:val="single"/>
        </w:rPr>
        <w:t></w:t>
      </w:r>
      <w:r>
        <w:rPr>
          <w:rStyle w:val="16"/>
          <w:rFonts w:ascii="Calibri" w:hAnsi="Calibri" w:eastAsia="宋体" w:cs="Times New Roman"/>
          <w:color w:val="auto"/>
          <w:sz w:val="24"/>
          <w:szCs w:val="24"/>
          <w:highlight w:val="none"/>
          <w:u w:val="single"/>
        </w:rPr>
        <w:t xml:space="preserve">   </w:t>
      </w:r>
      <w:r>
        <w:rPr>
          <w:rStyle w:val="16"/>
          <w:rFonts w:hint="eastAsia" w:ascii="Calibri" w:hAnsi="Calibri" w:eastAsia="宋体" w:cs="Times New Roman"/>
          <w:color w:val="auto"/>
          <w:sz w:val="24"/>
          <w:szCs w:val="24"/>
          <w:highlight w:val="none"/>
          <w:u w:val="single"/>
        </w:rPr>
        <w:t xml:space="preserve">  </w:t>
      </w:r>
      <w:r>
        <w:rPr>
          <w:rStyle w:val="16"/>
          <w:rFonts w:ascii="Calibri" w:hAnsi="Calibri" w:eastAsia="宋体" w:cs="Times New Roman"/>
          <w:color w:val="auto"/>
          <w:sz w:val="24"/>
          <w:szCs w:val="24"/>
          <w:highlight w:val="none"/>
          <w:u w:val="single"/>
        </w:rPr>
        <w:t xml:space="preserve"> </w:t>
      </w:r>
      <w:r>
        <w:rPr>
          <w:rStyle w:val="16"/>
          <w:rFonts w:ascii="Calibri" w:hAnsi="Calibri" w:eastAsia="宋体" w:cs="Times New Roman"/>
          <w:color w:val="auto"/>
          <w:sz w:val="24"/>
          <w:szCs w:val="24"/>
          <w:highlight w:val="none"/>
        </w:rPr>
        <w:t xml:space="preserve"> </w:t>
      </w:r>
      <w:r>
        <w:rPr>
          <w:rStyle w:val="16"/>
          <w:rFonts w:hint="eastAsia" w:ascii="Calibri" w:hAnsi="Calibri" w:eastAsia="宋体" w:cs="Times New Roman"/>
          <w:color w:val="auto"/>
          <w:sz w:val="24"/>
          <w:szCs w:val="24"/>
          <w:highlight w:val="none"/>
        </w:rPr>
        <w:t xml:space="preserve">             </w:t>
      </w:r>
      <w:r>
        <w:rPr>
          <w:rStyle w:val="16"/>
          <w:rFonts w:ascii="Calibri" w:hAnsi="宋体" w:eastAsia="宋体" w:cs="Times New Roman"/>
          <w:color w:val="auto"/>
          <w:sz w:val="24"/>
          <w:szCs w:val="24"/>
          <w:highlight w:val="none"/>
        </w:rPr>
        <w:t>地</w:t>
      </w:r>
      <w:r>
        <w:rPr>
          <w:rStyle w:val="16"/>
          <w:rFonts w:ascii="Calibri" w:hAnsi="Calibri" w:eastAsia="宋体" w:cs="Times New Roman"/>
          <w:color w:val="auto"/>
          <w:sz w:val="24"/>
          <w:szCs w:val="24"/>
          <w:highlight w:val="none"/>
        </w:rPr>
        <w:t xml:space="preserve">  </w:t>
      </w:r>
      <w:r>
        <w:rPr>
          <w:rStyle w:val="16"/>
          <w:rFonts w:ascii="Calibri" w:hAnsi="宋体" w:eastAsia="宋体" w:cs="Times New Roman"/>
          <w:color w:val="auto"/>
          <w:sz w:val="24"/>
          <w:szCs w:val="24"/>
          <w:highlight w:val="none"/>
        </w:rPr>
        <w:t>址：</w:t>
      </w:r>
      <w:r>
        <w:rPr>
          <w:rStyle w:val="16"/>
          <w:rFonts w:ascii="宋体" w:hAnsi="宋体" w:eastAsia="宋体" w:cs="Times New Roman"/>
          <w:color w:val="auto"/>
          <w:sz w:val="24"/>
          <w:szCs w:val="24"/>
          <w:highlight w:val="none"/>
          <w:u w:val="single"/>
        </w:rPr>
        <w:t></w:t>
      </w:r>
      <w:r>
        <w:rPr>
          <w:rStyle w:val="16"/>
          <w:rFonts w:ascii="Calibri" w:hAnsi="Calibri" w:eastAsia="宋体" w:cs="Times New Roman"/>
          <w:color w:val="auto"/>
          <w:sz w:val="24"/>
          <w:szCs w:val="24"/>
          <w:highlight w:val="none"/>
          <w:u w:val="single"/>
        </w:rPr>
        <w:t xml:space="preserve"> </w:t>
      </w:r>
      <w:r>
        <w:rPr>
          <w:rStyle w:val="16"/>
          <w:rFonts w:hint="eastAsia" w:ascii="Calibri" w:hAnsi="Calibri" w:eastAsia="宋体" w:cs="Times New Roman"/>
          <w:color w:val="auto"/>
          <w:sz w:val="24"/>
          <w:szCs w:val="24"/>
          <w:highlight w:val="none"/>
          <w:u w:val="single"/>
        </w:rPr>
        <w:t xml:space="preserve">     </w:t>
      </w:r>
      <w:r>
        <w:rPr>
          <w:rStyle w:val="16"/>
          <w:rFonts w:ascii="宋体" w:hAnsi="宋体" w:eastAsia="宋体" w:cs="Times New Roman"/>
          <w:color w:val="auto"/>
          <w:sz w:val="24"/>
          <w:szCs w:val="24"/>
          <w:highlight w:val="none"/>
          <w:u w:val="single"/>
        </w:rPr>
        <w:t></w:t>
      </w:r>
    </w:p>
    <w:p w14:paraId="27829FF8">
      <w:pPr>
        <w:pStyle w:val="18"/>
        <w:spacing w:line="360" w:lineRule="auto"/>
        <w:rPr>
          <w:rStyle w:val="16"/>
          <w:rFonts w:ascii="Calibri" w:hAnsi="Calibri" w:eastAsia="宋体" w:cs="Times New Roman"/>
          <w:color w:val="auto"/>
          <w:sz w:val="24"/>
          <w:szCs w:val="24"/>
          <w:highlight w:val="none"/>
        </w:rPr>
      </w:pPr>
      <w:r>
        <w:rPr>
          <w:rStyle w:val="16"/>
          <w:rFonts w:ascii="Calibri" w:hAnsi="宋体" w:eastAsia="宋体" w:cs="Times New Roman"/>
          <w:color w:val="auto"/>
          <w:sz w:val="24"/>
          <w:szCs w:val="24"/>
          <w:highlight w:val="none"/>
        </w:rPr>
        <w:t>法定代表人</w:t>
      </w:r>
      <w:r>
        <w:rPr>
          <w:rStyle w:val="16"/>
          <w:rFonts w:hint="eastAsia" w:ascii="Calibri" w:hAnsi="Calibri" w:eastAsia="宋体" w:cs="Times New Roman"/>
          <w:color w:val="auto"/>
          <w:sz w:val="24"/>
          <w:szCs w:val="24"/>
          <w:highlight w:val="none"/>
        </w:rPr>
        <w:t>（</w:t>
      </w:r>
      <w:r>
        <w:rPr>
          <w:rStyle w:val="16"/>
          <w:rFonts w:ascii="Calibri" w:hAnsi="宋体" w:eastAsia="宋体" w:cs="Times New Roman"/>
          <w:color w:val="auto"/>
          <w:sz w:val="24"/>
          <w:szCs w:val="24"/>
          <w:highlight w:val="none"/>
        </w:rPr>
        <w:t>签字</w:t>
      </w:r>
      <w:r>
        <w:rPr>
          <w:rStyle w:val="16"/>
          <w:rFonts w:hint="eastAsia" w:ascii="Calibri" w:hAnsi="Calibri" w:eastAsia="宋体" w:cs="Times New Roman"/>
          <w:color w:val="auto"/>
          <w:sz w:val="24"/>
          <w:szCs w:val="24"/>
          <w:highlight w:val="none"/>
        </w:rPr>
        <w:t>）</w:t>
      </w:r>
      <w:r>
        <w:rPr>
          <w:rStyle w:val="16"/>
          <w:rFonts w:ascii="Calibri" w:hAnsi="宋体" w:eastAsia="宋体" w:cs="Times New Roman"/>
          <w:color w:val="auto"/>
          <w:sz w:val="24"/>
          <w:szCs w:val="24"/>
          <w:highlight w:val="none"/>
        </w:rPr>
        <w:t>：</w:t>
      </w:r>
      <w:r>
        <w:rPr>
          <w:rStyle w:val="16"/>
          <w:rFonts w:ascii="宋体" w:hAnsi="宋体" w:eastAsia="宋体" w:cs="Times New Roman"/>
          <w:color w:val="auto"/>
          <w:sz w:val="24"/>
          <w:szCs w:val="24"/>
          <w:highlight w:val="none"/>
          <w:u w:val="single"/>
        </w:rPr>
        <w:t></w:t>
      </w:r>
      <w:r>
        <w:rPr>
          <w:rStyle w:val="16"/>
          <w:rFonts w:ascii="Calibri" w:hAnsi="Calibri" w:eastAsia="宋体" w:cs="Times New Roman"/>
          <w:color w:val="auto"/>
          <w:sz w:val="24"/>
          <w:szCs w:val="24"/>
          <w:highlight w:val="none"/>
          <w:u w:val="single"/>
        </w:rPr>
        <w:t xml:space="preserve">      </w:t>
      </w:r>
      <w:r>
        <w:rPr>
          <w:rStyle w:val="16"/>
          <w:rFonts w:ascii="Calibri" w:hAnsi="Calibri" w:eastAsia="宋体" w:cs="Times New Roman"/>
          <w:color w:val="auto"/>
          <w:sz w:val="24"/>
          <w:szCs w:val="24"/>
          <w:highlight w:val="none"/>
        </w:rPr>
        <w:t xml:space="preserve"> </w:t>
      </w:r>
      <w:r>
        <w:rPr>
          <w:rStyle w:val="16"/>
          <w:rFonts w:hint="eastAsia" w:ascii="Calibri" w:hAnsi="Calibri" w:eastAsia="宋体" w:cs="Times New Roman"/>
          <w:color w:val="auto"/>
          <w:sz w:val="24"/>
          <w:szCs w:val="24"/>
          <w:highlight w:val="none"/>
        </w:rPr>
        <w:t xml:space="preserve">             </w:t>
      </w:r>
      <w:r>
        <w:rPr>
          <w:rStyle w:val="16"/>
          <w:rFonts w:ascii="Calibri" w:hAnsi="宋体" w:eastAsia="宋体" w:cs="Times New Roman"/>
          <w:color w:val="auto"/>
          <w:sz w:val="24"/>
          <w:szCs w:val="24"/>
          <w:highlight w:val="none"/>
        </w:rPr>
        <w:t>法定代表人</w:t>
      </w:r>
      <w:r>
        <w:rPr>
          <w:rStyle w:val="16"/>
          <w:rFonts w:hint="eastAsia" w:ascii="Calibri" w:hAnsi="Calibri" w:eastAsia="宋体" w:cs="Times New Roman"/>
          <w:color w:val="auto"/>
          <w:sz w:val="24"/>
          <w:szCs w:val="24"/>
          <w:highlight w:val="none"/>
        </w:rPr>
        <w:t>（</w:t>
      </w:r>
      <w:r>
        <w:rPr>
          <w:rStyle w:val="16"/>
          <w:rFonts w:ascii="Calibri" w:hAnsi="宋体" w:eastAsia="宋体" w:cs="Times New Roman"/>
          <w:color w:val="auto"/>
          <w:sz w:val="24"/>
          <w:szCs w:val="24"/>
          <w:highlight w:val="none"/>
        </w:rPr>
        <w:t>签字</w:t>
      </w:r>
      <w:r>
        <w:rPr>
          <w:rStyle w:val="16"/>
          <w:rFonts w:hint="eastAsia" w:ascii="Calibri" w:hAnsi="Calibri" w:eastAsia="宋体" w:cs="Times New Roman"/>
          <w:color w:val="auto"/>
          <w:sz w:val="24"/>
          <w:szCs w:val="24"/>
          <w:highlight w:val="none"/>
        </w:rPr>
        <w:t>）</w:t>
      </w:r>
      <w:r>
        <w:rPr>
          <w:rStyle w:val="16"/>
          <w:rFonts w:ascii="Calibri" w:hAnsi="宋体" w:eastAsia="宋体" w:cs="Times New Roman"/>
          <w:color w:val="auto"/>
          <w:sz w:val="24"/>
          <w:szCs w:val="24"/>
          <w:highlight w:val="none"/>
        </w:rPr>
        <w:t>：</w:t>
      </w:r>
      <w:r>
        <w:rPr>
          <w:rStyle w:val="16"/>
          <w:rFonts w:ascii="宋体" w:hAnsi="宋体" w:eastAsia="宋体" w:cs="Times New Roman"/>
          <w:color w:val="auto"/>
          <w:sz w:val="24"/>
          <w:szCs w:val="24"/>
          <w:highlight w:val="none"/>
          <w:u w:val="single"/>
        </w:rPr>
        <w:t></w:t>
      </w:r>
      <w:r>
        <w:rPr>
          <w:rStyle w:val="16"/>
          <w:rFonts w:hint="eastAsia" w:ascii="宋体" w:hAnsi="宋体" w:eastAsia="宋体" w:cs="Times New Roman"/>
          <w:color w:val="auto"/>
          <w:sz w:val="24"/>
          <w:szCs w:val="24"/>
          <w:highlight w:val="none"/>
          <w:u w:val="single"/>
        </w:rPr>
        <w:t xml:space="preserve">     </w:t>
      </w:r>
      <w:r>
        <w:rPr>
          <w:rStyle w:val="16"/>
          <w:rFonts w:ascii="宋体" w:hAnsi="宋体" w:eastAsia="宋体" w:cs="Times New Roman"/>
          <w:color w:val="auto"/>
          <w:sz w:val="24"/>
          <w:szCs w:val="24"/>
          <w:highlight w:val="none"/>
          <w:u w:val="single"/>
        </w:rPr>
        <w:t></w:t>
      </w:r>
    </w:p>
    <w:p w14:paraId="682161C8">
      <w:pPr>
        <w:pStyle w:val="18"/>
        <w:spacing w:line="360" w:lineRule="auto"/>
        <w:rPr>
          <w:rStyle w:val="16"/>
          <w:rFonts w:ascii="Calibri" w:hAnsi="Calibri" w:eastAsia="宋体" w:cs="Times New Roman"/>
          <w:color w:val="auto"/>
          <w:sz w:val="24"/>
          <w:szCs w:val="24"/>
          <w:highlight w:val="none"/>
        </w:rPr>
      </w:pPr>
      <w:r>
        <w:rPr>
          <w:rStyle w:val="16"/>
          <w:rFonts w:ascii="Calibri" w:hAnsi="宋体" w:eastAsia="宋体" w:cs="Times New Roman"/>
          <w:color w:val="auto"/>
          <w:sz w:val="24"/>
          <w:szCs w:val="24"/>
          <w:highlight w:val="none"/>
        </w:rPr>
        <w:t>委托代理人</w:t>
      </w:r>
      <w:r>
        <w:rPr>
          <w:rStyle w:val="16"/>
          <w:rFonts w:hint="eastAsia" w:ascii="Calibri" w:hAnsi="Calibri" w:eastAsia="宋体" w:cs="Times New Roman"/>
          <w:color w:val="auto"/>
          <w:sz w:val="24"/>
          <w:szCs w:val="24"/>
          <w:highlight w:val="none"/>
        </w:rPr>
        <w:t>（</w:t>
      </w:r>
      <w:r>
        <w:rPr>
          <w:rStyle w:val="16"/>
          <w:rFonts w:ascii="Calibri" w:hAnsi="宋体" w:eastAsia="宋体" w:cs="Times New Roman"/>
          <w:color w:val="auto"/>
          <w:sz w:val="24"/>
          <w:szCs w:val="24"/>
          <w:highlight w:val="none"/>
        </w:rPr>
        <w:t>签字</w:t>
      </w:r>
      <w:r>
        <w:rPr>
          <w:rStyle w:val="16"/>
          <w:rFonts w:hint="eastAsia" w:ascii="Calibri" w:hAnsi="Calibri" w:eastAsia="宋体" w:cs="Times New Roman"/>
          <w:color w:val="auto"/>
          <w:sz w:val="24"/>
          <w:szCs w:val="24"/>
          <w:highlight w:val="none"/>
        </w:rPr>
        <w:t>）</w:t>
      </w:r>
      <w:r>
        <w:rPr>
          <w:rStyle w:val="16"/>
          <w:rFonts w:ascii="Calibri" w:hAnsi="宋体" w:eastAsia="宋体" w:cs="Times New Roman"/>
          <w:color w:val="auto"/>
          <w:sz w:val="24"/>
          <w:szCs w:val="24"/>
          <w:highlight w:val="none"/>
        </w:rPr>
        <w:t>：</w:t>
      </w:r>
      <w:r>
        <w:rPr>
          <w:rStyle w:val="16"/>
          <w:rFonts w:ascii="宋体" w:hAnsi="宋体" w:eastAsia="宋体" w:cs="Times New Roman"/>
          <w:color w:val="auto"/>
          <w:sz w:val="24"/>
          <w:szCs w:val="24"/>
          <w:highlight w:val="none"/>
          <w:u w:val="single"/>
        </w:rPr>
        <w:t></w:t>
      </w:r>
      <w:r>
        <w:rPr>
          <w:rStyle w:val="16"/>
          <w:rFonts w:ascii="Calibri" w:hAnsi="Calibri" w:eastAsia="宋体" w:cs="Times New Roman"/>
          <w:color w:val="auto"/>
          <w:sz w:val="24"/>
          <w:szCs w:val="24"/>
          <w:highlight w:val="none"/>
          <w:u w:val="single"/>
        </w:rPr>
        <w:t xml:space="preserve">      </w:t>
      </w:r>
      <w:r>
        <w:rPr>
          <w:rStyle w:val="16"/>
          <w:rFonts w:ascii="Calibri" w:hAnsi="Calibri" w:eastAsia="宋体" w:cs="Times New Roman"/>
          <w:color w:val="auto"/>
          <w:sz w:val="24"/>
          <w:szCs w:val="24"/>
          <w:highlight w:val="none"/>
        </w:rPr>
        <w:t xml:space="preserve"> </w:t>
      </w:r>
      <w:r>
        <w:rPr>
          <w:rStyle w:val="16"/>
          <w:rFonts w:hint="eastAsia" w:ascii="Calibri" w:hAnsi="Calibri" w:eastAsia="宋体" w:cs="Times New Roman"/>
          <w:color w:val="auto"/>
          <w:sz w:val="24"/>
          <w:szCs w:val="24"/>
          <w:highlight w:val="none"/>
        </w:rPr>
        <w:t xml:space="preserve">             </w:t>
      </w:r>
      <w:r>
        <w:rPr>
          <w:rStyle w:val="16"/>
          <w:rFonts w:ascii="Calibri" w:hAnsi="宋体" w:eastAsia="宋体" w:cs="Times New Roman"/>
          <w:color w:val="auto"/>
          <w:sz w:val="24"/>
          <w:szCs w:val="24"/>
          <w:highlight w:val="none"/>
        </w:rPr>
        <w:t>委托代理人</w:t>
      </w:r>
      <w:r>
        <w:rPr>
          <w:rStyle w:val="16"/>
          <w:rFonts w:hint="eastAsia" w:ascii="Calibri" w:hAnsi="Calibri" w:eastAsia="宋体" w:cs="Times New Roman"/>
          <w:color w:val="auto"/>
          <w:sz w:val="24"/>
          <w:szCs w:val="24"/>
          <w:highlight w:val="none"/>
        </w:rPr>
        <w:t>（</w:t>
      </w:r>
      <w:r>
        <w:rPr>
          <w:rStyle w:val="16"/>
          <w:rFonts w:ascii="Calibri" w:hAnsi="宋体" w:eastAsia="宋体" w:cs="Times New Roman"/>
          <w:color w:val="auto"/>
          <w:sz w:val="24"/>
          <w:szCs w:val="24"/>
          <w:highlight w:val="none"/>
        </w:rPr>
        <w:t>签字</w:t>
      </w:r>
      <w:r>
        <w:rPr>
          <w:rStyle w:val="16"/>
          <w:rFonts w:hint="eastAsia" w:ascii="Calibri" w:hAnsi="Calibri" w:eastAsia="宋体" w:cs="Times New Roman"/>
          <w:color w:val="auto"/>
          <w:sz w:val="24"/>
          <w:szCs w:val="24"/>
          <w:highlight w:val="none"/>
        </w:rPr>
        <w:t>）</w:t>
      </w:r>
      <w:r>
        <w:rPr>
          <w:rStyle w:val="16"/>
          <w:rFonts w:ascii="Calibri" w:hAnsi="宋体" w:eastAsia="宋体" w:cs="Times New Roman"/>
          <w:color w:val="auto"/>
          <w:sz w:val="24"/>
          <w:szCs w:val="24"/>
          <w:highlight w:val="none"/>
        </w:rPr>
        <w:t>：</w:t>
      </w:r>
      <w:r>
        <w:rPr>
          <w:rStyle w:val="16"/>
          <w:rFonts w:ascii="宋体" w:hAnsi="宋体" w:eastAsia="宋体" w:cs="Times New Roman"/>
          <w:color w:val="auto"/>
          <w:sz w:val="24"/>
          <w:szCs w:val="24"/>
          <w:highlight w:val="none"/>
          <w:u w:val="single"/>
        </w:rPr>
        <w:t></w:t>
      </w:r>
      <w:r>
        <w:rPr>
          <w:rStyle w:val="16"/>
          <w:rFonts w:hint="eastAsia" w:ascii="宋体" w:hAnsi="宋体" w:eastAsia="宋体" w:cs="Times New Roman"/>
          <w:color w:val="auto"/>
          <w:sz w:val="24"/>
          <w:szCs w:val="24"/>
          <w:highlight w:val="none"/>
          <w:u w:val="single"/>
        </w:rPr>
        <w:t xml:space="preserve">     </w:t>
      </w:r>
      <w:r>
        <w:rPr>
          <w:rStyle w:val="16"/>
          <w:rFonts w:ascii="宋体" w:hAnsi="宋体" w:eastAsia="宋体" w:cs="Times New Roman"/>
          <w:color w:val="auto"/>
          <w:sz w:val="24"/>
          <w:szCs w:val="24"/>
          <w:highlight w:val="none"/>
          <w:u w:val="single"/>
        </w:rPr>
        <w:t></w:t>
      </w:r>
    </w:p>
    <w:p w14:paraId="3115CB61">
      <w:pPr>
        <w:pStyle w:val="18"/>
        <w:spacing w:line="360" w:lineRule="auto"/>
        <w:rPr>
          <w:rStyle w:val="16"/>
          <w:rFonts w:ascii="Calibri" w:hAnsi="Calibri" w:eastAsia="宋体" w:cs="Times New Roman"/>
          <w:color w:val="auto"/>
          <w:sz w:val="24"/>
          <w:szCs w:val="24"/>
          <w:highlight w:val="none"/>
        </w:rPr>
      </w:pPr>
      <w:r>
        <w:rPr>
          <w:rStyle w:val="16"/>
          <w:rFonts w:ascii="Calibri" w:hAnsi="宋体" w:eastAsia="宋体" w:cs="Times New Roman"/>
          <w:color w:val="auto"/>
          <w:sz w:val="24"/>
          <w:szCs w:val="24"/>
          <w:highlight w:val="none"/>
        </w:rPr>
        <w:t>电</w:t>
      </w:r>
      <w:r>
        <w:rPr>
          <w:rStyle w:val="16"/>
          <w:rFonts w:ascii="Calibri" w:hAnsi="Calibri" w:eastAsia="宋体" w:cs="Times New Roman"/>
          <w:color w:val="auto"/>
          <w:sz w:val="24"/>
          <w:szCs w:val="24"/>
          <w:highlight w:val="none"/>
        </w:rPr>
        <w:t xml:space="preserve">  </w:t>
      </w:r>
      <w:r>
        <w:rPr>
          <w:rStyle w:val="16"/>
          <w:rFonts w:ascii="Calibri" w:hAnsi="宋体" w:eastAsia="宋体" w:cs="Times New Roman"/>
          <w:color w:val="auto"/>
          <w:sz w:val="24"/>
          <w:szCs w:val="24"/>
          <w:highlight w:val="none"/>
        </w:rPr>
        <w:t>话：</w:t>
      </w:r>
      <w:r>
        <w:rPr>
          <w:rStyle w:val="16"/>
          <w:rFonts w:ascii="宋体" w:hAnsi="宋体" w:eastAsia="宋体" w:cs="Times New Roman"/>
          <w:color w:val="auto"/>
          <w:sz w:val="24"/>
          <w:szCs w:val="24"/>
          <w:highlight w:val="none"/>
          <w:u w:val="single"/>
        </w:rPr>
        <w:t></w:t>
      </w:r>
      <w:r>
        <w:rPr>
          <w:rStyle w:val="16"/>
          <w:rFonts w:ascii="Calibri" w:hAnsi="Calibri" w:eastAsia="宋体" w:cs="Times New Roman"/>
          <w:color w:val="auto"/>
          <w:sz w:val="24"/>
          <w:szCs w:val="24"/>
          <w:highlight w:val="none"/>
          <w:u w:val="single"/>
        </w:rPr>
        <w:t xml:space="preserve"> </w:t>
      </w:r>
      <w:r>
        <w:rPr>
          <w:rStyle w:val="16"/>
          <w:rFonts w:hint="eastAsia" w:ascii="Calibri" w:hAnsi="Calibri" w:eastAsia="宋体" w:cs="Times New Roman"/>
          <w:color w:val="auto"/>
          <w:sz w:val="24"/>
          <w:szCs w:val="24"/>
          <w:highlight w:val="none"/>
          <w:u w:val="single"/>
        </w:rPr>
        <w:t xml:space="preserve">  </w:t>
      </w:r>
      <w:r>
        <w:rPr>
          <w:rStyle w:val="16"/>
          <w:rFonts w:ascii="Calibri" w:hAnsi="Calibri" w:eastAsia="宋体" w:cs="Times New Roman"/>
          <w:color w:val="auto"/>
          <w:sz w:val="24"/>
          <w:szCs w:val="24"/>
          <w:highlight w:val="none"/>
          <w:u w:val="single"/>
        </w:rPr>
        <w:t xml:space="preserve">  </w:t>
      </w:r>
      <w:r>
        <w:rPr>
          <w:rStyle w:val="16"/>
          <w:rFonts w:ascii="Calibri" w:hAnsi="Calibri" w:eastAsia="宋体" w:cs="Times New Roman"/>
          <w:color w:val="auto"/>
          <w:sz w:val="24"/>
          <w:szCs w:val="24"/>
          <w:highlight w:val="none"/>
        </w:rPr>
        <w:t xml:space="preserve"> </w:t>
      </w:r>
      <w:r>
        <w:rPr>
          <w:rStyle w:val="16"/>
          <w:rFonts w:hint="eastAsia" w:ascii="Calibri" w:hAnsi="Calibri" w:eastAsia="宋体" w:cs="Times New Roman"/>
          <w:color w:val="auto"/>
          <w:sz w:val="24"/>
          <w:szCs w:val="24"/>
          <w:highlight w:val="none"/>
        </w:rPr>
        <w:t xml:space="preserve">             </w:t>
      </w:r>
      <w:r>
        <w:rPr>
          <w:rStyle w:val="16"/>
          <w:rFonts w:ascii="Calibri" w:hAnsi="宋体" w:eastAsia="宋体" w:cs="Times New Roman"/>
          <w:color w:val="auto"/>
          <w:sz w:val="24"/>
          <w:szCs w:val="24"/>
          <w:highlight w:val="none"/>
        </w:rPr>
        <w:t>电</w:t>
      </w:r>
      <w:r>
        <w:rPr>
          <w:rStyle w:val="16"/>
          <w:rFonts w:ascii="Calibri" w:hAnsi="Calibri" w:eastAsia="宋体" w:cs="Times New Roman"/>
          <w:color w:val="auto"/>
          <w:sz w:val="24"/>
          <w:szCs w:val="24"/>
          <w:highlight w:val="none"/>
        </w:rPr>
        <w:t xml:space="preserve">  </w:t>
      </w:r>
      <w:r>
        <w:rPr>
          <w:rStyle w:val="16"/>
          <w:rFonts w:ascii="Calibri" w:hAnsi="宋体" w:eastAsia="宋体" w:cs="Times New Roman"/>
          <w:color w:val="auto"/>
          <w:sz w:val="24"/>
          <w:szCs w:val="24"/>
          <w:highlight w:val="none"/>
        </w:rPr>
        <w:t>话：</w:t>
      </w:r>
      <w:r>
        <w:rPr>
          <w:rStyle w:val="16"/>
          <w:rFonts w:ascii="宋体" w:hAnsi="宋体" w:eastAsia="宋体" w:cs="Times New Roman"/>
          <w:color w:val="auto"/>
          <w:sz w:val="24"/>
          <w:szCs w:val="24"/>
          <w:highlight w:val="none"/>
          <w:u w:val="single"/>
        </w:rPr>
        <w:t></w:t>
      </w:r>
      <w:r>
        <w:rPr>
          <w:rStyle w:val="16"/>
          <w:rFonts w:hint="eastAsia" w:ascii="宋体" w:hAnsi="宋体" w:eastAsia="宋体" w:cs="Times New Roman"/>
          <w:color w:val="auto"/>
          <w:sz w:val="24"/>
          <w:szCs w:val="24"/>
          <w:highlight w:val="none"/>
          <w:u w:val="single"/>
        </w:rPr>
        <w:t xml:space="preserve">      </w:t>
      </w:r>
      <w:r>
        <w:rPr>
          <w:rStyle w:val="16"/>
          <w:rFonts w:ascii="宋体" w:hAnsi="宋体" w:eastAsia="宋体" w:cs="Times New Roman"/>
          <w:color w:val="auto"/>
          <w:sz w:val="24"/>
          <w:szCs w:val="24"/>
          <w:highlight w:val="none"/>
          <w:u w:val="single"/>
        </w:rPr>
        <w:t></w:t>
      </w:r>
    </w:p>
    <w:p w14:paraId="153DC86A">
      <w:pPr>
        <w:pStyle w:val="18"/>
        <w:spacing w:line="360" w:lineRule="auto"/>
        <w:rPr>
          <w:rStyle w:val="16"/>
          <w:rFonts w:ascii="Calibri" w:hAnsi="Calibri" w:eastAsia="宋体" w:cs="Times New Roman"/>
          <w:color w:val="auto"/>
          <w:sz w:val="24"/>
          <w:szCs w:val="24"/>
          <w:highlight w:val="none"/>
        </w:rPr>
      </w:pPr>
      <w:r>
        <w:rPr>
          <w:rStyle w:val="16"/>
          <w:rFonts w:ascii="Calibri" w:hAnsi="宋体" w:eastAsia="宋体" w:cs="Times New Roman"/>
          <w:color w:val="auto"/>
          <w:sz w:val="24"/>
          <w:szCs w:val="24"/>
          <w:highlight w:val="none"/>
        </w:rPr>
        <w:t>传</w:t>
      </w:r>
      <w:r>
        <w:rPr>
          <w:rStyle w:val="16"/>
          <w:rFonts w:ascii="Calibri" w:hAnsi="Calibri" w:eastAsia="宋体" w:cs="Times New Roman"/>
          <w:color w:val="auto"/>
          <w:sz w:val="24"/>
          <w:szCs w:val="24"/>
          <w:highlight w:val="none"/>
        </w:rPr>
        <w:t xml:space="preserve">  </w:t>
      </w:r>
      <w:r>
        <w:rPr>
          <w:rStyle w:val="16"/>
          <w:rFonts w:ascii="Calibri" w:hAnsi="宋体" w:eastAsia="宋体" w:cs="Times New Roman"/>
          <w:color w:val="auto"/>
          <w:sz w:val="24"/>
          <w:szCs w:val="24"/>
          <w:highlight w:val="none"/>
        </w:rPr>
        <w:t>真：</w:t>
      </w:r>
      <w:r>
        <w:rPr>
          <w:rStyle w:val="16"/>
          <w:rFonts w:ascii="宋体" w:hAnsi="宋体" w:eastAsia="宋体" w:cs="Times New Roman"/>
          <w:color w:val="auto"/>
          <w:sz w:val="24"/>
          <w:szCs w:val="24"/>
          <w:highlight w:val="none"/>
          <w:u w:val="single"/>
        </w:rPr>
        <w:t></w:t>
      </w:r>
      <w:r>
        <w:rPr>
          <w:rStyle w:val="16"/>
          <w:rFonts w:hint="eastAsia" w:ascii="宋体" w:hAnsi="宋体" w:eastAsia="宋体" w:cs="Times New Roman"/>
          <w:color w:val="auto"/>
          <w:sz w:val="24"/>
          <w:szCs w:val="24"/>
          <w:highlight w:val="none"/>
          <w:u w:val="single"/>
        </w:rPr>
        <w:t xml:space="preserve">  </w:t>
      </w:r>
      <w:r>
        <w:rPr>
          <w:rStyle w:val="16"/>
          <w:rFonts w:ascii="Calibri" w:hAnsi="Calibri" w:eastAsia="宋体" w:cs="Times New Roman"/>
          <w:color w:val="auto"/>
          <w:sz w:val="24"/>
          <w:szCs w:val="24"/>
          <w:highlight w:val="none"/>
          <w:u w:val="single"/>
        </w:rPr>
        <w:t xml:space="preserve">   </w:t>
      </w:r>
      <w:r>
        <w:rPr>
          <w:rStyle w:val="16"/>
          <w:rFonts w:ascii="Calibri" w:hAnsi="Calibri" w:eastAsia="宋体" w:cs="Times New Roman"/>
          <w:color w:val="auto"/>
          <w:sz w:val="24"/>
          <w:szCs w:val="24"/>
          <w:highlight w:val="none"/>
        </w:rPr>
        <w:t xml:space="preserve"> </w:t>
      </w:r>
      <w:r>
        <w:rPr>
          <w:rStyle w:val="16"/>
          <w:rFonts w:hint="eastAsia" w:ascii="Calibri" w:hAnsi="Calibri" w:eastAsia="宋体" w:cs="Times New Roman"/>
          <w:color w:val="auto"/>
          <w:sz w:val="24"/>
          <w:szCs w:val="24"/>
          <w:highlight w:val="none"/>
        </w:rPr>
        <w:t xml:space="preserve">             </w:t>
      </w:r>
      <w:r>
        <w:rPr>
          <w:rStyle w:val="16"/>
          <w:rFonts w:ascii="Calibri" w:hAnsi="宋体" w:eastAsia="宋体" w:cs="Times New Roman"/>
          <w:color w:val="auto"/>
          <w:sz w:val="24"/>
          <w:szCs w:val="24"/>
          <w:highlight w:val="none"/>
        </w:rPr>
        <w:t>传</w:t>
      </w:r>
      <w:r>
        <w:rPr>
          <w:rStyle w:val="16"/>
          <w:rFonts w:ascii="Calibri" w:hAnsi="Calibri" w:eastAsia="宋体" w:cs="Times New Roman"/>
          <w:color w:val="auto"/>
          <w:sz w:val="24"/>
          <w:szCs w:val="24"/>
          <w:highlight w:val="none"/>
        </w:rPr>
        <w:t xml:space="preserve">  </w:t>
      </w:r>
      <w:r>
        <w:rPr>
          <w:rStyle w:val="16"/>
          <w:rFonts w:ascii="Calibri" w:hAnsi="宋体" w:eastAsia="宋体" w:cs="Times New Roman"/>
          <w:color w:val="auto"/>
          <w:sz w:val="24"/>
          <w:szCs w:val="24"/>
          <w:highlight w:val="none"/>
        </w:rPr>
        <w:t>真：</w:t>
      </w:r>
      <w:r>
        <w:rPr>
          <w:rStyle w:val="16"/>
          <w:rFonts w:ascii="宋体" w:hAnsi="宋体" w:eastAsia="宋体" w:cs="Times New Roman"/>
          <w:color w:val="auto"/>
          <w:sz w:val="24"/>
          <w:szCs w:val="24"/>
          <w:highlight w:val="none"/>
          <w:u w:val="single"/>
        </w:rPr>
        <w:t></w:t>
      </w:r>
      <w:r>
        <w:rPr>
          <w:rStyle w:val="16"/>
          <w:rFonts w:hint="eastAsia" w:ascii="宋体" w:hAnsi="宋体" w:eastAsia="宋体" w:cs="Times New Roman"/>
          <w:color w:val="auto"/>
          <w:sz w:val="24"/>
          <w:szCs w:val="24"/>
          <w:highlight w:val="none"/>
          <w:u w:val="single"/>
        </w:rPr>
        <w:t xml:space="preserve">  </w:t>
      </w:r>
      <w:r>
        <w:rPr>
          <w:rStyle w:val="16"/>
          <w:rFonts w:ascii="Calibri" w:hAnsi="Calibri" w:eastAsia="宋体" w:cs="Times New Roman"/>
          <w:color w:val="auto"/>
          <w:sz w:val="24"/>
          <w:szCs w:val="24"/>
          <w:highlight w:val="none"/>
          <w:u w:val="single"/>
        </w:rPr>
        <w:t xml:space="preserve">  </w:t>
      </w:r>
      <w:r>
        <w:rPr>
          <w:rStyle w:val="16"/>
          <w:rFonts w:ascii="宋体" w:hAnsi="宋体" w:eastAsia="宋体" w:cs="Times New Roman"/>
          <w:color w:val="auto"/>
          <w:sz w:val="24"/>
          <w:szCs w:val="24"/>
          <w:highlight w:val="none"/>
          <w:u w:val="single"/>
        </w:rPr>
        <w:t></w:t>
      </w:r>
    </w:p>
    <w:p w14:paraId="43AA6501">
      <w:pPr>
        <w:pStyle w:val="18"/>
        <w:spacing w:line="360" w:lineRule="auto"/>
        <w:rPr>
          <w:rStyle w:val="16"/>
          <w:rFonts w:ascii="Calibri" w:hAnsi="Calibri" w:eastAsia="宋体" w:cs="Times New Roman"/>
          <w:color w:val="auto"/>
          <w:sz w:val="24"/>
          <w:szCs w:val="24"/>
          <w:highlight w:val="none"/>
        </w:rPr>
      </w:pPr>
      <w:r>
        <w:rPr>
          <w:rStyle w:val="16"/>
          <w:rFonts w:ascii="Calibri" w:hAnsi="宋体" w:eastAsia="宋体" w:cs="Times New Roman"/>
          <w:color w:val="auto"/>
          <w:sz w:val="24"/>
          <w:szCs w:val="24"/>
          <w:highlight w:val="none"/>
        </w:rPr>
        <w:t>开户银行：</w:t>
      </w:r>
      <w:r>
        <w:rPr>
          <w:rStyle w:val="16"/>
          <w:rFonts w:ascii="宋体" w:hAnsi="宋体" w:eastAsia="宋体" w:cs="Times New Roman"/>
          <w:color w:val="auto"/>
          <w:sz w:val="24"/>
          <w:szCs w:val="24"/>
          <w:highlight w:val="none"/>
          <w:u w:val="single"/>
        </w:rPr>
        <w:t></w:t>
      </w:r>
      <w:r>
        <w:rPr>
          <w:rStyle w:val="16"/>
          <w:rFonts w:hint="eastAsia" w:ascii="宋体" w:hAnsi="宋体" w:eastAsia="宋体" w:cs="Times New Roman"/>
          <w:color w:val="auto"/>
          <w:sz w:val="24"/>
          <w:szCs w:val="24"/>
          <w:highlight w:val="none"/>
          <w:u w:val="single"/>
        </w:rPr>
        <w:t xml:space="preserve">  </w:t>
      </w:r>
      <w:r>
        <w:rPr>
          <w:rStyle w:val="16"/>
          <w:rFonts w:ascii="Calibri" w:hAnsi="Calibri" w:eastAsia="宋体" w:cs="Times New Roman"/>
          <w:color w:val="auto"/>
          <w:sz w:val="24"/>
          <w:szCs w:val="24"/>
          <w:highlight w:val="none"/>
          <w:u w:val="single"/>
        </w:rPr>
        <w:t xml:space="preserve">   </w:t>
      </w:r>
      <w:r>
        <w:rPr>
          <w:rStyle w:val="16"/>
          <w:rFonts w:ascii="Calibri" w:hAnsi="Calibri" w:eastAsia="宋体" w:cs="Times New Roman"/>
          <w:color w:val="auto"/>
          <w:sz w:val="24"/>
          <w:szCs w:val="24"/>
          <w:highlight w:val="none"/>
        </w:rPr>
        <w:t xml:space="preserve"> </w:t>
      </w:r>
      <w:r>
        <w:rPr>
          <w:rStyle w:val="16"/>
          <w:rFonts w:hint="eastAsia" w:ascii="Calibri" w:hAnsi="Calibri" w:eastAsia="宋体" w:cs="Times New Roman"/>
          <w:color w:val="auto"/>
          <w:sz w:val="24"/>
          <w:szCs w:val="24"/>
          <w:highlight w:val="none"/>
        </w:rPr>
        <w:t xml:space="preserve">             </w:t>
      </w:r>
      <w:r>
        <w:rPr>
          <w:rStyle w:val="16"/>
          <w:rFonts w:ascii="Calibri" w:hAnsi="宋体" w:eastAsia="宋体" w:cs="Times New Roman"/>
          <w:color w:val="auto"/>
          <w:sz w:val="24"/>
          <w:szCs w:val="24"/>
          <w:highlight w:val="none"/>
        </w:rPr>
        <w:t>开户银行：</w:t>
      </w:r>
      <w:r>
        <w:rPr>
          <w:rStyle w:val="16"/>
          <w:rFonts w:ascii="宋体" w:hAnsi="宋体" w:eastAsia="宋体" w:cs="Times New Roman"/>
          <w:color w:val="auto"/>
          <w:sz w:val="24"/>
          <w:szCs w:val="24"/>
          <w:highlight w:val="none"/>
          <w:u w:val="single"/>
        </w:rPr>
        <w:t></w:t>
      </w:r>
      <w:r>
        <w:rPr>
          <w:rStyle w:val="16"/>
          <w:rFonts w:hint="eastAsia" w:ascii="宋体" w:hAnsi="宋体" w:eastAsia="宋体" w:cs="Times New Roman"/>
          <w:color w:val="auto"/>
          <w:sz w:val="24"/>
          <w:szCs w:val="24"/>
          <w:highlight w:val="none"/>
          <w:u w:val="single"/>
        </w:rPr>
        <w:t xml:space="preserve">  </w:t>
      </w:r>
      <w:r>
        <w:rPr>
          <w:rStyle w:val="16"/>
          <w:rFonts w:ascii="宋体" w:hAnsi="宋体" w:eastAsia="宋体" w:cs="Times New Roman"/>
          <w:color w:val="auto"/>
          <w:sz w:val="24"/>
          <w:szCs w:val="24"/>
          <w:highlight w:val="none"/>
          <w:u w:val="single"/>
        </w:rPr>
        <w:t></w:t>
      </w:r>
    </w:p>
    <w:p w14:paraId="3F56A8EA">
      <w:pPr>
        <w:pStyle w:val="18"/>
        <w:tabs>
          <w:tab w:val="left" w:pos="2880"/>
          <w:tab w:val="left" w:pos="3060"/>
          <w:tab w:val="left" w:pos="4500"/>
        </w:tabs>
        <w:spacing w:line="360" w:lineRule="auto"/>
        <w:rPr>
          <w:rStyle w:val="16"/>
          <w:rFonts w:ascii="Calibri" w:hAnsi="Calibri" w:eastAsia="宋体" w:cs="Times New Roman"/>
          <w:color w:val="auto"/>
          <w:sz w:val="24"/>
          <w:szCs w:val="24"/>
          <w:highlight w:val="none"/>
        </w:rPr>
      </w:pPr>
      <w:r>
        <w:rPr>
          <w:rStyle w:val="16"/>
          <w:rFonts w:ascii="Calibri" w:hAnsi="宋体" w:eastAsia="宋体" w:cs="Times New Roman"/>
          <w:color w:val="auto"/>
          <w:sz w:val="24"/>
          <w:szCs w:val="24"/>
          <w:highlight w:val="none"/>
        </w:rPr>
        <w:t>账</w:t>
      </w:r>
      <w:r>
        <w:rPr>
          <w:rStyle w:val="16"/>
          <w:rFonts w:ascii="Calibri" w:hAnsi="Calibri" w:eastAsia="宋体" w:cs="Times New Roman"/>
          <w:color w:val="auto"/>
          <w:sz w:val="24"/>
          <w:szCs w:val="24"/>
          <w:highlight w:val="none"/>
        </w:rPr>
        <w:t xml:space="preserve">  </w:t>
      </w:r>
      <w:r>
        <w:rPr>
          <w:rStyle w:val="16"/>
          <w:rFonts w:ascii="Calibri" w:hAnsi="宋体" w:eastAsia="宋体" w:cs="Times New Roman"/>
          <w:color w:val="auto"/>
          <w:sz w:val="24"/>
          <w:szCs w:val="24"/>
          <w:highlight w:val="none"/>
        </w:rPr>
        <w:t>号：</w:t>
      </w:r>
      <w:r>
        <w:rPr>
          <w:rStyle w:val="16"/>
          <w:rFonts w:ascii="宋体" w:hAnsi="宋体" w:eastAsia="宋体" w:cs="Times New Roman"/>
          <w:color w:val="auto"/>
          <w:sz w:val="24"/>
          <w:szCs w:val="24"/>
          <w:highlight w:val="none"/>
          <w:u w:val="single"/>
        </w:rPr>
        <w:t></w:t>
      </w:r>
      <w:r>
        <w:rPr>
          <w:rStyle w:val="16"/>
          <w:rFonts w:ascii="Calibri" w:hAnsi="Calibri" w:eastAsia="宋体" w:cs="Times New Roman"/>
          <w:color w:val="auto"/>
          <w:sz w:val="24"/>
          <w:szCs w:val="24"/>
          <w:highlight w:val="none"/>
          <w:u w:val="single"/>
        </w:rPr>
        <w:t xml:space="preserve"> </w:t>
      </w:r>
      <w:r>
        <w:rPr>
          <w:rStyle w:val="16"/>
          <w:rFonts w:ascii="宋体" w:hAnsi="宋体" w:eastAsia="宋体" w:cs="Times New Roman"/>
          <w:color w:val="auto"/>
          <w:sz w:val="24"/>
          <w:szCs w:val="24"/>
          <w:highlight w:val="none"/>
          <w:u w:val="single"/>
        </w:rPr>
        <w:t></w:t>
      </w:r>
      <w:r>
        <w:rPr>
          <w:rStyle w:val="16"/>
          <w:rFonts w:ascii="Calibri" w:hAnsi="Calibri" w:eastAsia="宋体" w:cs="Times New Roman"/>
          <w:color w:val="auto"/>
          <w:sz w:val="24"/>
          <w:szCs w:val="24"/>
          <w:highlight w:val="none"/>
          <w:u w:val="single"/>
        </w:rPr>
        <w:t xml:space="preserve">   </w:t>
      </w:r>
      <w:r>
        <w:rPr>
          <w:rStyle w:val="16"/>
          <w:rFonts w:hint="eastAsia" w:ascii="Calibri" w:hAnsi="Calibri" w:eastAsia="宋体" w:cs="Times New Roman"/>
          <w:color w:val="auto"/>
          <w:sz w:val="24"/>
          <w:szCs w:val="24"/>
          <w:highlight w:val="none"/>
          <w:u w:val="single"/>
        </w:rPr>
        <w:t xml:space="preserve">  </w:t>
      </w:r>
      <w:r>
        <w:rPr>
          <w:rStyle w:val="16"/>
          <w:rFonts w:ascii="Calibri" w:hAnsi="Calibri" w:eastAsia="宋体" w:cs="Times New Roman"/>
          <w:color w:val="auto"/>
          <w:sz w:val="24"/>
          <w:szCs w:val="24"/>
          <w:highlight w:val="none"/>
          <w:u w:val="single"/>
        </w:rPr>
        <w:t xml:space="preserve"> </w:t>
      </w:r>
      <w:r>
        <w:rPr>
          <w:rStyle w:val="16"/>
          <w:rFonts w:hint="eastAsia" w:ascii="Calibri" w:hAnsi="Calibri" w:eastAsia="宋体" w:cs="Times New Roman"/>
          <w:color w:val="auto"/>
          <w:sz w:val="24"/>
          <w:szCs w:val="24"/>
          <w:highlight w:val="none"/>
          <w:u w:val="single"/>
        </w:rPr>
        <w:t xml:space="preserve"> </w:t>
      </w:r>
      <w:r>
        <w:rPr>
          <w:rStyle w:val="16"/>
          <w:rFonts w:ascii="Calibri" w:hAnsi="Calibri" w:eastAsia="宋体" w:cs="Times New Roman"/>
          <w:color w:val="auto"/>
          <w:sz w:val="24"/>
          <w:szCs w:val="24"/>
          <w:highlight w:val="none"/>
          <w:u w:val="single"/>
        </w:rPr>
        <w:t xml:space="preserve">  </w:t>
      </w:r>
      <w:r>
        <w:rPr>
          <w:rStyle w:val="16"/>
          <w:rFonts w:ascii="Calibri" w:hAnsi="Calibri" w:eastAsia="宋体" w:cs="Times New Roman"/>
          <w:color w:val="auto"/>
          <w:sz w:val="24"/>
          <w:szCs w:val="24"/>
          <w:highlight w:val="none"/>
        </w:rPr>
        <w:t xml:space="preserve">  </w:t>
      </w:r>
      <w:r>
        <w:rPr>
          <w:rStyle w:val="16"/>
          <w:rFonts w:hint="eastAsia" w:ascii="Calibri" w:hAnsi="Calibri" w:eastAsia="宋体" w:cs="Times New Roman"/>
          <w:color w:val="auto"/>
          <w:sz w:val="24"/>
          <w:szCs w:val="24"/>
          <w:highlight w:val="none"/>
        </w:rPr>
        <w:t xml:space="preserve">            </w:t>
      </w:r>
      <w:r>
        <w:rPr>
          <w:rStyle w:val="16"/>
          <w:rFonts w:ascii="Calibri" w:hAnsi="宋体" w:eastAsia="宋体" w:cs="Times New Roman"/>
          <w:color w:val="auto"/>
          <w:sz w:val="24"/>
          <w:szCs w:val="24"/>
          <w:highlight w:val="none"/>
        </w:rPr>
        <w:t>账</w:t>
      </w:r>
      <w:r>
        <w:rPr>
          <w:rStyle w:val="16"/>
          <w:rFonts w:ascii="Calibri" w:hAnsi="Calibri" w:eastAsia="宋体" w:cs="Times New Roman"/>
          <w:color w:val="auto"/>
          <w:sz w:val="24"/>
          <w:szCs w:val="24"/>
          <w:highlight w:val="none"/>
        </w:rPr>
        <w:t xml:space="preserve">  </w:t>
      </w:r>
      <w:r>
        <w:rPr>
          <w:rStyle w:val="16"/>
          <w:rFonts w:ascii="Calibri" w:hAnsi="宋体" w:eastAsia="宋体" w:cs="Times New Roman"/>
          <w:color w:val="auto"/>
          <w:sz w:val="24"/>
          <w:szCs w:val="24"/>
          <w:highlight w:val="none"/>
        </w:rPr>
        <w:t>号：</w:t>
      </w:r>
      <w:r>
        <w:rPr>
          <w:rStyle w:val="16"/>
          <w:rFonts w:ascii="宋体" w:hAnsi="宋体" w:eastAsia="宋体" w:cs="Times New Roman"/>
          <w:color w:val="auto"/>
          <w:sz w:val="24"/>
          <w:szCs w:val="24"/>
          <w:highlight w:val="none"/>
          <w:u w:val="single"/>
        </w:rPr>
        <w:t></w:t>
      </w:r>
      <w:r>
        <w:rPr>
          <w:rStyle w:val="16"/>
          <w:rFonts w:hint="eastAsia" w:ascii="宋体" w:hAnsi="宋体" w:eastAsia="宋体" w:cs="Times New Roman"/>
          <w:color w:val="auto"/>
          <w:sz w:val="24"/>
          <w:szCs w:val="24"/>
          <w:highlight w:val="none"/>
          <w:u w:val="single"/>
        </w:rPr>
        <w:t xml:space="preserve">    </w:t>
      </w:r>
      <w:r>
        <w:rPr>
          <w:rStyle w:val="16"/>
          <w:rFonts w:ascii="宋体" w:hAnsi="宋体" w:eastAsia="宋体" w:cs="Times New Roman"/>
          <w:color w:val="auto"/>
          <w:sz w:val="24"/>
          <w:szCs w:val="24"/>
          <w:highlight w:val="none"/>
          <w:u w:val="single"/>
        </w:rPr>
        <w:t></w:t>
      </w:r>
    </w:p>
    <w:p w14:paraId="6FBCE41E">
      <w:pPr>
        <w:spacing w:line="380" w:lineRule="exact"/>
        <w:jc w:val="both"/>
        <w:rPr>
          <w:rFonts w:hint="eastAsia" w:ascii="宋体" w:hAnsi="宋体" w:eastAsia="宋体" w:cs="宋体"/>
          <w:b/>
          <w:bCs/>
          <w:sz w:val="32"/>
          <w:szCs w:val="32"/>
          <w:highlight w:val="none"/>
          <w:u w:val="none"/>
          <w:lang w:val="en-US" w:eastAsia="zh-CN"/>
        </w:rPr>
      </w:pPr>
      <w:r>
        <w:rPr>
          <w:rStyle w:val="16"/>
          <w:rFonts w:ascii="Calibri" w:hAnsi="宋体" w:eastAsia="宋体" w:cs="Times New Roman"/>
          <w:color w:val="auto"/>
          <w:sz w:val="24"/>
          <w:szCs w:val="24"/>
          <w:highlight w:val="none"/>
        </w:rPr>
        <w:t>邮政编码：</w:t>
      </w:r>
      <w:r>
        <w:rPr>
          <w:rStyle w:val="16"/>
          <w:rFonts w:ascii="Calibri" w:hAnsi="Calibri" w:eastAsia="宋体" w:cs="Times New Roman"/>
          <w:color w:val="auto"/>
          <w:sz w:val="24"/>
          <w:szCs w:val="24"/>
          <w:highlight w:val="none"/>
          <w:u w:val="single"/>
        </w:rPr>
        <w:t xml:space="preserve"> </w:t>
      </w:r>
      <w:r>
        <w:rPr>
          <w:rStyle w:val="16"/>
          <w:rFonts w:ascii="宋体" w:hAnsi="宋体" w:eastAsia="宋体" w:cs="Times New Roman"/>
          <w:color w:val="auto"/>
          <w:sz w:val="24"/>
          <w:szCs w:val="24"/>
          <w:highlight w:val="none"/>
          <w:u w:val="single"/>
        </w:rPr>
        <w:t></w:t>
      </w:r>
      <w:r>
        <w:rPr>
          <w:rStyle w:val="16"/>
          <w:rFonts w:hint="eastAsia" w:ascii="宋体" w:hAnsi="宋体" w:eastAsia="宋体" w:cs="Times New Roman"/>
          <w:color w:val="auto"/>
          <w:sz w:val="24"/>
          <w:szCs w:val="24"/>
          <w:highlight w:val="none"/>
          <w:u w:val="single"/>
        </w:rPr>
        <w:t xml:space="preserve">  </w:t>
      </w:r>
      <w:r>
        <w:rPr>
          <w:rStyle w:val="16"/>
          <w:rFonts w:ascii="Calibri" w:hAnsi="Calibri" w:eastAsia="宋体" w:cs="Times New Roman"/>
          <w:color w:val="auto"/>
          <w:sz w:val="24"/>
          <w:szCs w:val="24"/>
          <w:highlight w:val="none"/>
          <w:u w:val="single"/>
        </w:rPr>
        <w:t xml:space="preserve">    </w:t>
      </w:r>
      <w:r>
        <w:rPr>
          <w:rStyle w:val="16"/>
          <w:rFonts w:ascii="Calibri" w:hAnsi="Calibri" w:eastAsia="宋体" w:cs="Times New Roman"/>
          <w:color w:val="auto"/>
          <w:sz w:val="24"/>
          <w:szCs w:val="24"/>
          <w:highlight w:val="none"/>
        </w:rPr>
        <w:t xml:space="preserve"> </w:t>
      </w:r>
      <w:r>
        <w:rPr>
          <w:rStyle w:val="16"/>
          <w:rFonts w:hint="eastAsia" w:ascii="Calibri" w:hAnsi="Calibri" w:eastAsia="宋体" w:cs="Times New Roman"/>
          <w:color w:val="auto"/>
          <w:sz w:val="24"/>
          <w:szCs w:val="24"/>
          <w:highlight w:val="none"/>
        </w:rPr>
        <w:t xml:space="preserve">             </w:t>
      </w:r>
      <w:r>
        <w:rPr>
          <w:rStyle w:val="16"/>
          <w:rFonts w:ascii="Calibri" w:hAnsi="宋体" w:eastAsia="宋体" w:cs="Times New Roman"/>
          <w:color w:val="auto"/>
          <w:sz w:val="24"/>
          <w:szCs w:val="24"/>
          <w:highlight w:val="none"/>
        </w:rPr>
        <w:t>邮政编码：</w:t>
      </w:r>
      <w:r>
        <w:rPr>
          <w:rStyle w:val="16"/>
          <w:rFonts w:ascii="宋体" w:hAnsi="宋体" w:eastAsia="宋体" w:cs="Times New Roman"/>
          <w:color w:val="auto"/>
          <w:sz w:val="24"/>
          <w:szCs w:val="24"/>
          <w:highlight w:val="none"/>
          <w:u w:val="single"/>
        </w:rPr>
        <w:t></w:t>
      </w:r>
      <w:r>
        <w:rPr>
          <w:rStyle w:val="16"/>
          <w:rFonts w:hint="eastAsia" w:ascii="宋体" w:hAnsi="宋体" w:eastAsia="宋体" w:cs="Times New Roman"/>
          <w:color w:val="auto"/>
          <w:sz w:val="24"/>
          <w:szCs w:val="24"/>
          <w:highlight w:val="none"/>
          <w:u w:val="single"/>
        </w:rPr>
        <w:t xml:space="preserve">   </w:t>
      </w:r>
      <w:r>
        <w:rPr>
          <w:rStyle w:val="16"/>
          <w:rFonts w:ascii="宋体" w:hAnsi="宋体" w:eastAsia="宋体" w:cs="Times New Roman"/>
          <w:color w:val="auto"/>
          <w:sz w:val="24"/>
          <w:szCs w:val="24"/>
          <w:highlight w:val="none"/>
          <w:u w:val="single"/>
        </w:rPr>
        <w:t></w:t>
      </w:r>
      <w:r>
        <w:rPr>
          <w:rFonts w:hint="eastAsia" w:ascii="宋体" w:hAnsi="宋体" w:eastAsia="宋体" w:cs="宋体"/>
          <w:color w:val="000000"/>
          <w:sz w:val="24"/>
          <w:highlight w:val="none"/>
        </w:rPr>
        <w:br w:type="page"/>
      </w:r>
      <w:r>
        <w:rPr>
          <w:rFonts w:hint="eastAsia" w:ascii="宋体" w:hAnsi="宋体" w:eastAsia="宋体" w:cs="宋体"/>
          <w:color w:val="000000"/>
          <w:sz w:val="24"/>
          <w:highlight w:val="none"/>
        </w:rPr>
        <w:t>附件</w:t>
      </w:r>
      <w:r>
        <w:rPr>
          <w:rFonts w:hint="eastAsia" w:ascii="宋体" w:hAnsi="宋体" w:eastAsia="宋体" w:cs="宋体"/>
          <w:color w:val="000000"/>
          <w:sz w:val="24"/>
          <w:highlight w:val="none"/>
          <w:lang w:val="en-US" w:eastAsia="zh-CN"/>
        </w:rPr>
        <w:t>2</w:t>
      </w:r>
      <w:r>
        <w:rPr>
          <w:rFonts w:hint="eastAsia" w:ascii="宋体" w:hAnsi="宋体" w:eastAsia="宋体" w:cs="宋体"/>
          <w:color w:val="000000"/>
          <w:sz w:val="24"/>
          <w:highlight w:val="none"/>
        </w:rPr>
        <w:t>：</w:t>
      </w:r>
      <w:r>
        <w:rPr>
          <w:rFonts w:hint="eastAsia" w:ascii="宋体" w:hAnsi="宋体" w:eastAsia="宋体" w:cs="宋体"/>
          <w:b/>
          <w:bCs/>
          <w:sz w:val="32"/>
          <w:szCs w:val="32"/>
          <w:highlight w:val="none"/>
          <w:u w:val="none"/>
          <w:lang w:val="en-US" w:eastAsia="zh-CN"/>
        </w:rPr>
        <w:t xml:space="preserve"> </w:t>
      </w:r>
    </w:p>
    <w:p w14:paraId="52837023">
      <w:pPr>
        <w:spacing w:line="380" w:lineRule="exact"/>
        <w:jc w:val="center"/>
        <w:rPr>
          <w:rFonts w:hint="eastAsia" w:ascii="宋体" w:hAnsi="宋体" w:eastAsia="宋体" w:cs="宋体"/>
          <w:b/>
          <w:bCs/>
          <w:sz w:val="32"/>
          <w:szCs w:val="32"/>
          <w:highlight w:val="none"/>
          <w:u w:val="none"/>
        </w:rPr>
      </w:pPr>
      <w:r>
        <w:rPr>
          <w:rFonts w:hint="eastAsia" w:ascii="宋体" w:hAnsi="宋体" w:eastAsia="宋体" w:cs="宋体"/>
          <w:b/>
          <w:bCs/>
          <w:sz w:val="32"/>
          <w:szCs w:val="32"/>
          <w:highlight w:val="none"/>
          <w:u w:val="none"/>
        </w:rPr>
        <w:t>项目经理委任书</w:t>
      </w:r>
    </w:p>
    <w:p w14:paraId="42BC6F47">
      <w:pPr>
        <w:spacing w:line="380" w:lineRule="exact"/>
        <w:rPr>
          <w:rFonts w:hint="eastAsia" w:ascii="宋体" w:hAnsi="宋体" w:eastAsia="宋体" w:cs="宋体"/>
          <w:b w:val="0"/>
          <w:bCs w:val="0"/>
          <w:highlight w:val="none"/>
        </w:rPr>
      </w:pPr>
    </w:p>
    <w:p w14:paraId="487C585C">
      <w:pPr>
        <w:keepNext w:val="0"/>
        <w:keepLines w:val="0"/>
        <w:pageBreakBefore w:val="0"/>
        <w:widowControl w:val="0"/>
        <w:kinsoku/>
        <w:wordWrap/>
        <w:overflowPunct/>
        <w:topLinePunct w:val="0"/>
        <w:autoSpaceDE/>
        <w:autoSpaceDN/>
        <w:bidi w:val="0"/>
        <w:adjustRightInd/>
        <w:snapToGrid/>
        <w:spacing w:line="700" w:lineRule="exact"/>
        <w:textAlignment w:val="auto"/>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rPr>
        <w:t>致：</w:t>
      </w:r>
      <w:r>
        <w:rPr>
          <w:rFonts w:hint="eastAsia" w:ascii="宋体" w:hAnsi="宋体" w:eastAsia="宋体" w:cs="宋体"/>
          <w:b w:val="0"/>
          <w:bCs w:val="0"/>
          <w:sz w:val="24"/>
          <w:szCs w:val="24"/>
          <w:highlight w:val="none"/>
          <w:u w:val="single"/>
          <w:lang w:val="en-US" w:eastAsia="zh-CN"/>
        </w:rPr>
        <w:t>（发包人名称）</w:t>
      </w:r>
    </w:p>
    <w:p w14:paraId="392B0A7C">
      <w:pPr>
        <w:keepNext w:val="0"/>
        <w:keepLines w:val="0"/>
        <w:pageBreakBefore w:val="0"/>
        <w:widowControl w:val="0"/>
        <w:kinsoku/>
        <w:wordWrap/>
        <w:overflowPunct/>
        <w:topLinePunct w:val="0"/>
        <w:autoSpaceDE/>
        <w:autoSpaceDN/>
        <w:bidi w:val="0"/>
        <w:adjustRightInd/>
        <w:snapToGrid/>
        <w:spacing w:line="7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（承包人名称</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u w:val="single"/>
        </w:rPr>
        <w:t xml:space="preserve"> </w:t>
      </w:r>
      <w:r>
        <w:rPr>
          <w:rFonts w:hint="eastAsia" w:ascii="宋体" w:hAnsi="宋体" w:eastAsia="宋体" w:cs="宋体"/>
          <w:b/>
          <w:bCs/>
          <w:sz w:val="24"/>
          <w:szCs w:val="24"/>
          <w:highlight w:val="none"/>
          <w:u w:val="single"/>
          <w:lang w:val="en-US" w:eastAsia="zh-CN"/>
        </w:rPr>
        <w:t>XX</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 xml:space="preserve">代表本单位委任 </w:t>
      </w:r>
      <w:r>
        <w:rPr>
          <w:rFonts w:hint="eastAsia" w:ascii="宋体" w:hAnsi="宋体" w:eastAsia="宋体" w:cs="宋体"/>
          <w:b/>
          <w:bCs/>
          <w:sz w:val="24"/>
          <w:szCs w:val="24"/>
          <w:highlight w:val="none"/>
          <w:u w:val="single"/>
          <w:lang w:val="en-US" w:eastAsia="zh-CN"/>
        </w:rPr>
        <w:t>XX</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 xml:space="preserve"> 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b/>
          <w:bCs/>
          <w:i w:val="0"/>
          <w:iCs w:val="0"/>
          <w:sz w:val="24"/>
          <w:szCs w:val="24"/>
          <w:highlight w:val="none"/>
          <w:u w:val="single"/>
          <w:lang w:val="en-US" w:eastAsia="zh-CN"/>
        </w:rPr>
        <w:t>XX工程</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的项目经理。凡本合同执行中的有关技术、工程进度、现场管理、质量检验、结算与支付等方面工作，由</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b/>
          <w:bCs/>
          <w:sz w:val="24"/>
          <w:szCs w:val="24"/>
          <w:highlight w:val="none"/>
          <w:u w:val="single"/>
          <w:lang w:val="en-US" w:eastAsia="zh-CN"/>
        </w:rPr>
        <w:t>XX</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代表本单位全面负责。</w:t>
      </w:r>
    </w:p>
    <w:p w14:paraId="3409180D">
      <w:pPr>
        <w:spacing w:line="380" w:lineRule="exact"/>
        <w:rPr>
          <w:rFonts w:hint="eastAsia" w:ascii="宋体" w:hAnsi="宋体" w:eastAsia="宋体" w:cs="宋体"/>
          <w:highlight w:val="none"/>
        </w:rPr>
      </w:pPr>
    </w:p>
    <w:p w14:paraId="1857B6A6">
      <w:pPr>
        <w:spacing w:line="380" w:lineRule="exact"/>
        <w:jc w:val="right"/>
        <w:rPr>
          <w:rFonts w:hint="eastAsia" w:ascii="宋体" w:hAnsi="宋体" w:eastAsia="宋体" w:cs="宋体"/>
          <w:sz w:val="24"/>
          <w:szCs w:val="24"/>
          <w:highlight w:val="none"/>
        </w:rPr>
      </w:pPr>
    </w:p>
    <w:p w14:paraId="71593653">
      <w:pPr>
        <w:spacing w:line="380" w:lineRule="exact"/>
        <w:jc w:val="righ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w:t>
      </w:r>
    </w:p>
    <w:p w14:paraId="0A9FEFEC">
      <w:pPr>
        <w:spacing w:line="380" w:lineRule="exact"/>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承包人：</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（盖单位章）</w:t>
      </w:r>
    </w:p>
    <w:p w14:paraId="0B14B75C">
      <w:pPr>
        <w:spacing w:line="560" w:lineRule="exact"/>
        <w:ind w:firstLine="420"/>
        <w:jc w:val="center"/>
        <w:rPr>
          <w:rFonts w:hint="eastAsia" w:ascii="宋体" w:hAnsi="宋体" w:eastAsia="宋体" w:cs="宋体"/>
          <w:i w:val="0"/>
          <w:iCs w:val="0"/>
          <w:sz w:val="28"/>
          <w:szCs w:val="28"/>
          <w:highlight w:val="none"/>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法定代表人：</w:t>
      </w:r>
    </w:p>
    <w:p w14:paraId="0BE430E8">
      <w:pPr>
        <w:spacing w:line="560" w:lineRule="exact"/>
        <w:ind w:firstLine="420"/>
        <w:rPr>
          <w:rFonts w:hint="default" w:ascii="宋体" w:hAnsi="宋体" w:eastAsia="宋体" w:cs="宋体"/>
          <w:i w:val="0"/>
          <w:iCs w:val="0"/>
          <w:highlight w:val="none"/>
          <w:lang w:val="en-US" w:eastAsia="zh-CN"/>
        </w:rPr>
      </w:pPr>
      <w:r>
        <w:rPr>
          <w:rFonts w:hint="eastAsia" w:ascii="宋体" w:hAnsi="宋体" w:eastAsia="宋体" w:cs="宋体"/>
          <w:i w:val="0"/>
          <w:iCs w:val="0"/>
          <w:highlight w:val="none"/>
          <w:lang w:val="en-US" w:eastAsia="zh-CN"/>
        </w:rPr>
        <w:t xml:space="preserve">           </w:t>
      </w:r>
    </w:p>
    <w:p w14:paraId="7A43B7F1">
      <w:pPr>
        <w:pStyle w:val="20"/>
        <w:rPr>
          <w:rFonts w:hint="eastAsia" w:ascii="宋体" w:hAnsi="宋体" w:eastAsia="宋体" w:cs="宋体"/>
          <w:b w:val="0"/>
          <w:bCs/>
          <w:i w:val="0"/>
          <w:iCs w:val="0"/>
          <w:sz w:val="24"/>
          <w:szCs w:val="24"/>
          <w:highlight w:val="none"/>
          <w:lang w:val="en-US" w:eastAsia="zh-CN"/>
        </w:rPr>
      </w:pPr>
      <w:r>
        <w:rPr>
          <w:rFonts w:hint="eastAsia" w:ascii="宋体" w:hAnsi="宋体" w:eastAsia="宋体" w:cs="宋体"/>
          <w:b/>
          <w:bCs w:val="0"/>
          <w:i w:val="0"/>
          <w:iCs w:val="0"/>
          <w:sz w:val="24"/>
          <w:szCs w:val="24"/>
          <w:highlight w:val="none"/>
          <w:lang w:val="en-US" w:eastAsia="zh-CN"/>
        </w:rPr>
        <w:t xml:space="preserve">                                                 </w:t>
      </w:r>
      <w:r>
        <w:rPr>
          <w:rFonts w:hint="eastAsia" w:ascii="宋体" w:hAnsi="宋体" w:eastAsia="宋体" w:cs="宋体"/>
          <w:b w:val="0"/>
          <w:bCs/>
          <w:i w:val="0"/>
          <w:iCs w:val="0"/>
          <w:sz w:val="24"/>
          <w:szCs w:val="24"/>
          <w:highlight w:val="none"/>
          <w:lang w:val="en-US" w:eastAsia="zh-CN"/>
        </w:rPr>
        <w:t>年   月   日</w:t>
      </w:r>
    </w:p>
    <w:p w14:paraId="545D8945">
      <w:pPr>
        <w:outlineLvl w:val="9"/>
        <w:rPr>
          <w:rFonts w:hint="eastAsia" w:ascii="宋体" w:hAnsi="宋体" w:eastAsia="宋体" w:cs="宋体"/>
          <w:b w:val="0"/>
          <w:bCs/>
          <w:i w:val="0"/>
          <w:iCs w:val="0"/>
          <w:sz w:val="24"/>
          <w:szCs w:val="24"/>
          <w:highlight w:val="none"/>
        </w:rPr>
      </w:pPr>
      <w:r>
        <w:rPr>
          <w:rFonts w:hint="eastAsia" w:ascii="宋体" w:hAnsi="宋体" w:eastAsia="宋体" w:cs="宋体"/>
          <w:color w:val="000000"/>
          <w:sz w:val="24"/>
          <w:highlight w:val="none"/>
        </w:rPr>
        <w:br w:type="page"/>
      </w:r>
      <w:bookmarkStart w:id="960" w:name="_Toc4732"/>
      <w:bookmarkStart w:id="961" w:name="_Toc2891"/>
      <w:bookmarkStart w:id="962" w:name="_Toc26288"/>
      <w:bookmarkStart w:id="963" w:name="_Toc8445"/>
      <w:r>
        <w:rPr>
          <w:rFonts w:hint="eastAsia" w:ascii="宋体" w:hAnsi="宋体" w:eastAsia="宋体" w:cs="宋体"/>
          <w:b w:val="0"/>
          <w:bCs/>
          <w:i w:val="0"/>
          <w:iCs w:val="0"/>
          <w:sz w:val="24"/>
          <w:szCs w:val="24"/>
          <w:highlight w:val="none"/>
        </w:rPr>
        <w:t>附件</w:t>
      </w:r>
      <w:r>
        <w:rPr>
          <w:rFonts w:hint="eastAsia" w:ascii="宋体" w:hAnsi="宋体" w:eastAsia="宋体" w:cs="宋体"/>
          <w:b w:val="0"/>
          <w:bCs/>
          <w:i w:val="0"/>
          <w:iCs w:val="0"/>
          <w:sz w:val="24"/>
          <w:szCs w:val="24"/>
          <w:highlight w:val="none"/>
          <w:lang w:val="en-US" w:eastAsia="zh-CN"/>
        </w:rPr>
        <w:t>3</w:t>
      </w:r>
      <w:r>
        <w:rPr>
          <w:rFonts w:hint="eastAsia" w:ascii="宋体" w:hAnsi="宋体" w:eastAsia="宋体" w:cs="宋体"/>
          <w:b w:val="0"/>
          <w:bCs/>
          <w:i w:val="0"/>
          <w:iCs w:val="0"/>
          <w:sz w:val="24"/>
          <w:szCs w:val="24"/>
          <w:highlight w:val="none"/>
        </w:rPr>
        <w:t>：</w:t>
      </w:r>
      <w:bookmarkEnd w:id="960"/>
      <w:bookmarkEnd w:id="961"/>
      <w:bookmarkEnd w:id="962"/>
      <w:bookmarkEnd w:id="963"/>
    </w:p>
    <w:p w14:paraId="74BEC349">
      <w:pPr>
        <w:jc w:val="center"/>
        <w:rPr>
          <w:rFonts w:hint="eastAsia" w:ascii="宋体" w:hAnsi="宋体" w:eastAsia="宋体" w:cs="宋体"/>
          <w:sz w:val="32"/>
          <w:szCs w:val="32"/>
          <w:highlight w:val="none"/>
          <w:lang w:val="en-US" w:eastAsia="zh-CN"/>
        </w:rPr>
      </w:pPr>
      <w:r>
        <w:rPr>
          <w:rFonts w:hint="eastAsia" w:ascii="宋体" w:hAnsi="宋体" w:eastAsia="宋体" w:cs="宋体"/>
          <w:b/>
          <w:bCs/>
          <w:i w:val="0"/>
          <w:iCs w:val="0"/>
          <w:sz w:val="32"/>
          <w:szCs w:val="32"/>
          <w:highlight w:val="none"/>
        </w:rPr>
        <w:t>廉政责任书</w:t>
      </w:r>
    </w:p>
    <w:p w14:paraId="128F1200">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根据有关工程建设、廉政建设的规定，为做好工程建设中的党风廉政建设，保证工程建设高效优质，保证建设资金的安全和有效使用以及投资效益，</w:t>
      </w:r>
      <w:r>
        <w:rPr>
          <w:rFonts w:hint="eastAsia" w:ascii="宋体" w:hAnsi="宋体" w:eastAsia="宋体" w:cs="宋体"/>
          <w:b/>
          <w:sz w:val="24"/>
          <w:szCs w:val="24"/>
          <w:highlight w:val="none"/>
          <w:u w:val="single"/>
        </w:rPr>
        <w:t xml:space="preserve"> </w:t>
      </w:r>
      <w:r>
        <w:rPr>
          <w:rFonts w:hint="eastAsia" w:ascii="宋体" w:hAnsi="宋体" w:eastAsia="宋体" w:cs="宋体"/>
          <w:b/>
          <w:bCs/>
          <w:i w:val="0"/>
          <w:iCs w:val="0"/>
          <w:sz w:val="24"/>
          <w:szCs w:val="24"/>
          <w:highlight w:val="none"/>
          <w:u w:val="single"/>
          <w:lang w:val="en-US" w:eastAsia="zh-CN"/>
        </w:rPr>
        <w:t>XX工程</w:t>
      </w:r>
      <w:r>
        <w:rPr>
          <w:rFonts w:hint="eastAsia" w:ascii="宋体" w:hAnsi="宋体" w:eastAsia="宋体" w:cs="宋体"/>
          <w:b/>
          <w:sz w:val="24"/>
          <w:szCs w:val="24"/>
          <w:highlight w:val="none"/>
          <w:u w:val="single"/>
        </w:rPr>
        <w:t xml:space="preserve"> </w:t>
      </w:r>
      <w:r>
        <w:rPr>
          <w:rFonts w:hint="eastAsia" w:ascii="宋体" w:hAnsi="宋体" w:eastAsia="宋体" w:cs="宋体"/>
          <w:sz w:val="24"/>
          <w:szCs w:val="24"/>
          <w:highlight w:val="none"/>
        </w:rPr>
        <w:t xml:space="preserve">项目法人 </w:t>
      </w:r>
      <w:r>
        <w:rPr>
          <w:rFonts w:hint="eastAsia" w:ascii="宋体" w:hAnsi="宋体" w:eastAsia="宋体" w:cs="宋体"/>
          <w:b/>
          <w:sz w:val="24"/>
          <w:szCs w:val="24"/>
          <w:highlight w:val="none"/>
          <w:u w:val="single"/>
          <w:lang w:val="en-US" w:eastAsia="zh-CN"/>
        </w:rPr>
        <w:t xml:space="preserve">XXX   </w:t>
      </w:r>
      <w:r>
        <w:rPr>
          <w:rFonts w:hint="eastAsia" w:ascii="宋体" w:hAnsi="宋体" w:eastAsia="宋体" w:cs="宋体"/>
          <w:b/>
          <w:sz w:val="24"/>
          <w:szCs w:val="24"/>
          <w:highlight w:val="none"/>
          <w:u w:val="single"/>
        </w:rPr>
        <w:t xml:space="preserve"> </w:t>
      </w:r>
      <w:r>
        <w:rPr>
          <w:rFonts w:hint="eastAsia" w:ascii="宋体" w:hAnsi="宋体" w:eastAsia="宋体" w:cs="宋体"/>
          <w:sz w:val="24"/>
          <w:szCs w:val="24"/>
          <w:highlight w:val="none"/>
        </w:rPr>
        <w:t>与该项目的施工单位</w:t>
      </w:r>
      <w:r>
        <w:rPr>
          <w:rFonts w:hint="eastAsia" w:ascii="宋体" w:hAnsi="宋体" w:eastAsia="宋体" w:cs="宋体"/>
          <w:b/>
          <w:sz w:val="24"/>
          <w:szCs w:val="24"/>
          <w:highlight w:val="none"/>
          <w:u w:val="single"/>
        </w:rPr>
        <w:t xml:space="preserve"> </w:t>
      </w:r>
      <w:r>
        <w:rPr>
          <w:rFonts w:hint="eastAsia" w:ascii="宋体" w:hAnsi="宋体" w:eastAsia="宋体" w:cs="宋体"/>
          <w:b/>
          <w:sz w:val="24"/>
          <w:szCs w:val="24"/>
          <w:highlight w:val="none"/>
          <w:u w:val="single"/>
          <w:lang w:val="en-US" w:eastAsia="zh-CN"/>
        </w:rPr>
        <w:t>XXX</w:t>
      </w:r>
      <w:r>
        <w:rPr>
          <w:rFonts w:hint="eastAsia" w:ascii="宋体" w:hAnsi="宋体" w:eastAsia="宋体" w:cs="宋体"/>
          <w:b/>
          <w:sz w:val="24"/>
          <w:szCs w:val="24"/>
          <w:highlight w:val="none"/>
          <w:u w:val="single"/>
          <w:lang w:eastAsia="zh-CN"/>
        </w:rPr>
        <w:t>公司</w:t>
      </w:r>
      <w:r>
        <w:rPr>
          <w:rFonts w:hint="eastAsia" w:ascii="宋体" w:hAnsi="宋体" w:eastAsia="宋体" w:cs="宋体"/>
          <w:b/>
          <w:sz w:val="24"/>
          <w:szCs w:val="24"/>
          <w:highlight w:val="none"/>
          <w:u w:val="single"/>
        </w:rPr>
        <w:t xml:space="preserve"> </w:t>
      </w:r>
      <w:r>
        <w:rPr>
          <w:rFonts w:hint="eastAsia" w:ascii="宋体" w:hAnsi="宋体" w:eastAsia="宋体" w:cs="宋体"/>
          <w:sz w:val="24"/>
          <w:szCs w:val="24"/>
          <w:highlight w:val="none"/>
        </w:rPr>
        <w:t>特订立如下合同。</w:t>
      </w:r>
    </w:p>
    <w:p w14:paraId="270EFE5E">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1．发包人和承包人双方的权利和义务</w:t>
      </w:r>
    </w:p>
    <w:p w14:paraId="5AEC22F0">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（1）严格遵守党的政策规定和国家有关法律法规及交通运输部的有关规定。</w:t>
      </w:r>
    </w:p>
    <w:p w14:paraId="4DF2A7BE">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（2）严格执行</w:t>
      </w:r>
      <w:r>
        <w:rPr>
          <w:rFonts w:hint="eastAsia" w:ascii="宋体" w:hAnsi="宋体" w:eastAsia="宋体" w:cs="宋体"/>
          <w:b/>
          <w:sz w:val="24"/>
          <w:szCs w:val="24"/>
          <w:highlight w:val="none"/>
          <w:u w:val="single"/>
        </w:rPr>
        <w:t xml:space="preserve"> </w:t>
      </w:r>
      <w:r>
        <w:rPr>
          <w:rFonts w:hint="eastAsia" w:ascii="宋体" w:hAnsi="宋体" w:eastAsia="宋体" w:cs="宋体"/>
          <w:b/>
          <w:bCs/>
          <w:i w:val="0"/>
          <w:iCs w:val="0"/>
          <w:sz w:val="24"/>
          <w:szCs w:val="24"/>
          <w:highlight w:val="none"/>
          <w:u w:val="single"/>
          <w:lang w:val="en-US" w:eastAsia="zh-CN"/>
        </w:rPr>
        <w:t>XX工程</w:t>
      </w:r>
      <w:r>
        <w:rPr>
          <w:rFonts w:hint="eastAsia" w:ascii="宋体" w:hAnsi="宋体" w:eastAsia="宋体" w:cs="宋体"/>
          <w:b/>
          <w:sz w:val="24"/>
          <w:szCs w:val="24"/>
          <w:highlight w:val="none"/>
          <w:u w:val="single"/>
        </w:rPr>
        <w:t xml:space="preserve"> </w:t>
      </w:r>
      <w:r>
        <w:rPr>
          <w:rFonts w:hint="eastAsia" w:ascii="宋体" w:hAnsi="宋体" w:eastAsia="宋体" w:cs="宋体"/>
          <w:sz w:val="24"/>
          <w:szCs w:val="24"/>
          <w:highlight w:val="none"/>
        </w:rPr>
        <w:t>施工合同文件，自觉按合同办事。</w:t>
      </w:r>
    </w:p>
    <w:p w14:paraId="5E1EB6E0">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（3）双方的业务活动坚持公开、公正、诚信、透明的原则（法律认定的商业秘密和合同文件另有规定除外），不得损害国家和集体利益，不得违反工程建设管理规章制度。</w:t>
      </w:r>
    </w:p>
    <w:p w14:paraId="78FC81B2">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（4）建立健全廉政制度，开展廉政教育，设立廉政告示牌，公布举报电话，监督并认真查处违法违纪行为。</w:t>
      </w:r>
    </w:p>
    <w:p w14:paraId="79B1708E">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（5）发现对方在业务活动中有违反廉政规定的行为，有及时提醒对方纠正的权利和义务。</w:t>
      </w:r>
    </w:p>
    <w:p w14:paraId="7B710DFE">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（6）发现对方严重违反本合同义务条款的行为，有向其上级有关部门举报、建议给予处理并要求告知处理结果的权利。</w:t>
      </w:r>
    </w:p>
    <w:p w14:paraId="58B9ECC0">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2．发包人的义务</w:t>
      </w:r>
    </w:p>
    <w:p w14:paraId="4410F6FA">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（1）发包人及其工作人员不得索要或接受承包人的礼金、有价证券和贵重物品，不得让承包人报销任何应由发包人或发包人工作人员个人支付的费用等。</w:t>
      </w:r>
    </w:p>
    <w:p w14:paraId="3057F2E6">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（2）发包人工作人员不得参加承包人安排的超标准宴请和娱乐活动；不得接受承包人提供的通讯工具、交通工具和高档办公用品等。</w:t>
      </w:r>
    </w:p>
    <w:p w14:paraId="391CDCDD">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（3）发包人及其工作人员不得要求或者接受承包人为其住房装修、婚丧嫁娶活动、配偶子女的工作安排以及出国出境、旅游等提供方便等。</w:t>
      </w:r>
    </w:p>
    <w:p w14:paraId="504D59C0">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（4）发包人工作人员及其配偶、子女不得从事与发包人工作有关的材料设备供应、工程分包、劳务等经济活动等。</w:t>
      </w:r>
    </w:p>
    <w:p w14:paraId="73453B0E">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（5）发包人及期工作人员不得以任何理由向承包人推荐分包单位或推销材料，不得要求承包人购买合同规定外的材料和设备。</w:t>
      </w:r>
    </w:p>
    <w:p w14:paraId="6903089D">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（6）发包人工作人员要秉公办事，不准营私舞弊，不准利用职权从事各种个人有偿中介活动和安排个人施工队伍。</w:t>
      </w:r>
    </w:p>
    <w:p w14:paraId="3D4EF251">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3．承包人的义务</w:t>
      </w:r>
    </w:p>
    <w:p w14:paraId="5ADD9996">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（1）承包人不得以任何理由向发包人及其工作人员行贿或馈赠礼金、有价证券、贵重礼品。</w:t>
      </w:r>
    </w:p>
    <w:p w14:paraId="0793B00C">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（2）承包人不得以任何名义为发包人及其工作人员报销应由发包人单位或个人支付的任何费用。</w:t>
      </w:r>
    </w:p>
    <w:p w14:paraId="5F5A5F7D">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（3）承包人不得以任何理由安排发包人工作人员参加超标准宴请及娱乐活动。</w:t>
      </w:r>
    </w:p>
    <w:p w14:paraId="4CAE0F4B">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（4）承包人不得为发包人单位和个人购置或提供通讯工具、交通工具和高档办公用品等。</w:t>
      </w:r>
    </w:p>
    <w:p w14:paraId="0644F928">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4．违约责任</w:t>
      </w:r>
    </w:p>
    <w:p w14:paraId="78B6E9DE">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（1）发包人及其工作人员违反本合同第1、2条，按管理权限，依据有关规定给予党纪、政纪或组织处理；涉嫌犯罪的，移交司法机关追究刑事责任；给承包人单位造成经济损失的，应予以赔偿。</w:t>
      </w:r>
    </w:p>
    <w:p w14:paraId="17EC2EF2">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（2）承包人及其工作人员违反本合同第1、3条，按管理权限，依据有关规定给予党纪、政纪或组织处理；给发包人单位造成经济损失的，应予以赔偿；情节严重的，发包人建议</w:t>
      </w:r>
      <w:r>
        <w:rPr>
          <w:rFonts w:hint="eastAsia" w:ascii="宋体" w:hAnsi="宋体" w:eastAsia="宋体" w:cs="宋体"/>
          <w:sz w:val="24"/>
          <w:szCs w:val="24"/>
          <w:highlight w:val="none"/>
          <w:lang w:val="en-US" w:eastAsia="zh-CN"/>
        </w:rPr>
        <w:t>建设</w:t>
      </w:r>
      <w:r>
        <w:rPr>
          <w:rFonts w:hint="eastAsia" w:ascii="宋体" w:hAnsi="宋体" w:eastAsia="宋体" w:cs="宋体"/>
          <w:sz w:val="24"/>
          <w:szCs w:val="24"/>
          <w:highlight w:val="none"/>
        </w:rPr>
        <w:t>主管部门给予承包人一至三年内不得进入其主管的</w:t>
      </w:r>
      <w:r>
        <w:rPr>
          <w:rFonts w:hint="eastAsia" w:ascii="宋体" w:hAnsi="宋体" w:eastAsia="宋体" w:cs="宋体"/>
          <w:sz w:val="24"/>
          <w:szCs w:val="24"/>
          <w:highlight w:val="none"/>
          <w:lang w:eastAsia="zh-CN"/>
        </w:rPr>
        <w:t>建设工程</w:t>
      </w:r>
      <w:r>
        <w:rPr>
          <w:rFonts w:hint="eastAsia" w:ascii="宋体" w:hAnsi="宋体" w:eastAsia="宋体" w:cs="宋体"/>
          <w:sz w:val="24"/>
          <w:szCs w:val="24"/>
          <w:highlight w:val="none"/>
        </w:rPr>
        <w:t>市场的处罚。</w:t>
      </w:r>
    </w:p>
    <w:p w14:paraId="0E568EFE">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双方约定：本合同由双方或双方上级单位的纪检监察部门负责监督执行。由发包人或发包人上级单位的纪检监察部门约请承包人或承包人上级单位纪检监察部门对本合同执行情况进行检查，提出在本合同规定范围内的裁定意见。</w:t>
      </w:r>
    </w:p>
    <w:p w14:paraId="26D60A18">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6.本合同有效期为发包人和承包人签署之日起至该工程项目竣工验收后止。</w:t>
      </w:r>
    </w:p>
    <w:p w14:paraId="1A4E5A54">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7．本合同作为</w:t>
      </w:r>
      <w:r>
        <w:rPr>
          <w:rFonts w:hint="eastAsia" w:ascii="宋体" w:hAnsi="宋体" w:eastAsia="宋体" w:cs="宋体"/>
          <w:b/>
          <w:sz w:val="24"/>
          <w:szCs w:val="24"/>
          <w:highlight w:val="none"/>
          <w:u w:val="single"/>
        </w:rPr>
        <w:t xml:space="preserve"> </w:t>
      </w:r>
      <w:r>
        <w:rPr>
          <w:rFonts w:hint="eastAsia" w:ascii="宋体" w:hAnsi="宋体" w:eastAsia="宋体" w:cs="宋体"/>
          <w:b/>
          <w:bCs/>
          <w:i w:val="0"/>
          <w:iCs w:val="0"/>
          <w:sz w:val="24"/>
          <w:szCs w:val="24"/>
          <w:highlight w:val="none"/>
          <w:u w:val="single"/>
          <w:lang w:val="en-US" w:eastAsia="zh-CN"/>
        </w:rPr>
        <w:t>XX工程</w:t>
      </w:r>
      <w:r>
        <w:rPr>
          <w:rFonts w:hint="eastAsia" w:ascii="宋体" w:hAnsi="宋体" w:eastAsia="宋体" w:cs="宋体"/>
          <w:b/>
          <w:sz w:val="24"/>
          <w:szCs w:val="24"/>
          <w:highlight w:val="none"/>
          <w:u w:val="single"/>
        </w:rPr>
        <w:t xml:space="preserve"> </w:t>
      </w:r>
      <w:r>
        <w:rPr>
          <w:rFonts w:hint="eastAsia" w:ascii="宋体" w:hAnsi="宋体" w:eastAsia="宋体" w:cs="宋体"/>
          <w:sz w:val="24"/>
          <w:szCs w:val="24"/>
          <w:highlight w:val="none"/>
        </w:rPr>
        <w:t>施工合同的附件，与工程施工合同具有同等的法律效力，经合同双方签署后立即生效。</w:t>
      </w:r>
    </w:p>
    <w:p w14:paraId="4AC5406D">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8．本合同一式</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陆</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份，发包人和承包人各执</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叁</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份。</w:t>
      </w:r>
    </w:p>
    <w:p w14:paraId="4D7BC52A">
      <w:pPr>
        <w:spacing w:line="500" w:lineRule="exact"/>
        <w:rPr>
          <w:rFonts w:hint="eastAsia" w:ascii="宋体" w:hAnsi="宋体" w:eastAsia="宋体" w:cs="宋体"/>
          <w:sz w:val="24"/>
          <w:szCs w:val="24"/>
          <w:highlight w:val="none"/>
        </w:rPr>
      </w:pPr>
    </w:p>
    <w:p w14:paraId="5ABF7A4F">
      <w:pPr>
        <w:spacing w:line="500" w:lineRule="exact"/>
        <w:ind w:left="1920" w:hanging="1920" w:hangingChars="800"/>
        <w:rPr>
          <w:rFonts w:hint="default"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发包人：</w:t>
      </w:r>
      <w:r>
        <w:rPr>
          <w:rFonts w:hint="eastAsia" w:ascii="宋体" w:hAnsi="宋体" w:eastAsia="宋体" w:cs="宋体"/>
          <w:sz w:val="24"/>
          <w:szCs w:val="24"/>
          <w:highlight w:val="none"/>
          <w:u w:val="single"/>
        </w:rPr>
        <w:t xml:space="preserve">防城港市防城区发展和改革局 </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承包人：</w:t>
      </w:r>
      <w:r>
        <w:rPr>
          <w:rFonts w:hint="eastAsia" w:ascii="宋体" w:hAnsi="宋体" w:eastAsia="宋体" w:cs="宋体"/>
          <w:sz w:val="24"/>
          <w:szCs w:val="24"/>
          <w:highlight w:val="none"/>
          <w:u w:val="single"/>
          <w:lang w:val="en-US" w:eastAsia="zh-CN"/>
        </w:rPr>
        <w:t xml:space="preserve">              </w:t>
      </w:r>
    </w:p>
    <w:p w14:paraId="2867C18C">
      <w:pPr>
        <w:spacing w:line="500" w:lineRule="exact"/>
        <w:ind w:left="1916" w:leftChars="684" w:hanging="480" w:hanging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（盖单位章）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（盖单位章） </w:t>
      </w:r>
    </w:p>
    <w:p w14:paraId="7B748027">
      <w:pPr>
        <w:spacing w:line="500" w:lineRule="exact"/>
        <w:rPr>
          <w:rFonts w:hint="eastAsia" w:ascii="宋体" w:hAnsi="宋体" w:eastAsia="宋体" w:cs="宋体"/>
          <w:sz w:val="24"/>
          <w:szCs w:val="24"/>
          <w:highlight w:val="none"/>
        </w:rPr>
      </w:pPr>
    </w:p>
    <w:p w14:paraId="4B141042">
      <w:pPr>
        <w:spacing w:line="500" w:lineRule="exac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u w:val="single"/>
        </w:rPr>
        <w:t xml:space="preserve">               </w:t>
      </w:r>
    </w:p>
    <w:p w14:paraId="793199F1">
      <w:pPr>
        <w:spacing w:line="5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（签字或盖章）                            （签字或盖章）</w:t>
      </w:r>
    </w:p>
    <w:p w14:paraId="4B8719A1">
      <w:pPr>
        <w:spacing w:line="500" w:lineRule="exact"/>
        <w:rPr>
          <w:rFonts w:hint="eastAsia" w:ascii="宋体" w:hAnsi="宋体" w:eastAsia="宋体" w:cs="宋体"/>
          <w:sz w:val="24"/>
          <w:szCs w:val="24"/>
          <w:highlight w:val="none"/>
        </w:rPr>
      </w:pPr>
    </w:p>
    <w:p w14:paraId="5CD9B4EE">
      <w:pPr>
        <w:keepNext w:val="0"/>
        <w:keepLines w:val="0"/>
        <w:pageBreakBefore w:val="0"/>
        <w:widowControl w:val="0"/>
        <w:kinsoku/>
        <w:wordWrap/>
        <w:overflowPunct/>
        <w:topLinePunct w:val="0"/>
        <w:autoSpaceDE/>
        <w:autoSpaceDN/>
        <w:bidi w:val="0"/>
        <w:adjustRightInd/>
        <w:snapToGrid/>
        <w:spacing w:line="400" w:lineRule="exact"/>
        <w:ind w:firstLine="240" w:firstLineChars="100"/>
        <w:jc w:val="center"/>
        <w:textAlignment w:val="auto"/>
        <w:rPr>
          <w:rFonts w:hint="eastAsia" w:ascii="宋体" w:hAnsi="宋体" w:eastAsia="宋体" w:cs="宋体"/>
          <w:sz w:val="24"/>
          <w:szCs w:val="24"/>
          <w:highlight w:val="none"/>
        </w:rPr>
      </w:pPr>
    </w:p>
    <w:p w14:paraId="0E3478A7">
      <w:pPr>
        <w:keepNext w:val="0"/>
        <w:keepLines w:val="0"/>
        <w:pageBreakBefore w:val="0"/>
        <w:widowControl w:val="0"/>
        <w:kinsoku/>
        <w:wordWrap/>
        <w:overflowPunct/>
        <w:topLinePunct w:val="0"/>
        <w:autoSpaceDE/>
        <w:autoSpaceDN/>
        <w:bidi w:val="0"/>
        <w:adjustRightInd/>
        <w:snapToGrid/>
        <w:spacing w:line="400" w:lineRule="exact"/>
        <w:ind w:firstLine="240" w:firstLineChars="100"/>
        <w:jc w:val="center"/>
        <w:textAlignment w:val="auto"/>
        <w:rPr>
          <w:rFonts w:hint="eastAsia" w:ascii="宋体" w:hAnsi="宋体" w:eastAsia="宋体" w:cs="宋体"/>
          <w:i w:val="0"/>
          <w:iCs w:val="0"/>
          <w:sz w:val="24"/>
          <w:szCs w:val="24"/>
          <w:highlight w:val="none"/>
        </w:rPr>
      </w:pP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 xml:space="preserve">签订日期： </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14:paraId="6746EA4F">
      <w:pPr>
        <w:spacing w:line="440" w:lineRule="exact"/>
        <w:rPr>
          <w:rFonts w:hint="eastAsia" w:ascii="宋体" w:hAnsi="宋体" w:eastAsia="宋体" w:cs="宋体"/>
          <w:i w:val="0"/>
          <w:iCs w:val="0"/>
          <w:sz w:val="24"/>
          <w:szCs w:val="24"/>
          <w:highlight w:val="none"/>
        </w:rPr>
      </w:pPr>
    </w:p>
    <w:p w14:paraId="4132D87A">
      <w:pPr>
        <w:rPr>
          <w:rFonts w:hint="eastAsia" w:ascii="宋体" w:hAnsi="宋体" w:eastAsia="宋体" w:cs="宋体"/>
          <w:i w:val="0"/>
          <w:iCs w:val="0"/>
          <w:sz w:val="24"/>
          <w:szCs w:val="24"/>
          <w:highlight w:val="none"/>
        </w:rPr>
      </w:pPr>
    </w:p>
    <w:p w14:paraId="66DEFE2C">
      <w:pPr>
        <w:rPr>
          <w:rFonts w:hint="eastAsia" w:ascii="宋体" w:hAnsi="宋体" w:eastAsia="宋体" w:cs="宋体"/>
          <w:i w:val="0"/>
          <w:iCs w:val="0"/>
          <w:sz w:val="24"/>
          <w:szCs w:val="24"/>
          <w:highlight w:val="none"/>
        </w:rPr>
      </w:pPr>
      <w:r>
        <w:rPr>
          <w:rFonts w:hint="eastAsia" w:ascii="宋体" w:hAnsi="宋体" w:eastAsia="宋体" w:cs="宋体"/>
          <w:i w:val="0"/>
          <w:iCs w:val="0"/>
          <w:sz w:val="24"/>
          <w:szCs w:val="24"/>
          <w:highlight w:val="none"/>
        </w:rPr>
        <w:br w:type="page"/>
      </w:r>
      <w:r>
        <w:rPr>
          <w:rFonts w:hint="eastAsia" w:ascii="宋体" w:hAnsi="宋体" w:eastAsia="宋体" w:cs="宋体"/>
          <w:i w:val="0"/>
          <w:iCs w:val="0"/>
          <w:sz w:val="24"/>
          <w:szCs w:val="24"/>
          <w:highlight w:val="none"/>
        </w:rPr>
        <w:t>附件</w:t>
      </w:r>
      <w:r>
        <w:rPr>
          <w:rFonts w:hint="eastAsia" w:ascii="宋体" w:hAnsi="宋体" w:eastAsia="宋体" w:cs="宋体"/>
          <w:i w:val="0"/>
          <w:iCs w:val="0"/>
          <w:sz w:val="24"/>
          <w:szCs w:val="24"/>
          <w:highlight w:val="none"/>
          <w:lang w:val="en-US" w:eastAsia="zh-CN"/>
        </w:rPr>
        <w:t>4</w:t>
      </w:r>
      <w:r>
        <w:rPr>
          <w:rFonts w:hint="eastAsia" w:ascii="宋体" w:hAnsi="宋体" w:eastAsia="宋体" w:cs="宋体"/>
          <w:i w:val="0"/>
          <w:iCs w:val="0"/>
          <w:sz w:val="24"/>
          <w:szCs w:val="24"/>
          <w:highlight w:val="none"/>
        </w:rPr>
        <w:t>：</w:t>
      </w:r>
    </w:p>
    <w:p w14:paraId="638C2EEB">
      <w:pPr>
        <w:jc w:val="center"/>
        <w:rPr>
          <w:rFonts w:hint="eastAsia" w:ascii="宋体" w:hAnsi="宋体" w:eastAsia="宋体" w:cs="宋体"/>
          <w:b/>
          <w:bCs/>
          <w:i w:val="0"/>
          <w:iCs w:val="0"/>
          <w:sz w:val="32"/>
          <w:szCs w:val="32"/>
          <w:highlight w:val="none"/>
        </w:rPr>
      </w:pPr>
      <w:r>
        <w:rPr>
          <w:rFonts w:hint="eastAsia" w:ascii="宋体" w:hAnsi="宋体" w:eastAsia="宋体" w:cs="宋体"/>
          <w:b/>
          <w:bCs/>
          <w:i w:val="0"/>
          <w:iCs w:val="0"/>
          <w:sz w:val="32"/>
          <w:szCs w:val="32"/>
          <w:highlight w:val="none"/>
        </w:rPr>
        <w:t>安全生产合同</w:t>
      </w:r>
    </w:p>
    <w:p w14:paraId="3D604AC7">
      <w:pPr>
        <w:rPr>
          <w:rFonts w:hint="eastAsia" w:ascii="宋体" w:hAnsi="宋体" w:eastAsia="宋体" w:cs="宋体"/>
          <w:i w:val="0"/>
          <w:iCs w:val="0"/>
          <w:sz w:val="24"/>
          <w:szCs w:val="24"/>
          <w:highlight w:val="none"/>
        </w:rPr>
      </w:pPr>
    </w:p>
    <w:p w14:paraId="24B3ABE8">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为在</w:t>
      </w:r>
      <w:r>
        <w:rPr>
          <w:rFonts w:hint="eastAsia" w:ascii="宋体" w:hAnsi="宋体" w:eastAsia="宋体" w:cs="宋体"/>
          <w:b/>
          <w:sz w:val="24"/>
          <w:szCs w:val="24"/>
          <w:highlight w:val="none"/>
          <w:u w:val="single"/>
        </w:rPr>
        <w:t xml:space="preserve"> </w:t>
      </w:r>
      <w:r>
        <w:rPr>
          <w:rFonts w:hint="eastAsia" w:ascii="宋体" w:hAnsi="宋体" w:eastAsia="宋体" w:cs="宋体"/>
          <w:b/>
          <w:bCs/>
          <w:i w:val="0"/>
          <w:iCs w:val="0"/>
          <w:sz w:val="24"/>
          <w:szCs w:val="24"/>
          <w:highlight w:val="none"/>
          <w:u w:val="single"/>
          <w:lang w:val="en-US" w:eastAsia="zh-CN"/>
        </w:rPr>
        <w:t>XX工程</w:t>
      </w:r>
      <w:r>
        <w:rPr>
          <w:rFonts w:hint="eastAsia" w:ascii="宋体" w:hAnsi="宋体" w:eastAsia="宋体" w:cs="宋体"/>
          <w:b/>
          <w:sz w:val="24"/>
          <w:szCs w:val="24"/>
          <w:highlight w:val="none"/>
          <w:u w:val="single"/>
        </w:rPr>
        <w:t xml:space="preserve"> </w:t>
      </w:r>
      <w:r>
        <w:rPr>
          <w:rFonts w:hint="eastAsia" w:ascii="宋体" w:hAnsi="宋体" w:eastAsia="宋体" w:cs="宋体"/>
          <w:sz w:val="24"/>
          <w:szCs w:val="24"/>
          <w:highlight w:val="none"/>
        </w:rPr>
        <w:t>施工合同的实施过程中创造安全、高效的施工环境，切实搞好本项目的安全管理工作，本项目发包人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sz w:val="24"/>
          <w:szCs w:val="24"/>
          <w:highlight w:val="none"/>
        </w:rPr>
        <w:t>与承包人</w:t>
      </w:r>
      <w:r>
        <w:rPr>
          <w:rFonts w:hint="eastAsia" w:ascii="宋体" w:hAnsi="宋体" w:eastAsia="宋体" w:cs="宋体"/>
          <w:b/>
          <w:sz w:val="24"/>
          <w:szCs w:val="24"/>
          <w:highlight w:val="none"/>
          <w:u w:val="single"/>
        </w:rPr>
        <w:t xml:space="preserve"> </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sz w:val="24"/>
          <w:szCs w:val="24"/>
          <w:highlight w:val="none"/>
          <w:u w:val="single"/>
        </w:rPr>
        <w:t xml:space="preserve"> </w:t>
      </w:r>
      <w:r>
        <w:rPr>
          <w:rFonts w:hint="eastAsia" w:ascii="宋体" w:hAnsi="宋体" w:eastAsia="宋体" w:cs="宋体"/>
          <w:sz w:val="24"/>
          <w:szCs w:val="24"/>
          <w:highlight w:val="none"/>
        </w:rPr>
        <w:t>特此签订安全生产合同：</w:t>
      </w:r>
    </w:p>
    <w:p w14:paraId="2EF008E7">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1.发包人职责</w:t>
      </w:r>
    </w:p>
    <w:p w14:paraId="1DB667C7">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（1）严格遵守国家有关安全生产的法律法规，认真执行工程承包合同中的有关安全要求。</w:t>
      </w:r>
    </w:p>
    <w:p w14:paraId="0A0112AE">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（2）按照“安全第一、预防为主”和坚持“管生产必须管安全”的原则进行安全生产管理，做到生产与安全工作同时计划、布置、检查、总结和评比。</w:t>
      </w:r>
    </w:p>
    <w:p w14:paraId="3C66ED46">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（3）重要的安全设施必须坚持与主体工程“三同时”的原则，即：同时设计、审批，同时施工，同时验收，投入使用。</w:t>
      </w:r>
    </w:p>
    <w:p w14:paraId="6ED69C86">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（4）定期召开安全生产调度会，及时传达中央及地方有关安全生产的精神。</w:t>
      </w:r>
    </w:p>
    <w:p w14:paraId="56F992AA">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（5）组织对承包人施工现场安全生产检查，监督承包人及时处理发现的各种安全隐患。</w:t>
      </w:r>
    </w:p>
    <w:p w14:paraId="52805716">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2.承包人职责</w:t>
      </w:r>
    </w:p>
    <w:p w14:paraId="1199E96B">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（1）严格遵守《中华人民共和国安全生产法》、《建设工程安全生产管理条例》等国家有关安全生产的法律法规及自治区安全生产法规和</w:t>
      </w:r>
      <w:r>
        <w:rPr>
          <w:rFonts w:hint="eastAsia" w:ascii="宋体" w:hAnsi="宋体" w:eastAsia="宋体" w:cs="宋体"/>
          <w:sz w:val="24"/>
          <w:szCs w:val="24"/>
          <w:highlight w:val="none"/>
          <w:lang w:val="en-US" w:eastAsia="zh-CN"/>
        </w:rPr>
        <w:t>房屋建筑</w:t>
      </w:r>
      <w:r>
        <w:rPr>
          <w:rFonts w:hint="eastAsia" w:ascii="宋体" w:hAnsi="宋体" w:eastAsia="宋体" w:cs="宋体"/>
          <w:sz w:val="24"/>
          <w:szCs w:val="24"/>
          <w:highlight w:val="none"/>
          <w:lang w:eastAsia="zh-CN"/>
        </w:rPr>
        <w:t>工程</w:t>
      </w:r>
      <w:r>
        <w:rPr>
          <w:rFonts w:hint="eastAsia" w:ascii="宋体" w:hAnsi="宋体" w:eastAsia="宋体" w:cs="宋体"/>
          <w:sz w:val="24"/>
          <w:szCs w:val="24"/>
          <w:highlight w:val="none"/>
        </w:rPr>
        <w:t>施工安全操作规范等规定。认真执行工程承包合同中的有关安全要求。</w:t>
      </w:r>
    </w:p>
    <w:p w14:paraId="1412DA38">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441F63E6">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建立健全安全生产责任制。从派往项目实施的项目经理到生产工人（包括临时雇请的民工）的安全生产管理系统必须做到纵向到底，—环不漏；各职能部门、人员的安全生产责任制做到横向到边，人人有责。项目经理是安全生产的第一责任人。现场设置的安全机构，应按《</w:t>
      </w:r>
      <w:r>
        <w:rPr>
          <w:rFonts w:hint="eastAsia" w:ascii="宋体" w:hAnsi="宋体" w:eastAsia="宋体" w:cs="宋体"/>
          <w:sz w:val="24"/>
          <w:szCs w:val="24"/>
          <w:highlight w:val="none"/>
          <w:lang w:val="en-US" w:eastAsia="zh-CN"/>
        </w:rPr>
        <w:t>建设工程安全生产管理条例</w:t>
      </w:r>
      <w:r>
        <w:rPr>
          <w:rFonts w:hint="eastAsia" w:ascii="宋体" w:hAnsi="宋体" w:eastAsia="宋体" w:cs="宋体"/>
          <w:sz w:val="24"/>
          <w:szCs w:val="24"/>
          <w:highlight w:val="none"/>
        </w:rPr>
        <w:t>》规定的最低数量和资质条件配备专职安全生产管理人员，专职负责所有员工的安全和治安保卫工作及预防事故的发生。安全机构人员有权按有关规定发布指令，并采取保护性措施防止事故发生。</w:t>
      </w:r>
    </w:p>
    <w:p w14:paraId="6FA27D39">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（4）承包人在任何时候都应采取各种合理的预防措施，防止其员工发生任何违法、违禁、暴力或妨碍治安的行为。</w:t>
      </w:r>
    </w:p>
    <w:p w14:paraId="4116234B">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18D4F23F">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70867142">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（7）操作人员上岗，必须按规定穿戴防护用品。施工负责人和安全检查员应随时检查劳动防护用品的穿戴情况，不按规定穿戴防护用品的人员不得上岗。</w:t>
      </w:r>
    </w:p>
    <w:p w14:paraId="2136BCF0">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（8）所有施工机具设备和高空作业的设备均应定期检查，并有安全员的签字记录，保证其经常处于完好状态；不合格的机具、设备和劳动保护用品严禁使用：</w:t>
      </w:r>
    </w:p>
    <w:p w14:paraId="3BC9A6B7">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（9）施工中采用新技术、新工艺、新设备、新材料时，必须制定相应的安全技术措施，施工现场必须具有相关的安全标志牌。</w:t>
      </w:r>
    </w:p>
    <w:p w14:paraId="5D794CAF">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10）承包人必须按照本工程项目特点，组织制定本工程实施中的生产安全事故应急救援预案；如果发生安全事故，应按照《国务院关于特大安全事故行政责任追究的规定》以及其他有关规定，及时上报有关部门，并坚持“四不放过”的原则．严肃处理相关责任人。</w:t>
      </w:r>
    </w:p>
    <w:p w14:paraId="4FA743D3">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（11）安全生产费用按照《</w:t>
      </w:r>
      <w:r>
        <w:rPr>
          <w:rFonts w:hint="eastAsia" w:ascii="宋体" w:hAnsi="宋体" w:eastAsia="宋体" w:cs="宋体"/>
          <w:sz w:val="24"/>
          <w:szCs w:val="24"/>
          <w:highlight w:val="none"/>
          <w:lang w:eastAsia="zh-CN"/>
        </w:rPr>
        <w:t>建设工程安全生产管理条例</w:t>
      </w:r>
      <w:r>
        <w:rPr>
          <w:rFonts w:hint="eastAsia" w:ascii="宋体" w:hAnsi="宋体" w:eastAsia="宋体" w:cs="宋体"/>
          <w:sz w:val="24"/>
          <w:szCs w:val="24"/>
          <w:highlight w:val="none"/>
        </w:rPr>
        <w:t>》的相关规定使用和管理。</w:t>
      </w:r>
    </w:p>
    <w:p w14:paraId="152168C6">
      <w:pPr>
        <w:spacing w:line="500" w:lineRule="exact"/>
        <w:ind w:firstLine="600" w:firstLineChars="250"/>
        <w:rPr>
          <w:rFonts w:hint="eastAsia" w:ascii="宋体" w:hAnsi="宋体" w:eastAsia="宋体" w:cs="宋体"/>
          <w:sz w:val="24"/>
          <w:szCs w:val="24"/>
          <w:highlight w:val="none"/>
        </w:rPr>
      </w:pPr>
      <w:r>
        <w:rPr>
          <w:rFonts w:hint="eastAsia" w:ascii="宋体" w:hAnsi="宋体" w:eastAsia="宋体" w:cs="宋体"/>
          <w:sz w:val="24"/>
          <w:szCs w:val="24"/>
          <w:highlight w:val="none"/>
        </w:rPr>
        <w:t>(12) 安全生产严格按照《</w:t>
      </w:r>
      <w:r>
        <w:rPr>
          <w:rFonts w:hint="eastAsia" w:ascii="宋体" w:hAnsi="宋体" w:eastAsia="宋体" w:cs="宋体"/>
          <w:sz w:val="24"/>
          <w:szCs w:val="24"/>
          <w:highlight w:val="none"/>
          <w:lang w:eastAsia="zh-CN"/>
        </w:rPr>
        <w:t>建设工程安全生产管理条例</w:t>
      </w:r>
      <w:r>
        <w:rPr>
          <w:rFonts w:hint="eastAsia" w:ascii="宋体" w:hAnsi="宋体" w:eastAsia="宋体" w:cs="宋体"/>
          <w:sz w:val="24"/>
          <w:szCs w:val="24"/>
          <w:highlight w:val="none"/>
        </w:rPr>
        <w:t>》的规定和管理。</w:t>
      </w:r>
    </w:p>
    <w:p w14:paraId="79B180D2">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3.违约责任</w:t>
      </w:r>
    </w:p>
    <w:p w14:paraId="671F0060">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如因发包人或承包人违约造成安全事故，将依法追究责任。</w:t>
      </w:r>
    </w:p>
    <w:p w14:paraId="0D7D4A92">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4.本合同由双方法定代表人或其授权的代理人签署并加盖单位章后生效，全部工程竣工验收后失效。</w:t>
      </w:r>
    </w:p>
    <w:p w14:paraId="70564CC5">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5.本合同一式</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陆</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份，发包人和承包人各执</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叁</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份。</w:t>
      </w:r>
    </w:p>
    <w:p w14:paraId="5F1B60E9">
      <w:pPr>
        <w:spacing w:line="500" w:lineRule="exact"/>
        <w:ind w:left="1920" w:hanging="1920" w:hangingChars="800"/>
        <w:rPr>
          <w:rFonts w:hint="eastAsia" w:ascii="宋体" w:hAnsi="宋体" w:eastAsia="宋体" w:cs="宋体"/>
          <w:sz w:val="24"/>
          <w:szCs w:val="24"/>
          <w:highlight w:val="none"/>
        </w:rPr>
      </w:pPr>
    </w:p>
    <w:p w14:paraId="1227AE79">
      <w:pPr>
        <w:spacing w:line="500" w:lineRule="exact"/>
        <w:ind w:left="1920" w:hanging="1920" w:hangingChars="800"/>
        <w:rPr>
          <w:rFonts w:hint="eastAsia" w:ascii="宋体" w:hAnsi="宋体" w:eastAsia="宋体" w:cs="宋体"/>
          <w:sz w:val="24"/>
          <w:szCs w:val="24"/>
          <w:highlight w:val="none"/>
        </w:rPr>
      </w:pPr>
    </w:p>
    <w:p w14:paraId="0CAEF086">
      <w:pPr>
        <w:spacing w:line="500" w:lineRule="exact"/>
        <w:ind w:left="1920" w:hanging="1920" w:hangingChars="800"/>
        <w:rPr>
          <w:rFonts w:hint="eastAsia" w:ascii="宋体" w:hAnsi="宋体" w:eastAsia="宋体" w:cs="宋体"/>
          <w:sz w:val="24"/>
          <w:szCs w:val="24"/>
          <w:highlight w:val="none"/>
        </w:rPr>
      </w:pPr>
    </w:p>
    <w:p w14:paraId="49818DBD">
      <w:pPr>
        <w:spacing w:line="500" w:lineRule="exact"/>
        <w:ind w:left="1920" w:hanging="1920" w:hangingChars="800"/>
        <w:rPr>
          <w:rFonts w:hint="eastAsia" w:ascii="宋体" w:hAnsi="宋体" w:eastAsia="宋体" w:cs="宋体"/>
          <w:sz w:val="24"/>
          <w:szCs w:val="24"/>
          <w:highlight w:val="none"/>
        </w:rPr>
      </w:pPr>
    </w:p>
    <w:p w14:paraId="175805B1">
      <w:pPr>
        <w:spacing w:line="500" w:lineRule="exact"/>
        <w:ind w:left="1920" w:hanging="1920" w:hangingChars="800"/>
        <w:rPr>
          <w:rFonts w:hint="default"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发包人：</w:t>
      </w:r>
      <w:r>
        <w:rPr>
          <w:rFonts w:hint="eastAsia" w:ascii="宋体" w:hAnsi="宋体" w:eastAsia="宋体" w:cs="宋体"/>
          <w:sz w:val="24"/>
          <w:szCs w:val="24"/>
          <w:highlight w:val="none"/>
          <w:u w:val="single"/>
        </w:rPr>
        <w:t>防城港市防城区发展和改革局</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 xml:space="preserve">   </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承包人：</w:t>
      </w:r>
      <w:r>
        <w:rPr>
          <w:rFonts w:hint="eastAsia" w:ascii="宋体" w:hAnsi="宋体" w:eastAsia="宋体" w:cs="宋体"/>
          <w:sz w:val="24"/>
          <w:szCs w:val="24"/>
          <w:highlight w:val="none"/>
          <w:u w:val="single"/>
          <w:lang w:val="en-US" w:eastAsia="zh-CN"/>
        </w:rPr>
        <w:t xml:space="preserve">                 </w:t>
      </w:r>
    </w:p>
    <w:p w14:paraId="31A1B310">
      <w:pPr>
        <w:spacing w:line="500" w:lineRule="exact"/>
        <w:ind w:left="1916" w:leftChars="684" w:hanging="480" w:hanging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（盖单位章）                    </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（盖单位章） </w:t>
      </w:r>
    </w:p>
    <w:p w14:paraId="2D49BDB5">
      <w:pPr>
        <w:spacing w:line="500" w:lineRule="exact"/>
        <w:rPr>
          <w:rFonts w:hint="eastAsia" w:ascii="宋体" w:hAnsi="宋体" w:eastAsia="宋体" w:cs="宋体"/>
          <w:sz w:val="24"/>
          <w:szCs w:val="24"/>
          <w:highlight w:val="none"/>
        </w:rPr>
      </w:pPr>
    </w:p>
    <w:p w14:paraId="6A35260C">
      <w:pPr>
        <w:spacing w:line="500" w:lineRule="exac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u w:val="single"/>
        </w:rPr>
        <w:t xml:space="preserve">               </w:t>
      </w:r>
    </w:p>
    <w:p w14:paraId="5F3F6B66">
      <w:pPr>
        <w:spacing w:line="5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（签字或盖章）                           </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 xml:space="preserve"> （签字或盖章）</w:t>
      </w:r>
    </w:p>
    <w:p w14:paraId="586C993C">
      <w:pPr>
        <w:spacing w:line="500" w:lineRule="exact"/>
        <w:rPr>
          <w:rFonts w:hint="eastAsia" w:ascii="宋体" w:hAnsi="宋体" w:eastAsia="宋体" w:cs="宋体"/>
          <w:sz w:val="24"/>
          <w:szCs w:val="24"/>
          <w:highlight w:val="none"/>
        </w:rPr>
      </w:pPr>
    </w:p>
    <w:p w14:paraId="39E582A7">
      <w:pPr>
        <w:jc w:val="center"/>
        <w:rPr>
          <w:rFonts w:hint="eastAsia" w:ascii="宋体" w:hAnsi="宋体" w:eastAsia="宋体" w:cs="宋体"/>
          <w:sz w:val="24"/>
          <w:szCs w:val="24"/>
          <w:highlight w:val="none"/>
        </w:rPr>
      </w:pPr>
    </w:p>
    <w:p w14:paraId="70FE9E87">
      <w:pPr>
        <w:jc w:val="center"/>
        <w:rPr>
          <w:rFonts w:hint="eastAsia" w:ascii="宋体" w:hAnsi="宋体" w:eastAsia="宋体" w:cs="宋体"/>
          <w:highlight w:val="none"/>
        </w:rPr>
      </w:pP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 xml:space="preserve">签订日期： </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14:paraId="4574A9B2">
      <w:pPr>
        <w:pStyle w:val="20"/>
        <w:rPr>
          <w:rFonts w:hint="eastAsia" w:ascii="宋体" w:hAnsi="宋体" w:eastAsia="宋体" w:cs="宋体"/>
          <w:i w:val="0"/>
          <w:iCs w:val="0"/>
          <w:szCs w:val="24"/>
          <w:highlight w:val="none"/>
        </w:rPr>
      </w:pPr>
    </w:p>
    <w:p w14:paraId="60A52432">
      <w:pPr>
        <w:rPr>
          <w:rFonts w:hint="eastAsia"/>
          <w:color w:val="auto"/>
          <w:szCs w:val="21"/>
          <w:u w:val="single"/>
        </w:rPr>
      </w:pPr>
    </w:p>
    <w:p w14:paraId="7CDADACB">
      <w:pPr>
        <w:pageBreakBefore w:val="0"/>
        <w:kinsoku/>
        <w:overflowPunct/>
        <w:topLinePunct w:val="0"/>
        <w:bidi w:val="0"/>
        <w:spacing w:line="360" w:lineRule="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br w:type="page"/>
      </w:r>
      <w:r>
        <w:rPr>
          <w:rFonts w:hint="eastAsia" w:ascii="宋体" w:hAnsi="宋体" w:eastAsia="宋体" w:cs="宋体"/>
          <w:color w:val="000000"/>
          <w:sz w:val="24"/>
          <w:highlight w:val="none"/>
        </w:rPr>
        <w:t>附件</w:t>
      </w:r>
      <w:r>
        <w:rPr>
          <w:rFonts w:hint="eastAsia" w:ascii="宋体" w:hAnsi="宋体" w:eastAsia="宋体" w:cs="宋体"/>
          <w:color w:val="000000"/>
          <w:sz w:val="24"/>
          <w:highlight w:val="none"/>
          <w:lang w:val="en-US" w:eastAsia="zh-CN"/>
        </w:rPr>
        <w:t>5</w:t>
      </w:r>
      <w:r>
        <w:rPr>
          <w:rFonts w:hint="eastAsia" w:ascii="宋体" w:hAnsi="宋体" w:eastAsia="宋体" w:cs="宋体"/>
          <w:color w:val="000000"/>
          <w:sz w:val="24"/>
          <w:highlight w:val="none"/>
        </w:rPr>
        <w:t>：</w:t>
      </w:r>
    </w:p>
    <w:p w14:paraId="6A30B9B2">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主要建设工程文件目录</w:t>
      </w:r>
    </w:p>
    <w:tbl>
      <w:tblPr>
        <w:tblStyle w:val="15"/>
        <w:tblW w:w="0" w:type="auto"/>
        <w:jc w:val="center"/>
        <w:tblLayout w:type="fixed"/>
        <w:tblCellMar>
          <w:top w:w="0" w:type="dxa"/>
          <w:left w:w="0" w:type="dxa"/>
          <w:bottom w:w="0" w:type="dxa"/>
          <w:right w:w="0" w:type="dxa"/>
        </w:tblCellMar>
      </w:tblPr>
      <w:tblGrid>
        <w:gridCol w:w="1953"/>
        <w:gridCol w:w="1276"/>
        <w:gridCol w:w="1450"/>
        <w:gridCol w:w="1243"/>
        <w:gridCol w:w="1450"/>
        <w:gridCol w:w="1667"/>
      </w:tblGrid>
      <w:tr w14:paraId="0974D23D">
        <w:tblPrEx>
          <w:tblCellMar>
            <w:top w:w="0" w:type="dxa"/>
            <w:left w:w="0" w:type="dxa"/>
            <w:bottom w:w="0" w:type="dxa"/>
            <w:right w:w="0" w:type="dxa"/>
          </w:tblCellMar>
        </w:tblPrEx>
        <w:trPr>
          <w:jc w:val="center"/>
        </w:trPr>
        <w:tc>
          <w:tcPr>
            <w:tcW w:w="1953" w:type="dxa"/>
            <w:tcBorders>
              <w:top w:val="single" w:color="000000" w:sz="12" w:space="0"/>
              <w:left w:val="single" w:color="000000" w:sz="12" w:space="0"/>
              <w:bottom w:val="double" w:color="000000" w:sz="6" w:space="0"/>
              <w:right w:val="single" w:color="000000" w:sz="6" w:space="0"/>
            </w:tcBorders>
            <w:noWrap w:val="0"/>
            <w:tcMar>
              <w:top w:w="0" w:type="dxa"/>
              <w:left w:w="28" w:type="dxa"/>
              <w:bottom w:w="0" w:type="dxa"/>
              <w:right w:w="28" w:type="dxa"/>
            </w:tcMar>
            <w:vAlign w:val="center"/>
          </w:tcPr>
          <w:p w14:paraId="3AEDE74B">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文件名称</w:t>
            </w:r>
          </w:p>
        </w:tc>
        <w:tc>
          <w:tcPr>
            <w:tcW w:w="1276"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5A28E21A">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套数</w:t>
            </w:r>
          </w:p>
        </w:tc>
        <w:tc>
          <w:tcPr>
            <w:tcW w:w="1450"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31F35373">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费用（元）</w:t>
            </w:r>
          </w:p>
        </w:tc>
        <w:tc>
          <w:tcPr>
            <w:tcW w:w="1243"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3C8CBBB6">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质量</w:t>
            </w:r>
          </w:p>
        </w:tc>
        <w:tc>
          <w:tcPr>
            <w:tcW w:w="1450"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top"/>
          </w:tcPr>
          <w:p w14:paraId="50896701">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移交时间</w:t>
            </w:r>
          </w:p>
        </w:tc>
        <w:tc>
          <w:tcPr>
            <w:tcW w:w="1667" w:type="dxa"/>
            <w:tcBorders>
              <w:top w:val="single" w:color="000000" w:sz="12" w:space="0"/>
              <w:left w:val="single" w:color="000000" w:sz="6" w:space="0"/>
              <w:bottom w:val="double" w:color="000000" w:sz="6" w:space="0"/>
              <w:right w:val="single" w:color="000000" w:sz="12" w:space="0"/>
            </w:tcBorders>
            <w:noWrap w:val="0"/>
            <w:tcMar>
              <w:top w:w="0" w:type="dxa"/>
              <w:left w:w="28" w:type="dxa"/>
              <w:bottom w:w="0" w:type="dxa"/>
              <w:right w:w="28" w:type="dxa"/>
            </w:tcMar>
            <w:vAlign w:val="top"/>
          </w:tcPr>
          <w:p w14:paraId="40BE6AE2">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责任人</w:t>
            </w:r>
          </w:p>
        </w:tc>
      </w:tr>
      <w:tr w14:paraId="4350C9DF">
        <w:tblPrEx>
          <w:tblCellMar>
            <w:top w:w="0" w:type="dxa"/>
            <w:left w:w="0" w:type="dxa"/>
            <w:bottom w:w="0" w:type="dxa"/>
            <w:right w:w="0" w:type="dxa"/>
          </w:tblCellMar>
        </w:tblPrEx>
        <w:trPr>
          <w:trHeight w:val="567" w:hRule="atLeast"/>
          <w:jc w:val="center"/>
        </w:trPr>
        <w:tc>
          <w:tcPr>
            <w:tcW w:w="1953" w:type="dxa"/>
            <w:tcBorders>
              <w:top w:val="doub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0C57816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76"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B75AA4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50"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8ACFC9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43"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1C31A0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50"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82AE22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667" w:type="dxa"/>
            <w:tcBorders>
              <w:top w:val="doub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6A88EC4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6CF15F3F">
        <w:tblPrEx>
          <w:tblCellMar>
            <w:top w:w="0" w:type="dxa"/>
            <w:left w:w="0" w:type="dxa"/>
            <w:bottom w:w="0" w:type="dxa"/>
            <w:right w:w="0" w:type="dxa"/>
          </w:tblCellMar>
        </w:tblPrEx>
        <w:trPr>
          <w:trHeight w:val="567" w:hRule="atLeast"/>
          <w:jc w:val="center"/>
        </w:trPr>
        <w:tc>
          <w:tcPr>
            <w:tcW w:w="1953"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139AF3C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76"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5A35D5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5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9D6520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43"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098488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5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E5FC47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667"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44CB0B6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444E4C3A">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152D0F8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E5CF05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9B8102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AC9369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D2F8C2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37F3A29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283BD1CD">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6963EA7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169C90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BCB402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E64A89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F62358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043EE02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D55845F">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08D60141">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560AB74">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12730A9">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A2A7F66">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6A3B125">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1AD28142">
            <w:pPr>
              <w:pageBreakBefore w:val="0"/>
              <w:kinsoku/>
              <w:overflowPunct/>
              <w:topLinePunct w:val="0"/>
              <w:bidi w:val="0"/>
              <w:spacing w:line="360" w:lineRule="auto"/>
              <w:rPr>
                <w:rFonts w:hint="eastAsia" w:ascii="宋体" w:hAnsi="宋体" w:eastAsia="宋体" w:cs="宋体"/>
                <w:color w:val="000000"/>
                <w:sz w:val="24"/>
                <w:highlight w:val="none"/>
              </w:rPr>
            </w:pPr>
          </w:p>
        </w:tc>
      </w:tr>
      <w:tr w14:paraId="1C22EEA4">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657D583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333C92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7ECD52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6C14FA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ED1CB3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15C3D5C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EEEECD9">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4438387A">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0E69AD2">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067C4CA">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2AE1B03">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5B75B71">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016048D0">
            <w:pPr>
              <w:pageBreakBefore w:val="0"/>
              <w:kinsoku/>
              <w:overflowPunct/>
              <w:topLinePunct w:val="0"/>
              <w:bidi w:val="0"/>
              <w:spacing w:line="360" w:lineRule="auto"/>
              <w:rPr>
                <w:rFonts w:hint="eastAsia" w:ascii="宋体" w:hAnsi="宋体" w:eastAsia="宋体" w:cs="宋体"/>
                <w:color w:val="000000"/>
                <w:sz w:val="24"/>
                <w:highlight w:val="none"/>
              </w:rPr>
            </w:pPr>
          </w:p>
        </w:tc>
      </w:tr>
      <w:tr w14:paraId="7282C14A">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0F5655DB">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1D4EFAE">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33D0DE6">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1CF8D6F">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B57C9C3">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2E616271">
            <w:pPr>
              <w:pageBreakBefore w:val="0"/>
              <w:kinsoku/>
              <w:overflowPunct/>
              <w:topLinePunct w:val="0"/>
              <w:bidi w:val="0"/>
              <w:spacing w:line="360" w:lineRule="auto"/>
              <w:rPr>
                <w:rFonts w:hint="eastAsia" w:ascii="宋体" w:hAnsi="宋体" w:eastAsia="宋体" w:cs="宋体"/>
                <w:color w:val="000000"/>
                <w:sz w:val="24"/>
                <w:highlight w:val="none"/>
              </w:rPr>
            </w:pPr>
          </w:p>
        </w:tc>
      </w:tr>
      <w:tr w14:paraId="0EDD7DFE">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419A472A">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8AA2256">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A8D6951">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74F3518">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D1BBEF3">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1CB1DF93">
            <w:pPr>
              <w:pageBreakBefore w:val="0"/>
              <w:kinsoku/>
              <w:overflowPunct/>
              <w:topLinePunct w:val="0"/>
              <w:bidi w:val="0"/>
              <w:spacing w:line="360" w:lineRule="auto"/>
              <w:rPr>
                <w:rFonts w:hint="eastAsia" w:ascii="宋体" w:hAnsi="宋体" w:eastAsia="宋体" w:cs="宋体"/>
                <w:color w:val="000000"/>
                <w:sz w:val="24"/>
                <w:highlight w:val="none"/>
              </w:rPr>
            </w:pPr>
          </w:p>
        </w:tc>
      </w:tr>
      <w:tr w14:paraId="37D9B2B0">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4F886B96">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B860EC8">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00F38D27">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43"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CB5E655">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5FD0D690">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667"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791A0A61">
            <w:pPr>
              <w:pageBreakBefore w:val="0"/>
              <w:kinsoku/>
              <w:overflowPunct/>
              <w:topLinePunct w:val="0"/>
              <w:bidi w:val="0"/>
              <w:spacing w:line="360" w:lineRule="auto"/>
              <w:rPr>
                <w:rFonts w:hint="eastAsia" w:ascii="宋体" w:hAnsi="宋体" w:eastAsia="宋体" w:cs="宋体"/>
                <w:color w:val="000000"/>
                <w:sz w:val="24"/>
                <w:highlight w:val="none"/>
              </w:rPr>
            </w:pPr>
          </w:p>
        </w:tc>
      </w:tr>
      <w:tr w14:paraId="709D9326">
        <w:tblPrEx>
          <w:tblCellMar>
            <w:top w:w="0" w:type="dxa"/>
            <w:left w:w="0" w:type="dxa"/>
            <w:bottom w:w="0" w:type="dxa"/>
            <w:right w:w="0" w:type="dxa"/>
          </w:tblCellMar>
        </w:tblPrEx>
        <w:trPr>
          <w:trHeight w:val="567" w:hRule="atLeast"/>
          <w:jc w:val="center"/>
        </w:trPr>
        <w:tc>
          <w:tcPr>
            <w:tcW w:w="1953" w:type="dxa"/>
            <w:tcBorders>
              <w:top w:val="single" w:color="000000" w:sz="6" w:space="0"/>
              <w:left w:val="single" w:color="000000" w:sz="12" w:space="0"/>
              <w:bottom w:val="single" w:color="000000" w:sz="12" w:space="0"/>
              <w:right w:val="single" w:color="000000" w:sz="6" w:space="0"/>
            </w:tcBorders>
            <w:noWrap w:val="0"/>
            <w:tcMar>
              <w:top w:w="0" w:type="dxa"/>
              <w:left w:w="28" w:type="dxa"/>
              <w:bottom w:w="0" w:type="dxa"/>
              <w:right w:w="28" w:type="dxa"/>
            </w:tcMar>
            <w:vAlign w:val="top"/>
          </w:tcPr>
          <w:p w14:paraId="5AA5488C">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76"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4B60CCCD">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74ABC463">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243"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37A6E1BC">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50"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49ED02C2">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667" w:type="dxa"/>
            <w:tcBorders>
              <w:top w:val="single" w:color="000000" w:sz="6" w:space="0"/>
              <w:left w:val="single" w:color="000000" w:sz="6" w:space="0"/>
              <w:bottom w:val="single" w:color="000000" w:sz="12" w:space="0"/>
              <w:right w:val="single" w:color="000000" w:sz="12" w:space="0"/>
            </w:tcBorders>
            <w:noWrap w:val="0"/>
            <w:tcMar>
              <w:top w:w="0" w:type="dxa"/>
              <w:left w:w="28" w:type="dxa"/>
              <w:bottom w:w="0" w:type="dxa"/>
              <w:right w:w="28" w:type="dxa"/>
            </w:tcMar>
            <w:vAlign w:val="top"/>
          </w:tcPr>
          <w:p w14:paraId="06CA0D26">
            <w:pPr>
              <w:pageBreakBefore w:val="0"/>
              <w:kinsoku/>
              <w:overflowPunct/>
              <w:topLinePunct w:val="0"/>
              <w:bidi w:val="0"/>
              <w:spacing w:line="360" w:lineRule="auto"/>
              <w:rPr>
                <w:rFonts w:hint="eastAsia" w:ascii="宋体" w:hAnsi="宋体" w:eastAsia="宋体" w:cs="宋体"/>
                <w:color w:val="000000"/>
                <w:sz w:val="24"/>
                <w:highlight w:val="none"/>
              </w:rPr>
            </w:pPr>
          </w:p>
        </w:tc>
      </w:tr>
    </w:tbl>
    <w:p w14:paraId="32CD8AA4">
      <w:pPr>
        <w:pageBreakBefore w:val="0"/>
        <w:kinsoku/>
        <w:overflowPunct/>
        <w:topLinePunct w:val="0"/>
        <w:bidi w:val="0"/>
        <w:spacing w:line="360" w:lineRule="auto"/>
        <w:rPr>
          <w:rFonts w:hint="eastAsia" w:ascii="宋体" w:hAnsi="宋体" w:eastAsia="宋体" w:cs="宋体"/>
          <w:color w:val="000000"/>
          <w:sz w:val="24"/>
          <w:szCs w:val="20"/>
          <w:highlight w:val="none"/>
        </w:rPr>
      </w:pPr>
    </w:p>
    <w:p w14:paraId="3CF1E670">
      <w:pPr>
        <w:pageBreakBefore w:val="0"/>
        <w:kinsoku/>
        <w:overflowPunct/>
        <w:topLinePunct w:val="0"/>
        <w:bidi w:val="0"/>
        <w:spacing w:line="360" w:lineRule="auto"/>
        <w:rPr>
          <w:rFonts w:hint="eastAsia" w:ascii="宋体" w:hAnsi="宋体" w:eastAsia="宋体" w:cs="宋体"/>
          <w:color w:val="000000"/>
          <w:sz w:val="24"/>
          <w:highlight w:val="none"/>
        </w:rPr>
      </w:pPr>
      <w:r>
        <w:rPr>
          <w:rFonts w:hint="eastAsia" w:ascii="宋体" w:hAnsi="宋体" w:eastAsia="宋体" w:cs="宋体"/>
          <w:color w:val="000000"/>
          <w:highlight w:val="none"/>
        </w:rPr>
        <w:br w:type="page"/>
      </w:r>
      <w:r>
        <w:rPr>
          <w:rFonts w:hint="eastAsia" w:ascii="宋体" w:hAnsi="宋体" w:eastAsia="宋体" w:cs="宋体"/>
          <w:color w:val="000000"/>
          <w:sz w:val="24"/>
          <w:highlight w:val="none"/>
        </w:rPr>
        <w:t>附件</w:t>
      </w:r>
      <w:r>
        <w:rPr>
          <w:rFonts w:hint="eastAsia" w:ascii="宋体" w:hAnsi="宋体" w:eastAsia="宋体" w:cs="宋体"/>
          <w:color w:val="000000"/>
          <w:sz w:val="24"/>
          <w:highlight w:val="none"/>
          <w:lang w:val="en-US" w:eastAsia="zh-CN"/>
        </w:rPr>
        <w:t>6</w:t>
      </w:r>
      <w:r>
        <w:rPr>
          <w:rFonts w:hint="eastAsia" w:ascii="宋体" w:hAnsi="宋体" w:eastAsia="宋体" w:cs="宋体"/>
          <w:color w:val="000000"/>
          <w:sz w:val="24"/>
          <w:highlight w:val="none"/>
        </w:rPr>
        <w:t>：</w:t>
      </w:r>
    </w:p>
    <w:p w14:paraId="5024B586">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承包人用于本工程施工的机械设备表</w:t>
      </w:r>
    </w:p>
    <w:tbl>
      <w:tblPr>
        <w:tblStyle w:val="15"/>
        <w:tblW w:w="0" w:type="auto"/>
        <w:jc w:val="center"/>
        <w:tblLayout w:type="fixed"/>
        <w:tblCellMar>
          <w:top w:w="0" w:type="dxa"/>
          <w:left w:w="0" w:type="dxa"/>
          <w:bottom w:w="0" w:type="dxa"/>
          <w:right w:w="0" w:type="dxa"/>
        </w:tblCellMar>
      </w:tblPr>
      <w:tblGrid>
        <w:gridCol w:w="1162"/>
        <w:gridCol w:w="1418"/>
        <w:gridCol w:w="850"/>
        <w:gridCol w:w="1058"/>
        <w:gridCol w:w="880"/>
        <w:gridCol w:w="1020"/>
        <w:gridCol w:w="1480"/>
        <w:gridCol w:w="1020"/>
        <w:gridCol w:w="921"/>
      </w:tblGrid>
      <w:tr w14:paraId="715CB2DD">
        <w:tblPrEx>
          <w:tblCellMar>
            <w:top w:w="0" w:type="dxa"/>
            <w:left w:w="0" w:type="dxa"/>
            <w:bottom w:w="0" w:type="dxa"/>
            <w:right w:w="0" w:type="dxa"/>
          </w:tblCellMar>
        </w:tblPrEx>
        <w:trPr>
          <w:jc w:val="center"/>
        </w:trPr>
        <w:tc>
          <w:tcPr>
            <w:tcW w:w="1162" w:type="dxa"/>
            <w:tcBorders>
              <w:top w:val="single" w:color="000000" w:sz="12" w:space="0"/>
              <w:left w:val="single" w:color="000000" w:sz="12" w:space="0"/>
              <w:bottom w:val="double" w:color="000000" w:sz="6" w:space="0"/>
              <w:right w:val="single" w:color="000000" w:sz="6" w:space="0"/>
            </w:tcBorders>
            <w:noWrap w:val="0"/>
            <w:tcMar>
              <w:top w:w="0" w:type="dxa"/>
              <w:left w:w="28" w:type="dxa"/>
              <w:bottom w:w="0" w:type="dxa"/>
              <w:right w:w="28" w:type="dxa"/>
            </w:tcMar>
            <w:vAlign w:val="center"/>
          </w:tcPr>
          <w:p w14:paraId="40624FDF">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序号</w:t>
            </w:r>
          </w:p>
        </w:tc>
        <w:tc>
          <w:tcPr>
            <w:tcW w:w="1418"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224BEF71">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机械或设备名称</w:t>
            </w:r>
          </w:p>
        </w:tc>
        <w:tc>
          <w:tcPr>
            <w:tcW w:w="850"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2908E036">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规格型号</w:t>
            </w:r>
          </w:p>
        </w:tc>
        <w:tc>
          <w:tcPr>
            <w:tcW w:w="1058"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0F1A9C4E">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数量</w:t>
            </w:r>
          </w:p>
        </w:tc>
        <w:tc>
          <w:tcPr>
            <w:tcW w:w="880"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0B784DB1">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产地</w:t>
            </w:r>
          </w:p>
        </w:tc>
        <w:tc>
          <w:tcPr>
            <w:tcW w:w="1020"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7359F6CD">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制造年份</w:t>
            </w:r>
          </w:p>
        </w:tc>
        <w:tc>
          <w:tcPr>
            <w:tcW w:w="1480"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2A9F981E">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额定功率(kW)</w:t>
            </w:r>
          </w:p>
        </w:tc>
        <w:tc>
          <w:tcPr>
            <w:tcW w:w="1020"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514CEA5F">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生产能力</w:t>
            </w:r>
          </w:p>
        </w:tc>
        <w:tc>
          <w:tcPr>
            <w:tcW w:w="921" w:type="dxa"/>
            <w:tcBorders>
              <w:top w:val="single" w:color="000000" w:sz="12" w:space="0"/>
              <w:left w:val="single" w:color="000000" w:sz="6" w:space="0"/>
              <w:bottom w:val="double" w:color="000000" w:sz="6" w:space="0"/>
              <w:right w:val="single" w:color="000000" w:sz="12" w:space="0"/>
            </w:tcBorders>
            <w:noWrap w:val="0"/>
            <w:tcMar>
              <w:top w:w="0" w:type="dxa"/>
              <w:left w:w="28" w:type="dxa"/>
              <w:bottom w:w="0" w:type="dxa"/>
              <w:right w:w="28" w:type="dxa"/>
            </w:tcMar>
            <w:vAlign w:val="center"/>
          </w:tcPr>
          <w:p w14:paraId="3E5DF6DF">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备注</w:t>
            </w:r>
          </w:p>
        </w:tc>
      </w:tr>
      <w:tr w14:paraId="2309C3CD">
        <w:tblPrEx>
          <w:tblCellMar>
            <w:top w:w="0" w:type="dxa"/>
            <w:left w:w="0" w:type="dxa"/>
            <w:bottom w:w="0" w:type="dxa"/>
            <w:right w:w="0" w:type="dxa"/>
          </w:tblCellMar>
        </w:tblPrEx>
        <w:trPr>
          <w:trHeight w:val="567" w:hRule="atLeast"/>
          <w:jc w:val="center"/>
        </w:trPr>
        <w:tc>
          <w:tcPr>
            <w:tcW w:w="1162" w:type="dxa"/>
            <w:tcBorders>
              <w:top w:val="doub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6CB6C21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6C283C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0"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D6186F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58"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CF7B7C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80"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AE505E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4DE50F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0"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DC5999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doub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4EE0E6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21" w:type="dxa"/>
            <w:tcBorders>
              <w:top w:val="doub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04E3E92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3D4B5071">
        <w:tblPrEx>
          <w:tblCellMar>
            <w:top w:w="0" w:type="dxa"/>
            <w:left w:w="0" w:type="dxa"/>
            <w:bottom w:w="0" w:type="dxa"/>
            <w:right w:w="0" w:type="dxa"/>
          </w:tblCellMar>
        </w:tblPrEx>
        <w:trPr>
          <w:trHeight w:val="567" w:hRule="atLeast"/>
          <w:jc w:val="center"/>
        </w:trPr>
        <w:tc>
          <w:tcPr>
            <w:tcW w:w="1162" w:type="dxa"/>
            <w:tcBorders>
              <w:top w:val="nil"/>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5596033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D20C09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872551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58"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B98D37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8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4F229C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2A6B69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BE5BCB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1B0C2E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21"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1194798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439D55ED">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2957B8B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A011D2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62B70C5">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5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42AAB3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D3ECEF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E3998A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F02125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5E20D4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2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6A00C79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DD254C2">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15F6324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D37B1D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4BEE82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5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64C501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094DA0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BAF85F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A97396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102903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2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0E85DCE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5C9E3C84">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51CD46C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4F13C0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6A965B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5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DCA45C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8FD097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2F3670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E36C5D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259F71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2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45A4400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3438D97C">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2783291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04F6A0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5F5DEF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5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F4DFD0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7EE32D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F82A354">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4EF50B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AE68E2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2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444424A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2F54F0E5">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363D8A9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D62D4F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43A24D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5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5DFAE5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67C86AB">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B55D0C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D78442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7F025B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2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2694792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68A5E42A">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2C4BBC0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7279B8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45BF29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5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458417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8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A87673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361368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4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AFBC45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900385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92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712CC6F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72DFCD41">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top"/>
          </w:tcPr>
          <w:p w14:paraId="42E1133B">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27F17D6A">
            <w:pPr>
              <w:pageBreakBefore w:val="0"/>
              <w:kinsoku/>
              <w:overflowPunct/>
              <w:topLinePunct w:val="0"/>
              <w:bidi w:val="0"/>
              <w:spacing w:line="360" w:lineRule="auto"/>
              <w:rPr>
                <w:rFonts w:hint="eastAsia" w:ascii="宋体" w:hAnsi="宋体" w:eastAsia="宋体" w:cs="宋体"/>
                <w:color w:val="000000"/>
                <w:sz w:val="24"/>
                <w:highlight w:val="none"/>
              </w:rPr>
            </w:pPr>
          </w:p>
        </w:tc>
        <w:tc>
          <w:tcPr>
            <w:tcW w:w="85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9FD93D8">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05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1DCB7333">
            <w:pPr>
              <w:pageBreakBefore w:val="0"/>
              <w:kinsoku/>
              <w:overflowPunct/>
              <w:topLinePunct w:val="0"/>
              <w:bidi w:val="0"/>
              <w:spacing w:line="360" w:lineRule="auto"/>
              <w:rPr>
                <w:rFonts w:hint="eastAsia" w:ascii="宋体" w:hAnsi="宋体" w:eastAsia="宋体" w:cs="宋体"/>
                <w:color w:val="000000"/>
                <w:sz w:val="24"/>
                <w:highlight w:val="none"/>
              </w:rPr>
            </w:pPr>
          </w:p>
        </w:tc>
        <w:tc>
          <w:tcPr>
            <w:tcW w:w="8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309AC9D8">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62DCF40">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8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42FCAFB6">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020"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top"/>
          </w:tcPr>
          <w:p w14:paraId="750F4980">
            <w:pPr>
              <w:pageBreakBefore w:val="0"/>
              <w:kinsoku/>
              <w:overflowPunct/>
              <w:topLinePunct w:val="0"/>
              <w:bidi w:val="0"/>
              <w:spacing w:line="360" w:lineRule="auto"/>
              <w:rPr>
                <w:rFonts w:hint="eastAsia" w:ascii="宋体" w:hAnsi="宋体" w:eastAsia="宋体" w:cs="宋体"/>
                <w:color w:val="000000"/>
                <w:sz w:val="24"/>
                <w:highlight w:val="none"/>
              </w:rPr>
            </w:pPr>
          </w:p>
        </w:tc>
        <w:tc>
          <w:tcPr>
            <w:tcW w:w="921"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top"/>
          </w:tcPr>
          <w:p w14:paraId="5BC967AF">
            <w:pPr>
              <w:pageBreakBefore w:val="0"/>
              <w:kinsoku/>
              <w:overflowPunct/>
              <w:topLinePunct w:val="0"/>
              <w:bidi w:val="0"/>
              <w:spacing w:line="360" w:lineRule="auto"/>
              <w:rPr>
                <w:rFonts w:hint="eastAsia" w:ascii="宋体" w:hAnsi="宋体" w:eastAsia="宋体" w:cs="宋体"/>
                <w:color w:val="000000"/>
                <w:sz w:val="24"/>
                <w:highlight w:val="none"/>
              </w:rPr>
            </w:pPr>
          </w:p>
        </w:tc>
      </w:tr>
      <w:tr w14:paraId="2A116C2A">
        <w:tblPrEx>
          <w:tblCellMar>
            <w:top w:w="0" w:type="dxa"/>
            <w:left w:w="0" w:type="dxa"/>
            <w:bottom w:w="0" w:type="dxa"/>
            <w:right w:w="0" w:type="dxa"/>
          </w:tblCellMar>
        </w:tblPrEx>
        <w:trPr>
          <w:trHeight w:val="567" w:hRule="atLeast"/>
          <w:jc w:val="center"/>
        </w:trPr>
        <w:tc>
          <w:tcPr>
            <w:tcW w:w="1162" w:type="dxa"/>
            <w:tcBorders>
              <w:top w:val="single" w:color="000000" w:sz="6" w:space="0"/>
              <w:left w:val="single" w:color="000000" w:sz="12" w:space="0"/>
              <w:bottom w:val="single" w:color="000000" w:sz="12" w:space="0"/>
              <w:right w:val="single" w:color="000000" w:sz="6" w:space="0"/>
            </w:tcBorders>
            <w:noWrap w:val="0"/>
            <w:tcMar>
              <w:top w:w="0" w:type="dxa"/>
              <w:left w:w="28" w:type="dxa"/>
              <w:bottom w:w="0" w:type="dxa"/>
              <w:right w:w="28" w:type="dxa"/>
            </w:tcMar>
            <w:vAlign w:val="top"/>
          </w:tcPr>
          <w:p w14:paraId="2AA362AC">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6496B3D6">
            <w:pPr>
              <w:pageBreakBefore w:val="0"/>
              <w:kinsoku/>
              <w:overflowPunct/>
              <w:topLinePunct w:val="0"/>
              <w:bidi w:val="0"/>
              <w:spacing w:line="360" w:lineRule="auto"/>
              <w:rPr>
                <w:rFonts w:hint="eastAsia" w:ascii="宋体" w:hAnsi="宋体" w:eastAsia="宋体" w:cs="宋体"/>
                <w:color w:val="000000"/>
                <w:sz w:val="24"/>
                <w:highlight w:val="none"/>
              </w:rPr>
            </w:pPr>
          </w:p>
        </w:tc>
        <w:tc>
          <w:tcPr>
            <w:tcW w:w="850"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28032C19">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058"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579CBCFD">
            <w:pPr>
              <w:pageBreakBefore w:val="0"/>
              <w:kinsoku/>
              <w:overflowPunct/>
              <w:topLinePunct w:val="0"/>
              <w:bidi w:val="0"/>
              <w:spacing w:line="360" w:lineRule="auto"/>
              <w:rPr>
                <w:rFonts w:hint="eastAsia" w:ascii="宋体" w:hAnsi="宋体" w:eastAsia="宋体" w:cs="宋体"/>
                <w:color w:val="000000"/>
                <w:sz w:val="24"/>
                <w:highlight w:val="none"/>
              </w:rPr>
            </w:pPr>
          </w:p>
        </w:tc>
        <w:tc>
          <w:tcPr>
            <w:tcW w:w="880"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1B7FD36F">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020"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31E0F937">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480"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3D5BAE4D">
            <w:pPr>
              <w:pageBreakBefore w:val="0"/>
              <w:kinsoku/>
              <w:overflowPunct/>
              <w:topLinePunct w:val="0"/>
              <w:bidi w:val="0"/>
              <w:spacing w:line="360" w:lineRule="auto"/>
              <w:rPr>
                <w:rFonts w:hint="eastAsia" w:ascii="宋体" w:hAnsi="宋体" w:eastAsia="宋体" w:cs="宋体"/>
                <w:color w:val="000000"/>
                <w:sz w:val="24"/>
                <w:highlight w:val="none"/>
              </w:rPr>
            </w:pPr>
          </w:p>
        </w:tc>
        <w:tc>
          <w:tcPr>
            <w:tcW w:w="1020"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top"/>
          </w:tcPr>
          <w:p w14:paraId="7D890C65">
            <w:pPr>
              <w:pageBreakBefore w:val="0"/>
              <w:kinsoku/>
              <w:overflowPunct/>
              <w:topLinePunct w:val="0"/>
              <w:bidi w:val="0"/>
              <w:spacing w:line="360" w:lineRule="auto"/>
              <w:rPr>
                <w:rFonts w:hint="eastAsia" w:ascii="宋体" w:hAnsi="宋体" w:eastAsia="宋体" w:cs="宋体"/>
                <w:color w:val="000000"/>
                <w:sz w:val="24"/>
                <w:highlight w:val="none"/>
              </w:rPr>
            </w:pPr>
          </w:p>
        </w:tc>
        <w:tc>
          <w:tcPr>
            <w:tcW w:w="921" w:type="dxa"/>
            <w:tcBorders>
              <w:top w:val="single" w:color="000000" w:sz="6" w:space="0"/>
              <w:left w:val="single" w:color="000000" w:sz="6" w:space="0"/>
              <w:bottom w:val="single" w:color="000000" w:sz="12" w:space="0"/>
              <w:right w:val="single" w:color="000000" w:sz="12" w:space="0"/>
            </w:tcBorders>
            <w:noWrap w:val="0"/>
            <w:tcMar>
              <w:top w:w="0" w:type="dxa"/>
              <w:left w:w="28" w:type="dxa"/>
              <w:bottom w:w="0" w:type="dxa"/>
              <w:right w:w="28" w:type="dxa"/>
            </w:tcMar>
            <w:vAlign w:val="top"/>
          </w:tcPr>
          <w:p w14:paraId="577C46DD">
            <w:pPr>
              <w:pageBreakBefore w:val="0"/>
              <w:kinsoku/>
              <w:overflowPunct/>
              <w:topLinePunct w:val="0"/>
              <w:bidi w:val="0"/>
              <w:spacing w:line="360" w:lineRule="auto"/>
              <w:rPr>
                <w:rFonts w:hint="eastAsia" w:ascii="宋体" w:hAnsi="宋体" w:eastAsia="宋体" w:cs="宋体"/>
                <w:color w:val="000000"/>
                <w:sz w:val="24"/>
                <w:highlight w:val="none"/>
              </w:rPr>
            </w:pPr>
          </w:p>
        </w:tc>
      </w:tr>
    </w:tbl>
    <w:p w14:paraId="1697D578">
      <w:pPr>
        <w:pageBreakBefore w:val="0"/>
        <w:kinsoku/>
        <w:overflowPunct/>
        <w:topLinePunct w:val="0"/>
        <w:bidi w:val="0"/>
        <w:spacing w:line="360" w:lineRule="auto"/>
        <w:rPr>
          <w:rFonts w:hint="eastAsia" w:ascii="宋体" w:hAnsi="宋体" w:eastAsia="宋体" w:cs="宋体"/>
          <w:color w:val="000000"/>
          <w:sz w:val="24"/>
          <w:szCs w:val="20"/>
          <w:highlight w:val="none"/>
        </w:rPr>
      </w:pPr>
    </w:p>
    <w:p w14:paraId="4742C9BE">
      <w:pPr>
        <w:pageBreakBefore w:val="0"/>
        <w:widowControl/>
        <w:kinsoku/>
        <w:overflowPunct/>
        <w:topLinePunct w:val="0"/>
        <w:bidi w:val="0"/>
        <w:spacing w:line="360" w:lineRule="auto"/>
        <w:jc w:val="left"/>
        <w:rPr>
          <w:rFonts w:hint="eastAsia" w:ascii="宋体" w:hAnsi="宋体" w:eastAsia="宋体" w:cs="宋体"/>
          <w:color w:val="000000"/>
          <w:sz w:val="24"/>
          <w:highlight w:val="none"/>
        </w:rPr>
      </w:pPr>
      <w:r>
        <w:rPr>
          <w:rFonts w:hint="eastAsia" w:ascii="宋体" w:hAnsi="宋体" w:eastAsia="宋体" w:cs="宋体"/>
          <w:color w:val="000000"/>
          <w:highlight w:val="none"/>
        </w:rPr>
        <w:br w:type="page"/>
      </w:r>
    </w:p>
    <w:p w14:paraId="3D0A2E43">
      <w:pPr>
        <w:pageBreakBefore w:val="0"/>
        <w:kinsoku/>
        <w:overflowPunct/>
        <w:topLinePunct w:val="0"/>
        <w:bidi w:val="0"/>
        <w:spacing w:line="360" w:lineRule="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附件</w:t>
      </w:r>
      <w:r>
        <w:rPr>
          <w:rFonts w:hint="eastAsia" w:ascii="宋体" w:hAnsi="宋体" w:eastAsia="宋体" w:cs="宋体"/>
          <w:color w:val="000000"/>
          <w:sz w:val="24"/>
          <w:highlight w:val="none"/>
          <w:lang w:val="en-US" w:eastAsia="zh-CN"/>
        </w:rPr>
        <w:t>7</w:t>
      </w:r>
      <w:r>
        <w:rPr>
          <w:rFonts w:hint="eastAsia" w:ascii="宋体" w:hAnsi="宋体" w:eastAsia="宋体" w:cs="宋体"/>
          <w:color w:val="000000"/>
          <w:sz w:val="24"/>
          <w:highlight w:val="none"/>
        </w:rPr>
        <w:t>：</w:t>
      </w:r>
    </w:p>
    <w:p w14:paraId="15263573">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承包人主要施工管理人员表</w:t>
      </w:r>
    </w:p>
    <w:tbl>
      <w:tblPr>
        <w:tblStyle w:val="15"/>
        <w:tblW w:w="0" w:type="auto"/>
        <w:jc w:val="center"/>
        <w:tblLayout w:type="fixed"/>
        <w:tblCellMar>
          <w:top w:w="0" w:type="dxa"/>
          <w:left w:w="0" w:type="dxa"/>
          <w:bottom w:w="0" w:type="dxa"/>
          <w:right w:w="0" w:type="dxa"/>
        </w:tblCellMar>
      </w:tblPr>
      <w:tblGrid>
        <w:gridCol w:w="1871"/>
        <w:gridCol w:w="1418"/>
        <w:gridCol w:w="1134"/>
        <w:gridCol w:w="1134"/>
        <w:gridCol w:w="4252"/>
      </w:tblGrid>
      <w:tr w14:paraId="2479636D">
        <w:tblPrEx>
          <w:tblCellMar>
            <w:top w:w="0" w:type="dxa"/>
            <w:left w:w="0" w:type="dxa"/>
            <w:bottom w:w="0" w:type="dxa"/>
            <w:right w:w="0" w:type="dxa"/>
          </w:tblCellMar>
        </w:tblPrEx>
        <w:trPr>
          <w:jc w:val="center"/>
        </w:trPr>
        <w:tc>
          <w:tcPr>
            <w:tcW w:w="1871" w:type="dxa"/>
            <w:tcBorders>
              <w:top w:val="single" w:color="000000" w:sz="12" w:space="0"/>
              <w:left w:val="single" w:color="000000" w:sz="12" w:space="0"/>
              <w:bottom w:val="double" w:color="000000" w:sz="6" w:space="0"/>
              <w:right w:val="single" w:color="000000" w:sz="6" w:space="0"/>
            </w:tcBorders>
            <w:noWrap w:val="0"/>
            <w:tcMar>
              <w:top w:w="0" w:type="dxa"/>
              <w:left w:w="28" w:type="dxa"/>
              <w:bottom w:w="0" w:type="dxa"/>
              <w:right w:w="28" w:type="dxa"/>
            </w:tcMar>
            <w:vAlign w:val="center"/>
          </w:tcPr>
          <w:p w14:paraId="67F53FA8">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名    称</w:t>
            </w:r>
          </w:p>
        </w:tc>
        <w:tc>
          <w:tcPr>
            <w:tcW w:w="1418"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7269FD19">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姓名</w:t>
            </w:r>
          </w:p>
        </w:tc>
        <w:tc>
          <w:tcPr>
            <w:tcW w:w="1134"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2F28A83C">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职务</w:t>
            </w:r>
          </w:p>
        </w:tc>
        <w:tc>
          <w:tcPr>
            <w:tcW w:w="1134" w:type="dxa"/>
            <w:tcBorders>
              <w:top w:val="single" w:color="000000" w:sz="12" w:space="0"/>
              <w:left w:val="single" w:color="000000" w:sz="6" w:space="0"/>
              <w:bottom w:val="double" w:color="000000" w:sz="6" w:space="0"/>
              <w:right w:val="single" w:color="000000" w:sz="6" w:space="0"/>
            </w:tcBorders>
            <w:noWrap w:val="0"/>
            <w:tcMar>
              <w:top w:w="0" w:type="dxa"/>
              <w:left w:w="28" w:type="dxa"/>
              <w:bottom w:w="0" w:type="dxa"/>
              <w:right w:w="28" w:type="dxa"/>
            </w:tcMar>
            <w:vAlign w:val="center"/>
          </w:tcPr>
          <w:p w14:paraId="23BC7F8F">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职称</w:t>
            </w:r>
          </w:p>
        </w:tc>
        <w:tc>
          <w:tcPr>
            <w:tcW w:w="4252" w:type="dxa"/>
            <w:tcBorders>
              <w:top w:val="single" w:color="000000" w:sz="12" w:space="0"/>
              <w:left w:val="single" w:color="000000" w:sz="6" w:space="0"/>
              <w:bottom w:val="double" w:color="000000" w:sz="6" w:space="0"/>
              <w:right w:val="single" w:color="000000" w:sz="12" w:space="0"/>
            </w:tcBorders>
            <w:noWrap w:val="0"/>
            <w:tcMar>
              <w:top w:w="0" w:type="dxa"/>
              <w:left w:w="28" w:type="dxa"/>
              <w:bottom w:w="0" w:type="dxa"/>
              <w:right w:w="28" w:type="dxa"/>
            </w:tcMar>
            <w:vAlign w:val="center"/>
          </w:tcPr>
          <w:p w14:paraId="35F6968E">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主要资历、经验及承担过的项目</w:t>
            </w:r>
          </w:p>
        </w:tc>
      </w:tr>
      <w:tr w14:paraId="7C5E9CEC">
        <w:tblPrEx>
          <w:tblCellMar>
            <w:top w:w="0" w:type="dxa"/>
            <w:left w:w="0" w:type="dxa"/>
            <w:bottom w:w="0" w:type="dxa"/>
            <w:right w:w="0" w:type="dxa"/>
          </w:tblCellMar>
        </w:tblPrEx>
        <w:trPr>
          <w:jc w:val="center"/>
        </w:trPr>
        <w:tc>
          <w:tcPr>
            <w:tcW w:w="9809" w:type="dxa"/>
            <w:gridSpan w:val="5"/>
            <w:tcBorders>
              <w:top w:val="double" w:color="000000" w:sz="6" w:space="0"/>
              <w:left w:val="single" w:color="000000" w:sz="12" w:space="0"/>
              <w:bottom w:val="single" w:color="000000" w:sz="6" w:space="0"/>
              <w:right w:val="single" w:color="000000" w:sz="12" w:space="0"/>
            </w:tcBorders>
            <w:noWrap w:val="0"/>
            <w:tcMar>
              <w:top w:w="0" w:type="dxa"/>
              <w:left w:w="28" w:type="dxa"/>
              <w:bottom w:w="0" w:type="dxa"/>
              <w:right w:w="28" w:type="dxa"/>
            </w:tcMar>
            <w:vAlign w:val="center"/>
          </w:tcPr>
          <w:p w14:paraId="5C2574AA">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一、总部人员</w:t>
            </w:r>
          </w:p>
        </w:tc>
      </w:tr>
      <w:tr w14:paraId="118E7F9E">
        <w:tblPrEx>
          <w:tblCellMar>
            <w:top w:w="0" w:type="dxa"/>
            <w:left w:w="0" w:type="dxa"/>
            <w:bottom w:w="0" w:type="dxa"/>
            <w:right w:w="0" w:type="dxa"/>
          </w:tblCellMar>
        </w:tblPrEx>
        <w:trPr>
          <w:jc w:val="center"/>
        </w:trPr>
        <w:tc>
          <w:tcPr>
            <w:tcW w:w="1871" w:type="dxa"/>
            <w:tcBorders>
              <w:top w:val="nil"/>
              <w:left w:val="single" w:color="000000" w:sz="12" w:space="0"/>
              <w:bottom w:val="nil"/>
              <w:right w:val="single" w:color="000000" w:sz="6" w:space="0"/>
            </w:tcBorders>
            <w:noWrap w:val="0"/>
            <w:tcMar>
              <w:top w:w="0" w:type="dxa"/>
              <w:left w:w="28" w:type="dxa"/>
              <w:bottom w:w="0" w:type="dxa"/>
              <w:right w:w="28" w:type="dxa"/>
            </w:tcMar>
            <w:vAlign w:val="center"/>
          </w:tcPr>
          <w:p w14:paraId="3C70438F">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项目主管</w:t>
            </w:r>
          </w:p>
        </w:tc>
        <w:tc>
          <w:tcPr>
            <w:tcW w:w="1418"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9A79FFE">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C488930">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nil"/>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2D3A45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nil"/>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4126298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4D7C5503">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nil"/>
              <w:right w:val="single" w:color="000000" w:sz="6" w:space="0"/>
            </w:tcBorders>
            <w:noWrap w:val="0"/>
            <w:tcMar>
              <w:top w:w="0" w:type="dxa"/>
              <w:left w:w="28" w:type="dxa"/>
              <w:bottom w:w="0" w:type="dxa"/>
              <w:right w:w="28" w:type="dxa"/>
            </w:tcMar>
            <w:vAlign w:val="center"/>
          </w:tcPr>
          <w:p w14:paraId="0CD82010">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36F6419">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43FDC65">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2AD198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1D7C8D2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54CB3F88">
        <w:tblPrEx>
          <w:tblCellMar>
            <w:top w:w="0" w:type="dxa"/>
            <w:left w:w="0" w:type="dxa"/>
            <w:bottom w:w="0" w:type="dxa"/>
            <w:right w:w="0" w:type="dxa"/>
          </w:tblCellMar>
        </w:tblPrEx>
        <w:trPr>
          <w:jc w:val="center"/>
        </w:trPr>
        <w:tc>
          <w:tcPr>
            <w:tcW w:w="1871" w:type="dxa"/>
            <w:tcBorders>
              <w:top w:val="nil"/>
              <w:left w:val="single" w:color="000000" w:sz="12" w:space="0"/>
              <w:bottom w:val="nil"/>
              <w:right w:val="single" w:color="000000" w:sz="6" w:space="0"/>
            </w:tcBorders>
            <w:noWrap w:val="0"/>
            <w:tcMar>
              <w:top w:w="0" w:type="dxa"/>
              <w:left w:w="28" w:type="dxa"/>
              <w:bottom w:w="0" w:type="dxa"/>
              <w:right w:w="28" w:type="dxa"/>
            </w:tcMar>
            <w:vAlign w:val="center"/>
          </w:tcPr>
          <w:p w14:paraId="3B3DDA12">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其他人员</w:t>
            </w: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3F91FBE">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E1E8741">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7AE074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45BCD41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1FA1CE36">
        <w:tblPrEx>
          <w:tblCellMar>
            <w:top w:w="0" w:type="dxa"/>
            <w:left w:w="0" w:type="dxa"/>
            <w:bottom w:w="0" w:type="dxa"/>
            <w:right w:w="0" w:type="dxa"/>
          </w:tblCellMar>
        </w:tblPrEx>
        <w:trPr>
          <w:jc w:val="center"/>
        </w:trPr>
        <w:tc>
          <w:tcPr>
            <w:tcW w:w="1871" w:type="dxa"/>
            <w:tcBorders>
              <w:top w:val="nil"/>
              <w:left w:val="single" w:color="000000" w:sz="12" w:space="0"/>
              <w:bottom w:val="nil"/>
              <w:right w:val="single" w:color="000000" w:sz="6" w:space="0"/>
            </w:tcBorders>
            <w:noWrap w:val="0"/>
            <w:tcMar>
              <w:top w:w="0" w:type="dxa"/>
              <w:left w:w="28" w:type="dxa"/>
              <w:bottom w:w="0" w:type="dxa"/>
              <w:right w:w="28" w:type="dxa"/>
            </w:tcMar>
            <w:vAlign w:val="center"/>
          </w:tcPr>
          <w:p w14:paraId="239287CF">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AA648CD">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D51CE46">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E1BB35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5F84750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39CBADB7">
        <w:tblPrEx>
          <w:tblCellMar>
            <w:top w:w="0" w:type="dxa"/>
            <w:left w:w="0" w:type="dxa"/>
            <w:bottom w:w="0" w:type="dxa"/>
            <w:right w:w="0" w:type="dxa"/>
          </w:tblCellMar>
        </w:tblPrEx>
        <w:trPr>
          <w:jc w:val="center"/>
        </w:trPr>
        <w:tc>
          <w:tcPr>
            <w:tcW w:w="9809" w:type="dxa"/>
            <w:gridSpan w:val="5"/>
            <w:tcBorders>
              <w:top w:val="single" w:color="000000" w:sz="6" w:space="0"/>
              <w:left w:val="single" w:color="000000" w:sz="12" w:space="0"/>
              <w:bottom w:val="single" w:color="000000" w:sz="6" w:space="0"/>
              <w:right w:val="single" w:color="000000" w:sz="12" w:space="0"/>
            </w:tcBorders>
            <w:noWrap w:val="0"/>
            <w:tcMar>
              <w:top w:w="0" w:type="dxa"/>
              <w:left w:w="28" w:type="dxa"/>
              <w:bottom w:w="0" w:type="dxa"/>
              <w:right w:w="28" w:type="dxa"/>
            </w:tcMar>
            <w:vAlign w:val="center"/>
          </w:tcPr>
          <w:p w14:paraId="121DC90D">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二、现场人员</w:t>
            </w:r>
          </w:p>
        </w:tc>
      </w:tr>
      <w:tr w14:paraId="2A5E9ABD">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3D3F8CA4">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项目经理</w:t>
            </w: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CD28452">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1E796AF">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A7B60A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3D3889B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18E2910">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1F55E0D6">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项目副经理</w:t>
            </w: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6A0A068">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0900F86">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6BED808">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3716DF0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19E654EC">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5F8795F0">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技术负责人</w:t>
            </w: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A339DF8">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3FBD5EA">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BE1DA6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15A125F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400FF9FB">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452BB386">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造价管理</w:t>
            </w: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276A906">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CC8430D">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059176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7306D99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3FB4AC5C">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7055589D">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质量管理</w:t>
            </w: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A56B48A">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910E121">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53784E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75B8A39E">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4C3009AE">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34613957">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材料管理</w:t>
            </w: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ACBAB17">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B225CC1">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755CEE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784600DC">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029C9BA0">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2B20A2C9">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计划管理</w:t>
            </w: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611D6F8">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9ED0EF0">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1D63CF3">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2252EB6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7F56A176">
        <w:tblPrEx>
          <w:tblCellMar>
            <w:top w:w="0" w:type="dxa"/>
            <w:left w:w="0" w:type="dxa"/>
            <w:bottom w:w="0" w:type="dxa"/>
            <w:right w:w="0" w:type="dxa"/>
          </w:tblCellMar>
        </w:tblPrEx>
        <w:trPr>
          <w:jc w:val="center"/>
        </w:trPr>
        <w:tc>
          <w:tcPr>
            <w:tcW w:w="1871" w:type="dxa"/>
            <w:tcBorders>
              <w:top w:val="single" w:color="000000" w:sz="6" w:space="0"/>
              <w:left w:val="single" w:color="000000" w:sz="12" w:space="0"/>
              <w:bottom w:val="single" w:color="000000" w:sz="6" w:space="0"/>
              <w:right w:val="single" w:color="000000" w:sz="6" w:space="0"/>
            </w:tcBorders>
            <w:noWrap w:val="0"/>
            <w:tcMar>
              <w:top w:w="0" w:type="dxa"/>
              <w:left w:w="28" w:type="dxa"/>
              <w:bottom w:w="0" w:type="dxa"/>
              <w:right w:w="28" w:type="dxa"/>
            </w:tcMar>
            <w:vAlign w:val="center"/>
          </w:tcPr>
          <w:p w14:paraId="169BBADE">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安全管理</w:t>
            </w: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8373F98">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64C1B69">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53EC7C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50858CB9">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18320FD7">
        <w:tblPrEx>
          <w:tblCellMar>
            <w:top w:w="0" w:type="dxa"/>
            <w:left w:w="0" w:type="dxa"/>
            <w:bottom w:w="0" w:type="dxa"/>
            <w:right w:w="0" w:type="dxa"/>
          </w:tblCellMar>
        </w:tblPrEx>
        <w:trPr>
          <w:jc w:val="center"/>
        </w:trPr>
        <w:tc>
          <w:tcPr>
            <w:tcW w:w="1871" w:type="dxa"/>
            <w:vMerge w:val="restart"/>
            <w:tcBorders>
              <w:top w:val="single" w:color="000000" w:sz="6" w:space="0"/>
              <w:left w:val="single" w:color="000000" w:sz="12" w:space="0"/>
              <w:bottom w:val="single" w:color="000000" w:sz="12" w:space="0"/>
              <w:right w:val="single" w:color="000000" w:sz="6" w:space="0"/>
            </w:tcBorders>
            <w:noWrap w:val="0"/>
            <w:tcMar>
              <w:top w:w="0" w:type="dxa"/>
              <w:left w:w="28" w:type="dxa"/>
              <w:bottom w:w="0" w:type="dxa"/>
              <w:right w:w="28" w:type="dxa"/>
            </w:tcMar>
            <w:vAlign w:val="center"/>
          </w:tcPr>
          <w:p w14:paraId="439352AD">
            <w:pPr>
              <w:pageBreakBefore w:val="0"/>
              <w:kinsoku/>
              <w:overflowPunct/>
              <w:topLinePunct w:val="0"/>
              <w:bidi w:val="0"/>
              <w:spacing w:line="360" w:lineRule="auto"/>
              <w:jc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rPr>
              <w:t>其他人员</w:t>
            </w: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CFF6AD5">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34DC815">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27E6BD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0F683F2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797BA65E">
        <w:tblPrEx>
          <w:tblCellMar>
            <w:top w:w="0" w:type="dxa"/>
            <w:left w:w="0" w:type="dxa"/>
            <w:bottom w:w="0" w:type="dxa"/>
            <w:right w:w="0" w:type="dxa"/>
          </w:tblCellMar>
        </w:tblPrEx>
        <w:trPr>
          <w:jc w:val="center"/>
        </w:trPr>
        <w:tc>
          <w:tcPr>
            <w:tcW w:w="1871" w:type="dxa"/>
            <w:vMerge w:val="continue"/>
            <w:tcBorders>
              <w:top w:val="single" w:color="000000" w:sz="6" w:space="0"/>
              <w:left w:val="single" w:color="000000" w:sz="12" w:space="0"/>
              <w:bottom w:val="single" w:color="000000" w:sz="12" w:space="0"/>
              <w:right w:val="single" w:color="000000" w:sz="6" w:space="0"/>
            </w:tcBorders>
            <w:noWrap w:val="0"/>
            <w:vAlign w:val="center"/>
          </w:tcPr>
          <w:p w14:paraId="45B97382">
            <w:pPr>
              <w:pageBreakBefore w:val="0"/>
              <w:widowControl/>
              <w:kinsoku/>
              <w:overflowPunct/>
              <w:topLinePunct w:val="0"/>
              <w:bidi w:val="0"/>
              <w:spacing w:line="360" w:lineRule="auto"/>
              <w:jc w:val="left"/>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nil"/>
              <w:right w:val="single" w:color="000000" w:sz="6" w:space="0"/>
            </w:tcBorders>
            <w:noWrap w:val="0"/>
            <w:tcMar>
              <w:top w:w="0" w:type="dxa"/>
              <w:left w:w="28" w:type="dxa"/>
              <w:bottom w:w="0" w:type="dxa"/>
              <w:right w:w="28" w:type="dxa"/>
            </w:tcMar>
            <w:vAlign w:val="center"/>
          </w:tcPr>
          <w:p w14:paraId="51ADABC1">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nil"/>
              <w:right w:val="single" w:color="000000" w:sz="6" w:space="0"/>
            </w:tcBorders>
            <w:noWrap w:val="0"/>
            <w:tcMar>
              <w:top w:w="0" w:type="dxa"/>
              <w:left w:w="28" w:type="dxa"/>
              <w:bottom w:w="0" w:type="dxa"/>
              <w:right w:w="28" w:type="dxa"/>
            </w:tcMar>
            <w:vAlign w:val="center"/>
          </w:tcPr>
          <w:p w14:paraId="537C7EC4">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nil"/>
              <w:right w:val="single" w:color="000000" w:sz="6" w:space="0"/>
            </w:tcBorders>
            <w:noWrap w:val="0"/>
            <w:tcMar>
              <w:top w:w="0" w:type="dxa"/>
              <w:left w:w="28" w:type="dxa"/>
              <w:bottom w:w="0" w:type="dxa"/>
              <w:right w:w="28" w:type="dxa"/>
            </w:tcMar>
            <w:vAlign w:val="center"/>
          </w:tcPr>
          <w:p w14:paraId="11A55D06">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nil"/>
              <w:right w:val="single" w:color="000000" w:sz="12" w:space="0"/>
            </w:tcBorders>
            <w:noWrap w:val="0"/>
            <w:tcMar>
              <w:top w:w="0" w:type="dxa"/>
              <w:left w:w="28" w:type="dxa"/>
              <w:bottom w:w="0" w:type="dxa"/>
              <w:right w:w="28" w:type="dxa"/>
            </w:tcMar>
            <w:vAlign w:val="center"/>
          </w:tcPr>
          <w:p w14:paraId="7012768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4B937568">
        <w:tblPrEx>
          <w:tblCellMar>
            <w:top w:w="0" w:type="dxa"/>
            <w:left w:w="0" w:type="dxa"/>
            <w:bottom w:w="0" w:type="dxa"/>
            <w:right w:w="0" w:type="dxa"/>
          </w:tblCellMar>
        </w:tblPrEx>
        <w:trPr>
          <w:jc w:val="center"/>
        </w:trPr>
        <w:tc>
          <w:tcPr>
            <w:tcW w:w="1871" w:type="dxa"/>
            <w:vMerge w:val="continue"/>
            <w:tcBorders>
              <w:top w:val="single" w:color="000000" w:sz="6" w:space="0"/>
              <w:left w:val="single" w:color="000000" w:sz="12" w:space="0"/>
              <w:bottom w:val="single" w:color="000000" w:sz="12" w:space="0"/>
              <w:right w:val="single" w:color="000000" w:sz="6" w:space="0"/>
            </w:tcBorders>
            <w:noWrap w:val="0"/>
            <w:vAlign w:val="center"/>
          </w:tcPr>
          <w:p w14:paraId="7FF578A4">
            <w:pPr>
              <w:pageBreakBefore w:val="0"/>
              <w:widowControl/>
              <w:kinsoku/>
              <w:overflowPunct/>
              <w:topLinePunct w:val="0"/>
              <w:bidi w:val="0"/>
              <w:spacing w:line="360" w:lineRule="auto"/>
              <w:jc w:val="left"/>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149786A">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85EB491">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6ABA2FD">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174D814F">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7F7DC40D">
        <w:tblPrEx>
          <w:tblCellMar>
            <w:top w:w="0" w:type="dxa"/>
            <w:left w:w="0" w:type="dxa"/>
            <w:bottom w:w="0" w:type="dxa"/>
            <w:right w:w="0" w:type="dxa"/>
          </w:tblCellMar>
        </w:tblPrEx>
        <w:trPr>
          <w:jc w:val="center"/>
        </w:trPr>
        <w:tc>
          <w:tcPr>
            <w:tcW w:w="1871" w:type="dxa"/>
            <w:vMerge w:val="continue"/>
            <w:tcBorders>
              <w:top w:val="single" w:color="000000" w:sz="6" w:space="0"/>
              <w:left w:val="single" w:color="000000" w:sz="12" w:space="0"/>
              <w:bottom w:val="single" w:color="000000" w:sz="12" w:space="0"/>
              <w:right w:val="single" w:color="000000" w:sz="6" w:space="0"/>
            </w:tcBorders>
            <w:noWrap w:val="0"/>
            <w:vAlign w:val="center"/>
          </w:tcPr>
          <w:p w14:paraId="5423D376">
            <w:pPr>
              <w:pageBreakBefore w:val="0"/>
              <w:widowControl/>
              <w:kinsoku/>
              <w:overflowPunct/>
              <w:topLinePunct w:val="0"/>
              <w:bidi w:val="0"/>
              <w:spacing w:line="360" w:lineRule="auto"/>
              <w:jc w:val="left"/>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8A0FE8D">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1202F47">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0C5CF6A">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73C8F29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4379ECFA">
        <w:tblPrEx>
          <w:tblCellMar>
            <w:top w:w="0" w:type="dxa"/>
            <w:left w:w="0" w:type="dxa"/>
            <w:bottom w:w="0" w:type="dxa"/>
            <w:right w:w="0" w:type="dxa"/>
          </w:tblCellMar>
        </w:tblPrEx>
        <w:trPr>
          <w:jc w:val="center"/>
        </w:trPr>
        <w:tc>
          <w:tcPr>
            <w:tcW w:w="1871" w:type="dxa"/>
            <w:vMerge w:val="continue"/>
            <w:tcBorders>
              <w:top w:val="single" w:color="000000" w:sz="6" w:space="0"/>
              <w:left w:val="single" w:color="000000" w:sz="12" w:space="0"/>
              <w:bottom w:val="single" w:color="000000" w:sz="12" w:space="0"/>
              <w:right w:val="single" w:color="000000" w:sz="6" w:space="0"/>
            </w:tcBorders>
            <w:noWrap w:val="0"/>
            <w:vAlign w:val="center"/>
          </w:tcPr>
          <w:p w14:paraId="468AB78D">
            <w:pPr>
              <w:pageBreakBefore w:val="0"/>
              <w:widowControl/>
              <w:kinsoku/>
              <w:overflowPunct/>
              <w:topLinePunct w:val="0"/>
              <w:bidi w:val="0"/>
              <w:spacing w:line="360" w:lineRule="auto"/>
              <w:jc w:val="left"/>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269515F">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C4B0CA2">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F26BB20">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6" w:space="0"/>
              <w:right w:val="single" w:color="000000" w:sz="12" w:space="0"/>
            </w:tcBorders>
            <w:noWrap w:val="0"/>
            <w:tcMar>
              <w:top w:w="0" w:type="dxa"/>
              <w:left w:w="28" w:type="dxa"/>
              <w:bottom w:w="0" w:type="dxa"/>
              <w:right w:w="28" w:type="dxa"/>
            </w:tcMar>
            <w:vAlign w:val="center"/>
          </w:tcPr>
          <w:p w14:paraId="082A8CE1">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r w14:paraId="54EEB304">
        <w:tblPrEx>
          <w:tblCellMar>
            <w:top w:w="0" w:type="dxa"/>
            <w:left w:w="0" w:type="dxa"/>
            <w:bottom w:w="0" w:type="dxa"/>
            <w:right w:w="0" w:type="dxa"/>
          </w:tblCellMar>
        </w:tblPrEx>
        <w:trPr>
          <w:jc w:val="center"/>
        </w:trPr>
        <w:tc>
          <w:tcPr>
            <w:tcW w:w="1871" w:type="dxa"/>
            <w:vMerge w:val="continue"/>
            <w:tcBorders>
              <w:top w:val="single" w:color="000000" w:sz="6" w:space="0"/>
              <w:left w:val="single" w:color="000000" w:sz="12" w:space="0"/>
              <w:bottom w:val="single" w:color="000000" w:sz="12" w:space="0"/>
              <w:right w:val="single" w:color="000000" w:sz="6" w:space="0"/>
            </w:tcBorders>
            <w:noWrap w:val="0"/>
            <w:vAlign w:val="center"/>
          </w:tcPr>
          <w:p w14:paraId="09A809F8">
            <w:pPr>
              <w:pageBreakBefore w:val="0"/>
              <w:widowControl/>
              <w:kinsoku/>
              <w:overflowPunct/>
              <w:topLinePunct w:val="0"/>
              <w:bidi w:val="0"/>
              <w:spacing w:line="360" w:lineRule="auto"/>
              <w:jc w:val="left"/>
              <w:rPr>
                <w:rFonts w:hint="eastAsia" w:ascii="宋体" w:hAnsi="宋体" w:eastAsia="宋体" w:cs="宋体"/>
                <w:color w:val="000000"/>
                <w:sz w:val="24"/>
                <w:highlight w:val="none"/>
              </w:rPr>
            </w:pPr>
          </w:p>
        </w:tc>
        <w:tc>
          <w:tcPr>
            <w:tcW w:w="1418"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7F1261C8">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5E26527E">
            <w:pPr>
              <w:pageBreakBefore w:val="0"/>
              <w:kinsoku/>
              <w:overflowPunct/>
              <w:topLinePunct w:val="0"/>
              <w:bidi w:val="0"/>
              <w:spacing w:line="360" w:lineRule="auto"/>
              <w:jc w:val="center"/>
              <w:rPr>
                <w:rFonts w:hint="eastAsia" w:ascii="宋体" w:hAnsi="宋体" w:eastAsia="宋体" w:cs="宋体"/>
                <w:color w:val="000000"/>
                <w:sz w:val="24"/>
                <w:highlight w:val="none"/>
              </w:rPr>
            </w:pPr>
          </w:p>
        </w:tc>
        <w:tc>
          <w:tcPr>
            <w:tcW w:w="1134" w:type="dxa"/>
            <w:tcBorders>
              <w:top w:val="single" w:color="000000" w:sz="6" w:space="0"/>
              <w:left w:val="single" w:color="000000" w:sz="6" w:space="0"/>
              <w:bottom w:val="single" w:color="000000" w:sz="12" w:space="0"/>
              <w:right w:val="single" w:color="000000" w:sz="6" w:space="0"/>
            </w:tcBorders>
            <w:noWrap w:val="0"/>
            <w:tcMar>
              <w:top w:w="0" w:type="dxa"/>
              <w:left w:w="28" w:type="dxa"/>
              <w:bottom w:w="0" w:type="dxa"/>
              <w:right w:w="28" w:type="dxa"/>
            </w:tcMar>
            <w:vAlign w:val="center"/>
          </w:tcPr>
          <w:p w14:paraId="06BFC3B2">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c>
          <w:tcPr>
            <w:tcW w:w="4252" w:type="dxa"/>
            <w:tcBorders>
              <w:top w:val="single" w:color="000000" w:sz="6" w:space="0"/>
              <w:left w:val="single" w:color="000000" w:sz="6" w:space="0"/>
              <w:bottom w:val="single" w:color="000000" w:sz="12" w:space="0"/>
              <w:right w:val="single" w:color="000000" w:sz="12" w:space="0"/>
            </w:tcBorders>
            <w:noWrap w:val="0"/>
            <w:tcMar>
              <w:top w:w="0" w:type="dxa"/>
              <w:left w:w="28" w:type="dxa"/>
              <w:bottom w:w="0" w:type="dxa"/>
              <w:right w:w="28" w:type="dxa"/>
            </w:tcMar>
            <w:vAlign w:val="center"/>
          </w:tcPr>
          <w:p w14:paraId="40842BE7">
            <w:pPr>
              <w:keepNext/>
              <w:pageBreakBefore w:val="0"/>
              <w:kinsoku/>
              <w:overflowPunct/>
              <w:topLinePunct w:val="0"/>
              <w:bidi w:val="0"/>
              <w:spacing w:line="360" w:lineRule="auto"/>
              <w:ind w:left="63" w:right="63"/>
              <w:jc w:val="center"/>
              <w:rPr>
                <w:rFonts w:hint="eastAsia" w:ascii="宋体" w:hAnsi="宋体" w:eastAsia="宋体" w:cs="宋体"/>
                <w:color w:val="000000"/>
                <w:sz w:val="52"/>
                <w:highlight w:val="none"/>
              </w:rPr>
            </w:pPr>
          </w:p>
        </w:tc>
      </w:tr>
    </w:tbl>
    <w:p w14:paraId="52DC39EB">
      <w:pPr>
        <w:pageBreakBefore w:val="0"/>
        <w:kinsoku/>
        <w:overflowPunct/>
        <w:topLinePunct w:val="0"/>
        <w:bidi w:val="0"/>
        <w:spacing w:line="360" w:lineRule="auto"/>
        <w:rPr>
          <w:rFonts w:hAnsi="Courier New" w:eastAsia="仿宋_GB2312"/>
          <w:sz w:val="24"/>
        </w:rPr>
      </w:pPr>
    </w:p>
    <w:p w14:paraId="2257B7B8">
      <w:pPr>
        <w:pageBreakBefore w:val="0"/>
        <w:kinsoku/>
        <w:overflowPunct/>
        <w:topLinePunct w:val="0"/>
        <w:bidi w:val="0"/>
        <w:spacing w:line="360" w:lineRule="auto"/>
        <w:rPr>
          <w:rFonts w:hint="eastAsia" w:ascii="宋体" w:hAnsi="宋体" w:eastAsia="宋体" w:cs="宋体"/>
          <w:color w:val="000000"/>
          <w:sz w:val="24"/>
          <w:highlight w:val="none"/>
        </w:rPr>
      </w:pPr>
      <w:r>
        <w:rPr>
          <w:rFonts w:hAnsi="Courier New" w:eastAsia="仿宋_GB2312"/>
          <w:sz w:val="24"/>
        </w:rPr>
        <w:br w:type="page"/>
      </w:r>
    </w:p>
    <w:p w14:paraId="47DDE405">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b w:val="0"/>
          <w:bCs/>
          <w:color w:val="000000"/>
          <w:kern w:val="44"/>
          <w:sz w:val="44"/>
          <w:szCs w:val="44"/>
          <w:lang w:val="en-US" w:eastAsia="zh-CN" w:bidi="ar-SA"/>
        </w:rPr>
      </w:pPr>
      <w:bookmarkStart w:id="964" w:name="_Toc10274"/>
      <w:bookmarkStart w:id="965" w:name="_Toc7855"/>
      <w:bookmarkStart w:id="966" w:name="_Toc9603"/>
      <w:bookmarkStart w:id="967" w:name="_Toc21362"/>
    </w:p>
    <w:p w14:paraId="68952827">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b w:val="0"/>
          <w:bCs/>
          <w:color w:val="000000"/>
          <w:kern w:val="44"/>
          <w:sz w:val="44"/>
          <w:szCs w:val="44"/>
          <w:lang w:val="en-US" w:eastAsia="zh-CN" w:bidi="ar-SA"/>
        </w:rPr>
      </w:pPr>
    </w:p>
    <w:p w14:paraId="2F64327D">
      <w:pPr>
        <w:pStyle w:val="2"/>
        <w:keepNext/>
        <w:keepLines/>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宋体" w:hAnsi="宋体" w:eastAsia="宋体" w:cs="宋体"/>
          <w:b w:val="0"/>
          <w:bCs/>
          <w:color w:val="000000"/>
          <w:kern w:val="44"/>
          <w:sz w:val="44"/>
          <w:szCs w:val="44"/>
          <w:lang w:val="en-US" w:eastAsia="zh-CN" w:bidi="ar-SA"/>
        </w:rPr>
      </w:pPr>
      <w:r>
        <w:rPr>
          <w:rFonts w:hint="eastAsia" w:ascii="宋体" w:hAnsi="宋体" w:eastAsia="宋体" w:cs="宋体"/>
          <w:b w:val="0"/>
          <w:bCs/>
          <w:color w:val="000000"/>
          <w:kern w:val="44"/>
          <w:sz w:val="44"/>
          <w:szCs w:val="44"/>
          <w:lang w:val="en-US" w:eastAsia="zh-CN" w:bidi="ar-SA"/>
        </w:rPr>
        <w:t xml:space="preserve">第七章 </w:t>
      </w:r>
      <w:bookmarkStart w:id="968" w:name="_Toc986"/>
      <w:r>
        <w:rPr>
          <w:rFonts w:hint="eastAsia" w:ascii="宋体" w:hAnsi="宋体" w:eastAsia="宋体" w:cs="宋体"/>
          <w:b w:val="0"/>
          <w:bCs/>
          <w:color w:val="000000"/>
          <w:kern w:val="44"/>
          <w:sz w:val="44"/>
          <w:szCs w:val="44"/>
          <w:lang w:val="en-US" w:eastAsia="zh-CN" w:bidi="ar-SA"/>
        </w:rPr>
        <w:t>图纸和</w:t>
      </w:r>
      <w:bookmarkEnd w:id="964"/>
      <w:bookmarkEnd w:id="965"/>
      <w:bookmarkEnd w:id="966"/>
      <w:bookmarkEnd w:id="968"/>
      <w:r>
        <w:rPr>
          <w:rFonts w:hint="eastAsia" w:ascii="宋体" w:hAnsi="宋体" w:cs="宋体"/>
          <w:b w:val="0"/>
          <w:bCs/>
          <w:color w:val="000000"/>
          <w:kern w:val="44"/>
          <w:sz w:val="44"/>
          <w:szCs w:val="44"/>
          <w:lang w:val="en-US" w:eastAsia="zh-CN" w:bidi="ar-SA"/>
        </w:rPr>
        <w:t>招标控制价</w:t>
      </w:r>
    </w:p>
    <w:p w14:paraId="2775135E">
      <w:pPr>
        <w:pStyle w:val="5"/>
        <w:tabs>
          <w:tab w:val="left" w:pos="2155"/>
        </w:tabs>
        <w:jc w:val="center"/>
        <w:rPr>
          <w:rFonts w:hint="eastAsia" w:ascii="宋体" w:hAnsi="宋体" w:eastAsia="宋体" w:cs="宋体"/>
          <w:b/>
          <w:bCs/>
          <w:color w:val="auto"/>
          <w:kern w:val="0"/>
          <w:sz w:val="36"/>
          <w:szCs w:val="36"/>
          <w:highlight w:val="none"/>
          <w:lang w:val="en-US" w:eastAsia="zh-CN" w:bidi="ar-SA"/>
        </w:rPr>
      </w:pPr>
    </w:p>
    <w:p w14:paraId="695C88D1">
      <w:pPr>
        <w:pStyle w:val="5"/>
        <w:tabs>
          <w:tab w:val="left" w:pos="2155"/>
        </w:tabs>
        <w:jc w:val="center"/>
        <w:rPr>
          <w:rFonts w:hint="eastAsia" w:ascii="宋体" w:hAnsi="宋体" w:eastAsia="宋体" w:cs="宋体"/>
          <w:b/>
          <w:bCs/>
          <w:color w:val="auto"/>
          <w:kern w:val="0"/>
          <w:sz w:val="36"/>
          <w:szCs w:val="36"/>
          <w:highlight w:val="none"/>
          <w:lang w:val="en-US" w:eastAsia="zh-CN" w:bidi="ar-SA"/>
        </w:rPr>
      </w:pPr>
      <w:r>
        <w:rPr>
          <w:rFonts w:hint="eastAsia" w:ascii="宋体" w:hAnsi="宋体" w:eastAsia="宋体" w:cs="宋体"/>
          <w:b/>
          <w:bCs/>
          <w:color w:val="auto"/>
          <w:kern w:val="0"/>
          <w:sz w:val="36"/>
          <w:szCs w:val="36"/>
          <w:highlight w:val="none"/>
          <w:lang w:val="en-US" w:eastAsia="zh-CN" w:bidi="ar-SA"/>
        </w:rPr>
        <w:t>另附，</w:t>
      </w:r>
      <w:r>
        <w:rPr>
          <w:rFonts w:hint="eastAsia" w:ascii="宋体" w:hAnsi="宋体" w:eastAsia="宋体" w:cs="宋体"/>
          <w:b/>
          <w:bCs/>
          <w:color w:val="auto"/>
          <w:kern w:val="0"/>
          <w:sz w:val="36"/>
          <w:szCs w:val="36"/>
          <w:highlight w:val="none"/>
        </w:rPr>
        <w:t>请</w:t>
      </w:r>
      <w:r>
        <w:rPr>
          <w:rFonts w:hint="eastAsia" w:ascii="宋体" w:hAnsi="宋体" w:eastAsia="宋体" w:cs="宋体"/>
          <w:b/>
          <w:bCs/>
          <w:color w:val="auto"/>
          <w:kern w:val="0"/>
          <w:sz w:val="36"/>
          <w:szCs w:val="36"/>
          <w:highlight w:val="none"/>
          <w:lang w:val="en-US" w:eastAsia="zh-CN"/>
        </w:rPr>
        <w:t>供应商</w:t>
      </w:r>
      <w:r>
        <w:rPr>
          <w:rFonts w:hint="eastAsia" w:ascii="宋体" w:hAnsi="宋体" w:eastAsia="宋体" w:cs="宋体"/>
          <w:b/>
          <w:bCs/>
          <w:color w:val="auto"/>
          <w:kern w:val="0"/>
          <w:sz w:val="36"/>
          <w:szCs w:val="36"/>
          <w:highlight w:val="none"/>
          <w:u w:val="none"/>
          <w:shd w:val="clear" w:color="auto" w:fill="auto"/>
          <w:lang w:val="en-US" w:eastAsia="zh-CN" w:bidi="ar-SA"/>
        </w:rPr>
        <w:t>登录“广西政府采购云平台”</w:t>
      </w:r>
      <w:r>
        <w:rPr>
          <w:rFonts w:hint="eastAsia" w:ascii="宋体" w:hAnsi="宋体" w:eastAsia="宋体" w:cs="宋体"/>
          <w:b/>
          <w:bCs/>
          <w:color w:val="auto"/>
          <w:kern w:val="0"/>
          <w:sz w:val="36"/>
          <w:szCs w:val="36"/>
          <w:highlight w:val="none"/>
          <w:u w:val="none"/>
          <w:shd w:val="clear" w:color="auto" w:fill="auto"/>
          <w:lang w:bidi="ar-SA"/>
        </w:rPr>
        <w:t>获取（下载）</w:t>
      </w:r>
      <w:r>
        <w:rPr>
          <w:rFonts w:hint="eastAsia" w:ascii="宋体" w:hAnsi="宋体" w:eastAsia="宋体" w:cs="宋体"/>
          <w:b/>
          <w:bCs/>
          <w:color w:val="auto"/>
          <w:kern w:val="0"/>
          <w:sz w:val="36"/>
          <w:szCs w:val="36"/>
          <w:highlight w:val="none"/>
          <w:u w:val="none"/>
          <w:shd w:val="clear" w:color="auto" w:fill="auto"/>
          <w:lang w:eastAsia="zh-CN" w:bidi="ar-SA"/>
        </w:rPr>
        <w:t>。</w:t>
      </w:r>
    </w:p>
    <w:p w14:paraId="04026509">
      <w:pPr>
        <w:pStyle w:val="5"/>
        <w:tabs>
          <w:tab w:val="left" w:pos="2155"/>
        </w:tabs>
        <w:jc w:val="center"/>
        <w:rPr>
          <w:rFonts w:hint="eastAsia" w:ascii="宋体" w:hAnsi="宋体" w:eastAsia="宋体" w:cs="宋体"/>
          <w:b/>
          <w:bCs/>
          <w:color w:val="auto"/>
          <w:kern w:val="0"/>
          <w:sz w:val="36"/>
          <w:szCs w:val="36"/>
          <w:highlight w:val="none"/>
          <w:lang w:val="en-US" w:eastAsia="zh-CN" w:bidi="ar-SA"/>
        </w:rPr>
      </w:pPr>
    </w:p>
    <w:p w14:paraId="6BF07598">
      <w:pPr>
        <w:pStyle w:val="2"/>
        <w:pageBreakBefore w:val="0"/>
        <w:numPr>
          <w:ilvl w:val="0"/>
          <w:numId w:val="0"/>
        </w:numPr>
        <w:kinsoku/>
        <w:overflowPunct/>
        <w:topLinePunct w:val="0"/>
        <w:bidi w:val="0"/>
        <w:spacing w:before="0" w:after="0" w:line="240" w:lineRule="auto"/>
        <w:jc w:val="center"/>
        <w:rPr>
          <w:rFonts w:hint="eastAsia" w:ascii="宋体" w:hAnsi="宋体" w:eastAsia="宋体" w:cs="宋体"/>
          <w:b w:val="0"/>
          <w:color w:val="000000"/>
          <w:highlight w:val="none"/>
        </w:rPr>
      </w:pPr>
      <w:r>
        <w:rPr>
          <w:rFonts w:hint="eastAsia" w:ascii="宋体" w:hAnsi="宋体" w:eastAsia="宋体" w:cs="宋体"/>
          <w:b w:val="0"/>
          <w:bCs/>
          <w:color w:val="000000"/>
          <w:kern w:val="44"/>
          <w:sz w:val="44"/>
          <w:szCs w:val="44"/>
          <w:lang w:val="en-US" w:eastAsia="zh-CN" w:bidi="ar-SA"/>
        </w:rPr>
        <w:br w:type="page"/>
      </w:r>
      <w:bookmarkStart w:id="969" w:name="_Toc14536"/>
      <w:r>
        <w:rPr>
          <w:rFonts w:hint="eastAsia" w:ascii="宋体" w:hAnsi="宋体" w:eastAsia="宋体" w:cs="宋体"/>
          <w:b w:val="0"/>
          <w:bCs/>
          <w:color w:val="000000"/>
          <w:kern w:val="44"/>
          <w:sz w:val="44"/>
          <w:szCs w:val="44"/>
          <w:lang w:val="en-US" w:eastAsia="zh-CN" w:bidi="ar-SA"/>
        </w:rPr>
        <w:t xml:space="preserve">第八章 </w:t>
      </w:r>
      <w:r>
        <w:rPr>
          <w:rFonts w:hint="eastAsia" w:ascii="宋体" w:hAnsi="宋体" w:eastAsia="宋体" w:cs="宋体"/>
          <w:b w:val="0"/>
          <w:color w:val="000000"/>
          <w:highlight w:val="none"/>
        </w:rPr>
        <w:t>质疑、投诉材料格式</w:t>
      </w:r>
      <w:bookmarkEnd w:id="967"/>
      <w:bookmarkEnd w:id="969"/>
    </w:p>
    <w:p w14:paraId="76E3FDCE">
      <w:pPr>
        <w:widowControl w:val="0"/>
        <w:numPr>
          <w:ilvl w:val="0"/>
          <w:numId w:val="0"/>
        </w:numPr>
        <w:jc w:val="both"/>
        <w:rPr>
          <w:rFonts w:hint="eastAsia"/>
          <w:color w:val="000000"/>
          <w:highlight w:val="none"/>
        </w:rPr>
      </w:pPr>
    </w:p>
    <w:p w14:paraId="09C7C4E7">
      <w:pPr>
        <w:pageBreakBefore w:val="0"/>
        <w:kinsoku/>
        <w:overflowPunct/>
        <w:topLinePunct w:val="0"/>
        <w:bidi w:val="0"/>
        <w:spacing w:line="360" w:lineRule="auto"/>
        <w:jc w:val="center"/>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质疑函（格式）</w:t>
      </w:r>
    </w:p>
    <w:p w14:paraId="1CE39B90">
      <w:pPr>
        <w:pStyle w:val="9"/>
        <w:keepNext w:val="0"/>
        <w:keepLines w:val="0"/>
        <w:pageBreakBefore w:val="0"/>
        <w:widowControl w:val="0"/>
        <w:kinsoku/>
        <w:wordWrap/>
        <w:overflowPunct/>
        <w:topLinePunct w:val="0"/>
        <w:autoSpaceDE/>
        <w:autoSpaceDN/>
        <w:bidi w:val="0"/>
        <w:adjustRightInd/>
        <w:snapToGrid/>
        <w:spacing w:line="460" w:lineRule="exact"/>
        <w:ind w:firstLine="442" w:firstLineChars="200"/>
        <w:contextualSpacing/>
        <w:textAlignment w:val="auto"/>
        <w:rPr>
          <w:rFonts w:hint="eastAsia"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一、质疑供应商基本信息：</w:t>
      </w:r>
    </w:p>
    <w:p w14:paraId="1BAB6FBF">
      <w:pPr>
        <w:pStyle w:val="9"/>
        <w:keepNext w:val="0"/>
        <w:keepLines w:val="0"/>
        <w:pageBreakBefore w:val="0"/>
        <w:widowControl w:val="0"/>
        <w:kinsoku/>
        <w:wordWrap/>
        <w:overflowPunct/>
        <w:topLinePunct w:val="0"/>
        <w:autoSpaceDE/>
        <w:autoSpaceDN/>
        <w:bidi w:val="0"/>
        <w:adjustRightInd/>
        <w:snapToGrid/>
        <w:spacing w:line="460" w:lineRule="exact"/>
        <w:ind w:firstLine="440" w:firstLineChars="200"/>
        <w:contextualSpacing/>
        <w:textAlignment w:val="auto"/>
        <w:rPr>
          <w:rFonts w:hint="eastAsia" w:ascii="宋体" w:hAnsi="宋体" w:eastAsia="宋体" w:cs="宋体"/>
          <w:bCs/>
          <w:color w:val="000000"/>
          <w:sz w:val="22"/>
          <w:szCs w:val="22"/>
          <w:highlight w:val="none"/>
          <w:u w:val="single"/>
        </w:rPr>
      </w:pPr>
      <w:r>
        <w:rPr>
          <w:rFonts w:hint="eastAsia" w:ascii="宋体" w:hAnsi="宋体" w:eastAsia="宋体" w:cs="宋体"/>
          <w:bCs/>
          <w:color w:val="000000"/>
          <w:sz w:val="22"/>
          <w:szCs w:val="22"/>
          <w:highlight w:val="none"/>
        </w:rPr>
        <w:t>质疑供应商：</w:t>
      </w:r>
      <w:r>
        <w:rPr>
          <w:rFonts w:hint="eastAsia" w:ascii="宋体" w:hAnsi="宋体" w:eastAsia="宋体" w:cs="宋体"/>
          <w:bCs/>
          <w:color w:val="000000"/>
          <w:sz w:val="22"/>
          <w:szCs w:val="22"/>
          <w:highlight w:val="none"/>
          <w:u w:val="single"/>
        </w:rPr>
        <w:t xml:space="preserve">                                       </w:t>
      </w:r>
      <w:r>
        <w:rPr>
          <w:rFonts w:hint="eastAsia" w:ascii="宋体" w:hAnsi="宋体" w:eastAsia="宋体" w:cs="宋体"/>
          <w:bCs/>
          <w:color w:val="000000"/>
          <w:sz w:val="22"/>
          <w:szCs w:val="22"/>
          <w:highlight w:val="none"/>
        </w:rPr>
        <w:t xml:space="preserve">                 </w:t>
      </w:r>
    </w:p>
    <w:p w14:paraId="597A79EC">
      <w:pPr>
        <w:pStyle w:val="9"/>
        <w:keepNext w:val="0"/>
        <w:keepLines w:val="0"/>
        <w:pageBreakBefore w:val="0"/>
        <w:widowControl w:val="0"/>
        <w:kinsoku/>
        <w:wordWrap/>
        <w:overflowPunct/>
        <w:topLinePunct w:val="0"/>
        <w:autoSpaceDE/>
        <w:autoSpaceDN/>
        <w:bidi w:val="0"/>
        <w:adjustRightInd/>
        <w:snapToGrid/>
        <w:spacing w:line="460" w:lineRule="exact"/>
        <w:ind w:firstLine="440" w:firstLineChars="200"/>
        <w:contextualSpacing/>
        <w:textAlignment w:val="auto"/>
        <w:rPr>
          <w:rFonts w:hint="eastAsia" w:ascii="宋体" w:hAnsi="宋体" w:eastAsia="宋体" w:cs="宋体"/>
          <w:bCs/>
          <w:color w:val="000000"/>
          <w:sz w:val="22"/>
          <w:szCs w:val="22"/>
          <w:highlight w:val="none"/>
        </w:rPr>
      </w:pPr>
      <w:r>
        <w:rPr>
          <w:rFonts w:hint="eastAsia" w:ascii="宋体" w:hAnsi="宋体" w:eastAsia="宋体" w:cs="宋体"/>
          <w:bCs/>
          <w:color w:val="000000"/>
          <w:sz w:val="22"/>
          <w:szCs w:val="22"/>
          <w:highlight w:val="none"/>
        </w:rPr>
        <w:t>地址：</w:t>
      </w:r>
      <w:r>
        <w:rPr>
          <w:rFonts w:hint="eastAsia" w:ascii="宋体" w:hAnsi="宋体" w:eastAsia="宋体" w:cs="宋体"/>
          <w:bCs/>
          <w:color w:val="000000"/>
          <w:sz w:val="22"/>
          <w:szCs w:val="22"/>
          <w:highlight w:val="none"/>
          <w:u w:val="single"/>
        </w:rPr>
        <w:t xml:space="preserve">                                          </w:t>
      </w:r>
      <w:r>
        <w:rPr>
          <w:rFonts w:hint="eastAsia" w:ascii="宋体" w:hAnsi="宋体" w:eastAsia="宋体" w:cs="宋体"/>
          <w:bCs/>
          <w:color w:val="000000"/>
          <w:sz w:val="22"/>
          <w:szCs w:val="22"/>
          <w:highlight w:val="none"/>
        </w:rPr>
        <w:t>邮编：</w:t>
      </w:r>
      <w:r>
        <w:rPr>
          <w:rFonts w:hint="eastAsia" w:ascii="宋体" w:hAnsi="宋体" w:eastAsia="宋体" w:cs="宋体"/>
          <w:bCs/>
          <w:color w:val="000000"/>
          <w:sz w:val="22"/>
          <w:szCs w:val="22"/>
          <w:highlight w:val="none"/>
          <w:u w:val="single"/>
        </w:rPr>
        <w:t xml:space="preserve">                  </w:t>
      </w:r>
      <w:r>
        <w:rPr>
          <w:rFonts w:hint="eastAsia" w:ascii="宋体" w:hAnsi="宋体" w:eastAsia="宋体" w:cs="宋体"/>
          <w:bCs/>
          <w:color w:val="000000"/>
          <w:sz w:val="22"/>
          <w:szCs w:val="22"/>
          <w:highlight w:val="none"/>
        </w:rPr>
        <w:t xml:space="preserve">                 </w:t>
      </w:r>
    </w:p>
    <w:p w14:paraId="3348E60F">
      <w:pPr>
        <w:pStyle w:val="9"/>
        <w:keepNext w:val="0"/>
        <w:keepLines w:val="0"/>
        <w:pageBreakBefore w:val="0"/>
        <w:widowControl w:val="0"/>
        <w:kinsoku/>
        <w:wordWrap/>
        <w:overflowPunct/>
        <w:topLinePunct w:val="0"/>
        <w:autoSpaceDE/>
        <w:autoSpaceDN/>
        <w:bidi w:val="0"/>
        <w:adjustRightInd/>
        <w:snapToGrid/>
        <w:spacing w:line="460" w:lineRule="exact"/>
        <w:ind w:firstLine="440" w:firstLineChars="200"/>
        <w:contextualSpacing/>
        <w:textAlignment w:val="auto"/>
        <w:rPr>
          <w:rFonts w:hint="eastAsia" w:ascii="宋体" w:hAnsi="宋体" w:eastAsia="宋体" w:cs="宋体"/>
          <w:bCs/>
          <w:color w:val="000000"/>
          <w:sz w:val="22"/>
          <w:szCs w:val="22"/>
          <w:highlight w:val="none"/>
        </w:rPr>
      </w:pPr>
      <w:r>
        <w:rPr>
          <w:rFonts w:hint="eastAsia" w:ascii="宋体" w:hAnsi="宋体" w:eastAsia="宋体" w:cs="宋体"/>
          <w:bCs/>
          <w:color w:val="000000"/>
          <w:sz w:val="22"/>
          <w:szCs w:val="22"/>
          <w:highlight w:val="none"/>
        </w:rPr>
        <w:t>联系人：</w:t>
      </w:r>
      <w:r>
        <w:rPr>
          <w:rFonts w:hint="eastAsia" w:ascii="宋体" w:hAnsi="宋体" w:eastAsia="宋体" w:cs="宋体"/>
          <w:bCs/>
          <w:color w:val="000000"/>
          <w:sz w:val="22"/>
          <w:szCs w:val="22"/>
          <w:highlight w:val="none"/>
          <w:u w:val="single"/>
        </w:rPr>
        <w:t xml:space="preserve">                     </w:t>
      </w:r>
      <w:r>
        <w:rPr>
          <w:rFonts w:hint="eastAsia" w:ascii="宋体" w:hAnsi="宋体" w:eastAsia="宋体" w:cs="宋体"/>
          <w:bCs/>
          <w:color w:val="000000"/>
          <w:sz w:val="22"/>
          <w:szCs w:val="22"/>
          <w:highlight w:val="none"/>
        </w:rPr>
        <w:t>联系电话：</w:t>
      </w:r>
      <w:r>
        <w:rPr>
          <w:rFonts w:hint="eastAsia" w:ascii="宋体" w:hAnsi="宋体" w:eastAsia="宋体" w:cs="宋体"/>
          <w:bCs/>
          <w:color w:val="000000"/>
          <w:sz w:val="22"/>
          <w:szCs w:val="22"/>
          <w:highlight w:val="none"/>
          <w:u w:val="single"/>
        </w:rPr>
        <w:t xml:space="preserve">                 </w:t>
      </w:r>
    </w:p>
    <w:p w14:paraId="20046CDE">
      <w:pPr>
        <w:pStyle w:val="9"/>
        <w:keepNext w:val="0"/>
        <w:keepLines w:val="0"/>
        <w:pageBreakBefore w:val="0"/>
        <w:widowControl w:val="0"/>
        <w:kinsoku/>
        <w:wordWrap/>
        <w:overflowPunct/>
        <w:topLinePunct w:val="0"/>
        <w:autoSpaceDE/>
        <w:autoSpaceDN/>
        <w:bidi w:val="0"/>
        <w:adjustRightInd/>
        <w:snapToGrid/>
        <w:spacing w:line="460" w:lineRule="exact"/>
        <w:ind w:firstLine="440" w:firstLineChars="200"/>
        <w:contextualSpacing/>
        <w:textAlignment w:val="auto"/>
        <w:rPr>
          <w:rFonts w:hint="eastAsia" w:ascii="宋体" w:hAnsi="宋体" w:eastAsia="宋体" w:cs="宋体"/>
          <w:bCs/>
          <w:color w:val="000000"/>
          <w:sz w:val="22"/>
          <w:szCs w:val="22"/>
          <w:highlight w:val="none"/>
        </w:rPr>
      </w:pPr>
      <w:r>
        <w:rPr>
          <w:rFonts w:hint="eastAsia" w:ascii="宋体" w:hAnsi="宋体" w:eastAsia="宋体" w:cs="宋体"/>
          <w:bCs/>
          <w:color w:val="000000"/>
          <w:sz w:val="22"/>
          <w:szCs w:val="22"/>
          <w:highlight w:val="none"/>
        </w:rPr>
        <w:t>授权代表：</w:t>
      </w:r>
      <w:r>
        <w:rPr>
          <w:rFonts w:hint="eastAsia" w:ascii="宋体" w:hAnsi="宋体" w:eastAsia="宋体" w:cs="宋体"/>
          <w:bCs/>
          <w:color w:val="000000"/>
          <w:sz w:val="22"/>
          <w:szCs w:val="22"/>
          <w:highlight w:val="none"/>
          <w:u w:val="single"/>
        </w:rPr>
        <w:t xml:space="preserve">                      </w:t>
      </w:r>
    </w:p>
    <w:p w14:paraId="5CE76CD9">
      <w:pPr>
        <w:pStyle w:val="9"/>
        <w:keepNext w:val="0"/>
        <w:keepLines w:val="0"/>
        <w:pageBreakBefore w:val="0"/>
        <w:widowControl w:val="0"/>
        <w:kinsoku/>
        <w:wordWrap/>
        <w:overflowPunct/>
        <w:topLinePunct w:val="0"/>
        <w:autoSpaceDE/>
        <w:autoSpaceDN/>
        <w:bidi w:val="0"/>
        <w:adjustRightInd/>
        <w:snapToGrid/>
        <w:spacing w:line="460" w:lineRule="exact"/>
        <w:ind w:firstLine="440" w:firstLineChars="200"/>
        <w:contextualSpacing/>
        <w:textAlignment w:val="auto"/>
        <w:rPr>
          <w:rFonts w:hint="eastAsia" w:ascii="宋体" w:hAnsi="宋体" w:eastAsia="宋体" w:cs="宋体"/>
          <w:bCs/>
          <w:color w:val="000000"/>
          <w:sz w:val="22"/>
          <w:szCs w:val="22"/>
          <w:highlight w:val="none"/>
          <w:u w:val="single"/>
        </w:rPr>
      </w:pPr>
      <w:r>
        <w:rPr>
          <w:rFonts w:hint="eastAsia" w:ascii="宋体" w:hAnsi="宋体" w:eastAsia="宋体" w:cs="宋体"/>
          <w:bCs/>
          <w:color w:val="000000"/>
          <w:sz w:val="22"/>
          <w:szCs w:val="22"/>
          <w:highlight w:val="none"/>
        </w:rPr>
        <w:t>联系电话：</w:t>
      </w:r>
      <w:r>
        <w:rPr>
          <w:rFonts w:hint="eastAsia" w:ascii="宋体" w:hAnsi="宋体" w:eastAsia="宋体" w:cs="宋体"/>
          <w:bCs/>
          <w:color w:val="000000"/>
          <w:sz w:val="22"/>
          <w:szCs w:val="22"/>
          <w:highlight w:val="none"/>
          <w:u w:val="single"/>
        </w:rPr>
        <w:t xml:space="preserve">                      </w:t>
      </w:r>
    </w:p>
    <w:p w14:paraId="64670122">
      <w:pPr>
        <w:pStyle w:val="9"/>
        <w:keepNext w:val="0"/>
        <w:keepLines w:val="0"/>
        <w:pageBreakBefore w:val="0"/>
        <w:widowControl w:val="0"/>
        <w:kinsoku/>
        <w:wordWrap/>
        <w:overflowPunct/>
        <w:topLinePunct w:val="0"/>
        <w:autoSpaceDE/>
        <w:autoSpaceDN/>
        <w:bidi w:val="0"/>
        <w:adjustRightInd/>
        <w:snapToGrid/>
        <w:spacing w:line="460" w:lineRule="exact"/>
        <w:ind w:firstLine="440" w:firstLineChars="200"/>
        <w:contextualSpacing/>
        <w:textAlignment w:val="auto"/>
        <w:rPr>
          <w:rFonts w:hint="eastAsia" w:ascii="宋体" w:hAnsi="宋体" w:eastAsia="宋体" w:cs="宋体"/>
          <w:bCs/>
          <w:color w:val="000000"/>
          <w:sz w:val="22"/>
          <w:szCs w:val="22"/>
          <w:highlight w:val="none"/>
        </w:rPr>
      </w:pPr>
      <w:r>
        <w:rPr>
          <w:rFonts w:hint="eastAsia" w:ascii="宋体" w:hAnsi="宋体" w:eastAsia="宋体" w:cs="宋体"/>
          <w:bCs/>
          <w:color w:val="000000"/>
          <w:sz w:val="22"/>
          <w:szCs w:val="22"/>
          <w:highlight w:val="none"/>
        </w:rPr>
        <w:t>地址：</w:t>
      </w:r>
      <w:r>
        <w:rPr>
          <w:rFonts w:hint="eastAsia" w:ascii="宋体" w:hAnsi="宋体" w:eastAsia="宋体" w:cs="宋体"/>
          <w:bCs/>
          <w:color w:val="000000"/>
          <w:sz w:val="22"/>
          <w:szCs w:val="22"/>
          <w:highlight w:val="none"/>
          <w:u w:val="single"/>
        </w:rPr>
        <w:t xml:space="preserve">                 </w:t>
      </w:r>
      <w:r>
        <w:rPr>
          <w:rFonts w:hint="eastAsia" w:ascii="宋体" w:hAnsi="宋体" w:eastAsia="宋体" w:cs="宋体"/>
          <w:bCs/>
          <w:color w:val="000000"/>
          <w:sz w:val="22"/>
          <w:szCs w:val="22"/>
          <w:highlight w:val="none"/>
        </w:rPr>
        <w:t>邮编：</w:t>
      </w:r>
      <w:r>
        <w:rPr>
          <w:rFonts w:hint="eastAsia" w:ascii="宋体" w:hAnsi="宋体" w:eastAsia="宋体" w:cs="宋体"/>
          <w:bCs/>
          <w:color w:val="000000"/>
          <w:sz w:val="22"/>
          <w:szCs w:val="22"/>
          <w:highlight w:val="none"/>
          <w:u w:val="single"/>
        </w:rPr>
        <w:t xml:space="preserve">                  </w:t>
      </w:r>
      <w:r>
        <w:rPr>
          <w:rFonts w:hint="eastAsia" w:ascii="宋体" w:hAnsi="宋体" w:eastAsia="宋体" w:cs="宋体"/>
          <w:bCs/>
          <w:color w:val="000000"/>
          <w:sz w:val="22"/>
          <w:szCs w:val="22"/>
          <w:highlight w:val="none"/>
        </w:rPr>
        <w:t xml:space="preserve">     </w:t>
      </w:r>
    </w:p>
    <w:p w14:paraId="07D60E1F">
      <w:pPr>
        <w:pStyle w:val="9"/>
        <w:keepNext w:val="0"/>
        <w:keepLines w:val="0"/>
        <w:pageBreakBefore w:val="0"/>
        <w:widowControl w:val="0"/>
        <w:kinsoku/>
        <w:wordWrap/>
        <w:overflowPunct/>
        <w:topLinePunct w:val="0"/>
        <w:autoSpaceDE/>
        <w:autoSpaceDN/>
        <w:bidi w:val="0"/>
        <w:adjustRightInd/>
        <w:snapToGrid/>
        <w:spacing w:line="460" w:lineRule="exact"/>
        <w:ind w:firstLine="442" w:firstLineChars="200"/>
        <w:contextualSpacing/>
        <w:textAlignment w:val="auto"/>
        <w:rPr>
          <w:rFonts w:hint="eastAsia"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二、质疑项目基本情况：</w:t>
      </w:r>
    </w:p>
    <w:p w14:paraId="1E02411C">
      <w:pPr>
        <w:pStyle w:val="9"/>
        <w:keepNext w:val="0"/>
        <w:keepLines w:val="0"/>
        <w:pageBreakBefore w:val="0"/>
        <w:widowControl w:val="0"/>
        <w:kinsoku/>
        <w:wordWrap/>
        <w:overflowPunct/>
        <w:topLinePunct w:val="0"/>
        <w:autoSpaceDE/>
        <w:autoSpaceDN/>
        <w:bidi w:val="0"/>
        <w:adjustRightInd/>
        <w:snapToGrid/>
        <w:spacing w:line="460" w:lineRule="exact"/>
        <w:ind w:left="25" w:leftChars="12" w:firstLine="433" w:firstLineChars="197"/>
        <w:contextualSpacing/>
        <w:textAlignment w:val="auto"/>
        <w:rPr>
          <w:rFonts w:hint="eastAsia" w:ascii="宋体" w:hAnsi="宋体" w:eastAsia="宋体" w:cs="宋体"/>
          <w:color w:val="000000"/>
          <w:sz w:val="22"/>
          <w:szCs w:val="22"/>
          <w:highlight w:val="none"/>
        </w:rPr>
      </w:pPr>
      <w:r>
        <w:rPr>
          <w:rFonts w:hint="eastAsia" w:ascii="宋体" w:hAnsi="宋体" w:eastAsia="宋体" w:cs="宋体"/>
          <w:bCs/>
          <w:color w:val="000000"/>
          <w:sz w:val="22"/>
          <w:szCs w:val="22"/>
          <w:highlight w:val="none"/>
        </w:rPr>
        <w:t>质疑</w:t>
      </w:r>
      <w:r>
        <w:rPr>
          <w:rFonts w:hint="eastAsia" w:ascii="宋体" w:hAnsi="宋体" w:eastAsia="宋体" w:cs="宋体"/>
          <w:color w:val="000000"/>
          <w:sz w:val="22"/>
          <w:szCs w:val="22"/>
          <w:highlight w:val="none"/>
        </w:rPr>
        <w:t>项目的名称：</w:t>
      </w:r>
      <w:r>
        <w:rPr>
          <w:rFonts w:hint="eastAsia" w:ascii="宋体" w:hAnsi="宋体" w:eastAsia="宋体" w:cs="宋体"/>
          <w:bCs/>
          <w:color w:val="000000"/>
          <w:sz w:val="22"/>
          <w:szCs w:val="22"/>
          <w:highlight w:val="none"/>
          <w:u w:val="single"/>
        </w:rPr>
        <w:t xml:space="preserve">                                     </w:t>
      </w:r>
    </w:p>
    <w:p w14:paraId="211DC5D8">
      <w:pPr>
        <w:pStyle w:val="9"/>
        <w:keepNext w:val="0"/>
        <w:keepLines w:val="0"/>
        <w:pageBreakBefore w:val="0"/>
        <w:widowControl w:val="0"/>
        <w:kinsoku/>
        <w:wordWrap/>
        <w:overflowPunct/>
        <w:topLinePunct w:val="0"/>
        <w:autoSpaceDE/>
        <w:autoSpaceDN/>
        <w:bidi w:val="0"/>
        <w:adjustRightInd/>
        <w:snapToGrid/>
        <w:spacing w:line="460" w:lineRule="exact"/>
        <w:ind w:left="25" w:leftChars="12" w:firstLine="433" w:firstLineChars="197"/>
        <w:contextualSpacing/>
        <w:textAlignment w:val="auto"/>
        <w:rPr>
          <w:rFonts w:hint="eastAsia" w:ascii="宋体" w:hAnsi="宋体" w:eastAsia="宋体" w:cs="宋体"/>
          <w:color w:val="000000"/>
          <w:sz w:val="22"/>
          <w:szCs w:val="22"/>
          <w:highlight w:val="none"/>
        </w:rPr>
      </w:pPr>
      <w:r>
        <w:rPr>
          <w:rFonts w:hint="eastAsia" w:ascii="宋体" w:hAnsi="宋体" w:eastAsia="宋体" w:cs="宋体"/>
          <w:bCs/>
          <w:color w:val="000000"/>
          <w:sz w:val="22"/>
          <w:szCs w:val="22"/>
          <w:highlight w:val="none"/>
        </w:rPr>
        <w:t>质疑</w:t>
      </w:r>
      <w:r>
        <w:rPr>
          <w:rFonts w:hint="eastAsia" w:ascii="宋体" w:hAnsi="宋体" w:eastAsia="宋体" w:cs="宋体"/>
          <w:color w:val="000000"/>
          <w:sz w:val="22"/>
          <w:szCs w:val="22"/>
          <w:highlight w:val="none"/>
        </w:rPr>
        <w:t>项目的编号：</w:t>
      </w:r>
      <w:r>
        <w:rPr>
          <w:rFonts w:hint="eastAsia" w:ascii="宋体" w:hAnsi="宋体" w:eastAsia="宋体" w:cs="宋体"/>
          <w:bCs/>
          <w:color w:val="000000"/>
          <w:sz w:val="22"/>
          <w:szCs w:val="22"/>
          <w:highlight w:val="none"/>
          <w:u w:val="single"/>
        </w:rPr>
        <w:t xml:space="preserve">                                     </w:t>
      </w:r>
    </w:p>
    <w:p w14:paraId="4DA76C70">
      <w:pPr>
        <w:pStyle w:val="9"/>
        <w:keepNext w:val="0"/>
        <w:keepLines w:val="0"/>
        <w:pageBreakBefore w:val="0"/>
        <w:widowControl w:val="0"/>
        <w:kinsoku/>
        <w:wordWrap/>
        <w:overflowPunct/>
        <w:topLinePunct w:val="0"/>
        <w:autoSpaceDE/>
        <w:autoSpaceDN/>
        <w:bidi w:val="0"/>
        <w:adjustRightInd/>
        <w:snapToGrid/>
        <w:spacing w:line="460" w:lineRule="exact"/>
        <w:ind w:left="25" w:leftChars="12" w:firstLine="433" w:firstLineChars="197"/>
        <w:contextualSpacing/>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采购人名称：</w:t>
      </w:r>
      <w:r>
        <w:rPr>
          <w:rFonts w:hint="eastAsia" w:ascii="宋体" w:hAnsi="宋体" w:eastAsia="宋体" w:cs="宋体"/>
          <w:bCs/>
          <w:color w:val="000000"/>
          <w:sz w:val="22"/>
          <w:szCs w:val="22"/>
          <w:highlight w:val="none"/>
          <w:u w:val="single"/>
        </w:rPr>
        <w:t xml:space="preserve">                                         </w:t>
      </w:r>
    </w:p>
    <w:p w14:paraId="54038DFA">
      <w:pPr>
        <w:pStyle w:val="9"/>
        <w:keepNext w:val="0"/>
        <w:keepLines w:val="0"/>
        <w:pageBreakBefore w:val="0"/>
        <w:widowControl w:val="0"/>
        <w:kinsoku/>
        <w:wordWrap/>
        <w:overflowPunct/>
        <w:topLinePunct w:val="0"/>
        <w:autoSpaceDE/>
        <w:autoSpaceDN/>
        <w:bidi w:val="0"/>
        <w:adjustRightInd/>
        <w:snapToGrid/>
        <w:spacing w:line="460" w:lineRule="exact"/>
        <w:ind w:left="25" w:leftChars="12" w:firstLine="433" w:firstLineChars="197"/>
        <w:contextualSpacing/>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质疑事项：</w:t>
      </w:r>
    </w:p>
    <w:p w14:paraId="546C603F">
      <w:pPr>
        <w:pStyle w:val="9"/>
        <w:keepNext w:val="0"/>
        <w:keepLines w:val="0"/>
        <w:pageBreakBefore w:val="0"/>
        <w:widowControl w:val="0"/>
        <w:kinsoku/>
        <w:wordWrap/>
        <w:overflowPunct/>
        <w:topLinePunct w:val="0"/>
        <w:autoSpaceDE/>
        <w:autoSpaceDN/>
        <w:bidi w:val="0"/>
        <w:adjustRightInd/>
        <w:snapToGrid/>
        <w:spacing w:line="460" w:lineRule="exact"/>
        <w:ind w:left="25" w:leftChars="12" w:firstLine="323" w:firstLineChars="147"/>
        <w:contextualSpacing/>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□采购文件   采购文件获取日期：</w:t>
      </w:r>
      <w:r>
        <w:rPr>
          <w:rFonts w:hint="eastAsia" w:ascii="宋体" w:hAnsi="宋体" w:eastAsia="宋体" w:cs="宋体"/>
          <w:bCs/>
          <w:color w:val="000000"/>
          <w:sz w:val="22"/>
          <w:szCs w:val="22"/>
          <w:highlight w:val="none"/>
          <w:u w:val="single"/>
        </w:rPr>
        <w:t xml:space="preserve">                                   </w:t>
      </w:r>
    </w:p>
    <w:p w14:paraId="7D36C796">
      <w:pPr>
        <w:pStyle w:val="9"/>
        <w:keepNext w:val="0"/>
        <w:keepLines w:val="0"/>
        <w:pageBreakBefore w:val="0"/>
        <w:widowControl w:val="0"/>
        <w:kinsoku/>
        <w:wordWrap/>
        <w:overflowPunct/>
        <w:topLinePunct w:val="0"/>
        <w:autoSpaceDE/>
        <w:autoSpaceDN/>
        <w:bidi w:val="0"/>
        <w:adjustRightInd/>
        <w:snapToGrid/>
        <w:spacing w:line="460" w:lineRule="exact"/>
        <w:ind w:left="25" w:leftChars="12" w:firstLine="323" w:firstLineChars="147"/>
        <w:contextualSpacing/>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□采购过程   </w:t>
      </w:r>
    </w:p>
    <w:p w14:paraId="4859D30F">
      <w:pPr>
        <w:pStyle w:val="9"/>
        <w:keepNext w:val="0"/>
        <w:keepLines w:val="0"/>
        <w:pageBreakBefore w:val="0"/>
        <w:widowControl w:val="0"/>
        <w:kinsoku/>
        <w:wordWrap/>
        <w:overflowPunct/>
        <w:topLinePunct w:val="0"/>
        <w:autoSpaceDE/>
        <w:autoSpaceDN/>
        <w:bidi w:val="0"/>
        <w:adjustRightInd/>
        <w:snapToGrid/>
        <w:spacing w:line="460" w:lineRule="exact"/>
        <w:ind w:left="25" w:leftChars="12" w:firstLine="323" w:firstLineChars="147"/>
        <w:contextualSpacing/>
        <w:textAlignment w:val="auto"/>
        <w:rPr>
          <w:rFonts w:hint="eastAsia" w:ascii="宋体" w:hAnsi="宋体" w:eastAsia="宋体" w:cs="宋体"/>
          <w:bCs/>
          <w:color w:val="000000"/>
          <w:sz w:val="22"/>
          <w:szCs w:val="22"/>
          <w:highlight w:val="none"/>
          <w:u w:val="single"/>
        </w:rPr>
      </w:pPr>
      <w:r>
        <w:rPr>
          <w:rFonts w:hint="eastAsia" w:ascii="宋体" w:hAnsi="宋体" w:eastAsia="宋体" w:cs="宋体"/>
          <w:color w:val="000000"/>
          <w:sz w:val="22"/>
          <w:szCs w:val="22"/>
          <w:highlight w:val="none"/>
        </w:rPr>
        <w:t xml:space="preserve">□成交结果   </w:t>
      </w:r>
    </w:p>
    <w:p w14:paraId="7F8A4F76">
      <w:pPr>
        <w:pStyle w:val="9"/>
        <w:keepNext w:val="0"/>
        <w:keepLines w:val="0"/>
        <w:pageBreakBefore w:val="0"/>
        <w:widowControl w:val="0"/>
        <w:kinsoku/>
        <w:wordWrap/>
        <w:overflowPunct/>
        <w:topLinePunct w:val="0"/>
        <w:autoSpaceDE/>
        <w:autoSpaceDN/>
        <w:bidi w:val="0"/>
        <w:adjustRightInd/>
        <w:snapToGrid/>
        <w:spacing w:line="460" w:lineRule="exact"/>
        <w:ind w:left="25" w:leftChars="12" w:firstLine="433" w:firstLineChars="196"/>
        <w:contextualSpacing/>
        <w:textAlignment w:val="auto"/>
        <w:rPr>
          <w:rFonts w:hint="eastAsia" w:ascii="宋体" w:hAnsi="宋体" w:eastAsia="宋体" w:cs="宋体"/>
          <w:b/>
          <w:color w:val="000000"/>
          <w:sz w:val="22"/>
          <w:szCs w:val="22"/>
          <w:highlight w:val="none"/>
        </w:rPr>
      </w:pPr>
      <w:r>
        <w:rPr>
          <w:rFonts w:hint="eastAsia" w:ascii="宋体" w:hAnsi="宋体" w:eastAsia="宋体" w:cs="宋体"/>
          <w:b/>
          <w:color w:val="000000"/>
          <w:sz w:val="22"/>
          <w:szCs w:val="22"/>
          <w:highlight w:val="none"/>
        </w:rPr>
        <w:t>三、质疑事项具体内容</w:t>
      </w:r>
    </w:p>
    <w:p w14:paraId="74F460CA">
      <w:pPr>
        <w:pStyle w:val="9"/>
        <w:keepNext w:val="0"/>
        <w:keepLines w:val="0"/>
        <w:pageBreakBefore w:val="0"/>
        <w:widowControl w:val="0"/>
        <w:kinsoku/>
        <w:wordWrap/>
        <w:overflowPunct/>
        <w:topLinePunct w:val="0"/>
        <w:autoSpaceDE/>
        <w:autoSpaceDN/>
        <w:bidi w:val="0"/>
        <w:adjustRightInd/>
        <w:snapToGrid/>
        <w:spacing w:line="460" w:lineRule="exact"/>
        <w:ind w:left="25" w:leftChars="12" w:firstLine="433" w:firstLineChars="197"/>
        <w:contextualSpacing/>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质疑事项1：</w:t>
      </w:r>
      <w:r>
        <w:rPr>
          <w:rFonts w:hint="eastAsia" w:ascii="宋体" w:hAnsi="宋体" w:eastAsia="宋体" w:cs="宋体"/>
          <w:bCs/>
          <w:color w:val="000000"/>
          <w:sz w:val="22"/>
          <w:szCs w:val="22"/>
          <w:highlight w:val="none"/>
          <w:u w:val="single"/>
        </w:rPr>
        <w:t xml:space="preserve">                                                                    </w:t>
      </w:r>
    </w:p>
    <w:p w14:paraId="742B4615">
      <w:pPr>
        <w:pStyle w:val="9"/>
        <w:keepNext w:val="0"/>
        <w:keepLines w:val="0"/>
        <w:pageBreakBefore w:val="0"/>
        <w:widowControl w:val="0"/>
        <w:kinsoku/>
        <w:wordWrap/>
        <w:overflowPunct/>
        <w:topLinePunct w:val="0"/>
        <w:autoSpaceDE/>
        <w:autoSpaceDN/>
        <w:bidi w:val="0"/>
        <w:adjustRightInd/>
        <w:snapToGrid/>
        <w:spacing w:line="460" w:lineRule="exact"/>
        <w:ind w:left="25" w:leftChars="12" w:firstLine="433" w:firstLineChars="197"/>
        <w:contextualSpacing/>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事实依据：</w:t>
      </w:r>
      <w:r>
        <w:rPr>
          <w:rFonts w:hint="eastAsia" w:ascii="宋体" w:hAnsi="宋体" w:eastAsia="宋体" w:cs="宋体"/>
          <w:bCs/>
          <w:color w:val="000000"/>
          <w:sz w:val="22"/>
          <w:szCs w:val="22"/>
          <w:highlight w:val="none"/>
          <w:u w:val="single"/>
        </w:rPr>
        <w:t xml:space="preserve">                                                                      </w:t>
      </w:r>
    </w:p>
    <w:p w14:paraId="28CE990E">
      <w:pPr>
        <w:pStyle w:val="9"/>
        <w:keepNext w:val="0"/>
        <w:keepLines w:val="0"/>
        <w:pageBreakBefore w:val="0"/>
        <w:widowControl w:val="0"/>
        <w:kinsoku/>
        <w:wordWrap/>
        <w:overflowPunct/>
        <w:topLinePunct w:val="0"/>
        <w:autoSpaceDE/>
        <w:autoSpaceDN/>
        <w:bidi w:val="0"/>
        <w:adjustRightInd/>
        <w:snapToGrid/>
        <w:spacing w:line="460" w:lineRule="exact"/>
        <w:ind w:left="25" w:leftChars="12" w:firstLine="433" w:firstLineChars="197"/>
        <w:contextualSpacing/>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法律依据：</w:t>
      </w:r>
      <w:r>
        <w:rPr>
          <w:rFonts w:hint="eastAsia" w:ascii="宋体" w:hAnsi="宋体" w:eastAsia="宋体" w:cs="宋体"/>
          <w:color w:val="000000"/>
          <w:sz w:val="22"/>
          <w:szCs w:val="22"/>
          <w:highlight w:val="none"/>
          <w:u w:val="single"/>
        </w:rPr>
        <w:t xml:space="preserve">                                                        </w:t>
      </w:r>
      <w:r>
        <w:rPr>
          <w:rFonts w:hint="eastAsia" w:ascii="宋体" w:hAnsi="宋体" w:eastAsia="宋体" w:cs="宋体"/>
          <w:bCs/>
          <w:color w:val="000000"/>
          <w:sz w:val="22"/>
          <w:szCs w:val="22"/>
          <w:highlight w:val="none"/>
          <w:u w:val="single"/>
        </w:rPr>
        <w:t xml:space="preserve">               </w:t>
      </w:r>
    </w:p>
    <w:p w14:paraId="45170D78">
      <w:pPr>
        <w:pStyle w:val="9"/>
        <w:keepNext w:val="0"/>
        <w:keepLines w:val="0"/>
        <w:pageBreakBefore w:val="0"/>
        <w:widowControl w:val="0"/>
        <w:kinsoku/>
        <w:wordWrap/>
        <w:overflowPunct/>
        <w:topLinePunct w:val="0"/>
        <w:autoSpaceDE/>
        <w:autoSpaceDN/>
        <w:bidi w:val="0"/>
        <w:adjustRightInd/>
        <w:snapToGrid/>
        <w:spacing w:line="460" w:lineRule="exact"/>
        <w:ind w:left="25" w:leftChars="12" w:firstLine="433" w:firstLineChars="197"/>
        <w:contextualSpacing/>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质疑事项2</w:t>
      </w:r>
    </w:p>
    <w:p w14:paraId="018EB6BA">
      <w:pPr>
        <w:pStyle w:val="9"/>
        <w:keepNext w:val="0"/>
        <w:keepLines w:val="0"/>
        <w:pageBreakBefore w:val="0"/>
        <w:widowControl w:val="0"/>
        <w:kinsoku/>
        <w:wordWrap/>
        <w:overflowPunct/>
        <w:topLinePunct w:val="0"/>
        <w:autoSpaceDE/>
        <w:autoSpaceDN/>
        <w:bidi w:val="0"/>
        <w:adjustRightInd/>
        <w:snapToGrid/>
        <w:spacing w:line="460" w:lineRule="exact"/>
        <w:ind w:left="25" w:leftChars="12" w:firstLine="433" w:firstLineChars="197"/>
        <w:contextualSpacing/>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w:t>
      </w:r>
    </w:p>
    <w:p w14:paraId="0C42250C">
      <w:pPr>
        <w:pStyle w:val="9"/>
        <w:keepNext w:val="0"/>
        <w:keepLines w:val="0"/>
        <w:pageBreakBefore w:val="0"/>
        <w:widowControl w:val="0"/>
        <w:kinsoku/>
        <w:wordWrap/>
        <w:overflowPunct/>
        <w:topLinePunct w:val="0"/>
        <w:autoSpaceDE/>
        <w:autoSpaceDN/>
        <w:bidi w:val="0"/>
        <w:adjustRightInd/>
        <w:snapToGrid/>
        <w:spacing w:line="460" w:lineRule="exact"/>
        <w:ind w:left="25" w:leftChars="12" w:firstLine="433" w:firstLineChars="197"/>
        <w:contextualSpacing/>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四、与质疑事项相关的质疑请求：</w:t>
      </w:r>
    </w:p>
    <w:p w14:paraId="7B4F3900">
      <w:pPr>
        <w:pStyle w:val="9"/>
        <w:keepNext w:val="0"/>
        <w:keepLines w:val="0"/>
        <w:pageBreakBefore w:val="0"/>
        <w:widowControl w:val="0"/>
        <w:kinsoku/>
        <w:wordWrap/>
        <w:overflowPunct/>
        <w:topLinePunct w:val="0"/>
        <w:autoSpaceDE/>
        <w:autoSpaceDN/>
        <w:bidi w:val="0"/>
        <w:adjustRightInd/>
        <w:snapToGrid/>
        <w:spacing w:line="460" w:lineRule="exact"/>
        <w:ind w:left="25" w:leftChars="12" w:firstLine="433" w:firstLineChars="197"/>
        <w:contextualSpacing/>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请求：</w:t>
      </w:r>
      <w:r>
        <w:rPr>
          <w:rFonts w:hint="eastAsia" w:ascii="宋体" w:hAnsi="宋体" w:eastAsia="宋体" w:cs="宋体"/>
          <w:bCs/>
          <w:color w:val="000000"/>
          <w:sz w:val="22"/>
          <w:szCs w:val="22"/>
          <w:highlight w:val="none"/>
          <w:u w:val="single"/>
        </w:rPr>
        <w:t xml:space="preserve">                                                                </w:t>
      </w:r>
    </w:p>
    <w:p w14:paraId="2495DDCC">
      <w:pPr>
        <w:pStyle w:val="9"/>
        <w:keepNext w:val="0"/>
        <w:keepLines w:val="0"/>
        <w:pageBreakBefore w:val="0"/>
        <w:widowControl w:val="0"/>
        <w:kinsoku/>
        <w:wordWrap/>
        <w:overflowPunct/>
        <w:topLinePunct w:val="0"/>
        <w:autoSpaceDE/>
        <w:autoSpaceDN/>
        <w:bidi w:val="0"/>
        <w:adjustRightInd/>
        <w:snapToGrid/>
        <w:spacing w:line="460" w:lineRule="exact"/>
        <w:ind w:left="25" w:leftChars="12" w:firstLine="323" w:firstLineChars="147"/>
        <w:contextualSpacing/>
        <w:textAlignment w:val="auto"/>
        <w:rPr>
          <w:rFonts w:hint="eastAsia" w:ascii="宋体" w:hAnsi="宋体" w:eastAsia="宋体" w:cs="宋体"/>
          <w:color w:val="000000"/>
          <w:sz w:val="22"/>
          <w:szCs w:val="22"/>
          <w:highlight w:val="none"/>
        </w:rPr>
      </w:pPr>
    </w:p>
    <w:p w14:paraId="4EF0F9AC">
      <w:pPr>
        <w:pStyle w:val="9"/>
        <w:keepNext w:val="0"/>
        <w:keepLines w:val="0"/>
        <w:pageBreakBefore w:val="0"/>
        <w:widowControl w:val="0"/>
        <w:kinsoku/>
        <w:wordWrap/>
        <w:overflowPunct/>
        <w:topLinePunct w:val="0"/>
        <w:autoSpaceDE/>
        <w:autoSpaceDN/>
        <w:bidi w:val="0"/>
        <w:adjustRightInd/>
        <w:snapToGrid/>
        <w:spacing w:line="460" w:lineRule="exact"/>
        <w:ind w:left="25" w:leftChars="12" w:firstLine="433" w:firstLineChars="197"/>
        <w:contextualSpacing/>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签字（签章）：                                       公章：</w:t>
      </w:r>
    </w:p>
    <w:p w14:paraId="18B65D8A">
      <w:pPr>
        <w:pStyle w:val="9"/>
        <w:keepNext w:val="0"/>
        <w:keepLines w:val="0"/>
        <w:pageBreakBefore w:val="0"/>
        <w:widowControl w:val="0"/>
        <w:kinsoku/>
        <w:wordWrap/>
        <w:overflowPunct/>
        <w:topLinePunct w:val="0"/>
        <w:autoSpaceDE/>
        <w:autoSpaceDN/>
        <w:bidi w:val="0"/>
        <w:adjustRightInd/>
        <w:snapToGrid/>
        <w:spacing w:line="460" w:lineRule="exact"/>
        <w:ind w:left="25" w:leftChars="12" w:firstLine="433" w:firstLineChars="197"/>
        <w:contextualSpacing/>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日期：</w:t>
      </w:r>
    </w:p>
    <w:p w14:paraId="0FA98DAE">
      <w:pPr>
        <w:pStyle w:val="9"/>
        <w:keepNext w:val="0"/>
        <w:keepLines w:val="0"/>
        <w:pageBreakBefore w:val="0"/>
        <w:widowControl w:val="0"/>
        <w:kinsoku/>
        <w:wordWrap/>
        <w:overflowPunct/>
        <w:topLinePunct w:val="0"/>
        <w:autoSpaceDE/>
        <w:autoSpaceDN/>
        <w:bidi w:val="0"/>
        <w:adjustRightInd/>
        <w:snapToGrid/>
        <w:spacing w:line="460" w:lineRule="exact"/>
        <w:contextualSpacing/>
        <w:textAlignment w:val="auto"/>
        <w:rPr>
          <w:rFonts w:hint="eastAsia" w:ascii="宋体" w:hAnsi="宋体" w:eastAsia="宋体" w:cs="宋体"/>
          <w:b/>
          <w:color w:val="000000"/>
          <w:sz w:val="22"/>
          <w:szCs w:val="22"/>
          <w:highlight w:val="none"/>
        </w:rPr>
      </w:pPr>
    </w:p>
    <w:p w14:paraId="56DD4722">
      <w:pPr>
        <w:pStyle w:val="9"/>
        <w:keepNext w:val="0"/>
        <w:keepLines w:val="0"/>
        <w:pageBreakBefore w:val="0"/>
        <w:widowControl w:val="0"/>
        <w:kinsoku/>
        <w:wordWrap/>
        <w:overflowPunct/>
        <w:topLinePunct w:val="0"/>
        <w:autoSpaceDE/>
        <w:autoSpaceDN/>
        <w:bidi w:val="0"/>
        <w:adjustRightInd/>
        <w:snapToGrid/>
        <w:spacing w:line="460" w:lineRule="exact"/>
        <w:contextualSpacing/>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说明：</w:t>
      </w:r>
    </w:p>
    <w:p w14:paraId="58F05A05">
      <w:pPr>
        <w:pStyle w:val="9"/>
        <w:keepNext w:val="0"/>
        <w:keepLines w:val="0"/>
        <w:pageBreakBefore w:val="0"/>
        <w:widowControl w:val="0"/>
        <w:kinsoku/>
        <w:wordWrap/>
        <w:overflowPunct/>
        <w:topLinePunct w:val="0"/>
        <w:autoSpaceDE/>
        <w:autoSpaceDN/>
        <w:bidi w:val="0"/>
        <w:adjustRightInd/>
        <w:snapToGrid/>
        <w:spacing w:line="460" w:lineRule="exact"/>
        <w:ind w:left="25" w:leftChars="12" w:firstLine="354" w:firstLineChars="147"/>
        <w:contextualSpacing/>
        <w:textAlignment w:val="auto"/>
        <w:rPr>
          <w:rFonts w:hint="eastAsia" w:ascii="宋体" w:hAnsi="宋体" w:eastAsia="宋体" w:cs="宋体"/>
          <w:b/>
          <w:bCs/>
          <w:color w:val="000000"/>
          <w:sz w:val="24"/>
          <w:szCs w:val="24"/>
          <w:highlight w:val="none"/>
        </w:rPr>
      </w:pPr>
      <w:r>
        <w:rPr>
          <w:rFonts w:hint="eastAsia" w:ascii="宋体" w:hAnsi="宋体" w:eastAsia="宋体" w:cs="宋体"/>
          <w:b/>
          <w:color w:val="000000"/>
          <w:sz w:val="24"/>
          <w:szCs w:val="24"/>
          <w:highlight w:val="none"/>
        </w:rPr>
        <w:t>1.供应商提出质疑时，应提交质疑函和必要的证明材料</w:t>
      </w:r>
      <w:r>
        <w:rPr>
          <w:rFonts w:hint="eastAsia" w:ascii="宋体" w:hAnsi="宋体" w:eastAsia="宋体" w:cs="宋体"/>
          <w:b/>
          <w:bCs/>
          <w:color w:val="000000"/>
          <w:sz w:val="24"/>
          <w:szCs w:val="24"/>
          <w:highlight w:val="none"/>
        </w:rPr>
        <w:t>。</w:t>
      </w:r>
    </w:p>
    <w:p w14:paraId="3FB50766">
      <w:pPr>
        <w:pStyle w:val="9"/>
        <w:keepNext w:val="0"/>
        <w:keepLines w:val="0"/>
        <w:pageBreakBefore w:val="0"/>
        <w:widowControl w:val="0"/>
        <w:kinsoku/>
        <w:wordWrap/>
        <w:overflowPunct/>
        <w:topLinePunct w:val="0"/>
        <w:autoSpaceDE/>
        <w:autoSpaceDN/>
        <w:bidi w:val="0"/>
        <w:adjustRightInd/>
        <w:snapToGrid/>
        <w:spacing w:line="460" w:lineRule="exact"/>
        <w:ind w:left="25" w:leftChars="12" w:firstLine="354" w:firstLineChars="147"/>
        <w:contextualSpacing/>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21A8AF7">
      <w:pPr>
        <w:pStyle w:val="9"/>
        <w:keepNext w:val="0"/>
        <w:keepLines w:val="0"/>
        <w:pageBreakBefore w:val="0"/>
        <w:widowControl w:val="0"/>
        <w:kinsoku/>
        <w:wordWrap/>
        <w:overflowPunct/>
        <w:topLinePunct w:val="0"/>
        <w:autoSpaceDE/>
        <w:autoSpaceDN/>
        <w:bidi w:val="0"/>
        <w:adjustRightInd/>
        <w:snapToGrid/>
        <w:spacing w:line="460" w:lineRule="exact"/>
        <w:ind w:left="25" w:leftChars="12" w:firstLine="354" w:firstLineChars="147"/>
        <w:contextualSpacing/>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3.质疑函的质疑事项应具体、明确，并有必要的事实依据和法律依据。</w:t>
      </w:r>
    </w:p>
    <w:p w14:paraId="725556DE">
      <w:pPr>
        <w:pStyle w:val="9"/>
        <w:keepNext w:val="0"/>
        <w:keepLines w:val="0"/>
        <w:pageBreakBefore w:val="0"/>
        <w:widowControl w:val="0"/>
        <w:kinsoku/>
        <w:wordWrap/>
        <w:overflowPunct/>
        <w:topLinePunct w:val="0"/>
        <w:autoSpaceDE/>
        <w:autoSpaceDN/>
        <w:bidi w:val="0"/>
        <w:adjustRightInd/>
        <w:snapToGrid/>
        <w:spacing w:line="460" w:lineRule="exact"/>
        <w:ind w:left="25" w:leftChars="12" w:firstLine="354" w:firstLineChars="147"/>
        <w:contextualSpacing/>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4.质疑函的质疑请求应与质疑事项相关。</w:t>
      </w:r>
    </w:p>
    <w:p w14:paraId="0B0AB150">
      <w:pPr>
        <w:pStyle w:val="9"/>
        <w:keepNext w:val="0"/>
        <w:keepLines w:val="0"/>
        <w:pageBreakBefore w:val="0"/>
        <w:widowControl w:val="0"/>
        <w:kinsoku/>
        <w:wordWrap/>
        <w:overflowPunct/>
        <w:topLinePunct w:val="0"/>
        <w:autoSpaceDE/>
        <w:autoSpaceDN/>
        <w:bidi w:val="0"/>
        <w:adjustRightInd/>
        <w:snapToGrid/>
        <w:spacing w:line="460" w:lineRule="exact"/>
        <w:ind w:left="25" w:leftChars="12" w:firstLine="354" w:firstLineChars="147"/>
        <w:contextualSpacing/>
        <w:textAlignment w:val="auto"/>
        <w:rPr>
          <w:rFonts w:hint="eastAsia" w:ascii="宋体" w:hAnsi="宋体" w:eastAsia="宋体" w:cs="宋体"/>
          <w:b/>
          <w:color w:val="000000"/>
          <w:sz w:val="20"/>
          <w:szCs w:val="20"/>
          <w:highlight w:val="none"/>
        </w:rPr>
      </w:pPr>
      <w:r>
        <w:rPr>
          <w:rFonts w:hint="eastAsia" w:ascii="宋体" w:hAnsi="宋体" w:eastAsia="宋体" w:cs="宋体"/>
          <w:b/>
          <w:color w:val="000000"/>
          <w:sz w:val="24"/>
          <w:szCs w:val="24"/>
          <w:highlight w:val="none"/>
        </w:rPr>
        <w:t>5.质疑供应商为法人或者其他组织的，质疑函应由法定代表人、主要负责人，或者其授权代表签字或者盖章，并加盖公章。</w:t>
      </w:r>
    </w:p>
    <w:p w14:paraId="1A2B33B0">
      <w:pPr>
        <w:pageBreakBefore w:val="0"/>
        <w:kinsoku/>
        <w:overflowPunct/>
        <w:topLinePunct w:val="0"/>
        <w:bidi w:val="0"/>
        <w:spacing w:line="240" w:lineRule="auto"/>
        <w:jc w:val="center"/>
        <w:rPr>
          <w:rFonts w:hint="eastAsia" w:ascii="宋体" w:hAnsi="宋体" w:eastAsia="宋体" w:cs="宋体"/>
          <w:b/>
          <w:bCs/>
          <w:color w:val="000000"/>
          <w:sz w:val="28"/>
          <w:szCs w:val="28"/>
          <w:highlight w:val="none"/>
        </w:rPr>
      </w:pPr>
      <w:r>
        <w:rPr>
          <w:rFonts w:hint="eastAsia" w:ascii="宋体" w:hAnsi="宋体" w:eastAsia="宋体" w:cs="宋体"/>
          <w:b/>
          <w:color w:val="000000"/>
          <w:sz w:val="20"/>
          <w:szCs w:val="20"/>
          <w:highlight w:val="none"/>
        </w:rPr>
        <w:br w:type="page"/>
      </w:r>
      <w:r>
        <w:rPr>
          <w:rFonts w:hint="eastAsia" w:ascii="宋体" w:hAnsi="宋体" w:eastAsia="宋体" w:cs="宋体"/>
          <w:b/>
          <w:bCs/>
          <w:color w:val="000000"/>
          <w:sz w:val="32"/>
          <w:szCs w:val="32"/>
          <w:highlight w:val="none"/>
        </w:rPr>
        <w:t>投诉书（格式）</w:t>
      </w:r>
    </w:p>
    <w:p w14:paraId="6BC90FE2">
      <w:pPr>
        <w:pStyle w:val="9"/>
        <w:keepNext w:val="0"/>
        <w:keepLines w:val="0"/>
        <w:pageBreakBefore w:val="0"/>
        <w:widowControl w:val="0"/>
        <w:kinsoku/>
        <w:wordWrap/>
        <w:overflowPunct/>
        <w:topLinePunct w:val="0"/>
        <w:autoSpaceDE/>
        <w:autoSpaceDN/>
        <w:bidi w:val="0"/>
        <w:adjustRightInd/>
        <w:snapToGrid w:val="0"/>
        <w:spacing w:line="460" w:lineRule="exact"/>
        <w:ind w:firstLine="442" w:firstLineChars="200"/>
        <w:textAlignment w:val="auto"/>
        <w:rPr>
          <w:rFonts w:hint="eastAsia"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一、投诉相关主体基本情况：</w:t>
      </w:r>
    </w:p>
    <w:p w14:paraId="62D688E1">
      <w:pPr>
        <w:pStyle w:val="9"/>
        <w:keepNext w:val="0"/>
        <w:keepLines w:val="0"/>
        <w:pageBreakBefore w:val="0"/>
        <w:widowControl w:val="0"/>
        <w:kinsoku/>
        <w:wordWrap/>
        <w:overflowPunct/>
        <w:topLinePunct w:val="0"/>
        <w:autoSpaceDE/>
        <w:autoSpaceDN/>
        <w:bidi w:val="0"/>
        <w:adjustRightInd/>
        <w:snapToGrid w:val="0"/>
        <w:spacing w:line="460" w:lineRule="exact"/>
        <w:ind w:firstLine="440" w:firstLineChars="200"/>
        <w:textAlignment w:val="auto"/>
        <w:rPr>
          <w:rFonts w:hint="eastAsia" w:ascii="宋体" w:hAnsi="宋体" w:eastAsia="宋体" w:cs="宋体"/>
          <w:bCs/>
          <w:color w:val="000000"/>
          <w:sz w:val="22"/>
          <w:szCs w:val="22"/>
          <w:highlight w:val="none"/>
          <w:u w:val="single"/>
        </w:rPr>
      </w:pPr>
      <w:r>
        <w:rPr>
          <w:rFonts w:hint="eastAsia" w:ascii="宋体" w:hAnsi="宋体" w:eastAsia="宋体" w:cs="宋体"/>
          <w:bCs/>
          <w:color w:val="000000"/>
          <w:sz w:val="22"/>
          <w:szCs w:val="22"/>
          <w:highlight w:val="none"/>
        </w:rPr>
        <w:t>供应商：</w:t>
      </w:r>
      <w:r>
        <w:rPr>
          <w:rFonts w:hint="eastAsia" w:ascii="宋体" w:hAnsi="宋体" w:eastAsia="宋体" w:cs="宋体"/>
          <w:bCs/>
          <w:color w:val="000000"/>
          <w:sz w:val="22"/>
          <w:szCs w:val="22"/>
          <w:highlight w:val="none"/>
          <w:u w:val="single"/>
        </w:rPr>
        <w:t xml:space="preserve">                                                                        </w:t>
      </w:r>
      <w:r>
        <w:rPr>
          <w:rFonts w:hint="eastAsia" w:ascii="宋体" w:hAnsi="宋体" w:eastAsia="宋体" w:cs="宋体"/>
          <w:bCs/>
          <w:color w:val="000000"/>
          <w:sz w:val="22"/>
          <w:szCs w:val="22"/>
          <w:highlight w:val="none"/>
        </w:rPr>
        <w:t xml:space="preserve">                 </w:t>
      </w:r>
    </w:p>
    <w:p w14:paraId="75EF9D9B">
      <w:pPr>
        <w:pStyle w:val="9"/>
        <w:keepNext w:val="0"/>
        <w:keepLines w:val="0"/>
        <w:pageBreakBefore w:val="0"/>
        <w:widowControl w:val="0"/>
        <w:kinsoku/>
        <w:wordWrap/>
        <w:overflowPunct/>
        <w:topLinePunct w:val="0"/>
        <w:autoSpaceDE/>
        <w:autoSpaceDN/>
        <w:bidi w:val="0"/>
        <w:adjustRightInd/>
        <w:snapToGrid w:val="0"/>
        <w:spacing w:line="460" w:lineRule="exact"/>
        <w:ind w:firstLine="440" w:firstLineChars="200"/>
        <w:textAlignment w:val="auto"/>
        <w:rPr>
          <w:rFonts w:hint="eastAsia" w:ascii="宋体" w:hAnsi="宋体" w:eastAsia="宋体" w:cs="宋体"/>
          <w:bCs/>
          <w:color w:val="000000"/>
          <w:sz w:val="22"/>
          <w:szCs w:val="22"/>
          <w:highlight w:val="none"/>
        </w:rPr>
      </w:pPr>
      <w:r>
        <w:rPr>
          <w:rFonts w:hint="eastAsia" w:ascii="宋体" w:hAnsi="宋体" w:eastAsia="宋体" w:cs="宋体"/>
          <w:bCs/>
          <w:color w:val="000000"/>
          <w:sz w:val="22"/>
          <w:szCs w:val="22"/>
          <w:highlight w:val="none"/>
        </w:rPr>
        <w:t>地址：</w:t>
      </w:r>
      <w:r>
        <w:rPr>
          <w:rFonts w:hint="eastAsia" w:ascii="宋体" w:hAnsi="宋体" w:eastAsia="宋体" w:cs="宋体"/>
          <w:bCs/>
          <w:color w:val="000000"/>
          <w:sz w:val="22"/>
          <w:szCs w:val="22"/>
          <w:highlight w:val="none"/>
          <w:u w:val="single"/>
        </w:rPr>
        <w:t xml:space="preserve">                                          </w:t>
      </w:r>
      <w:r>
        <w:rPr>
          <w:rFonts w:hint="eastAsia" w:ascii="宋体" w:hAnsi="宋体" w:eastAsia="宋体" w:cs="宋体"/>
          <w:bCs/>
          <w:color w:val="000000"/>
          <w:sz w:val="22"/>
          <w:szCs w:val="22"/>
          <w:highlight w:val="none"/>
        </w:rPr>
        <w:t>邮编：</w:t>
      </w:r>
      <w:r>
        <w:rPr>
          <w:rFonts w:hint="eastAsia" w:ascii="宋体" w:hAnsi="宋体" w:eastAsia="宋体" w:cs="宋体"/>
          <w:bCs/>
          <w:color w:val="000000"/>
          <w:sz w:val="22"/>
          <w:szCs w:val="22"/>
          <w:highlight w:val="none"/>
          <w:u w:val="single"/>
        </w:rPr>
        <w:t xml:space="preserve">                          </w:t>
      </w:r>
      <w:r>
        <w:rPr>
          <w:rFonts w:hint="eastAsia" w:ascii="宋体" w:hAnsi="宋体" w:eastAsia="宋体" w:cs="宋体"/>
          <w:bCs/>
          <w:color w:val="000000"/>
          <w:sz w:val="22"/>
          <w:szCs w:val="22"/>
          <w:highlight w:val="none"/>
        </w:rPr>
        <w:t xml:space="preserve">                 </w:t>
      </w:r>
    </w:p>
    <w:p w14:paraId="101DAFF5">
      <w:pPr>
        <w:pStyle w:val="9"/>
        <w:keepNext w:val="0"/>
        <w:keepLines w:val="0"/>
        <w:pageBreakBefore w:val="0"/>
        <w:widowControl w:val="0"/>
        <w:kinsoku/>
        <w:wordWrap/>
        <w:overflowPunct/>
        <w:topLinePunct w:val="0"/>
        <w:autoSpaceDE/>
        <w:autoSpaceDN/>
        <w:bidi w:val="0"/>
        <w:adjustRightInd/>
        <w:snapToGrid w:val="0"/>
        <w:spacing w:line="460" w:lineRule="exact"/>
        <w:ind w:firstLine="440" w:firstLineChars="200"/>
        <w:textAlignment w:val="auto"/>
        <w:rPr>
          <w:rFonts w:hint="eastAsia" w:ascii="宋体" w:hAnsi="宋体" w:eastAsia="宋体" w:cs="宋体"/>
          <w:bCs/>
          <w:color w:val="000000"/>
          <w:sz w:val="22"/>
          <w:szCs w:val="22"/>
          <w:highlight w:val="none"/>
          <w:u w:val="single"/>
        </w:rPr>
      </w:pPr>
      <w:r>
        <w:rPr>
          <w:rFonts w:hint="eastAsia" w:ascii="宋体" w:hAnsi="宋体" w:eastAsia="宋体" w:cs="宋体"/>
          <w:bCs/>
          <w:color w:val="000000"/>
          <w:sz w:val="22"/>
          <w:szCs w:val="22"/>
          <w:highlight w:val="none"/>
        </w:rPr>
        <w:t>法定代表人/主要负责人：</w:t>
      </w:r>
      <w:r>
        <w:rPr>
          <w:rFonts w:hint="eastAsia" w:ascii="宋体" w:hAnsi="宋体" w:eastAsia="宋体" w:cs="宋体"/>
          <w:bCs/>
          <w:color w:val="000000"/>
          <w:sz w:val="22"/>
          <w:szCs w:val="22"/>
          <w:highlight w:val="none"/>
          <w:u w:val="single"/>
        </w:rPr>
        <w:t xml:space="preserve">                                                         </w:t>
      </w:r>
    </w:p>
    <w:p w14:paraId="3E86D207">
      <w:pPr>
        <w:pStyle w:val="9"/>
        <w:keepNext w:val="0"/>
        <w:keepLines w:val="0"/>
        <w:pageBreakBefore w:val="0"/>
        <w:widowControl w:val="0"/>
        <w:kinsoku/>
        <w:wordWrap/>
        <w:overflowPunct/>
        <w:topLinePunct w:val="0"/>
        <w:autoSpaceDE/>
        <w:autoSpaceDN/>
        <w:bidi w:val="0"/>
        <w:adjustRightInd/>
        <w:snapToGrid w:val="0"/>
        <w:spacing w:line="460" w:lineRule="exact"/>
        <w:ind w:firstLine="440" w:firstLineChars="200"/>
        <w:textAlignment w:val="auto"/>
        <w:rPr>
          <w:rFonts w:hint="eastAsia" w:ascii="宋体" w:hAnsi="宋体" w:eastAsia="宋体" w:cs="宋体"/>
          <w:bCs/>
          <w:color w:val="000000"/>
          <w:sz w:val="22"/>
          <w:szCs w:val="22"/>
          <w:highlight w:val="none"/>
        </w:rPr>
      </w:pPr>
      <w:r>
        <w:rPr>
          <w:rFonts w:hint="eastAsia" w:ascii="宋体" w:hAnsi="宋体" w:eastAsia="宋体" w:cs="宋体"/>
          <w:bCs/>
          <w:color w:val="000000"/>
          <w:sz w:val="22"/>
          <w:szCs w:val="22"/>
          <w:highlight w:val="none"/>
        </w:rPr>
        <w:t>联系电话：</w:t>
      </w:r>
      <w:r>
        <w:rPr>
          <w:rFonts w:hint="eastAsia" w:ascii="宋体" w:hAnsi="宋体" w:eastAsia="宋体" w:cs="宋体"/>
          <w:bCs/>
          <w:color w:val="000000"/>
          <w:sz w:val="22"/>
          <w:szCs w:val="22"/>
          <w:highlight w:val="none"/>
          <w:u w:val="single"/>
        </w:rPr>
        <w:t xml:space="preserve">                                         </w:t>
      </w:r>
    </w:p>
    <w:p w14:paraId="7B6E31F9">
      <w:pPr>
        <w:pStyle w:val="9"/>
        <w:keepNext w:val="0"/>
        <w:keepLines w:val="0"/>
        <w:pageBreakBefore w:val="0"/>
        <w:widowControl w:val="0"/>
        <w:kinsoku/>
        <w:wordWrap/>
        <w:overflowPunct/>
        <w:topLinePunct w:val="0"/>
        <w:autoSpaceDE/>
        <w:autoSpaceDN/>
        <w:bidi w:val="0"/>
        <w:adjustRightInd/>
        <w:snapToGrid w:val="0"/>
        <w:spacing w:line="460" w:lineRule="exact"/>
        <w:ind w:firstLine="440" w:firstLineChars="200"/>
        <w:textAlignment w:val="auto"/>
        <w:rPr>
          <w:rFonts w:hint="eastAsia" w:ascii="宋体" w:hAnsi="宋体" w:eastAsia="宋体" w:cs="宋体"/>
          <w:bCs/>
          <w:color w:val="000000"/>
          <w:sz w:val="22"/>
          <w:szCs w:val="22"/>
          <w:highlight w:val="none"/>
          <w:u w:val="single"/>
        </w:rPr>
      </w:pPr>
      <w:r>
        <w:rPr>
          <w:rFonts w:hint="eastAsia" w:ascii="宋体" w:hAnsi="宋体" w:eastAsia="宋体" w:cs="宋体"/>
          <w:bCs/>
          <w:color w:val="000000"/>
          <w:sz w:val="22"/>
          <w:szCs w:val="22"/>
          <w:highlight w:val="none"/>
        </w:rPr>
        <w:t>授权代表：</w:t>
      </w:r>
      <w:r>
        <w:rPr>
          <w:rFonts w:hint="eastAsia" w:ascii="宋体" w:hAnsi="宋体" w:eastAsia="宋体" w:cs="宋体"/>
          <w:bCs/>
          <w:color w:val="000000"/>
          <w:sz w:val="22"/>
          <w:szCs w:val="22"/>
          <w:highlight w:val="none"/>
          <w:u w:val="single"/>
        </w:rPr>
        <w:t xml:space="preserve">                                         </w:t>
      </w:r>
      <w:r>
        <w:rPr>
          <w:rFonts w:hint="eastAsia" w:ascii="宋体" w:hAnsi="宋体" w:eastAsia="宋体" w:cs="宋体"/>
          <w:bCs/>
          <w:color w:val="000000"/>
          <w:sz w:val="22"/>
          <w:szCs w:val="22"/>
          <w:highlight w:val="none"/>
        </w:rPr>
        <w:t>联系电话：</w:t>
      </w:r>
      <w:r>
        <w:rPr>
          <w:rFonts w:hint="eastAsia" w:ascii="宋体" w:hAnsi="宋体" w:eastAsia="宋体" w:cs="宋体"/>
          <w:bCs/>
          <w:color w:val="000000"/>
          <w:sz w:val="22"/>
          <w:szCs w:val="22"/>
          <w:highlight w:val="none"/>
          <w:u w:val="single"/>
        </w:rPr>
        <w:t xml:space="preserve">                   </w:t>
      </w:r>
    </w:p>
    <w:p w14:paraId="724FA089">
      <w:pPr>
        <w:pStyle w:val="9"/>
        <w:keepNext w:val="0"/>
        <w:keepLines w:val="0"/>
        <w:pageBreakBefore w:val="0"/>
        <w:widowControl w:val="0"/>
        <w:kinsoku/>
        <w:wordWrap/>
        <w:overflowPunct/>
        <w:topLinePunct w:val="0"/>
        <w:autoSpaceDE/>
        <w:autoSpaceDN/>
        <w:bidi w:val="0"/>
        <w:adjustRightInd/>
        <w:snapToGrid w:val="0"/>
        <w:spacing w:line="460" w:lineRule="exact"/>
        <w:ind w:firstLine="440" w:firstLineChars="200"/>
        <w:textAlignment w:val="auto"/>
        <w:rPr>
          <w:rFonts w:hint="eastAsia" w:ascii="宋体" w:hAnsi="宋体" w:eastAsia="宋体" w:cs="宋体"/>
          <w:bCs/>
          <w:color w:val="000000"/>
          <w:sz w:val="22"/>
          <w:szCs w:val="22"/>
          <w:highlight w:val="none"/>
          <w:u w:val="single"/>
        </w:rPr>
      </w:pPr>
      <w:r>
        <w:rPr>
          <w:rFonts w:hint="eastAsia" w:ascii="宋体" w:hAnsi="宋体" w:eastAsia="宋体" w:cs="宋体"/>
          <w:bCs/>
          <w:color w:val="000000"/>
          <w:sz w:val="22"/>
          <w:szCs w:val="22"/>
          <w:highlight w:val="none"/>
        </w:rPr>
        <w:t>地址：</w:t>
      </w:r>
      <w:r>
        <w:rPr>
          <w:rFonts w:hint="eastAsia" w:ascii="宋体" w:hAnsi="宋体" w:eastAsia="宋体" w:cs="宋体"/>
          <w:bCs/>
          <w:color w:val="000000"/>
          <w:sz w:val="22"/>
          <w:szCs w:val="22"/>
          <w:highlight w:val="none"/>
          <w:u w:val="single"/>
        </w:rPr>
        <w:t xml:space="preserve">                                                            </w:t>
      </w:r>
    </w:p>
    <w:p w14:paraId="50880951">
      <w:pPr>
        <w:pStyle w:val="9"/>
        <w:keepNext w:val="0"/>
        <w:keepLines w:val="0"/>
        <w:pageBreakBefore w:val="0"/>
        <w:widowControl w:val="0"/>
        <w:kinsoku/>
        <w:wordWrap/>
        <w:overflowPunct/>
        <w:topLinePunct w:val="0"/>
        <w:autoSpaceDE/>
        <w:autoSpaceDN/>
        <w:bidi w:val="0"/>
        <w:adjustRightInd/>
        <w:snapToGrid w:val="0"/>
        <w:spacing w:line="460" w:lineRule="exact"/>
        <w:ind w:firstLine="440" w:firstLineChars="200"/>
        <w:textAlignment w:val="auto"/>
        <w:rPr>
          <w:rFonts w:hint="eastAsia" w:ascii="宋体" w:hAnsi="宋体" w:eastAsia="宋体" w:cs="宋体"/>
          <w:bCs/>
          <w:color w:val="000000"/>
          <w:sz w:val="22"/>
          <w:szCs w:val="22"/>
          <w:highlight w:val="none"/>
        </w:rPr>
      </w:pPr>
      <w:r>
        <w:rPr>
          <w:rFonts w:hint="eastAsia" w:ascii="宋体" w:hAnsi="宋体" w:eastAsia="宋体" w:cs="宋体"/>
          <w:bCs/>
          <w:color w:val="000000"/>
          <w:sz w:val="22"/>
          <w:szCs w:val="22"/>
          <w:highlight w:val="none"/>
        </w:rPr>
        <w:t>邮编：</w:t>
      </w:r>
      <w:r>
        <w:rPr>
          <w:rFonts w:hint="eastAsia" w:ascii="宋体" w:hAnsi="宋体" w:eastAsia="宋体" w:cs="宋体"/>
          <w:bCs/>
          <w:color w:val="000000"/>
          <w:sz w:val="22"/>
          <w:szCs w:val="22"/>
          <w:highlight w:val="none"/>
          <w:u w:val="single"/>
        </w:rPr>
        <w:t xml:space="preserve">         </w:t>
      </w:r>
      <w:r>
        <w:rPr>
          <w:rFonts w:hint="eastAsia" w:ascii="宋体" w:hAnsi="宋体" w:eastAsia="宋体" w:cs="宋体"/>
          <w:bCs/>
          <w:color w:val="000000"/>
          <w:sz w:val="22"/>
          <w:szCs w:val="22"/>
          <w:highlight w:val="none"/>
        </w:rPr>
        <w:t xml:space="preserve">   </w:t>
      </w:r>
    </w:p>
    <w:p w14:paraId="698CA9BC">
      <w:pPr>
        <w:pStyle w:val="9"/>
        <w:keepNext w:val="0"/>
        <w:keepLines w:val="0"/>
        <w:pageBreakBefore w:val="0"/>
        <w:widowControl w:val="0"/>
        <w:kinsoku/>
        <w:wordWrap/>
        <w:overflowPunct/>
        <w:topLinePunct w:val="0"/>
        <w:autoSpaceDE/>
        <w:autoSpaceDN/>
        <w:bidi w:val="0"/>
        <w:adjustRightInd/>
        <w:snapToGrid w:val="0"/>
        <w:spacing w:line="460" w:lineRule="exact"/>
        <w:ind w:firstLine="440" w:firstLineChars="200"/>
        <w:textAlignment w:val="auto"/>
        <w:rPr>
          <w:rFonts w:hint="eastAsia" w:ascii="宋体" w:hAnsi="宋体" w:eastAsia="宋体" w:cs="宋体"/>
          <w:bCs/>
          <w:color w:val="000000"/>
          <w:sz w:val="22"/>
          <w:szCs w:val="22"/>
          <w:highlight w:val="none"/>
        </w:rPr>
      </w:pPr>
      <w:r>
        <w:rPr>
          <w:rFonts w:hint="eastAsia" w:ascii="宋体" w:hAnsi="宋体" w:eastAsia="宋体" w:cs="宋体"/>
          <w:bCs/>
          <w:color w:val="000000"/>
          <w:sz w:val="22"/>
          <w:szCs w:val="22"/>
          <w:highlight w:val="none"/>
        </w:rPr>
        <w:t>被投诉人1：</w:t>
      </w:r>
    </w:p>
    <w:p w14:paraId="196EB72F">
      <w:pPr>
        <w:pStyle w:val="9"/>
        <w:keepNext w:val="0"/>
        <w:keepLines w:val="0"/>
        <w:pageBreakBefore w:val="0"/>
        <w:widowControl w:val="0"/>
        <w:kinsoku/>
        <w:wordWrap/>
        <w:overflowPunct/>
        <w:topLinePunct w:val="0"/>
        <w:autoSpaceDE/>
        <w:autoSpaceDN/>
        <w:bidi w:val="0"/>
        <w:adjustRightInd/>
        <w:snapToGrid w:val="0"/>
        <w:spacing w:line="460" w:lineRule="exact"/>
        <w:ind w:firstLine="440" w:firstLineChars="200"/>
        <w:textAlignment w:val="auto"/>
        <w:rPr>
          <w:rFonts w:hint="eastAsia" w:ascii="宋体" w:hAnsi="宋体" w:eastAsia="宋体" w:cs="宋体"/>
          <w:bCs/>
          <w:color w:val="000000"/>
          <w:sz w:val="22"/>
          <w:szCs w:val="22"/>
          <w:highlight w:val="none"/>
          <w:u w:val="single"/>
        </w:rPr>
      </w:pPr>
      <w:r>
        <w:rPr>
          <w:rFonts w:hint="eastAsia" w:ascii="宋体" w:hAnsi="宋体" w:eastAsia="宋体" w:cs="宋体"/>
          <w:bCs/>
          <w:color w:val="000000"/>
          <w:sz w:val="22"/>
          <w:szCs w:val="22"/>
          <w:highlight w:val="none"/>
        </w:rPr>
        <w:t>地址：</w:t>
      </w:r>
      <w:r>
        <w:rPr>
          <w:rFonts w:hint="eastAsia" w:ascii="宋体" w:hAnsi="宋体" w:eastAsia="宋体" w:cs="宋体"/>
          <w:bCs/>
          <w:color w:val="000000"/>
          <w:sz w:val="22"/>
          <w:szCs w:val="22"/>
          <w:highlight w:val="none"/>
          <w:u w:val="single"/>
        </w:rPr>
        <w:t xml:space="preserve">                                                            </w:t>
      </w:r>
    </w:p>
    <w:p w14:paraId="3D5910D0">
      <w:pPr>
        <w:pStyle w:val="9"/>
        <w:keepNext w:val="0"/>
        <w:keepLines w:val="0"/>
        <w:pageBreakBefore w:val="0"/>
        <w:widowControl w:val="0"/>
        <w:kinsoku/>
        <w:wordWrap/>
        <w:overflowPunct/>
        <w:topLinePunct w:val="0"/>
        <w:autoSpaceDE/>
        <w:autoSpaceDN/>
        <w:bidi w:val="0"/>
        <w:adjustRightInd/>
        <w:snapToGrid w:val="0"/>
        <w:spacing w:line="460" w:lineRule="exact"/>
        <w:ind w:firstLine="440" w:firstLineChars="200"/>
        <w:textAlignment w:val="auto"/>
        <w:rPr>
          <w:rFonts w:hint="eastAsia" w:ascii="宋体" w:hAnsi="宋体" w:eastAsia="宋体" w:cs="宋体"/>
          <w:bCs/>
          <w:color w:val="000000"/>
          <w:sz w:val="22"/>
          <w:szCs w:val="22"/>
          <w:highlight w:val="none"/>
        </w:rPr>
      </w:pPr>
      <w:r>
        <w:rPr>
          <w:rFonts w:hint="eastAsia" w:ascii="宋体" w:hAnsi="宋体" w:eastAsia="宋体" w:cs="宋体"/>
          <w:bCs/>
          <w:color w:val="000000"/>
          <w:sz w:val="22"/>
          <w:szCs w:val="22"/>
          <w:highlight w:val="none"/>
        </w:rPr>
        <w:t>邮编：</w:t>
      </w:r>
      <w:r>
        <w:rPr>
          <w:rFonts w:hint="eastAsia" w:ascii="宋体" w:hAnsi="宋体" w:eastAsia="宋体" w:cs="宋体"/>
          <w:bCs/>
          <w:color w:val="000000"/>
          <w:sz w:val="22"/>
          <w:szCs w:val="22"/>
          <w:highlight w:val="none"/>
          <w:u w:val="single"/>
        </w:rPr>
        <w:t xml:space="preserve">         </w:t>
      </w:r>
      <w:r>
        <w:rPr>
          <w:rFonts w:hint="eastAsia" w:ascii="宋体" w:hAnsi="宋体" w:eastAsia="宋体" w:cs="宋体"/>
          <w:bCs/>
          <w:color w:val="000000"/>
          <w:sz w:val="22"/>
          <w:szCs w:val="22"/>
          <w:highlight w:val="none"/>
        </w:rPr>
        <w:t xml:space="preserve">  </w:t>
      </w:r>
    </w:p>
    <w:p w14:paraId="7E2D3390">
      <w:pPr>
        <w:pStyle w:val="9"/>
        <w:keepNext w:val="0"/>
        <w:keepLines w:val="0"/>
        <w:pageBreakBefore w:val="0"/>
        <w:widowControl w:val="0"/>
        <w:kinsoku/>
        <w:wordWrap/>
        <w:overflowPunct/>
        <w:topLinePunct w:val="0"/>
        <w:autoSpaceDE/>
        <w:autoSpaceDN/>
        <w:bidi w:val="0"/>
        <w:adjustRightInd/>
        <w:snapToGrid w:val="0"/>
        <w:spacing w:line="460" w:lineRule="exact"/>
        <w:ind w:firstLine="440" w:firstLineChars="200"/>
        <w:textAlignment w:val="auto"/>
        <w:rPr>
          <w:rFonts w:hint="eastAsia" w:ascii="宋体" w:hAnsi="宋体" w:eastAsia="宋体" w:cs="宋体"/>
          <w:bCs/>
          <w:color w:val="000000"/>
          <w:sz w:val="22"/>
          <w:szCs w:val="22"/>
          <w:highlight w:val="none"/>
          <w:u w:val="single"/>
        </w:rPr>
      </w:pPr>
      <w:r>
        <w:rPr>
          <w:rFonts w:hint="eastAsia" w:ascii="宋体" w:hAnsi="宋体" w:eastAsia="宋体" w:cs="宋体"/>
          <w:bCs/>
          <w:color w:val="000000"/>
          <w:sz w:val="22"/>
          <w:szCs w:val="22"/>
          <w:highlight w:val="none"/>
        </w:rPr>
        <w:t>联系人：</w:t>
      </w:r>
      <w:r>
        <w:rPr>
          <w:rFonts w:hint="eastAsia" w:ascii="宋体" w:hAnsi="宋体" w:eastAsia="宋体" w:cs="宋体"/>
          <w:bCs/>
          <w:color w:val="000000"/>
          <w:sz w:val="22"/>
          <w:szCs w:val="22"/>
          <w:highlight w:val="none"/>
          <w:u w:val="single"/>
        </w:rPr>
        <w:t xml:space="preserve">                                                </w:t>
      </w:r>
      <w:r>
        <w:rPr>
          <w:rFonts w:hint="eastAsia" w:ascii="宋体" w:hAnsi="宋体" w:eastAsia="宋体" w:cs="宋体"/>
          <w:bCs/>
          <w:color w:val="000000"/>
          <w:sz w:val="22"/>
          <w:szCs w:val="22"/>
          <w:highlight w:val="none"/>
        </w:rPr>
        <w:t>联系电话：</w:t>
      </w:r>
      <w:r>
        <w:rPr>
          <w:rFonts w:hint="eastAsia" w:ascii="宋体" w:hAnsi="宋体" w:eastAsia="宋体" w:cs="宋体"/>
          <w:bCs/>
          <w:color w:val="000000"/>
          <w:sz w:val="22"/>
          <w:szCs w:val="22"/>
          <w:highlight w:val="none"/>
          <w:u w:val="single"/>
        </w:rPr>
        <w:t xml:space="preserve">                </w:t>
      </w:r>
    </w:p>
    <w:p w14:paraId="0E6B2AB6">
      <w:pPr>
        <w:pStyle w:val="9"/>
        <w:keepNext w:val="0"/>
        <w:keepLines w:val="0"/>
        <w:pageBreakBefore w:val="0"/>
        <w:widowControl w:val="0"/>
        <w:kinsoku/>
        <w:wordWrap/>
        <w:overflowPunct/>
        <w:topLinePunct w:val="0"/>
        <w:autoSpaceDE/>
        <w:autoSpaceDN/>
        <w:bidi w:val="0"/>
        <w:adjustRightInd/>
        <w:snapToGrid w:val="0"/>
        <w:spacing w:line="460" w:lineRule="exact"/>
        <w:ind w:firstLine="440" w:firstLineChars="200"/>
        <w:textAlignment w:val="auto"/>
        <w:rPr>
          <w:rFonts w:hint="eastAsia" w:ascii="宋体" w:hAnsi="宋体" w:eastAsia="宋体" w:cs="宋体"/>
          <w:bCs/>
          <w:color w:val="000000"/>
          <w:sz w:val="22"/>
          <w:szCs w:val="22"/>
          <w:highlight w:val="none"/>
        </w:rPr>
      </w:pPr>
      <w:r>
        <w:rPr>
          <w:rFonts w:hint="eastAsia" w:ascii="宋体" w:hAnsi="宋体" w:eastAsia="宋体" w:cs="宋体"/>
          <w:bCs/>
          <w:color w:val="000000"/>
          <w:sz w:val="22"/>
          <w:szCs w:val="22"/>
          <w:highlight w:val="none"/>
        </w:rPr>
        <w:t>被投诉人2：</w:t>
      </w:r>
    </w:p>
    <w:p w14:paraId="34B99C2E">
      <w:pPr>
        <w:pStyle w:val="9"/>
        <w:keepNext w:val="0"/>
        <w:keepLines w:val="0"/>
        <w:pageBreakBefore w:val="0"/>
        <w:widowControl w:val="0"/>
        <w:kinsoku/>
        <w:wordWrap/>
        <w:overflowPunct/>
        <w:topLinePunct w:val="0"/>
        <w:autoSpaceDE/>
        <w:autoSpaceDN/>
        <w:bidi w:val="0"/>
        <w:adjustRightInd/>
        <w:snapToGrid w:val="0"/>
        <w:spacing w:line="460" w:lineRule="exact"/>
        <w:ind w:firstLine="440" w:firstLineChars="200"/>
        <w:textAlignment w:val="auto"/>
        <w:rPr>
          <w:rFonts w:hint="eastAsia" w:ascii="宋体" w:hAnsi="宋体" w:eastAsia="宋体" w:cs="宋体"/>
          <w:bCs/>
          <w:color w:val="000000"/>
          <w:sz w:val="22"/>
          <w:szCs w:val="22"/>
          <w:highlight w:val="none"/>
        </w:rPr>
      </w:pPr>
      <w:r>
        <w:rPr>
          <w:rFonts w:hint="eastAsia" w:ascii="宋体" w:hAnsi="宋体" w:eastAsia="宋体" w:cs="宋体"/>
          <w:bCs/>
          <w:color w:val="000000"/>
          <w:sz w:val="22"/>
          <w:szCs w:val="22"/>
          <w:highlight w:val="none"/>
        </w:rPr>
        <w:t>……</w:t>
      </w:r>
    </w:p>
    <w:p w14:paraId="1881C076">
      <w:pPr>
        <w:pStyle w:val="9"/>
        <w:keepNext w:val="0"/>
        <w:keepLines w:val="0"/>
        <w:pageBreakBefore w:val="0"/>
        <w:widowControl w:val="0"/>
        <w:kinsoku/>
        <w:wordWrap/>
        <w:overflowPunct/>
        <w:topLinePunct w:val="0"/>
        <w:autoSpaceDE/>
        <w:autoSpaceDN/>
        <w:bidi w:val="0"/>
        <w:adjustRightInd/>
        <w:snapToGrid w:val="0"/>
        <w:spacing w:line="460" w:lineRule="exact"/>
        <w:ind w:firstLine="440" w:firstLineChars="200"/>
        <w:textAlignment w:val="auto"/>
        <w:rPr>
          <w:rFonts w:hint="eastAsia" w:ascii="宋体" w:hAnsi="宋体" w:eastAsia="宋体" w:cs="宋体"/>
          <w:bCs/>
          <w:color w:val="000000"/>
          <w:sz w:val="22"/>
          <w:szCs w:val="22"/>
          <w:highlight w:val="none"/>
          <w:u w:val="single"/>
        </w:rPr>
      </w:pPr>
      <w:r>
        <w:rPr>
          <w:rFonts w:hint="eastAsia" w:ascii="宋体" w:hAnsi="宋体" w:eastAsia="宋体" w:cs="宋体"/>
          <w:bCs/>
          <w:color w:val="000000"/>
          <w:sz w:val="22"/>
          <w:szCs w:val="22"/>
          <w:highlight w:val="none"/>
        </w:rPr>
        <w:t>相关供应商：</w:t>
      </w:r>
      <w:r>
        <w:rPr>
          <w:rFonts w:hint="eastAsia" w:ascii="宋体" w:hAnsi="宋体" w:eastAsia="宋体" w:cs="宋体"/>
          <w:bCs/>
          <w:color w:val="000000"/>
          <w:sz w:val="22"/>
          <w:szCs w:val="22"/>
          <w:highlight w:val="none"/>
          <w:u w:val="single"/>
        </w:rPr>
        <w:t xml:space="preserve">                                                                       </w:t>
      </w:r>
    </w:p>
    <w:p w14:paraId="7373BBA1">
      <w:pPr>
        <w:pStyle w:val="9"/>
        <w:keepNext w:val="0"/>
        <w:keepLines w:val="0"/>
        <w:pageBreakBefore w:val="0"/>
        <w:widowControl w:val="0"/>
        <w:kinsoku/>
        <w:wordWrap/>
        <w:overflowPunct/>
        <w:topLinePunct w:val="0"/>
        <w:autoSpaceDE/>
        <w:autoSpaceDN/>
        <w:bidi w:val="0"/>
        <w:adjustRightInd/>
        <w:snapToGrid w:val="0"/>
        <w:spacing w:line="460" w:lineRule="exact"/>
        <w:ind w:firstLine="440" w:firstLineChars="200"/>
        <w:textAlignment w:val="auto"/>
        <w:rPr>
          <w:rFonts w:hint="eastAsia" w:ascii="宋体" w:hAnsi="宋体" w:eastAsia="宋体" w:cs="宋体"/>
          <w:bCs/>
          <w:color w:val="000000"/>
          <w:sz w:val="22"/>
          <w:szCs w:val="22"/>
          <w:highlight w:val="none"/>
          <w:u w:val="single"/>
        </w:rPr>
      </w:pPr>
      <w:r>
        <w:rPr>
          <w:rFonts w:hint="eastAsia" w:ascii="宋体" w:hAnsi="宋体" w:eastAsia="宋体" w:cs="宋体"/>
          <w:bCs/>
          <w:color w:val="000000"/>
          <w:sz w:val="22"/>
          <w:szCs w:val="22"/>
          <w:highlight w:val="none"/>
        </w:rPr>
        <w:t>地址：</w:t>
      </w:r>
      <w:r>
        <w:rPr>
          <w:rFonts w:hint="eastAsia" w:ascii="宋体" w:hAnsi="宋体" w:eastAsia="宋体" w:cs="宋体"/>
          <w:bCs/>
          <w:color w:val="000000"/>
          <w:sz w:val="22"/>
          <w:szCs w:val="22"/>
          <w:highlight w:val="none"/>
          <w:u w:val="single"/>
        </w:rPr>
        <w:t xml:space="preserve">                                              </w:t>
      </w:r>
      <w:r>
        <w:rPr>
          <w:rFonts w:hint="eastAsia" w:ascii="宋体" w:hAnsi="宋体" w:eastAsia="宋体" w:cs="宋体"/>
          <w:bCs/>
          <w:color w:val="000000"/>
          <w:sz w:val="22"/>
          <w:szCs w:val="22"/>
          <w:highlight w:val="none"/>
        </w:rPr>
        <w:t>邮编：</w:t>
      </w:r>
      <w:r>
        <w:rPr>
          <w:rFonts w:hint="eastAsia" w:ascii="宋体" w:hAnsi="宋体" w:eastAsia="宋体" w:cs="宋体"/>
          <w:bCs/>
          <w:color w:val="000000"/>
          <w:sz w:val="22"/>
          <w:szCs w:val="22"/>
          <w:highlight w:val="none"/>
          <w:u w:val="single"/>
        </w:rPr>
        <w:t xml:space="preserve">                         </w:t>
      </w:r>
    </w:p>
    <w:p w14:paraId="5FC04DEC">
      <w:pPr>
        <w:pStyle w:val="9"/>
        <w:keepNext w:val="0"/>
        <w:keepLines w:val="0"/>
        <w:pageBreakBefore w:val="0"/>
        <w:widowControl w:val="0"/>
        <w:kinsoku/>
        <w:wordWrap/>
        <w:overflowPunct/>
        <w:topLinePunct w:val="0"/>
        <w:autoSpaceDE/>
        <w:autoSpaceDN/>
        <w:bidi w:val="0"/>
        <w:adjustRightInd/>
        <w:snapToGrid w:val="0"/>
        <w:spacing w:line="460" w:lineRule="exact"/>
        <w:ind w:firstLine="440" w:firstLineChars="200"/>
        <w:textAlignment w:val="auto"/>
        <w:rPr>
          <w:rFonts w:hint="eastAsia" w:ascii="宋体" w:hAnsi="宋体" w:eastAsia="宋体" w:cs="宋体"/>
          <w:bCs/>
          <w:color w:val="000000"/>
          <w:sz w:val="22"/>
          <w:szCs w:val="22"/>
          <w:highlight w:val="none"/>
        </w:rPr>
      </w:pPr>
      <w:r>
        <w:rPr>
          <w:rFonts w:hint="eastAsia" w:ascii="宋体" w:hAnsi="宋体" w:eastAsia="宋体" w:cs="宋体"/>
          <w:bCs/>
          <w:color w:val="000000"/>
          <w:sz w:val="22"/>
          <w:szCs w:val="22"/>
          <w:highlight w:val="none"/>
        </w:rPr>
        <w:t>联系人：</w:t>
      </w:r>
      <w:r>
        <w:rPr>
          <w:rFonts w:hint="eastAsia" w:ascii="宋体" w:hAnsi="宋体" w:eastAsia="宋体" w:cs="宋体"/>
          <w:bCs/>
          <w:color w:val="000000"/>
          <w:sz w:val="22"/>
          <w:szCs w:val="22"/>
          <w:highlight w:val="none"/>
          <w:u w:val="single"/>
        </w:rPr>
        <w:t xml:space="preserve">                                            </w:t>
      </w:r>
      <w:r>
        <w:rPr>
          <w:rFonts w:hint="eastAsia" w:ascii="宋体" w:hAnsi="宋体" w:eastAsia="宋体" w:cs="宋体"/>
          <w:bCs/>
          <w:color w:val="000000"/>
          <w:sz w:val="22"/>
          <w:szCs w:val="22"/>
          <w:highlight w:val="none"/>
        </w:rPr>
        <w:t>联系电话：</w:t>
      </w:r>
      <w:r>
        <w:rPr>
          <w:rFonts w:hint="eastAsia" w:ascii="宋体" w:hAnsi="宋体" w:eastAsia="宋体" w:cs="宋体"/>
          <w:bCs/>
          <w:color w:val="000000"/>
          <w:sz w:val="22"/>
          <w:szCs w:val="22"/>
          <w:highlight w:val="none"/>
          <w:u w:val="single"/>
        </w:rPr>
        <w:t xml:space="preserve">                     </w:t>
      </w:r>
      <w:r>
        <w:rPr>
          <w:rFonts w:hint="eastAsia" w:ascii="宋体" w:hAnsi="宋体" w:eastAsia="宋体" w:cs="宋体"/>
          <w:bCs/>
          <w:color w:val="000000"/>
          <w:sz w:val="22"/>
          <w:szCs w:val="22"/>
          <w:highlight w:val="none"/>
        </w:rPr>
        <w:t xml:space="preserve">                </w:t>
      </w:r>
    </w:p>
    <w:p w14:paraId="74E4353E">
      <w:pPr>
        <w:pStyle w:val="9"/>
        <w:keepNext w:val="0"/>
        <w:keepLines w:val="0"/>
        <w:pageBreakBefore w:val="0"/>
        <w:widowControl w:val="0"/>
        <w:kinsoku/>
        <w:wordWrap/>
        <w:overflowPunct/>
        <w:topLinePunct w:val="0"/>
        <w:autoSpaceDE/>
        <w:autoSpaceDN/>
        <w:bidi w:val="0"/>
        <w:adjustRightInd/>
        <w:snapToGrid w:val="0"/>
        <w:spacing w:line="460" w:lineRule="exact"/>
        <w:ind w:firstLine="442" w:firstLineChars="200"/>
        <w:textAlignment w:val="auto"/>
        <w:rPr>
          <w:rFonts w:hint="eastAsia"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二、投诉项目基本情况：</w:t>
      </w:r>
    </w:p>
    <w:p w14:paraId="490EE5ED">
      <w:pPr>
        <w:pStyle w:val="9"/>
        <w:keepNext w:val="0"/>
        <w:keepLines w:val="0"/>
        <w:pageBreakBefore w:val="0"/>
        <w:widowControl w:val="0"/>
        <w:kinsoku/>
        <w:wordWrap/>
        <w:overflowPunct/>
        <w:topLinePunct w:val="0"/>
        <w:autoSpaceDE/>
        <w:autoSpaceDN/>
        <w:bidi w:val="0"/>
        <w:adjustRightInd/>
        <w:spacing w:line="460" w:lineRule="exact"/>
        <w:ind w:left="25" w:leftChars="12" w:firstLine="433" w:firstLineChars="197"/>
        <w:textAlignment w:val="auto"/>
        <w:rPr>
          <w:rFonts w:hint="eastAsia" w:ascii="宋体" w:hAnsi="宋体" w:eastAsia="宋体" w:cs="宋体"/>
          <w:color w:val="000000"/>
          <w:sz w:val="22"/>
          <w:szCs w:val="22"/>
          <w:highlight w:val="none"/>
        </w:rPr>
      </w:pPr>
      <w:r>
        <w:rPr>
          <w:rFonts w:hint="eastAsia" w:ascii="宋体" w:hAnsi="宋体" w:eastAsia="宋体" w:cs="宋体"/>
          <w:bCs/>
          <w:color w:val="000000"/>
          <w:sz w:val="22"/>
          <w:szCs w:val="22"/>
          <w:highlight w:val="none"/>
        </w:rPr>
        <w:t>采购</w:t>
      </w:r>
      <w:r>
        <w:rPr>
          <w:rFonts w:hint="eastAsia" w:ascii="宋体" w:hAnsi="宋体" w:eastAsia="宋体" w:cs="宋体"/>
          <w:color w:val="000000"/>
          <w:sz w:val="22"/>
          <w:szCs w:val="22"/>
          <w:highlight w:val="none"/>
        </w:rPr>
        <w:t>项目的名称：</w:t>
      </w:r>
      <w:r>
        <w:rPr>
          <w:rFonts w:hint="eastAsia" w:ascii="宋体" w:hAnsi="宋体" w:eastAsia="宋体" w:cs="宋体"/>
          <w:bCs/>
          <w:color w:val="000000"/>
          <w:sz w:val="22"/>
          <w:szCs w:val="22"/>
          <w:highlight w:val="none"/>
          <w:u w:val="single"/>
        </w:rPr>
        <w:t xml:space="preserve">                                                                   </w:t>
      </w:r>
    </w:p>
    <w:p w14:paraId="0DC7929A">
      <w:pPr>
        <w:pStyle w:val="9"/>
        <w:keepNext w:val="0"/>
        <w:keepLines w:val="0"/>
        <w:pageBreakBefore w:val="0"/>
        <w:widowControl w:val="0"/>
        <w:kinsoku/>
        <w:wordWrap/>
        <w:overflowPunct/>
        <w:topLinePunct w:val="0"/>
        <w:autoSpaceDE/>
        <w:autoSpaceDN/>
        <w:bidi w:val="0"/>
        <w:adjustRightInd/>
        <w:spacing w:line="460" w:lineRule="exact"/>
        <w:ind w:left="25" w:leftChars="12" w:firstLine="433" w:firstLineChars="197"/>
        <w:textAlignment w:val="auto"/>
        <w:rPr>
          <w:rFonts w:hint="eastAsia" w:ascii="宋体" w:hAnsi="宋体" w:eastAsia="宋体" w:cs="宋体"/>
          <w:color w:val="000000"/>
          <w:sz w:val="22"/>
          <w:szCs w:val="22"/>
          <w:highlight w:val="none"/>
        </w:rPr>
      </w:pPr>
      <w:r>
        <w:rPr>
          <w:rFonts w:hint="eastAsia" w:ascii="宋体" w:hAnsi="宋体" w:eastAsia="宋体" w:cs="宋体"/>
          <w:bCs/>
          <w:color w:val="000000"/>
          <w:sz w:val="22"/>
          <w:szCs w:val="22"/>
          <w:highlight w:val="none"/>
        </w:rPr>
        <w:t>采购</w:t>
      </w:r>
      <w:r>
        <w:rPr>
          <w:rFonts w:hint="eastAsia" w:ascii="宋体" w:hAnsi="宋体" w:eastAsia="宋体" w:cs="宋体"/>
          <w:color w:val="000000"/>
          <w:sz w:val="22"/>
          <w:szCs w:val="22"/>
          <w:highlight w:val="none"/>
        </w:rPr>
        <w:t>项目的编号：</w:t>
      </w:r>
      <w:r>
        <w:rPr>
          <w:rFonts w:hint="eastAsia" w:ascii="宋体" w:hAnsi="宋体" w:eastAsia="宋体" w:cs="宋体"/>
          <w:bCs/>
          <w:color w:val="000000"/>
          <w:sz w:val="22"/>
          <w:szCs w:val="22"/>
          <w:highlight w:val="none"/>
          <w:u w:val="single"/>
        </w:rPr>
        <w:t xml:space="preserve">                                          </w:t>
      </w:r>
    </w:p>
    <w:p w14:paraId="1022F2CE">
      <w:pPr>
        <w:pStyle w:val="9"/>
        <w:keepNext w:val="0"/>
        <w:keepLines w:val="0"/>
        <w:pageBreakBefore w:val="0"/>
        <w:widowControl w:val="0"/>
        <w:kinsoku/>
        <w:wordWrap/>
        <w:overflowPunct/>
        <w:topLinePunct w:val="0"/>
        <w:autoSpaceDE/>
        <w:autoSpaceDN/>
        <w:bidi w:val="0"/>
        <w:adjustRightInd/>
        <w:spacing w:line="460" w:lineRule="exact"/>
        <w:ind w:left="25" w:leftChars="12" w:firstLine="433" w:firstLineChars="197"/>
        <w:textAlignment w:val="auto"/>
        <w:rPr>
          <w:rFonts w:hint="eastAsia" w:ascii="宋体" w:hAnsi="宋体" w:eastAsia="宋体" w:cs="宋体"/>
          <w:bCs/>
          <w:color w:val="000000"/>
          <w:sz w:val="22"/>
          <w:szCs w:val="22"/>
          <w:highlight w:val="none"/>
          <w:u w:val="single"/>
        </w:rPr>
      </w:pPr>
      <w:r>
        <w:rPr>
          <w:rFonts w:hint="eastAsia" w:ascii="宋体" w:hAnsi="宋体" w:eastAsia="宋体" w:cs="宋体"/>
          <w:color w:val="000000"/>
          <w:sz w:val="22"/>
          <w:szCs w:val="22"/>
          <w:highlight w:val="none"/>
        </w:rPr>
        <w:t>采购人名称：</w:t>
      </w:r>
      <w:r>
        <w:rPr>
          <w:rFonts w:hint="eastAsia" w:ascii="宋体" w:hAnsi="宋体" w:eastAsia="宋体" w:cs="宋体"/>
          <w:bCs/>
          <w:color w:val="000000"/>
          <w:sz w:val="22"/>
          <w:szCs w:val="22"/>
          <w:highlight w:val="none"/>
          <w:u w:val="single"/>
        </w:rPr>
        <w:t xml:space="preserve">                                                                        </w:t>
      </w:r>
    </w:p>
    <w:p w14:paraId="5FBE5849">
      <w:pPr>
        <w:pStyle w:val="9"/>
        <w:keepNext w:val="0"/>
        <w:keepLines w:val="0"/>
        <w:pageBreakBefore w:val="0"/>
        <w:widowControl w:val="0"/>
        <w:kinsoku/>
        <w:wordWrap/>
        <w:overflowPunct/>
        <w:topLinePunct w:val="0"/>
        <w:autoSpaceDE/>
        <w:autoSpaceDN/>
        <w:bidi w:val="0"/>
        <w:adjustRightInd/>
        <w:spacing w:line="460" w:lineRule="exact"/>
        <w:ind w:left="25" w:leftChars="12" w:firstLine="433" w:firstLineChars="197"/>
        <w:textAlignment w:val="auto"/>
        <w:rPr>
          <w:rFonts w:hint="eastAsia" w:ascii="宋体" w:hAnsi="宋体" w:eastAsia="宋体" w:cs="宋体"/>
          <w:bCs/>
          <w:color w:val="000000"/>
          <w:sz w:val="22"/>
          <w:szCs w:val="22"/>
          <w:highlight w:val="none"/>
          <w:u w:val="single"/>
        </w:rPr>
      </w:pPr>
      <w:r>
        <w:rPr>
          <w:rFonts w:hint="eastAsia" w:ascii="宋体" w:hAnsi="宋体" w:eastAsia="宋体" w:cs="宋体"/>
          <w:color w:val="000000"/>
          <w:sz w:val="22"/>
          <w:szCs w:val="22"/>
          <w:highlight w:val="none"/>
        </w:rPr>
        <w:t>代理机构名称：</w:t>
      </w:r>
      <w:r>
        <w:rPr>
          <w:rFonts w:hint="eastAsia" w:ascii="宋体" w:hAnsi="宋体" w:eastAsia="宋体" w:cs="宋体"/>
          <w:bCs/>
          <w:color w:val="000000"/>
          <w:sz w:val="22"/>
          <w:szCs w:val="22"/>
          <w:highlight w:val="none"/>
          <w:u w:val="single"/>
        </w:rPr>
        <w:t xml:space="preserve">                                                                      </w:t>
      </w:r>
    </w:p>
    <w:p w14:paraId="2371D81D">
      <w:pPr>
        <w:pStyle w:val="9"/>
        <w:keepNext w:val="0"/>
        <w:keepLines w:val="0"/>
        <w:pageBreakBefore w:val="0"/>
        <w:widowControl w:val="0"/>
        <w:kinsoku/>
        <w:wordWrap/>
        <w:overflowPunct/>
        <w:topLinePunct w:val="0"/>
        <w:autoSpaceDE/>
        <w:autoSpaceDN/>
        <w:bidi w:val="0"/>
        <w:adjustRightInd/>
        <w:spacing w:line="460" w:lineRule="exact"/>
        <w:ind w:left="25" w:leftChars="12" w:firstLine="433" w:firstLineChars="197"/>
        <w:textAlignment w:val="auto"/>
        <w:rPr>
          <w:rFonts w:hint="eastAsia" w:ascii="宋体" w:hAnsi="宋体" w:eastAsia="宋体" w:cs="宋体"/>
          <w:bCs/>
          <w:color w:val="000000"/>
          <w:sz w:val="22"/>
          <w:szCs w:val="22"/>
          <w:highlight w:val="none"/>
          <w:u w:val="single"/>
        </w:rPr>
      </w:pPr>
      <w:r>
        <w:rPr>
          <w:rFonts w:hint="eastAsia" w:ascii="宋体" w:hAnsi="宋体" w:eastAsia="宋体" w:cs="宋体"/>
          <w:bCs/>
          <w:color w:val="000000"/>
          <w:sz w:val="22"/>
          <w:szCs w:val="22"/>
          <w:highlight w:val="none"/>
        </w:rPr>
        <w:t>招标文件公告：</w:t>
      </w:r>
      <w:r>
        <w:rPr>
          <w:rFonts w:hint="eastAsia" w:ascii="宋体" w:hAnsi="宋体" w:eastAsia="宋体" w:cs="宋体"/>
          <w:bCs/>
          <w:color w:val="000000"/>
          <w:sz w:val="22"/>
          <w:szCs w:val="22"/>
          <w:highlight w:val="none"/>
          <w:u w:val="single"/>
        </w:rPr>
        <w:t>是/否</w:t>
      </w:r>
      <w:r>
        <w:rPr>
          <w:rFonts w:hint="eastAsia" w:ascii="宋体" w:hAnsi="宋体" w:eastAsia="宋体" w:cs="宋体"/>
          <w:bCs/>
          <w:color w:val="000000"/>
          <w:sz w:val="22"/>
          <w:szCs w:val="22"/>
          <w:highlight w:val="none"/>
        </w:rPr>
        <w:t>公告期限：</w:t>
      </w:r>
      <w:r>
        <w:rPr>
          <w:rFonts w:hint="eastAsia" w:ascii="宋体" w:hAnsi="宋体" w:eastAsia="宋体" w:cs="宋体"/>
          <w:bCs/>
          <w:color w:val="000000"/>
          <w:sz w:val="22"/>
          <w:szCs w:val="22"/>
          <w:highlight w:val="none"/>
          <w:u w:val="single"/>
        </w:rPr>
        <w:t xml:space="preserve">                                                       </w:t>
      </w:r>
    </w:p>
    <w:p w14:paraId="05A5D90E">
      <w:pPr>
        <w:pStyle w:val="9"/>
        <w:keepNext w:val="0"/>
        <w:keepLines w:val="0"/>
        <w:pageBreakBefore w:val="0"/>
        <w:widowControl w:val="0"/>
        <w:kinsoku/>
        <w:wordWrap/>
        <w:overflowPunct/>
        <w:topLinePunct w:val="0"/>
        <w:autoSpaceDE/>
        <w:autoSpaceDN/>
        <w:bidi w:val="0"/>
        <w:adjustRightInd/>
        <w:spacing w:line="460" w:lineRule="exact"/>
        <w:ind w:left="25" w:leftChars="12" w:firstLine="433" w:firstLineChars="197"/>
        <w:textAlignment w:val="auto"/>
        <w:rPr>
          <w:rFonts w:hint="eastAsia" w:ascii="宋体" w:hAnsi="宋体" w:eastAsia="宋体" w:cs="宋体"/>
          <w:b/>
          <w:color w:val="000000"/>
          <w:sz w:val="22"/>
          <w:szCs w:val="22"/>
          <w:highlight w:val="none"/>
        </w:rPr>
      </w:pPr>
      <w:r>
        <w:rPr>
          <w:rFonts w:hint="eastAsia" w:ascii="宋体" w:hAnsi="宋体" w:eastAsia="宋体" w:cs="宋体"/>
          <w:bCs/>
          <w:color w:val="000000"/>
          <w:sz w:val="22"/>
          <w:szCs w:val="22"/>
          <w:highlight w:val="none"/>
        </w:rPr>
        <w:t>采购结果公告：</w:t>
      </w:r>
      <w:r>
        <w:rPr>
          <w:rFonts w:hint="eastAsia" w:ascii="宋体" w:hAnsi="宋体" w:eastAsia="宋体" w:cs="宋体"/>
          <w:bCs/>
          <w:color w:val="000000"/>
          <w:sz w:val="22"/>
          <w:szCs w:val="22"/>
          <w:highlight w:val="none"/>
          <w:u w:val="single"/>
        </w:rPr>
        <w:t>是/否</w:t>
      </w:r>
      <w:r>
        <w:rPr>
          <w:rFonts w:hint="eastAsia" w:ascii="宋体" w:hAnsi="宋体" w:eastAsia="宋体" w:cs="宋体"/>
          <w:bCs/>
          <w:color w:val="000000"/>
          <w:sz w:val="22"/>
          <w:szCs w:val="22"/>
          <w:highlight w:val="none"/>
        </w:rPr>
        <w:t>公告期限：</w:t>
      </w:r>
      <w:r>
        <w:rPr>
          <w:rFonts w:hint="eastAsia" w:ascii="宋体" w:hAnsi="宋体" w:eastAsia="宋体" w:cs="宋体"/>
          <w:bCs/>
          <w:color w:val="000000"/>
          <w:sz w:val="22"/>
          <w:szCs w:val="22"/>
          <w:highlight w:val="none"/>
          <w:u w:val="single"/>
        </w:rPr>
        <w:t xml:space="preserve">                                                       </w:t>
      </w:r>
    </w:p>
    <w:p w14:paraId="289924FA">
      <w:pPr>
        <w:pStyle w:val="9"/>
        <w:keepNext w:val="0"/>
        <w:keepLines w:val="0"/>
        <w:pageBreakBefore w:val="0"/>
        <w:widowControl w:val="0"/>
        <w:kinsoku/>
        <w:wordWrap/>
        <w:overflowPunct/>
        <w:topLinePunct w:val="0"/>
        <w:autoSpaceDE/>
        <w:autoSpaceDN/>
        <w:bidi w:val="0"/>
        <w:adjustRightInd/>
        <w:spacing w:line="460" w:lineRule="exact"/>
        <w:ind w:left="25" w:leftChars="12" w:firstLine="433" w:firstLineChars="196"/>
        <w:textAlignment w:val="auto"/>
        <w:rPr>
          <w:rFonts w:hint="eastAsia" w:ascii="宋体" w:hAnsi="宋体" w:eastAsia="宋体" w:cs="宋体"/>
          <w:b/>
          <w:color w:val="000000"/>
          <w:sz w:val="22"/>
          <w:szCs w:val="22"/>
          <w:highlight w:val="none"/>
        </w:rPr>
      </w:pPr>
      <w:r>
        <w:rPr>
          <w:rFonts w:hint="eastAsia" w:ascii="宋体" w:hAnsi="宋体" w:eastAsia="宋体" w:cs="宋体"/>
          <w:b/>
          <w:color w:val="000000"/>
          <w:sz w:val="22"/>
          <w:szCs w:val="22"/>
          <w:highlight w:val="none"/>
        </w:rPr>
        <w:t>三、质疑基本情况</w:t>
      </w:r>
    </w:p>
    <w:p w14:paraId="39CEABA0">
      <w:pPr>
        <w:pStyle w:val="9"/>
        <w:keepNext w:val="0"/>
        <w:keepLines w:val="0"/>
        <w:pageBreakBefore w:val="0"/>
        <w:widowControl w:val="0"/>
        <w:kinsoku/>
        <w:wordWrap/>
        <w:overflowPunct/>
        <w:topLinePunct w:val="0"/>
        <w:autoSpaceDE/>
        <w:autoSpaceDN/>
        <w:bidi w:val="0"/>
        <w:adjustRightInd/>
        <w:spacing w:line="460" w:lineRule="exact"/>
        <w:ind w:firstLine="440" w:firstLineChars="200"/>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投诉人于</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年</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月</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日，向</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提出质疑，质疑事项为：</w:t>
      </w:r>
    </w:p>
    <w:p w14:paraId="3FE706B9">
      <w:pPr>
        <w:pStyle w:val="9"/>
        <w:keepNext w:val="0"/>
        <w:keepLines w:val="0"/>
        <w:pageBreakBefore w:val="0"/>
        <w:widowControl w:val="0"/>
        <w:kinsoku/>
        <w:wordWrap/>
        <w:overflowPunct/>
        <w:topLinePunct w:val="0"/>
        <w:autoSpaceDE/>
        <w:autoSpaceDN/>
        <w:bidi w:val="0"/>
        <w:adjustRightInd/>
        <w:spacing w:line="460" w:lineRule="exact"/>
        <w:ind w:firstLine="241"/>
        <w:textAlignment w:val="auto"/>
        <w:rPr>
          <w:rFonts w:hint="eastAsia" w:ascii="宋体" w:hAnsi="宋体" w:eastAsia="宋体" w:cs="宋体"/>
          <w:bCs/>
          <w:color w:val="000000"/>
          <w:sz w:val="22"/>
          <w:szCs w:val="22"/>
          <w:highlight w:val="none"/>
          <w:u w:val="single"/>
        </w:rPr>
      </w:pPr>
      <w:r>
        <w:rPr>
          <w:rFonts w:hint="eastAsia" w:ascii="宋体" w:hAnsi="宋体" w:eastAsia="宋体" w:cs="宋体"/>
          <w:color w:val="000000"/>
          <w:sz w:val="22"/>
          <w:szCs w:val="22"/>
          <w:highlight w:val="none"/>
        </w:rPr>
        <w:t xml:space="preserve">    </w:t>
      </w:r>
      <w:r>
        <w:rPr>
          <w:rFonts w:hint="eastAsia" w:ascii="宋体" w:hAnsi="宋体" w:eastAsia="宋体" w:cs="宋体"/>
          <w:bCs/>
          <w:color w:val="000000"/>
          <w:sz w:val="22"/>
          <w:szCs w:val="22"/>
          <w:highlight w:val="none"/>
          <w:u w:val="single"/>
        </w:rPr>
        <w:t xml:space="preserve">                                                                                      </w:t>
      </w:r>
    </w:p>
    <w:p w14:paraId="501350FF">
      <w:pPr>
        <w:pStyle w:val="9"/>
        <w:keepNext w:val="0"/>
        <w:keepLines w:val="0"/>
        <w:pageBreakBefore w:val="0"/>
        <w:widowControl w:val="0"/>
        <w:kinsoku/>
        <w:wordWrap/>
        <w:overflowPunct/>
        <w:topLinePunct w:val="0"/>
        <w:autoSpaceDE/>
        <w:autoSpaceDN/>
        <w:bidi w:val="0"/>
        <w:adjustRightInd/>
        <w:spacing w:line="460" w:lineRule="exact"/>
        <w:ind w:firstLine="440" w:firstLineChars="200"/>
        <w:textAlignment w:val="auto"/>
        <w:rPr>
          <w:rFonts w:hint="eastAsia" w:ascii="宋体" w:hAnsi="宋体" w:eastAsia="宋体" w:cs="宋体"/>
          <w:color w:val="000000"/>
          <w:sz w:val="22"/>
          <w:szCs w:val="22"/>
          <w:highlight w:val="none"/>
        </w:rPr>
      </w:pPr>
      <w:r>
        <w:rPr>
          <w:rFonts w:hint="eastAsia" w:ascii="宋体" w:hAnsi="宋体" w:eastAsia="宋体" w:cs="宋体"/>
          <w:bCs/>
          <w:color w:val="000000"/>
          <w:sz w:val="22"/>
          <w:szCs w:val="22"/>
          <w:highlight w:val="none"/>
          <w:u w:val="single"/>
        </w:rPr>
        <w:t>采购人/代理机构</w:t>
      </w:r>
      <w:r>
        <w:rPr>
          <w:rFonts w:hint="eastAsia" w:ascii="宋体" w:hAnsi="宋体" w:eastAsia="宋体" w:cs="宋体"/>
          <w:bCs/>
          <w:color w:val="000000"/>
          <w:sz w:val="22"/>
          <w:szCs w:val="22"/>
          <w:highlight w:val="none"/>
        </w:rPr>
        <w:t>于</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年</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月</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日，</w:t>
      </w:r>
      <w:r>
        <w:rPr>
          <w:rFonts w:hint="eastAsia" w:ascii="宋体" w:hAnsi="宋体" w:eastAsia="宋体" w:cs="宋体"/>
          <w:bCs/>
          <w:color w:val="000000"/>
          <w:sz w:val="22"/>
          <w:szCs w:val="22"/>
          <w:highlight w:val="none"/>
        </w:rPr>
        <w:t xml:space="preserve">就质疑事项作出了答复/没有在法定期限内作出答复。                                                                                             </w:t>
      </w:r>
    </w:p>
    <w:p w14:paraId="6D687635">
      <w:pPr>
        <w:pStyle w:val="9"/>
        <w:keepNext w:val="0"/>
        <w:keepLines w:val="0"/>
        <w:pageBreakBefore w:val="0"/>
        <w:widowControl w:val="0"/>
        <w:kinsoku/>
        <w:wordWrap/>
        <w:overflowPunct/>
        <w:topLinePunct w:val="0"/>
        <w:autoSpaceDE/>
        <w:autoSpaceDN/>
        <w:bidi w:val="0"/>
        <w:adjustRightInd/>
        <w:spacing w:line="460" w:lineRule="exact"/>
        <w:ind w:left="25" w:leftChars="12" w:firstLine="433" w:firstLineChars="196"/>
        <w:textAlignment w:val="auto"/>
        <w:rPr>
          <w:rFonts w:hint="eastAsia" w:ascii="宋体" w:hAnsi="宋体" w:eastAsia="宋体" w:cs="宋体"/>
          <w:b/>
          <w:color w:val="000000"/>
          <w:sz w:val="22"/>
          <w:szCs w:val="22"/>
          <w:highlight w:val="none"/>
        </w:rPr>
      </w:pPr>
      <w:r>
        <w:rPr>
          <w:rFonts w:hint="eastAsia" w:ascii="宋体" w:hAnsi="宋体" w:eastAsia="宋体" w:cs="宋体"/>
          <w:b/>
          <w:color w:val="000000"/>
          <w:sz w:val="22"/>
          <w:szCs w:val="22"/>
          <w:highlight w:val="none"/>
        </w:rPr>
        <w:t>四、投诉事项具体内容</w:t>
      </w:r>
    </w:p>
    <w:p w14:paraId="7C5ED330">
      <w:pPr>
        <w:pStyle w:val="9"/>
        <w:keepNext w:val="0"/>
        <w:keepLines w:val="0"/>
        <w:pageBreakBefore w:val="0"/>
        <w:widowControl w:val="0"/>
        <w:kinsoku/>
        <w:wordWrap/>
        <w:overflowPunct/>
        <w:topLinePunct w:val="0"/>
        <w:autoSpaceDE/>
        <w:autoSpaceDN/>
        <w:bidi w:val="0"/>
        <w:adjustRightInd/>
        <w:spacing w:line="460" w:lineRule="exact"/>
        <w:ind w:left="25" w:leftChars="12" w:firstLine="433" w:firstLineChars="197"/>
        <w:textAlignment w:val="auto"/>
        <w:rPr>
          <w:rFonts w:hint="eastAsia" w:ascii="宋体" w:hAnsi="宋体" w:eastAsia="宋体" w:cs="宋体"/>
          <w:bCs/>
          <w:color w:val="000000"/>
          <w:sz w:val="22"/>
          <w:szCs w:val="22"/>
          <w:highlight w:val="none"/>
          <w:u w:val="single"/>
        </w:rPr>
      </w:pPr>
      <w:r>
        <w:rPr>
          <w:rFonts w:hint="eastAsia" w:ascii="宋体" w:hAnsi="宋体" w:eastAsia="宋体" w:cs="宋体"/>
          <w:color w:val="000000"/>
          <w:sz w:val="22"/>
          <w:szCs w:val="22"/>
          <w:highlight w:val="none"/>
        </w:rPr>
        <w:t>投诉事项1：</w:t>
      </w:r>
      <w:r>
        <w:rPr>
          <w:rFonts w:hint="eastAsia" w:ascii="宋体" w:hAnsi="宋体" w:eastAsia="宋体" w:cs="宋体"/>
          <w:bCs/>
          <w:color w:val="000000"/>
          <w:sz w:val="22"/>
          <w:szCs w:val="22"/>
          <w:highlight w:val="none"/>
          <w:u w:val="single"/>
        </w:rPr>
        <w:t xml:space="preserve">                                                                           </w:t>
      </w:r>
    </w:p>
    <w:p w14:paraId="34044183">
      <w:pPr>
        <w:pStyle w:val="9"/>
        <w:keepNext w:val="0"/>
        <w:keepLines w:val="0"/>
        <w:pageBreakBefore w:val="0"/>
        <w:widowControl w:val="0"/>
        <w:kinsoku/>
        <w:wordWrap/>
        <w:overflowPunct/>
        <w:topLinePunct w:val="0"/>
        <w:autoSpaceDE/>
        <w:autoSpaceDN/>
        <w:bidi w:val="0"/>
        <w:adjustRightInd/>
        <w:spacing w:line="460" w:lineRule="exact"/>
        <w:ind w:firstLine="440" w:firstLineChars="200"/>
        <w:textAlignment w:val="auto"/>
        <w:rPr>
          <w:rFonts w:hint="eastAsia" w:ascii="宋体" w:hAnsi="宋体" w:eastAsia="宋体" w:cs="宋体"/>
          <w:bCs/>
          <w:color w:val="000000"/>
          <w:sz w:val="22"/>
          <w:szCs w:val="22"/>
          <w:highlight w:val="none"/>
          <w:u w:val="single"/>
        </w:rPr>
      </w:pPr>
      <w:r>
        <w:rPr>
          <w:rFonts w:hint="eastAsia" w:ascii="宋体" w:hAnsi="宋体" w:eastAsia="宋体" w:cs="宋体"/>
          <w:bCs/>
          <w:color w:val="000000"/>
          <w:sz w:val="22"/>
          <w:szCs w:val="22"/>
          <w:highlight w:val="none"/>
        </w:rPr>
        <w:t>事实依据：</w:t>
      </w:r>
      <w:r>
        <w:rPr>
          <w:rFonts w:hint="eastAsia" w:ascii="宋体" w:hAnsi="宋体" w:eastAsia="宋体" w:cs="宋体"/>
          <w:color w:val="000000"/>
          <w:sz w:val="22"/>
          <w:szCs w:val="22"/>
          <w:highlight w:val="none"/>
        </w:rPr>
        <w:t xml:space="preserve"> </w:t>
      </w:r>
      <w:r>
        <w:rPr>
          <w:rFonts w:hint="eastAsia" w:ascii="宋体" w:hAnsi="宋体" w:eastAsia="宋体" w:cs="宋体"/>
          <w:bCs/>
          <w:color w:val="000000"/>
          <w:sz w:val="22"/>
          <w:szCs w:val="22"/>
          <w:highlight w:val="none"/>
          <w:u w:val="single"/>
        </w:rPr>
        <w:t xml:space="preserve">                                                                                      </w:t>
      </w:r>
    </w:p>
    <w:p w14:paraId="76E3EBE8">
      <w:pPr>
        <w:pStyle w:val="9"/>
        <w:keepNext w:val="0"/>
        <w:keepLines w:val="0"/>
        <w:pageBreakBefore w:val="0"/>
        <w:widowControl w:val="0"/>
        <w:kinsoku/>
        <w:wordWrap/>
        <w:overflowPunct/>
        <w:topLinePunct w:val="0"/>
        <w:autoSpaceDE/>
        <w:autoSpaceDN/>
        <w:bidi w:val="0"/>
        <w:adjustRightInd/>
        <w:spacing w:line="460" w:lineRule="exact"/>
        <w:ind w:firstLine="440" w:firstLineChars="200"/>
        <w:textAlignment w:val="auto"/>
        <w:rPr>
          <w:rFonts w:hint="eastAsia" w:ascii="宋体" w:hAnsi="宋体" w:eastAsia="宋体" w:cs="宋体"/>
          <w:bCs/>
          <w:color w:val="000000"/>
          <w:sz w:val="22"/>
          <w:szCs w:val="22"/>
          <w:highlight w:val="none"/>
          <w:u w:val="single"/>
        </w:rPr>
      </w:pPr>
      <w:r>
        <w:rPr>
          <w:rFonts w:hint="eastAsia" w:ascii="宋体" w:hAnsi="宋体" w:eastAsia="宋体" w:cs="宋体"/>
          <w:bCs/>
          <w:color w:val="000000"/>
          <w:sz w:val="22"/>
          <w:szCs w:val="22"/>
          <w:highlight w:val="none"/>
        </w:rPr>
        <w:t>法律依据：</w:t>
      </w:r>
      <w:r>
        <w:rPr>
          <w:rFonts w:hint="eastAsia" w:ascii="宋体" w:hAnsi="宋体" w:eastAsia="宋体" w:cs="宋体"/>
          <w:color w:val="000000"/>
          <w:sz w:val="22"/>
          <w:szCs w:val="22"/>
          <w:highlight w:val="none"/>
        </w:rPr>
        <w:t xml:space="preserve"> </w:t>
      </w:r>
      <w:r>
        <w:rPr>
          <w:rFonts w:hint="eastAsia" w:ascii="宋体" w:hAnsi="宋体" w:eastAsia="宋体" w:cs="宋体"/>
          <w:bCs/>
          <w:color w:val="000000"/>
          <w:sz w:val="22"/>
          <w:szCs w:val="22"/>
          <w:highlight w:val="none"/>
          <w:u w:val="single"/>
        </w:rPr>
        <w:t xml:space="preserve">                                                                                      </w:t>
      </w:r>
    </w:p>
    <w:p w14:paraId="4AB55BAA">
      <w:pPr>
        <w:pStyle w:val="9"/>
        <w:keepNext w:val="0"/>
        <w:keepLines w:val="0"/>
        <w:pageBreakBefore w:val="0"/>
        <w:widowControl w:val="0"/>
        <w:kinsoku/>
        <w:wordWrap/>
        <w:overflowPunct/>
        <w:topLinePunct w:val="0"/>
        <w:autoSpaceDE/>
        <w:autoSpaceDN/>
        <w:bidi w:val="0"/>
        <w:adjustRightInd/>
        <w:spacing w:line="460" w:lineRule="exact"/>
        <w:ind w:left="25" w:leftChars="12" w:firstLine="433" w:firstLineChars="197"/>
        <w:textAlignment w:val="auto"/>
        <w:rPr>
          <w:rFonts w:hint="eastAsia" w:ascii="宋体" w:hAnsi="宋体" w:eastAsia="宋体" w:cs="宋体"/>
          <w:bCs/>
          <w:color w:val="000000"/>
          <w:sz w:val="22"/>
          <w:szCs w:val="22"/>
          <w:highlight w:val="none"/>
        </w:rPr>
      </w:pPr>
      <w:r>
        <w:rPr>
          <w:rFonts w:hint="eastAsia" w:ascii="宋体" w:hAnsi="宋体" w:eastAsia="宋体" w:cs="宋体"/>
          <w:color w:val="000000"/>
          <w:sz w:val="22"/>
          <w:szCs w:val="22"/>
          <w:highlight w:val="none"/>
        </w:rPr>
        <w:t xml:space="preserve">投诉事项2  </w:t>
      </w:r>
      <w:r>
        <w:rPr>
          <w:rFonts w:hint="eastAsia" w:ascii="宋体" w:hAnsi="宋体" w:eastAsia="宋体" w:cs="宋体"/>
          <w:bCs/>
          <w:color w:val="000000"/>
          <w:sz w:val="22"/>
          <w:szCs w:val="22"/>
          <w:highlight w:val="none"/>
        </w:rPr>
        <w:t xml:space="preserve">   </w:t>
      </w:r>
    </w:p>
    <w:p w14:paraId="41118578">
      <w:pPr>
        <w:pStyle w:val="9"/>
        <w:keepNext w:val="0"/>
        <w:keepLines w:val="0"/>
        <w:pageBreakBefore w:val="0"/>
        <w:widowControl w:val="0"/>
        <w:kinsoku/>
        <w:wordWrap/>
        <w:overflowPunct/>
        <w:topLinePunct w:val="0"/>
        <w:autoSpaceDE/>
        <w:autoSpaceDN/>
        <w:bidi w:val="0"/>
        <w:adjustRightInd/>
        <w:spacing w:line="460" w:lineRule="exact"/>
        <w:ind w:left="25" w:leftChars="12" w:firstLine="433" w:firstLineChars="197"/>
        <w:textAlignment w:val="auto"/>
        <w:rPr>
          <w:rFonts w:hint="eastAsia" w:ascii="宋体" w:hAnsi="宋体" w:eastAsia="宋体" w:cs="宋体"/>
          <w:bCs/>
          <w:color w:val="000000"/>
          <w:sz w:val="22"/>
          <w:szCs w:val="22"/>
          <w:highlight w:val="none"/>
        </w:rPr>
      </w:pPr>
      <w:r>
        <w:rPr>
          <w:rFonts w:hint="eastAsia" w:ascii="宋体" w:hAnsi="宋体" w:eastAsia="宋体" w:cs="宋体"/>
          <w:bCs/>
          <w:color w:val="000000"/>
          <w:sz w:val="22"/>
          <w:szCs w:val="22"/>
          <w:highlight w:val="none"/>
        </w:rPr>
        <w:t>……</w:t>
      </w:r>
    </w:p>
    <w:p w14:paraId="4738D8A1">
      <w:pPr>
        <w:pStyle w:val="9"/>
        <w:keepNext w:val="0"/>
        <w:keepLines w:val="0"/>
        <w:pageBreakBefore w:val="0"/>
        <w:widowControl w:val="0"/>
        <w:kinsoku/>
        <w:wordWrap/>
        <w:overflowPunct/>
        <w:topLinePunct w:val="0"/>
        <w:autoSpaceDE/>
        <w:autoSpaceDN/>
        <w:bidi w:val="0"/>
        <w:adjustRightInd/>
        <w:spacing w:line="460" w:lineRule="exact"/>
        <w:ind w:left="25" w:leftChars="12" w:firstLine="433" w:firstLineChars="196"/>
        <w:textAlignment w:val="auto"/>
        <w:rPr>
          <w:rFonts w:hint="eastAsia" w:ascii="宋体" w:hAnsi="宋体" w:eastAsia="宋体" w:cs="宋体"/>
          <w:b/>
          <w:color w:val="000000"/>
          <w:sz w:val="22"/>
          <w:szCs w:val="22"/>
          <w:highlight w:val="none"/>
        </w:rPr>
      </w:pPr>
      <w:r>
        <w:rPr>
          <w:rFonts w:hint="eastAsia" w:ascii="宋体" w:hAnsi="宋体" w:eastAsia="宋体" w:cs="宋体"/>
          <w:b/>
          <w:color w:val="000000"/>
          <w:sz w:val="22"/>
          <w:szCs w:val="22"/>
          <w:highlight w:val="none"/>
        </w:rPr>
        <w:t>五、与投诉事项相关的投诉请求：</w:t>
      </w:r>
    </w:p>
    <w:p w14:paraId="3C58E710">
      <w:pPr>
        <w:pStyle w:val="9"/>
        <w:keepNext w:val="0"/>
        <w:keepLines w:val="0"/>
        <w:pageBreakBefore w:val="0"/>
        <w:widowControl w:val="0"/>
        <w:kinsoku/>
        <w:wordWrap/>
        <w:overflowPunct/>
        <w:topLinePunct w:val="0"/>
        <w:autoSpaceDE/>
        <w:autoSpaceDN/>
        <w:bidi w:val="0"/>
        <w:adjustRightInd/>
        <w:spacing w:line="460" w:lineRule="exact"/>
        <w:ind w:left="25" w:leftChars="12" w:firstLine="433" w:firstLineChars="197"/>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请求：</w:t>
      </w:r>
      <w:r>
        <w:rPr>
          <w:rFonts w:hint="eastAsia" w:ascii="宋体" w:hAnsi="宋体" w:eastAsia="宋体" w:cs="宋体"/>
          <w:bCs/>
          <w:color w:val="000000"/>
          <w:sz w:val="22"/>
          <w:szCs w:val="22"/>
          <w:highlight w:val="none"/>
          <w:u w:val="single"/>
        </w:rPr>
        <w:t xml:space="preserve">                                                                                 </w:t>
      </w:r>
    </w:p>
    <w:p w14:paraId="519C1F87">
      <w:pPr>
        <w:pStyle w:val="9"/>
        <w:keepNext w:val="0"/>
        <w:keepLines w:val="0"/>
        <w:pageBreakBefore w:val="0"/>
        <w:widowControl w:val="0"/>
        <w:kinsoku/>
        <w:wordWrap/>
        <w:overflowPunct/>
        <w:topLinePunct w:val="0"/>
        <w:autoSpaceDE/>
        <w:autoSpaceDN/>
        <w:bidi w:val="0"/>
        <w:adjustRightInd/>
        <w:spacing w:line="460" w:lineRule="exact"/>
        <w:ind w:left="25" w:leftChars="12" w:firstLine="323" w:firstLineChars="147"/>
        <w:textAlignment w:val="auto"/>
        <w:rPr>
          <w:rFonts w:hint="eastAsia" w:ascii="宋体" w:hAnsi="宋体" w:eastAsia="宋体" w:cs="宋体"/>
          <w:color w:val="000000"/>
          <w:sz w:val="22"/>
          <w:szCs w:val="22"/>
          <w:highlight w:val="none"/>
        </w:rPr>
      </w:pPr>
    </w:p>
    <w:p w14:paraId="2202A9B2">
      <w:pPr>
        <w:pStyle w:val="9"/>
        <w:keepNext w:val="0"/>
        <w:keepLines w:val="0"/>
        <w:pageBreakBefore w:val="0"/>
        <w:widowControl w:val="0"/>
        <w:kinsoku/>
        <w:wordWrap/>
        <w:overflowPunct/>
        <w:topLinePunct w:val="0"/>
        <w:autoSpaceDE/>
        <w:autoSpaceDN/>
        <w:bidi w:val="0"/>
        <w:adjustRightInd/>
        <w:spacing w:line="460" w:lineRule="exact"/>
        <w:ind w:left="25" w:leftChars="12" w:firstLine="433" w:firstLineChars="197"/>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签字（签章）：                                       公章：</w:t>
      </w:r>
    </w:p>
    <w:p w14:paraId="712D41B2">
      <w:pPr>
        <w:pStyle w:val="9"/>
        <w:keepNext w:val="0"/>
        <w:keepLines w:val="0"/>
        <w:pageBreakBefore w:val="0"/>
        <w:widowControl w:val="0"/>
        <w:kinsoku/>
        <w:wordWrap/>
        <w:overflowPunct/>
        <w:topLinePunct w:val="0"/>
        <w:autoSpaceDE/>
        <w:autoSpaceDN/>
        <w:bidi w:val="0"/>
        <w:adjustRightInd/>
        <w:spacing w:line="460" w:lineRule="exact"/>
        <w:ind w:left="25" w:leftChars="12" w:firstLine="433" w:firstLineChars="197"/>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日期：</w:t>
      </w:r>
    </w:p>
    <w:p w14:paraId="515C25A5">
      <w:pPr>
        <w:pStyle w:val="9"/>
        <w:pageBreakBefore w:val="0"/>
        <w:kinsoku/>
        <w:overflowPunct/>
        <w:topLinePunct w:val="0"/>
        <w:bidi w:val="0"/>
        <w:snapToGrid/>
        <w:spacing w:line="240" w:lineRule="auto"/>
        <w:ind w:left="25" w:leftChars="12" w:firstLine="413" w:firstLineChars="197"/>
        <w:rPr>
          <w:rFonts w:hint="eastAsia" w:ascii="宋体" w:hAnsi="宋体" w:eastAsia="宋体" w:cs="宋体"/>
          <w:b/>
          <w:color w:val="000000"/>
          <w:sz w:val="21"/>
          <w:szCs w:val="21"/>
          <w:highlight w:val="none"/>
        </w:rPr>
      </w:pPr>
      <w:r>
        <w:rPr>
          <w:rFonts w:hint="eastAsia" w:ascii="宋体" w:hAnsi="宋体" w:eastAsia="宋体" w:cs="宋体"/>
          <w:bCs/>
          <w:color w:val="000000"/>
          <w:sz w:val="21"/>
          <w:szCs w:val="21"/>
          <w:highlight w:val="none"/>
        </w:rPr>
        <w:t xml:space="preserve">                                                                                 </w:t>
      </w:r>
    </w:p>
    <w:p w14:paraId="0659B1BB">
      <w:pPr>
        <w:pStyle w:val="9"/>
        <w:keepNext w:val="0"/>
        <w:keepLines w:val="0"/>
        <w:pageBreakBefore w:val="0"/>
        <w:widowControl w:val="0"/>
        <w:kinsoku/>
        <w:wordWrap/>
        <w:overflowPunct/>
        <w:topLinePunct w:val="0"/>
        <w:autoSpaceDE/>
        <w:autoSpaceDN/>
        <w:bidi w:val="0"/>
        <w:adjustRightInd/>
        <w:snapToGrid/>
        <w:spacing w:line="460" w:lineRule="exact"/>
        <w:ind w:left="25" w:leftChars="12" w:firstLine="354" w:firstLineChars="147"/>
        <w:contextualSpacing/>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说明：</w:t>
      </w:r>
    </w:p>
    <w:p w14:paraId="0E385318">
      <w:pPr>
        <w:pStyle w:val="9"/>
        <w:keepNext w:val="0"/>
        <w:keepLines w:val="0"/>
        <w:pageBreakBefore w:val="0"/>
        <w:widowControl w:val="0"/>
        <w:kinsoku/>
        <w:wordWrap/>
        <w:overflowPunct/>
        <w:topLinePunct w:val="0"/>
        <w:autoSpaceDE/>
        <w:autoSpaceDN/>
        <w:bidi w:val="0"/>
        <w:adjustRightInd/>
        <w:snapToGrid/>
        <w:spacing w:line="460" w:lineRule="exact"/>
        <w:ind w:left="25" w:leftChars="12" w:firstLine="354" w:firstLineChars="147"/>
        <w:contextualSpacing/>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1.投诉人提起投诉时，应当提交投诉书和必要的证明材料，并按照被投诉人和与投诉事项有关的供应商数量提供投诉书副本。</w:t>
      </w:r>
    </w:p>
    <w:p w14:paraId="39078FEA">
      <w:pPr>
        <w:pStyle w:val="9"/>
        <w:keepNext w:val="0"/>
        <w:keepLines w:val="0"/>
        <w:pageBreakBefore w:val="0"/>
        <w:widowControl w:val="0"/>
        <w:kinsoku/>
        <w:wordWrap/>
        <w:overflowPunct/>
        <w:topLinePunct w:val="0"/>
        <w:autoSpaceDE/>
        <w:autoSpaceDN/>
        <w:bidi w:val="0"/>
        <w:adjustRightInd/>
        <w:snapToGrid/>
        <w:spacing w:line="460" w:lineRule="exact"/>
        <w:ind w:left="25" w:leftChars="12" w:firstLine="354" w:firstLineChars="147"/>
        <w:contextualSpacing/>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1D36F8F5">
      <w:pPr>
        <w:pStyle w:val="9"/>
        <w:keepNext w:val="0"/>
        <w:keepLines w:val="0"/>
        <w:pageBreakBefore w:val="0"/>
        <w:widowControl w:val="0"/>
        <w:kinsoku/>
        <w:wordWrap/>
        <w:overflowPunct/>
        <w:topLinePunct w:val="0"/>
        <w:autoSpaceDE/>
        <w:autoSpaceDN/>
        <w:bidi w:val="0"/>
        <w:adjustRightInd/>
        <w:snapToGrid/>
        <w:spacing w:line="460" w:lineRule="exact"/>
        <w:ind w:left="25" w:leftChars="12" w:firstLine="354" w:firstLineChars="147"/>
        <w:contextualSpacing/>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3.投诉书应简要列明质疑事项，质疑函、质疑答复等作为附件材料提供。</w:t>
      </w:r>
    </w:p>
    <w:p w14:paraId="1E09EF3A">
      <w:pPr>
        <w:pStyle w:val="9"/>
        <w:keepNext w:val="0"/>
        <w:keepLines w:val="0"/>
        <w:pageBreakBefore w:val="0"/>
        <w:widowControl w:val="0"/>
        <w:kinsoku/>
        <w:wordWrap/>
        <w:overflowPunct/>
        <w:topLinePunct w:val="0"/>
        <w:autoSpaceDE/>
        <w:autoSpaceDN/>
        <w:bidi w:val="0"/>
        <w:adjustRightInd/>
        <w:snapToGrid/>
        <w:spacing w:line="460" w:lineRule="exact"/>
        <w:ind w:left="25" w:leftChars="12" w:firstLine="354" w:firstLineChars="147"/>
        <w:contextualSpacing/>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4.投诉书的投诉事项应具体、明确，并有必要的事实依据和法律依据。</w:t>
      </w:r>
    </w:p>
    <w:p w14:paraId="24574360">
      <w:pPr>
        <w:pStyle w:val="9"/>
        <w:keepNext w:val="0"/>
        <w:keepLines w:val="0"/>
        <w:pageBreakBefore w:val="0"/>
        <w:widowControl w:val="0"/>
        <w:kinsoku/>
        <w:wordWrap/>
        <w:overflowPunct/>
        <w:topLinePunct w:val="0"/>
        <w:autoSpaceDE/>
        <w:autoSpaceDN/>
        <w:bidi w:val="0"/>
        <w:adjustRightInd/>
        <w:snapToGrid/>
        <w:spacing w:line="460" w:lineRule="exact"/>
        <w:ind w:left="25" w:leftChars="12" w:firstLine="354" w:firstLineChars="147"/>
        <w:contextualSpacing/>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5.投诉书的投诉请求应与投诉事项相关。</w:t>
      </w:r>
    </w:p>
    <w:p w14:paraId="76DC234B">
      <w:pPr>
        <w:pStyle w:val="9"/>
        <w:keepNext w:val="0"/>
        <w:keepLines w:val="0"/>
        <w:pageBreakBefore w:val="0"/>
        <w:widowControl w:val="0"/>
        <w:kinsoku/>
        <w:wordWrap/>
        <w:overflowPunct/>
        <w:topLinePunct w:val="0"/>
        <w:autoSpaceDE/>
        <w:autoSpaceDN/>
        <w:bidi w:val="0"/>
        <w:adjustRightInd/>
        <w:snapToGrid/>
        <w:spacing w:line="460" w:lineRule="exact"/>
        <w:ind w:left="25" w:leftChars="12" w:firstLine="354" w:firstLineChars="147"/>
        <w:contextualSpacing/>
        <w:textAlignment w:val="auto"/>
        <w:rPr>
          <w:rFonts w:hint="eastAsia" w:ascii="宋体" w:hAnsi="宋体" w:eastAsia="宋体" w:cs="宋体"/>
          <w:b/>
          <w:color w:val="000000"/>
          <w:sz w:val="24"/>
          <w:szCs w:val="24"/>
          <w:highlight w:val="none"/>
          <w:lang w:eastAsia="zh-CN"/>
        </w:rPr>
      </w:pPr>
      <w:r>
        <w:rPr>
          <w:rFonts w:hint="eastAsia" w:ascii="宋体" w:hAnsi="宋体" w:eastAsia="宋体" w:cs="宋体"/>
          <w:b/>
          <w:color w:val="000000"/>
          <w:sz w:val="24"/>
          <w:szCs w:val="24"/>
          <w:highlight w:val="none"/>
        </w:rPr>
        <w:t>6.投诉人为法人或者其他组织的，投诉书应由法定代表人、主要负责人，或者其授权代表签字或者盖章，并加盖公章。</w:t>
      </w:r>
    </w:p>
    <w:p w14:paraId="761D5400">
      <w:pPr>
        <w:rPr>
          <w:rFonts w:hint="eastAsia"/>
          <w:color w:val="000000"/>
          <w:highlight w:val="none"/>
        </w:rPr>
      </w:pPr>
    </w:p>
    <w:p w14:paraId="0D6AC00F">
      <w:pPr>
        <w:rPr>
          <w:rFonts w:hint="eastAsia"/>
        </w:rPr>
      </w:pPr>
    </w:p>
    <w:p w14:paraId="23C3262E"/>
    <w:p w14:paraId="49A38F43"/>
    <w:sectPr>
      <w:footerReference r:id="rId16" w:type="first"/>
      <w:headerReference r:id="rId14" w:type="default"/>
      <w:footerReference r:id="rId15" w:type="default"/>
      <w:pgSz w:w="11910" w:h="16840"/>
      <w:pgMar w:top="1417" w:right="1417" w:bottom="1417" w:left="1417" w:header="720" w:footer="720" w:gutter="0"/>
      <w:pgNumType w:fmt="decimal"/>
      <w:cols w:space="720" w:num="1"/>
      <w:rtlGutter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82532D4-54C1-4CD5-BF20-A512DE6F809E}"/>
  </w:font>
  <w:font w:name="黑体">
    <w:panose1 w:val="02010609060101010101"/>
    <w:charset w:val="86"/>
    <w:family w:val="auto"/>
    <w:pitch w:val="default"/>
    <w:sig w:usb0="800002BF" w:usb1="38CF7CFA" w:usb2="00000016" w:usb3="00000000" w:csb0="00040001" w:csb1="00000000"/>
    <w:embedRegular r:id="rId2" w:fontKey="{7C3C9ECF-B40F-47B7-9F36-422CC54CC97E}"/>
  </w:font>
  <w:font w:name="Courier New">
    <w:panose1 w:val="02070309020205020404"/>
    <w:charset w:val="01"/>
    <w:family w:val="modern"/>
    <w:pitch w:val="default"/>
    <w:sig w:usb0="E0002EFF" w:usb1="C0007843" w:usb2="00000009" w:usb3="00000000" w:csb0="400001FF" w:csb1="FFFF0000"/>
    <w:embedRegular r:id="rId3" w:fontKey="{553BA400-A7C0-4DE3-80E0-D8EF604C724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4" w:fontKey="{7A95CF5F-9BD9-4908-BAD1-A7EDD9208526}"/>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script"/>
    <w:pitch w:val="default"/>
    <w:sig w:usb0="00000001" w:usb1="08000000" w:usb2="00000000" w:usb3="00000000" w:csb0="00040000" w:csb1="00000000"/>
    <w:embedRegular r:id="rId5" w:fontKey="{1E540569-64DA-4693-B562-779C6497EC69}"/>
  </w:font>
  <w:font w:name="Arial Unicode MS">
    <w:altName w:val="宋体"/>
    <w:panose1 w:val="020B0604020202020204"/>
    <w:charset w:val="86"/>
    <w:family w:val="swiss"/>
    <w:pitch w:val="default"/>
    <w:sig w:usb0="00000000" w:usb1="00000000" w:usb2="0000003F" w:usb3="00000000" w:csb0="603F01FF" w:csb1="FFFF0000"/>
    <w:embedRegular r:id="rId6" w:fontKey="{9A9F5C2B-C06D-4D96-8092-54440226FF18}"/>
  </w:font>
  <w:font w:name="仿宋_GB2312">
    <w:altName w:val="仿宋"/>
    <w:panose1 w:val="02010609030101010101"/>
    <w:charset w:val="86"/>
    <w:family w:val="modern"/>
    <w:pitch w:val="default"/>
    <w:sig w:usb0="00000000" w:usb1="00000000" w:usb2="00000000" w:usb3="00000000" w:csb0="00040000" w:csb1="00000000"/>
    <w:embedRegular r:id="rId7" w:fontKey="{4EBD8242-DC87-49B4-9981-CAD2698AD895}"/>
  </w:font>
  <w:font w:name="仿宋">
    <w:panose1 w:val="02010609060101010101"/>
    <w:charset w:val="86"/>
    <w:family w:val="modern"/>
    <w:pitch w:val="default"/>
    <w:sig w:usb0="800002BF" w:usb1="38CF7CFA" w:usb2="00000016" w:usb3="00000000" w:csb0="00040001" w:csb1="00000000"/>
    <w:embedRegular r:id="rId8" w:fontKey="{30A423B0-8CE1-4625-9B07-D6D195B973F8}"/>
  </w:font>
  <w:font w:name="Helvetica">
    <w:altName w:val="Arial"/>
    <w:panose1 w:val="020B0604020202020204"/>
    <w:charset w:val="00"/>
    <w:family w:val="swiss"/>
    <w:pitch w:val="default"/>
    <w:sig w:usb0="00000000" w:usb1="00000000" w:usb2="00000009" w:usb3="00000000" w:csb0="000001FF" w:csb1="00000000"/>
    <w:embedRegular r:id="rId9" w:fontKey="{6D631774-E6D3-4BE3-9DAA-3D72BE997426}"/>
  </w:font>
  <w:font w:name="楷体_GB2312">
    <w:altName w:val="楷体"/>
    <w:panose1 w:val="02010609030101010101"/>
    <w:charset w:val="86"/>
    <w:family w:val="modern"/>
    <w:pitch w:val="default"/>
    <w:sig w:usb0="00000000" w:usb1="00000000" w:usb2="00000000" w:usb3="00000000" w:csb0="00040000" w:csb1="00000000"/>
    <w:embedRegular r:id="rId10" w:fontKey="{753F7896-29A6-40E4-93B7-E65FD85CD8A0}"/>
  </w:font>
  <w:font w:name="楷体">
    <w:panose1 w:val="02010609060101010101"/>
    <w:charset w:val="86"/>
    <w:family w:val="auto"/>
    <w:pitch w:val="default"/>
    <w:sig w:usb0="800002BF" w:usb1="38CF7CFA" w:usb2="00000016" w:usb3="00000000" w:csb0="00040001" w:csb1="00000000"/>
  </w:font>
  <w:font w:name="方正仿宋_GBK">
    <w:altName w:val="微软雅黑"/>
    <w:panose1 w:val="02000000000000000000"/>
    <w:charset w:val="86"/>
    <w:family w:val="auto"/>
    <w:pitch w:val="default"/>
    <w:sig w:usb0="00000000" w:usb1="00000000" w:usb2="00082016" w:usb3="00000000" w:csb0="00040001" w:csb1="00000000"/>
    <w:embedRegular r:id="rId11" w:fontKey="{755B8C3E-048A-4BFD-AAAC-1690B2792D26}"/>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2"/>
    <w:family w:val="auto"/>
    <w:pitch w:val="default"/>
    <w:sig w:usb0="00000000" w:usb1="00000000" w:usb2="00000000" w:usb3="00000000" w:csb0="80000000" w:csb1="00000000"/>
    <w:embedRegular r:id="rId12" w:fontKey="{4219C55F-7E06-499D-A649-E2DE64402EA4}"/>
  </w:font>
  <w:font w:name="KSOFD8A28030">
    <w:panose1 w:val="020B0503020204020204"/>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354C3">
    <w:pPr>
      <w:pStyle w:val="10"/>
      <w:tabs>
        <w:tab w:val="center" w:pos="4439"/>
        <w:tab w:val="clear" w:pos="4153"/>
      </w:tabs>
      <w:jc w:val="both"/>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E38D3">
    <w:pPr>
      <w:pStyle w:val="1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791A33">
                          <w:pPr>
                            <w:pStyle w:val="10"/>
                          </w:pPr>
                          <w:r>
                            <w:fldChar w:fldCharType="begin"/>
                          </w:r>
                          <w:r>
                            <w:instrText xml:space="preserve"> PAGE  \* MERGEFORMAT </w:instrText>
                          </w:r>
                          <w:r>
                            <w:fldChar w:fldCharType="separate"/>
                          </w:r>
                          <w:r>
                            <w:t>108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1B791A33">
                    <w:pPr>
                      <w:pStyle w:val="10"/>
                    </w:pPr>
                    <w:r>
                      <w:fldChar w:fldCharType="begin"/>
                    </w:r>
                    <w:r>
                      <w:instrText xml:space="preserve"> PAGE  \* MERGEFORMAT </w:instrText>
                    </w:r>
                    <w:r>
                      <w:fldChar w:fldCharType="separate"/>
                    </w:r>
                    <w:r>
                      <w:t>108</w:t>
                    </w:r>
                    <w:r>
                      <w:fldChar w:fldCharType="end"/>
                    </w:r>
                  </w:p>
                </w:txbxContent>
              </v:textbox>
            </v:shape>
          </w:pict>
        </mc:Fallback>
      </mc:AlternateContent>
    </w:r>
  </w:p>
  <w:p w14:paraId="7F68DAFB">
    <w:pPr>
      <w:pStyle w:val="1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3233F">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72744A">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0272744A">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15CEC">
    <w:pPr>
      <w:pStyle w:val="10"/>
      <w:tabs>
        <w:tab w:val="center" w:pos="4439"/>
        <w:tab w:val="clear" w:pos="4153"/>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322FA7"/>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pGhU/IAQAAmQMAAA4AAAAAAAAAAQAgAAAAHgEAAGRycy9lMm9Eb2Mu&#10;eG1sUEsFBgAAAAAGAAYAWQEAAFgFAAAAAA==&#10;">
              <v:fill on="f" focussize="0,0"/>
              <v:stroke on="f"/>
              <v:imagedata o:title=""/>
              <o:lock v:ext="edit" aspectratio="f"/>
              <v:textbox inset="0mm,0mm,0mm,0mm" style="mso-fit-shape-to-text:t;">
                <w:txbxContent>
                  <w:p w14:paraId="50322FA7"/>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26C0E">
    <w:pPr>
      <w:pStyle w:val="10"/>
      <w:tabs>
        <w:tab w:val="center" w:pos="4439"/>
        <w:tab w:val="clear" w:pos="4153"/>
      </w:tabs>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C8B23">
    <w:pPr>
      <w:pStyle w:val="10"/>
      <w:tabs>
        <w:tab w:val="center" w:pos="4439"/>
        <w:tab w:val="clear" w:pos="4153"/>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E4660F"/>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ovrIMkBAACZAwAADgAAAGRycy9lMm9Eb2MueG1srVPNjtMwEL4j8Q6W&#10;79RptU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qi+sgyQEAAJkDAAAOAAAAAAAAAAEAIAAAAB4BAABkcnMvZTJvRG9j&#10;LnhtbFBLBQYAAAAABgAGAFkBAABZBQAAAAA=&#10;">
              <v:fill on="f" focussize="0,0"/>
              <v:stroke on="f"/>
              <v:imagedata o:title=""/>
              <o:lock v:ext="edit" aspectratio="f"/>
              <v:textbox inset="0mm,0mm,0mm,0mm" style="mso-fit-shape-to-text:t;">
                <w:txbxContent>
                  <w:p w14:paraId="5BE4660F"/>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FA6A9">
    <w:pPr>
      <w:pStyle w:val="10"/>
      <w:tabs>
        <w:tab w:val="center" w:pos="4439"/>
        <w:tab w:val="clear" w:pos="4153"/>
      </w:tabs>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036DF6">
                          <w:pPr>
                            <w:pStyle w:val="10"/>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34036DF6">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C76D0">
    <w:pPr>
      <w:pStyle w:val="1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47EF3E">
                          <w:pPr>
                            <w:pStyle w:val="10"/>
                          </w:pPr>
                          <w:r>
                            <w:fldChar w:fldCharType="begin"/>
                          </w:r>
                          <w:r>
                            <w:instrText xml:space="preserve"> PAGE  \* MERGEFORMAT </w:instrText>
                          </w:r>
                          <w:r>
                            <w:fldChar w:fldCharType="separate"/>
                          </w:r>
                          <w:r>
                            <w:t>11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5747EF3E">
                    <w:pPr>
                      <w:pStyle w:val="10"/>
                    </w:pPr>
                    <w:r>
                      <w:fldChar w:fldCharType="begin"/>
                    </w:r>
                    <w:r>
                      <w:instrText xml:space="preserve"> PAGE  \* MERGEFORMAT </w:instrText>
                    </w:r>
                    <w:r>
                      <w:fldChar w:fldCharType="separate"/>
                    </w:r>
                    <w:r>
                      <w:t>11</w:t>
                    </w:r>
                    <w:r>
                      <w:fldChar w:fldCharType="end"/>
                    </w:r>
                  </w:p>
                </w:txbxContent>
              </v:textbox>
            </v:shape>
          </w:pict>
        </mc:Fallback>
      </mc:AlternateContent>
    </w:r>
  </w:p>
  <w:p w14:paraId="245D6214">
    <w:pPr>
      <w:pStyle w:val="1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23D6A">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47C208">
                          <w:pPr>
                            <w:pStyle w:val="10"/>
                          </w:pPr>
                          <w:r>
                            <w:fldChar w:fldCharType="begin"/>
                          </w:r>
                          <w:r>
                            <w:instrText xml:space="preserve"> PAGE  \* MERGEFORMAT </w:instrText>
                          </w:r>
                          <w:r>
                            <w:fldChar w:fldCharType="separate"/>
                          </w:r>
                          <w:r>
                            <w:t>63</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vpskBAACZAwAADgAAAGRycy9lMm9Eb2MueG1srVPNjtMwEL4j8Q6W&#10;79RpV0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6u++myQEAAJkDAAAOAAAAAAAAAAEAIAAAAB4BAABkcnMvZTJvRG9j&#10;LnhtbFBLBQYAAAAABgAGAFkBAABZBQAAAAA=&#10;">
              <v:fill on="f" focussize="0,0"/>
              <v:stroke on="f"/>
              <v:imagedata o:title=""/>
              <o:lock v:ext="edit" aspectratio="f"/>
              <v:textbox inset="0mm,0mm,0mm,0mm" style="mso-fit-shape-to-text:t;">
                <w:txbxContent>
                  <w:p w14:paraId="5847C208">
                    <w:pPr>
                      <w:pStyle w:val="10"/>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E2366">
    <w:pPr>
      <w:pStyle w:val="1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42449C">
                          <w:pPr>
                            <w:pStyle w:val="10"/>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5642449C">
                    <w:pPr>
                      <w:pStyle w:val="10"/>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330D2">
    <w:pPr>
      <w:pStyle w:val="1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1C7DB0">
                          <w:pPr>
                            <w:pStyle w:val="10"/>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7E1C7DB0">
                    <w:pPr>
                      <w:pStyle w:val="10"/>
                    </w:pPr>
                    <w:r>
                      <w:fldChar w:fldCharType="begin"/>
                    </w:r>
                    <w:r>
                      <w:instrText xml:space="preserve"> PAGE  \* MERGEFORMAT </w:instrText>
                    </w:r>
                    <w:r>
                      <w:fldChar w:fldCharType="separate"/>
                    </w:r>
                    <w:r>
                      <w:t>68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A42AB">
    <w:pPr>
      <w:pStyle w:val="11"/>
    </w:pPr>
    <w:r>
      <w:rPr>
        <w:rFonts w:hint="eastAsia" w:ascii="宋体" w:hAnsi="宋体" w:eastAsia="宋体" w:cs="宋体"/>
        <w:lang w:eastAsia="zh-CN"/>
      </w:rPr>
      <w:t xml:space="preserve">防城区小峰水库隘脚移民村美丽家园项目 </w:t>
    </w:r>
    <w:r>
      <w:rPr>
        <w:rFonts w:hint="eastAsia" w:ascii="宋体" w:hAnsi="宋体" w:eastAsia="宋体" w:cs="宋体"/>
      </w:rPr>
      <w:t>（项目编号</w:t>
    </w:r>
    <w:r>
      <w:rPr>
        <w:rFonts w:hint="eastAsia" w:ascii="宋体" w:hAnsi="宋体" w:eastAsia="宋体" w:cs="宋体"/>
        <w:highlight w:val="none"/>
      </w:rPr>
      <w:t>：FCZC2026-C2-030024-ZTZX</w:t>
    </w:r>
    <w:r>
      <w:rPr>
        <w:rFonts w:hint="eastAsia"/>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0D813">
    <w:pPr>
      <w:pStyle w:val="11"/>
      <w:pBdr>
        <w:bottom w:val="none" w:color="auto" w:sz="0" w:space="1"/>
      </w:pBdr>
      <w:rPr>
        <w:rFonts w:hint="eastAsia"/>
        <w:lang w:val="en-US" w:eastAsia="zh-CN"/>
      </w:rPr>
    </w:pPr>
  </w:p>
  <w:p w14:paraId="2F65A9FE">
    <w:pPr>
      <w:pStyle w:val="11"/>
      <w:jc w:val="both"/>
      <w:rPr>
        <w:rFonts w:hint="eastAsia" w:ascii="Times New Roman" w:hAnsi="Times New Roman" w:eastAsia="宋体" w:cs="Times New Roman"/>
        <w:lang w:eastAsia="zh-CN"/>
      </w:rPr>
    </w:pPr>
  </w:p>
  <w:p w14:paraId="64F68ED6">
    <w:pPr>
      <w:pStyle w:val="11"/>
      <w:rPr>
        <w:rFonts w:hint="eastAsia" w:ascii="Times New Roman" w:hAnsi="Times New Roman" w:eastAsia="宋体" w:cs="Times New Roman"/>
        <w:lang w:eastAsia="zh-CN"/>
      </w:rPr>
    </w:pPr>
  </w:p>
  <w:p w14:paraId="7A2269D0">
    <w:pPr>
      <w:pStyle w:val="11"/>
      <w:rPr>
        <w:rFonts w:hint="eastAsia" w:ascii="Times New Roman" w:hAnsi="Times New Roman" w:eastAsia="宋体" w:cs="Times New Roman"/>
        <w:lang w:eastAsia="zh-CN"/>
      </w:rPr>
    </w:pPr>
    <w:r>
      <w:rPr>
        <w:rFonts w:hint="eastAsia" w:ascii="宋体" w:hAnsi="宋体" w:eastAsia="宋体" w:cs="宋体"/>
        <w:lang w:eastAsia="zh-CN"/>
      </w:rPr>
      <w:t>防城区小峰水库隘脚移民村美丽家园项目 （项目编号：FCZC2026-C2-030024-ZTZX）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53E4F">
    <w:pPr>
      <w:pStyle w:val="11"/>
    </w:pPr>
    <w:r>
      <w:rPr>
        <w:rFonts w:hint="eastAsia"/>
        <w:lang w:val="en-US" w:eastAsia="zh-CN"/>
      </w:rPr>
      <w:t xml:space="preserve"> 防城区小峰水库隘脚移民村美丽家园项目</w:t>
    </w:r>
    <w:r>
      <w:rPr>
        <w:rFonts w:hint="eastAsia"/>
      </w:rPr>
      <w:t>（项目编</w:t>
    </w:r>
    <w:r>
      <w:rPr>
        <w:rFonts w:hint="eastAsia" w:ascii="Times New Roman" w:hAnsi="Times New Roman" w:eastAsia="宋体" w:cs="Times New Roman"/>
      </w:rPr>
      <w:t>号</w:t>
    </w:r>
    <w:r>
      <w:rPr>
        <w:rFonts w:hint="eastAsia" w:ascii="宋体" w:hAnsi="宋体" w:eastAsia="宋体" w:cs="宋体"/>
      </w:rPr>
      <w:t>：FCZC2026-C2-030024-ZTZX</w:t>
    </w:r>
    <w:r>
      <w:rPr>
        <w:rFonts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F14D4F"/>
    <w:multiLevelType w:val="singleLevel"/>
    <w:tmpl w:val="A7F14D4F"/>
    <w:lvl w:ilvl="0" w:tentative="0">
      <w:start w:val="3"/>
      <w:numFmt w:val="chineseCounting"/>
      <w:suff w:val="space"/>
      <w:lvlText w:val="第%1章"/>
      <w:lvlJc w:val="left"/>
      <w:rPr>
        <w:rFonts w:hint="eastAsia"/>
      </w:rPr>
    </w:lvl>
  </w:abstractNum>
  <w:abstractNum w:abstractNumId="1">
    <w:nsid w:val="C0A11A38"/>
    <w:multiLevelType w:val="singleLevel"/>
    <w:tmpl w:val="C0A11A38"/>
    <w:lvl w:ilvl="0" w:tentative="0">
      <w:start w:val="1"/>
      <w:numFmt w:val="decimal"/>
      <w:suff w:val="nothing"/>
      <w:lvlText w:val="（%1）"/>
      <w:lvlJc w:val="left"/>
    </w:lvl>
  </w:abstractNum>
  <w:abstractNum w:abstractNumId="2">
    <w:nsid w:val="F485A7E1"/>
    <w:multiLevelType w:val="singleLevel"/>
    <w:tmpl w:val="F485A7E1"/>
    <w:lvl w:ilvl="0" w:tentative="0">
      <w:start w:val="1"/>
      <w:numFmt w:val="chineseCounting"/>
      <w:suff w:val="space"/>
      <w:lvlText w:val="第%1章"/>
      <w:lvlJc w:val="left"/>
      <w:rPr>
        <w:rFonts w:hint="eastAsia"/>
      </w:rPr>
    </w:lvl>
  </w:abstractNum>
  <w:abstractNum w:abstractNumId="3">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41B3BB38"/>
    <w:multiLevelType w:val="singleLevel"/>
    <w:tmpl w:val="41B3BB38"/>
    <w:lvl w:ilvl="0" w:tentative="0">
      <w:start w:val="2"/>
      <w:numFmt w:val="decimal"/>
      <w:lvlText w:val="%1."/>
      <w:lvlJc w:val="left"/>
      <w:pPr>
        <w:tabs>
          <w:tab w:val="left" w:pos="312"/>
        </w:tabs>
      </w:pPr>
    </w:lvl>
  </w:abstractNum>
  <w:abstractNum w:abstractNumId="5">
    <w:nsid w:val="5498E193"/>
    <w:multiLevelType w:val="singleLevel"/>
    <w:tmpl w:val="5498E193"/>
    <w:lvl w:ilvl="0" w:tentative="0">
      <w:start w:val="11"/>
      <w:numFmt w:val="decimal"/>
      <w:suff w:val="space"/>
      <w:lvlText w:val="%1."/>
      <w:lvlJc w:val="left"/>
    </w:lvl>
  </w:abstractNum>
  <w:abstractNum w:abstractNumId="6">
    <w:nsid w:val="6EDD6596"/>
    <w:multiLevelType w:val="singleLevel"/>
    <w:tmpl w:val="6EDD6596"/>
    <w:lvl w:ilvl="0" w:tentative="0">
      <w:start w:val="1"/>
      <w:numFmt w:val="decimal"/>
      <w:suff w:val="space"/>
      <w:lvlText w:val="%1."/>
      <w:lvlJc w:val="left"/>
    </w:lvl>
  </w:abstractNum>
  <w:num w:numId="1">
    <w:abstractNumId w:val="2"/>
  </w:num>
  <w:num w:numId="2">
    <w:abstractNumId w:val="0"/>
  </w:num>
  <w:num w:numId="3">
    <w:abstractNumId w:val="4"/>
  </w:num>
  <w:num w:numId="4">
    <w:abstractNumId w:val="6"/>
  </w:num>
  <w:num w:numId="5">
    <w:abstractNumId w:val="3"/>
    <w:lvlOverride w:ilvl="0">
      <w:startOverride w:val="1"/>
    </w:lvlOverride>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DC5218"/>
    <w:rsid w:val="1BDF0FE6"/>
    <w:rsid w:val="2204743C"/>
    <w:rsid w:val="39A405D1"/>
    <w:rsid w:val="3F9C0DF3"/>
    <w:rsid w:val="42260399"/>
    <w:rsid w:val="45DC5218"/>
    <w:rsid w:val="465D6820"/>
    <w:rsid w:val="490709EE"/>
    <w:rsid w:val="49846A22"/>
    <w:rsid w:val="4E8D742E"/>
    <w:rsid w:val="4FFC6D4F"/>
    <w:rsid w:val="52A73A79"/>
    <w:rsid w:val="57AD1432"/>
    <w:rsid w:val="583B7EC3"/>
    <w:rsid w:val="5C1D2094"/>
    <w:rsid w:val="72FD2525"/>
    <w:rsid w:val="7CBD02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7"/>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widowControl w:val="0"/>
      <w:adjustRightInd/>
      <w:snapToGrid/>
      <w:spacing w:before="280" w:after="290" w:line="376" w:lineRule="auto"/>
      <w:jc w:val="both"/>
      <w:outlineLvl w:val="3"/>
    </w:pPr>
    <w:rPr>
      <w:rFonts w:ascii="Cambria" w:hAnsi="Cambria" w:eastAsia="宋体" w:cs="Times New Roman"/>
      <w:b/>
      <w:bCs/>
      <w:kern w:val="2"/>
      <w:sz w:val="28"/>
      <w:szCs w:val="28"/>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qFormat/>
    <w:uiPriority w:val="0"/>
    <w:pPr>
      <w:spacing w:after="120"/>
    </w:pPr>
  </w:style>
  <w:style w:type="paragraph" w:styleId="8">
    <w:name w:val="Block Text"/>
    <w:basedOn w:val="1"/>
    <w:unhideWhenUsed/>
    <w:qFormat/>
    <w:uiPriority w:val="0"/>
    <w:pPr>
      <w:spacing w:after="120"/>
      <w:ind w:left="1440" w:leftChars="700" w:right="1440" w:rightChars="700"/>
    </w:pPr>
  </w:style>
  <w:style w:type="paragraph" w:styleId="9">
    <w:name w:val="Plain Text"/>
    <w:basedOn w:val="1"/>
    <w:next w:val="5"/>
    <w:qFormat/>
    <w:uiPriority w:val="0"/>
    <w:rPr>
      <w:rFonts w:ascii="宋体" w:hAnsi="Courier New"/>
      <w:kern w:val="0"/>
      <w:sz w:val="20"/>
      <w:szCs w:val="21"/>
    </w:rPr>
  </w:style>
  <w:style w:type="paragraph" w:styleId="10">
    <w:name w:val="footer"/>
    <w:basedOn w:val="1"/>
    <w:qFormat/>
    <w:uiPriority w:val="0"/>
    <w:pPr>
      <w:tabs>
        <w:tab w:val="center" w:pos="4153"/>
        <w:tab w:val="right" w:pos="8306"/>
      </w:tabs>
      <w:snapToGrid w:val="0"/>
      <w:jc w:val="left"/>
    </w:pPr>
    <w:rPr>
      <w:kern w:val="0"/>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12">
    <w:name w:val="toc 1"/>
    <w:basedOn w:val="1"/>
    <w:next w:val="1"/>
    <w:qFormat/>
    <w:uiPriority w:val="0"/>
  </w:style>
  <w:style w:type="paragraph" w:styleId="13">
    <w:name w:val="toc 2"/>
    <w:basedOn w:val="1"/>
    <w:next w:val="1"/>
    <w:qFormat/>
    <w:uiPriority w:val="0"/>
    <w:pPr>
      <w:tabs>
        <w:tab w:val="right" w:leader="dot" w:pos="8296"/>
      </w:tabs>
      <w:ind w:left="420" w:leftChars="200"/>
    </w:pPr>
  </w:style>
  <w:style w:type="paragraph" w:styleId="14">
    <w:name w:val="Title"/>
    <w:basedOn w:val="1"/>
    <w:next w:val="1"/>
    <w:qFormat/>
    <w:uiPriority w:val="10"/>
    <w:pPr>
      <w:widowControl/>
      <w:spacing w:before="720"/>
      <w:jc w:val="left"/>
    </w:pPr>
    <w:rPr>
      <w:rFonts w:ascii="Calibri" w:hAnsi="Calibri" w:eastAsia="宋体" w:cs="Times New Roman"/>
      <w:caps/>
      <w:color w:val="4F81BD"/>
      <w:spacing w:val="10"/>
      <w:kern w:val="28"/>
      <w:sz w:val="52"/>
      <w:szCs w:val="52"/>
      <w:lang w:eastAsia="en-US" w:bidi="en-US"/>
    </w:rPr>
  </w:style>
  <w:style w:type="character" w:customStyle="1" w:styleId="17">
    <w:name w:val="标题 1 Char"/>
    <w:link w:val="2"/>
    <w:qFormat/>
    <w:uiPriority w:val="9"/>
    <w:rPr>
      <w:b/>
      <w:bCs/>
      <w:kern w:val="44"/>
      <w:sz w:val="44"/>
      <w:szCs w:val="44"/>
    </w:rPr>
  </w:style>
  <w:style w:type="paragraph" w:customStyle="1" w:styleId="18">
    <w:name w:val="正文_2"/>
    <w:next w:val="19"/>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
    <w:name w:val="页脚_1"/>
    <w:basedOn w:val="18"/>
    <w:unhideWhenUsed/>
    <w:qFormat/>
    <w:uiPriority w:val="99"/>
    <w:pPr>
      <w:tabs>
        <w:tab w:val="center" w:pos="4153"/>
        <w:tab w:val="right" w:pos="8306"/>
      </w:tabs>
      <w:snapToGrid w:val="0"/>
      <w:jc w:val="left"/>
    </w:pPr>
    <w:rPr>
      <w:sz w:val="18"/>
      <w:szCs w:val="18"/>
    </w:rPr>
  </w:style>
  <w:style w:type="paragraph" w:customStyle="1" w:styleId="20">
    <w:name w:val="表格文字"/>
    <w:basedOn w:val="1"/>
    <w:qFormat/>
    <w:uiPriority w:val="0"/>
    <w:pPr>
      <w:adjustRightInd w:val="0"/>
      <w:spacing w:line="420" w:lineRule="atLeast"/>
      <w:jc w:val="left"/>
      <w:textAlignment w:val="baseline"/>
    </w:pPr>
    <w:rPr>
      <w:rFonts w:ascii="Times New Roman" w:hAnsi="Times New Roman" w:eastAsia="宋体" w:cs="Times New Roman"/>
      <w:kern w:val="0"/>
    </w:rPr>
  </w:style>
  <w:style w:type="paragraph" w:customStyle="1" w:styleId="21">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
    <w:name w:val="Table Text"/>
    <w:basedOn w:val="1"/>
    <w:semiHidden/>
    <w:qFormat/>
    <w:uiPriority w:val="0"/>
    <w:rPr>
      <w:rFonts w:ascii="宋体" w:hAnsi="宋体" w:eastAsia="宋体" w:cs="宋体"/>
      <w:sz w:val="20"/>
      <w:szCs w:val="20"/>
      <w:lang w:val="en-US" w:eastAsia="en-US" w:bidi="ar-SA"/>
    </w:rPr>
  </w:style>
  <w:style w:type="table" w:customStyle="1" w:styleId="23">
    <w:name w:val="Table Normal"/>
    <w:semiHidden/>
    <w:unhideWhenUsed/>
    <w:qFormat/>
    <w:uiPriority w:val="0"/>
    <w:tblPr>
      <w:tblCellMar>
        <w:top w:w="0" w:type="dxa"/>
        <w:left w:w="0" w:type="dxa"/>
        <w:bottom w:w="0" w:type="dxa"/>
        <w:right w:w="0" w:type="dxa"/>
      </w:tblCellMar>
    </w:tblPr>
  </w:style>
  <w:style w:type="paragraph" w:customStyle="1" w:styleId="24">
    <w:name w:val="无间隔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
    <w:name w:val="正文_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7">
    <w:name w:val="正文_3"/>
    <w:next w:val="28"/>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
    <w:name w:val="正文文本_0_0"/>
    <w:basedOn w:val="27"/>
    <w:unhideWhenUsed/>
    <w:qFormat/>
    <w:uiPriority w:val="99"/>
    <w:pPr>
      <w:adjustRightInd w:val="0"/>
      <w:spacing w:after="60" w:line="360" w:lineRule="atLeast"/>
      <w:ind w:left="72" w:leftChars="30" w:right="30" w:rightChars="30"/>
      <w:jc w:val="center"/>
    </w:pPr>
    <w:rPr>
      <w:sz w:val="22"/>
      <w:szCs w:val="22"/>
    </w:rPr>
  </w:style>
  <w:style w:type="paragraph" w:customStyle="1" w:styleId="29">
    <w:name w:val="正文_2_0"/>
    <w:basedOn w:val="2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
    <w:name w:val="标题 3_0"/>
    <w:basedOn w:val="18"/>
    <w:next w:val="18"/>
    <w:unhideWhenUsed/>
    <w:qFormat/>
    <w:uiPriority w:val="99"/>
    <w:pPr>
      <w:keepNext/>
      <w:keepLines/>
      <w:spacing w:before="260" w:after="260" w:line="416" w:lineRule="auto"/>
      <w:outlineLvl w:val="2"/>
    </w:pPr>
    <w:rPr>
      <w:rFonts w:ascii="Calibri" w:hAnsi="Calibri"/>
      <w:b/>
      <w:bCs/>
      <w:sz w:val="32"/>
      <w:szCs w:val="32"/>
    </w:rPr>
  </w:style>
  <w:style w:type="paragraph" w:customStyle="1" w:styleId="31">
    <w:name w:val="正文_6"/>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133</Pages>
  <Words>682</Words>
  <Characters>790</Characters>
  <Lines>0</Lines>
  <Paragraphs>0</Paragraphs>
  <TotalTime>237</TotalTime>
  <ScaleCrop>false</ScaleCrop>
  <LinksUpToDate>false</LinksUpToDate>
  <CharactersWithSpaces>830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2026-03-19T04:20:00Z</dcterms:created>
  <dc:creator>Jessica</dc:creator>
  <cp:lastModifiedBy>Jessica</cp:lastModifiedBy>
  <dcterms:modified xsi:type="dcterms:W3CDTF">2026-03-30T07:49:59Z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42D13D1F9A69402E8219CDCDD34BFF75_13</vt:lpwstr>
  </property>
  <property fmtid="{D5CDD505-2E9C-101B-9397-08002B2CF9AE}" pid="4" name="KSOTemplateDocerSaveRecord">
    <vt:lpwstr>eyJoZGlkIjoiYmQwMzVhNzhlZmQzYzJkYzM4NmFlNGYxMmIxNThlMGUiLCJ1c2VySWQiOiIxNTczNTUzMjkzIn0=</vt:lpwstr>
  </property>
</Properties>
</file>