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0609F">
      <w:pPr>
        <w:spacing w:line="360" w:lineRule="auto"/>
        <w:jc w:val="center"/>
        <w:rPr>
          <w:rFonts w:hint="eastAsia" w:ascii="宋体" w:hAnsi="宋体"/>
          <w:b/>
          <w:sz w:val="44"/>
          <w:szCs w:val="44"/>
        </w:rPr>
      </w:pPr>
      <w:r>
        <w:rPr>
          <w:rFonts w:hint="eastAsia" w:ascii="宋体" w:hAnsi="宋体"/>
          <w:b/>
          <w:sz w:val="44"/>
          <w:szCs w:val="44"/>
        </w:rPr>
        <w:drawing>
          <wp:inline distT="0" distB="0" distL="114300" distR="114300">
            <wp:extent cx="5600700" cy="8489950"/>
            <wp:effectExtent l="0" t="0" r="0" b="6350"/>
            <wp:docPr id="2" name="图片 2" descr="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封面"/>
                    <pic:cNvPicPr>
                      <a:picLocks noChangeAspect="1"/>
                    </pic:cNvPicPr>
                  </pic:nvPicPr>
                  <pic:blipFill>
                    <a:blip r:embed="rId9"/>
                    <a:stretch>
                      <a:fillRect/>
                    </a:stretch>
                  </pic:blipFill>
                  <pic:spPr>
                    <a:xfrm>
                      <a:off x="0" y="0"/>
                      <a:ext cx="5600700" cy="8489950"/>
                    </a:xfrm>
                    <a:prstGeom prst="rect">
                      <a:avLst/>
                    </a:prstGeom>
                  </pic:spPr>
                </pic:pic>
              </a:graphicData>
            </a:graphic>
          </wp:inline>
        </w:drawing>
      </w:r>
      <w:r>
        <w:rPr>
          <w:rFonts w:hint="eastAsia" w:ascii="宋体" w:hAnsi="宋体"/>
          <w:b/>
          <w:sz w:val="44"/>
          <w:szCs w:val="44"/>
        </w:rPr>
        <w:t>目   录</w:t>
      </w:r>
    </w:p>
    <w:p w14:paraId="2C5D6BE6">
      <w:pPr>
        <w:spacing w:line="400" w:lineRule="exact"/>
        <w:jc w:val="center"/>
        <w:rPr>
          <w:rFonts w:hint="eastAsia" w:ascii="宋体" w:hAnsi="宋体"/>
          <w:b/>
          <w:sz w:val="44"/>
          <w:szCs w:val="44"/>
        </w:rPr>
      </w:pPr>
    </w:p>
    <w:p w14:paraId="52D07C4F">
      <w:pPr>
        <w:pStyle w:val="16"/>
        <w:tabs>
          <w:tab w:val="right" w:leader="dot" w:pos="8869"/>
        </w:tabs>
        <w:rPr>
          <w:rFonts w:hint="eastAsia" w:ascii="Calibri" w:hAnsi="Calibri"/>
          <w:szCs w:val="22"/>
        </w:rPr>
      </w:pPr>
      <w:r>
        <w:rPr>
          <w:rFonts w:hint="eastAsia" w:ascii="宋体" w:hAnsi="宋体"/>
          <w:b/>
          <w:sz w:val="30"/>
          <w:szCs w:val="30"/>
        </w:rPr>
        <w:fldChar w:fldCharType="begin"/>
      </w:r>
      <w:r>
        <w:rPr>
          <w:rFonts w:hint="eastAsia" w:ascii="宋体" w:hAnsi="宋体"/>
          <w:b/>
          <w:sz w:val="30"/>
          <w:szCs w:val="30"/>
        </w:rPr>
        <w:instrText xml:space="preserve"> TOC \o "1-3" \h \z \u </w:instrText>
      </w:r>
      <w:r>
        <w:rPr>
          <w:rFonts w:ascii="宋体" w:hAnsi="宋体"/>
          <w:b/>
          <w:sz w:val="30"/>
          <w:szCs w:val="30"/>
        </w:rPr>
        <w:fldChar w:fldCharType="separate"/>
      </w:r>
      <w:r>
        <w:rPr>
          <w:rStyle w:val="22"/>
        </w:rPr>
        <w:fldChar w:fldCharType="begin"/>
      </w:r>
      <w:r>
        <w:rPr>
          <w:rStyle w:val="22"/>
        </w:rPr>
        <w:instrText xml:space="preserve"> </w:instrText>
      </w:r>
      <w:r>
        <w:rPr>
          <w:rStyle w:val="22"/>
          <w:rFonts w:hint="eastAsia"/>
        </w:rPr>
        <w:instrText xml:space="preserve">HYPERLINK "PageOfficeControl%20中的文档" \l "_Toc80886925"</w:instrText>
      </w:r>
      <w:r>
        <w:rPr>
          <w:rStyle w:val="22"/>
        </w:rPr>
        <w:instrText xml:space="preserve"> </w:instrText>
      </w:r>
      <w:r>
        <w:rPr>
          <w:rStyle w:val="22"/>
        </w:rPr>
        <w:fldChar w:fldCharType="separate"/>
      </w:r>
      <w:r>
        <w:rPr>
          <w:rStyle w:val="22"/>
          <w:rFonts w:hint="eastAsia"/>
        </w:rPr>
        <w:t>第一章 竞争性磋商公告</w:t>
      </w:r>
      <w:r>
        <w:rPr>
          <w:rStyle w:val="22"/>
          <w:rFonts w:hint="eastAsia"/>
        </w:rPr>
        <w:tab/>
      </w:r>
      <w:r>
        <w:rPr>
          <w:rStyle w:val="22"/>
          <w:rFonts w:hint="eastAsia"/>
        </w:rPr>
        <w:fldChar w:fldCharType="begin"/>
      </w:r>
      <w:r>
        <w:rPr>
          <w:rStyle w:val="22"/>
          <w:rFonts w:hint="eastAsia"/>
        </w:rPr>
        <w:instrText xml:space="preserve"> PAGEREF _Toc80886925 \h </w:instrText>
      </w:r>
      <w:r>
        <w:rPr>
          <w:rStyle w:val="22"/>
        </w:rPr>
        <w:fldChar w:fldCharType="separate"/>
      </w:r>
      <w:r>
        <w:rPr>
          <w:rStyle w:val="22"/>
          <w:rFonts w:hint="eastAsia"/>
        </w:rPr>
        <w:t>1</w:t>
      </w:r>
      <w:r>
        <w:rPr>
          <w:rStyle w:val="22"/>
          <w:rFonts w:hint="eastAsia"/>
        </w:rPr>
        <w:fldChar w:fldCharType="end"/>
      </w:r>
      <w:r>
        <w:rPr>
          <w:rStyle w:val="22"/>
        </w:rPr>
        <w:fldChar w:fldCharType="end"/>
      </w:r>
    </w:p>
    <w:p w14:paraId="14A290D1">
      <w:pPr>
        <w:pStyle w:val="16"/>
        <w:tabs>
          <w:tab w:val="right" w:leader="dot" w:pos="8869"/>
        </w:tabs>
        <w:rPr>
          <w:rFonts w:ascii="Calibri" w:hAnsi="Calibri"/>
          <w:szCs w:val="22"/>
        </w:rPr>
      </w:pPr>
      <w:r>
        <w:rPr>
          <w:rStyle w:val="22"/>
        </w:rPr>
        <w:fldChar w:fldCharType="begin"/>
      </w:r>
      <w:r>
        <w:rPr>
          <w:rStyle w:val="22"/>
        </w:rPr>
        <w:instrText xml:space="preserve"> </w:instrText>
      </w:r>
      <w:r>
        <w:rPr>
          <w:rStyle w:val="22"/>
          <w:rFonts w:hint="eastAsia"/>
        </w:rPr>
        <w:instrText xml:space="preserve">HYPERLINK "PageOfficeControl%20中的文档" \l "_Toc80886926"</w:instrText>
      </w:r>
      <w:r>
        <w:rPr>
          <w:rStyle w:val="22"/>
        </w:rPr>
        <w:instrText xml:space="preserve"> </w:instrText>
      </w:r>
      <w:r>
        <w:rPr>
          <w:rStyle w:val="22"/>
        </w:rPr>
        <w:fldChar w:fldCharType="separate"/>
      </w:r>
      <w:r>
        <w:rPr>
          <w:rStyle w:val="22"/>
          <w:rFonts w:hint="eastAsia" w:ascii="Cambria" w:hAnsi="Cambria"/>
        </w:rPr>
        <w:t>第二章</w:t>
      </w:r>
      <w:r>
        <w:rPr>
          <w:rStyle w:val="22"/>
          <w:rFonts w:ascii="Cambria" w:hAnsi="Cambria"/>
        </w:rPr>
        <w:t xml:space="preserve"> </w:t>
      </w:r>
      <w:r>
        <w:rPr>
          <w:rStyle w:val="22"/>
          <w:rFonts w:hint="eastAsia" w:ascii="Cambria" w:hAnsi="Cambria"/>
        </w:rPr>
        <w:t>采购需求</w:t>
      </w:r>
      <w:r>
        <w:rPr>
          <w:rStyle w:val="22"/>
          <w:rFonts w:hint="eastAsia"/>
        </w:rPr>
        <w:tab/>
      </w:r>
      <w:r>
        <w:rPr>
          <w:rStyle w:val="22"/>
          <w:rFonts w:hint="eastAsia"/>
        </w:rPr>
        <w:fldChar w:fldCharType="begin"/>
      </w:r>
      <w:r>
        <w:rPr>
          <w:rStyle w:val="22"/>
          <w:rFonts w:hint="eastAsia"/>
        </w:rPr>
        <w:instrText xml:space="preserve"> PAGEREF _Toc80886926 \h </w:instrText>
      </w:r>
      <w:r>
        <w:rPr>
          <w:rStyle w:val="22"/>
        </w:rPr>
        <w:fldChar w:fldCharType="separate"/>
      </w:r>
      <w:r>
        <w:rPr>
          <w:rStyle w:val="22"/>
          <w:rFonts w:hint="eastAsia"/>
        </w:rPr>
        <w:t>5</w:t>
      </w:r>
      <w:r>
        <w:rPr>
          <w:rStyle w:val="22"/>
          <w:rFonts w:hint="eastAsia"/>
        </w:rPr>
        <w:fldChar w:fldCharType="end"/>
      </w:r>
      <w:r>
        <w:rPr>
          <w:rStyle w:val="22"/>
        </w:rPr>
        <w:fldChar w:fldCharType="end"/>
      </w:r>
    </w:p>
    <w:p w14:paraId="2FB0D6A7">
      <w:pPr>
        <w:pStyle w:val="16"/>
        <w:tabs>
          <w:tab w:val="right" w:leader="dot" w:pos="8869"/>
        </w:tabs>
        <w:rPr>
          <w:rFonts w:ascii="Calibri" w:hAnsi="Calibri"/>
          <w:szCs w:val="22"/>
        </w:rPr>
      </w:pPr>
      <w:r>
        <w:rPr>
          <w:rStyle w:val="22"/>
        </w:rPr>
        <w:fldChar w:fldCharType="begin"/>
      </w:r>
      <w:r>
        <w:rPr>
          <w:rStyle w:val="22"/>
        </w:rPr>
        <w:instrText xml:space="preserve"> </w:instrText>
      </w:r>
      <w:r>
        <w:rPr>
          <w:rStyle w:val="22"/>
          <w:rFonts w:hint="eastAsia"/>
        </w:rPr>
        <w:instrText xml:space="preserve">HYPERLINK "PageOfficeControl%20中的文档" \l "_Toc80886927"</w:instrText>
      </w:r>
      <w:r>
        <w:rPr>
          <w:rStyle w:val="22"/>
        </w:rPr>
        <w:instrText xml:space="preserve"> </w:instrText>
      </w:r>
      <w:r>
        <w:rPr>
          <w:rStyle w:val="22"/>
        </w:rPr>
        <w:fldChar w:fldCharType="separate"/>
      </w:r>
      <w:r>
        <w:rPr>
          <w:rStyle w:val="22"/>
          <w:rFonts w:hint="eastAsia" w:ascii="Cambria" w:hAnsi="Cambria"/>
        </w:rPr>
        <w:t>第三章</w:t>
      </w:r>
      <w:r>
        <w:rPr>
          <w:rStyle w:val="22"/>
          <w:rFonts w:ascii="Cambria" w:hAnsi="Cambria"/>
        </w:rPr>
        <w:t xml:space="preserve"> </w:t>
      </w:r>
      <w:r>
        <w:rPr>
          <w:rStyle w:val="22"/>
          <w:rFonts w:hint="eastAsia" w:ascii="Cambria" w:hAnsi="Cambria"/>
        </w:rPr>
        <w:t>供应商须知</w:t>
      </w:r>
      <w:r>
        <w:rPr>
          <w:rStyle w:val="22"/>
          <w:rFonts w:hint="eastAsia"/>
        </w:rPr>
        <w:tab/>
      </w:r>
      <w:r>
        <w:rPr>
          <w:rStyle w:val="22"/>
          <w:rFonts w:hint="eastAsia"/>
        </w:rPr>
        <w:fldChar w:fldCharType="begin"/>
      </w:r>
      <w:r>
        <w:rPr>
          <w:rStyle w:val="22"/>
          <w:rFonts w:hint="eastAsia"/>
        </w:rPr>
        <w:instrText xml:space="preserve"> PAGEREF _Toc80886927 \h </w:instrText>
      </w:r>
      <w:r>
        <w:rPr>
          <w:rStyle w:val="22"/>
        </w:rPr>
        <w:fldChar w:fldCharType="separate"/>
      </w:r>
      <w:r>
        <w:rPr>
          <w:rStyle w:val="22"/>
          <w:rFonts w:hint="eastAsia"/>
        </w:rPr>
        <w:t>33</w:t>
      </w:r>
      <w:r>
        <w:rPr>
          <w:rStyle w:val="22"/>
          <w:rFonts w:hint="eastAsia"/>
        </w:rPr>
        <w:fldChar w:fldCharType="end"/>
      </w:r>
      <w:r>
        <w:rPr>
          <w:rStyle w:val="22"/>
        </w:rPr>
        <w:fldChar w:fldCharType="end"/>
      </w:r>
    </w:p>
    <w:p w14:paraId="63F8789C">
      <w:pPr>
        <w:pStyle w:val="18"/>
        <w:rPr>
          <w:rFonts w:ascii="Calibri" w:hAnsi="Calibri"/>
          <w:szCs w:val="22"/>
        </w:rPr>
      </w:pPr>
      <w:r>
        <w:rPr>
          <w:rStyle w:val="22"/>
        </w:rPr>
        <w:fldChar w:fldCharType="begin"/>
      </w:r>
      <w:r>
        <w:rPr>
          <w:rStyle w:val="22"/>
        </w:rPr>
        <w:instrText xml:space="preserve"> </w:instrText>
      </w:r>
      <w:r>
        <w:rPr>
          <w:rStyle w:val="22"/>
          <w:rFonts w:hint="eastAsia"/>
        </w:rPr>
        <w:instrText xml:space="preserve">HYPERLINK "PageOfficeControl%20中的文档" \l "_Toc80886928"</w:instrText>
      </w:r>
      <w:r>
        <w:rPr>
          <w:rStyle w:val="22"/>
        </w:rPr>
        <w:instrText xml:space="preserve"> </w:instrText>
      </w:r>
      <w:r>
        <w:rPr>
          <w:rStyle w:val="22"/>
        </w:rPr>
        <w:fldChar w:fldCharType="separate"/>
      </w:r>
      <w:r>
        <w:rPr>
          <w:rStyle w:val="22"/>
          <w:rFonts w:hint="eastAsia" w:ascii="宋体" w:hAnsi="宋体"/>
        </w:rPr>
        <w:t>第一节 供应商须知前附表</w:t>
      </w:r>
      <w:bookmarkStart w:id="0" w:name="_Hlt80888559"/>
      <w:r>
        <w:rPr>
          <w:rStyle w:val="22"/>
          <w:rFonts w:hint="eastAsia"/>
        </w:rPr>
        <w:tab/>
      </w:r>
      <w:bookmarkEnd w:id="0"/>
      <w:r>
        <w:rPr>
          <w:rStyle w:val="22"/>
          <w:rFonts w:hint="eastAsia"/>
        </w:rPr>
        <w:fldChar w:fldCharType="begin"/>
      </w:r>
      <w:r>
        <w:rPr>
          <w:rStyle w:val="22"/>
          <w:rFonts w:hint="eastAsia"/>
        </w:rPr>
        <w:instrText xml:space="preserve"> PAGEREF _Toc80886928 \h </w:instrText>
      </w:r>
      <w:r>
        <w:rPr>
          <w:rStyle w:val="22"/>
        </w:rPr>
        <w:fldChar w:fldCharType="separate"/>
      </w:r>
      <w:r>
        <w:rPr>
          <w:rStyle w:val="22"/>
          <w:rFonts w:hint="eastAsia"/>
        </w:rPr>
        <w:t>33</w:t>
      </w:r>
      <w:r>
        <w:rPr>
          <w:rStyle w:val="22"/>
          <w:rFonts w:hint="eastAsia"/>
        </w:rPr>
        <w:fldChar w:fldCharType="end"/>
      </w:r>
      <w:r>
        <w:rPr>
          <w:rStyle w:val="22"/>
        </w:rPr>
        <w:fldChar w:fldCharType="end"/>
      </w:r>
    </w:p>
    <w:p w14:paraId="03A13AB8">
      <w:pPr>
        <w:pStyle w:val="18"/>
        <w:rPr>
          <w:rFonts w:ascii="Calibri" w:hAnsi="Calibri"/>
          <w:szCs w:val="22"/>
        </w:rPr>
      </w:pPr>
      <w:r>
        <w:rPr>
          <w:rStyle w:val="22"/>
        </w:rPr>
        <w:fldChar w:fldCharType="begin"/>
      </w:r>
      <w:r>
        <w:rPr>
          <w:rStyle w:val="22"/>
        </w:rPr>
        <w:instrText xml:space="preserve"> </w:instrText>
      </w:r>
      <w:r>
        <w:rPr>
          <w:rStyle w:val="22"/>
          <w:rFonts w:hint="eastAsia"/>
        </w:rPr>
        <w:instrText xml:space="preserve">HYPERLINK "PageOfficeControl%20中的文档" \l "_Toc80886929"</w:instrText>
      </w:r>
      <w:r>
        <w:rPr>
          <w:rStyle w:val="22"/>
        </w:rPr>
        <w:instrText xml:space="preserve"> </w:instrText>
      </w:r>
      <w:r>
        <w:rPr>
          <w:rStyle w:val="22"/>
        </w:rPr>
        <w:fldChar w:fldCharType="separate"/>
      </w:r>
      <w:r>
        <w:rPr>
          <w:rStyle w:val="22"/>
          <w:rFonts w:hint="eastAsia" w:ascii="宋体" w:hAnsi="宋体"/>
        </w:rPr>
        <w:t>第二节 供应商须知正文</w:t>
      </w:r>
      <w:r>
        <w:rPr>
          <w:rStyle w:val="22"/>
          <w:rFonts w:hint="eastAsia"/>
        </w:rPr>
        <w:tab/>
      </w:r>
      <w:r>
        <w:rPr>
          <w:rStyle w:val="22"/>
          <w:rFonts w:hint="eastAsia"/>
        </w:rPr>
        <w:fldChar w:fldCharType="begin"/>
      </w:r>
      <w:r>
        <w:rPr>
          <w:rStyle w:val="22"/>
          <w:rFonts w:hint="eastAsia"/>
        </w:rPr>
        <w:instrText xml:space="preserve"> PAGEREF _Toc80886929 \h </w:instrText>
      </w:r>
      <w:r>
        <w:rPr>
          <w:rStyle w:val="22"/>
        </w:rPr>
        <w:fldChar w:fldCharType="separate"/>
      </w:r>
      <w:r>
        <w:rPr>
          <w:rStyle w:val="22"/>
          <w:rFonts w:hint="eastAsia"/>
        </w:rPr>
        <w:t>38</w:t>
      </w:r>
      <w:r>
        <w:rPr>
          <w:rStyle w:val="22"/>
          <w:rFonts w:hint="eastAsia"/>
        </w:rPr>
        <w:fldChar w:fldCharType="end"/>
      </w:r>
      <w:r>
        <w:rPr>
          <w:rStyle w:val="22"/>
        </w:rPr>
        <w:fldChar w:fldCharType="end"/>
      </w:r>
    </w:p>
    <w:p w14:paraId="6DF4BE9E">
      <w:pPr>
        <w:pStyle w:val="12"/>
        <w:tabs>
          <w:tab w:val="right" w:leader="dot" w:pos="8869"/>
        </w:tabs>
        <w:rPr>
          <w:rFonts w:ascii="Calibri" w:hAnsi="Calibri"/>
          <w:szCs w:val="22"/>
        </w:rPr>
      </w:pPr>
      <w:r>
        <w:rPr>
          <w:rStyle w:val="22"/>
        </w:rPr>
        <w:fldChar w:fldCharType="begin"/>
      </w:r>
      <w:r>
        <w:rPr>
          <w:rStyle w:val="22"/>
        </w:rPr>
        <w:instrText xml:space="preserve"> </w:instrText>
      </w:r>
      <w:r>
        <w:rPr>
          <w:rStyle w:val="22"/>
          <w:rFonts w:hint="eastAsia"/>
        </w:rPr>
        <w:instrText xml:space="preserve">HYPERLINK "PageOfficeControl%20中的文档" \l "_Toc80886930"</w:instrText>
      </w:r>
      <w:r>
        <w:rPr>
          <w:rStyle w:val="22"/>
        </w:rPr>
        <w:instrText xml:space="preserve"> </w:instrText>
      </w:r>
      <w:r>
        <w:rPr>
          <w:rStyle w:val="22"/>
        </w:rPr>
        <w:fldChar w:fldCharType="separate"/>
      </w:r>
      <w:r>
        <w:rPr>
          <w:rStyle w:val="22"/>
          <w:rFonts w:hint="eastAsia" w:ascii="宋体" w:hAnsi="宋体"/>
        </w:rPr>
        <w:t>一、总则</w:t>
      </w:r>
      <w:r>
        <w:rPr>
          <w:rStyle w:val="22"/>
          <w:rFonts w:hint="eastAsia"/>
        </w:rPr>
        <w:tab/>
      </w:r>
      <w:r>
        <w:rPr>
          <w:rStyle w:val="22"/>
          <w:rFonts w:hint="eastAsia"/>
        </w:rPr>
        <w:fldChar w:fldCharType="begin"/>
      </w:r>
      <w:r>
        <w:rPr>
          <w:rStyle w:val="22"/>
          <w:rFonts w:hint="eastAsia"/>
        </w:rPr>
        <w:instrText xml:space="preserve"> PAGEREF _Toc80886930 \h </w:instrText>
      </w:r>
      <w:r>
        <w:rPr>
          <w:rStyle w:val="22"/>
        </w:rPr>
        <w:fldChar w:fldCharType="separate"/>
      </w:r>
      <w:r>
        <w:rPr>
          <w:rStyle w:val="22"/>
          <w:rFonts w:hint="eastAsia"/>
        </w:rPr>
        <w:t>38</w:t>
      </w:r>
      <w:r>
        <w:rPr>
          <w:rStyle w:val="22"/>
          <w:rFonts w:hint="eastAsia"/>
        </w:rPr>
        <w:fldChar w:fldCharType="end"/>
      </w:r>
      <w:r>
        <w:rPr>
          <w:rStyle w:val="22"/>
        </w:rPr>
        <w:fldChar w:fldCharType="end"/>
      </w:r>
    </w:p>
    <w:p w14:paraId="42B4D472">
      <w:pPr>
        <w:pStyle w:val="12"/>
        <w:tabs>
          <w:tab w:val="right" w:leader="dot" w:pos="8869"/>
        </w:tabs>
        <w:rPr>
          <w:rFonts w:ascii="Calibri" w:hAnsi="Calibri"/>
          <w:szCs w:val="22"/>
        </w:rPr>
      </w:pPr>
      <w:r>
        <w:rPr>
          <w:rStyle w:val="22"/>
        </w:rPr>
        <w:fldChar w:fldCharType="begin"/>
      </w:r>
      <w:r>
        <w:rPr>
          <w:rStyle w:val="22"/>
        </w:rPr>
        <w:instrText xml:space="preserve"> </w:instrText>
      </w:r>
      <w:r>
        <w:rPr>
          <w:rStyle w:val="22"/>
          <w:rFonts w:hint="eastAsia"/>
        </w:rPr>
        <w:instrText xml:space="preserve">HYPERLINK "PageOfficeControl%20中的文档" \l "_Toc80886931"</w:instrText>
      </w:r>
      <w:r>
        <w:rPr>
          <w:rStyle w:val="22"/>
        </w:rPr>
        <w:instrText xml:space="preserve"> </w:instrText>
      </w:r>
      <w:r>
        <w:rPr>
          <w:rStyle w:val="22"/>
        </w:rPr>
        <w:fldChar w:fldCharType="separate"/>
      </w:r>
      <w:r>
        <w:rPr>
          <w:rStyle w:val="22"/>
          <w:rFonts w:hint="eastAsia" w:ascii="宋体" w:hAnsi="宋体"/>
        </w:rPr>
        <w:t>二、磋商文件</w:t>
      </w:r>
      <w:r>
        <w:rPr>
          <w:rStyle w:val="22"/>
          <w:rFonts w:hint="eastAsia"/>
        </w:rPr>
        <w:tab/>
      </w:r>
      <w:r>
        <w:rPr>
          <w:rStyle w:val="22"/>
          <w:rFonts w:hint="eastAsia"/>
        </w:rPr>
        <w:fldChar w:fldCharType="begin"/>
      </w:r>
      <w:r>
        <w:rPr>
          <w:rStyle w:val="22"/>
          <w:rFonts w:hint="eastAsia"/>
        </w:rPr>
        <w:instrText xml:space="preserve"> PAGEREF _Toc80886931 \h </w:instrText>
      </w:r>
      <w:r>
        <w:rPr>
          <w:rStyle w:val="22"/>
        </w:rPr>
        <w:fldChar w:fldCharType="separate"/>
      </w:r>
      <w:r>
        <w:rPr>
          <w:rStyle w:val="22"/>
          <w:rFonts w:hint="eastAsia"/>
        </w:rPr>
        <w:t>40</w:t>
      </w:r>
      <w:r>
        <w:rPr>
          <w:rStyle w:val="22"/>
          <w:rFonts w:hint="eastAsia"/>
        </w:rPr>
        <w:fldChar w:fldCharType="end"/>
      </w:r>
      <w:r>
        <w:rPr>
          <w:rStyle w:val="22"/>
        </w:rPr>
        <w:fldChar w:fldCharType="end"/>
      </w:r>
    </w:p>
    <w:p w14:paraId="097C8BD3">
      <w:pPr>
        <w:pStyle w:val="12"/>
        <w:tabs>
          <w:tab w:val="right" w:leader="dot" w:pos="8869"/>
        </w:tabs>
        <w:rPr>
          <w:rFonts w:ascii="Calibri" w:hAnsi="Calibri"/>
          <w:szCs w:val="22"/>
        </w:rPr>
      </w:pPr>
      <w:r>
        <w:rPr>
          <w:rStyle w:val="22"/>
        </w:rPr>
        <w:fldChar w:fldCharType="begin"/>
      </w:r>
      <w:r>
        <w:rPr>
          <w:rStyle w:val="22"/>
        </w:rPr>
        <w:instrText xml:space="preserve"> </w:instrText>
      </w:r>
      <w:r>
        <w:rPr>
          <w:rStyle w:val="22"/>
          <w:rFonts w:hint="eastAsia"/>
        </w:rPr>
        <w:instrText xml:space="preserve">HYPERLINK "PageOfficeControl%20中的文档" \l "_Toc80886932"</w:instrText>
      </w:r>
      <w:r>
        <w:rPr>
          <w:rStyle w:val="22"/>
        </w:rPr>
        <w:instrText xml:space="preserve"> </w:instrText>
      </w:r>
      <w:r>
        <w:rPr>
          <w:rStyle w:val="22"/>
        </w:rPr>
        <w:fldChar w:fldCharType="separate"/>
      </w:r>
      <w:r>
        <w:rPr>
          <w:rStyle w:val="22"/>
          <w:rFonts w:hint="eastAsia" w:ascii="宋体" w:hAnsi="宋体"/>
        </w:rPr>
        <w:t>三、响应文件的编制</w:t>
      </w:r>
      <w:r>
        <w:rPr>
          <w:rStyle w:val="22"/>
          <w:rFonts w:hint="eastAsia"/>
        </w:rPr>
        <w:tab/>
      </w:r>
      <w:r>
        <w:rPr>
          <w:rStyle w:val="22"/>
          <w:rFonts w:hint="eastAsia"/>
        </w:rPr>
        <w:fldChar w:fldCharType="begin"/>
      </w:r>
      <w:r>
        <w:rPr>
          <w:rStyle w:val="22"/>
          <w:rFonts w:hint="eastAsia"/>
        </w:rPr>
        <w:instrText xml:space="preserve"> PAGEREF _Toc80886932 \h </w:instrText>
      </w:r>
      <w:r>
        <w:rPr>
          <w:rStyle w:val="22"/>
        </w:rPr>
        <w:fldChar w:fldCharType="separate"/>
      </w:r>
      <w:r>
        <w:rPr>
          <w:rStyle w:val="22"/>
          <w:rFonts w:hint="eastAsia"/>
        </w:rPr>
        <w:t>41</w:t>
      </w:r>
      <w:r>
        <w:rPr>
          <w:rStyle w:val="22"/>
          <w:rFonts w:hint="eastAsia"/>
        </w:rPr>
        <w:fldChar w:fldCharType="end"/>
      </w:r>
      <w:r>
        <w:rPr>
          <w:rStyle w:val="22"/>
        </w:rPr>
        <w:fldChar w:fldCharType="end"/>
      </w:r>
    </w:p>
    <w:p w14:paraId="2A7B1B54">
      <w:pPr>
        <w:pStyle w:val="12"/>
        <w:tabs>
          <w:tab w:val="right" w:leader="dot" w:pos="8869"/>
        </w:tabs>
        <w:rPr>
          <w:rFonts w:ascii="Calibri" w:hAnsi="Calibri"/>
          <w:szCs w:val="22"/>
        </w:rPr>
      </w:pPr>
      <w:r>
        <w:rPr>
          <w:rStyle w:val="22"/>
        </w:rPr>
        <w:fldChar w:fldCharType="begin"/>
      </w:r>
      <w:r>
        <w:rPr>
          <w:rStyle w:val="22"/>
        </w:rPr>
        <w:instrText xml:space="preserve"> </w:instrText>
      </w:r>
      <w:r>
        <w:rPr>
          <w:rStyle w:val="22"/>
          <w:rFonts w:hint="eastAsia"/>
        </w:rPr>
        <w:instrText xml:space="preserve">HYPERLINK "PageOfficeControl%20中的文档" \l "_Toc80886933"</w:instrText>
      </w:r>
      <w:r>
        <w:rPr>
          <w:rStyle w:val="22"/>
        </w:rPr>
        <w:instrText xml:space="preserve"> </w:instrText>
      </w:r>
      <w:r>
        <w:rPr>
          <w:rStyle w:val="22"/>
        </w:rPr>
        <w:fldChar w:fldCharType="separate"/>
      </w:r>
      <w:r>
        <w:rPr>
          <w:rStyle w:val="22"/>
          <w:rFonts w:hint="eastAsia" w:ascii="宋体" w:hAnsi="宋体"/>
        </w:rPr>
        <w:t>四、评审及磋商</w:t>
      </w:r>
      <w:r>
        <w:rPr>
          <w:rStyle w:val="22"/>
          <w:rFonts w:hint="eastAsia"/>
        </w:rPr>
        <w:tab/>
      </w:r>
      <w:r>
        <w:rPr>
          <w:rStyle w:val="22"/>
          <w:rFonts w:hint="eastAsia"/>
        </w:rPr>
        <w:fldChar w:fldCharType="begin"/>
      </w:r>
      <w:r>
        <w:rPr>
          <w:rStyle w:val="22"/>
          <w:rFonts w:hint="eastAsia"/>
        </w:rPr>
        <w:instrText xml:space="preserve"> PAGEREF _Toc80886933 \h </w:instrText>
      </w:r>
      <w:r>
        <w:rPr>
          <w:rStyle w:val="22"/>
        </w:rPr>
        <w:fldChar w:fldCharType="separate"/>
      </w:r>
      <w:r>
        <w:rPr>
          <w:rStyle w:val="22"/>
          <w:rFonts w:hint="eastAsia"/>
        </w:rPr>
        <w:t>43</w:t>
      </w:r>
      <w:r>
        <w:rPr>
          <w:rStyle w:val="22"/>
          <w:rFonts w:hint="eastAsia"/>
        </w:rPr>
        <w:fldChar w:fldCharType="end"/>
      </w:r>
      <w:r>
        <w:rPr>
          <w:rStyle w:val="22"/>
        </w:rPr>
        <w:fldChar w:fldCharType="end"/>
      </w:r>
    </w:p>
    <w:p w14:paraId="3BBAC043">
      <w:pPr>
        <w:pStyle w:val="12"/>
        <w:tabs>
          <w:tab w:val="right" w:leader="dot" w:pos="8869"/>
        </w:tabs>
        <w:rPr>
          <w:rFonts w:ascii="Calibri" w:hAnsi="Calibri"/>
          <w:szCs w:val="22"/>
        </w:rPr>
      </w:pPr>
      <w:r>
        <w:rPr>
          <w:rStyle w:val="22"/>
        </w:rPr>
        <w:fldChar w:fldCharType="begin"/>
      </w:r>
      <w:r>
        <w:rPr>
          <w:rStyle w:val="22"/>
        </w:rPr>
        <w:instrText xml:space="preserve"> </w:instrText>
      </w:r>
      <w:r>
        <w:rPr>
          <w:rStyle w:val="22"/>
          <w:rFonts w:hint="eastAsia"/>
        </w:rPr>
        <w:instrText xml:space="preserve">HYPERLINK "PageOfficeControl%20中的文档" \l "_Toc80886934"</w:instrText>
      </w:r>
      <w:r>
        <w:rPr>
          <w:rStyle w:val="22"/>
        </w:rPr>
        <w:instrText xml:space="preserve"> </w:instrText>
      </w:r>
      <w:r>
        <w:rPr>
          <w:rStyle w:val="22"/>
        </w:rPr>
        <w:fldChar w:fldCharType="separate"/>
      </w:r>
      <w:r>
        <w:rPr>
          <w:rStyle w:val="22"/>
          <w:rFonts w:hint="eastAsia" w:ascii="宋体" w:hAnsi="宋体"/>
        </w:rPr>
        <w:t>五、成交及合同</w:t>
      </w:r>
      <w:r>
        <w:rPr>
          <w:rStyle w:val="22"/>
          <w:rFonts w:hint="eastAsia"/>
        </w:rPr>
        <w:tab/>
      </w:r>
      <w:r>
        <w:rPr>
          <w:rStyle w:val="22"/>
          <w:rFonts w:hint="eastAsia"/>
        </w:rPr>
        <w:fldChar w:fldCharType="begin"/>
      </w:r>
      <w:r>
        <w:rPr>
          <w:rStyle w:val="22"/>
          <w:rFonts w:hint="eastAsia"/>
        </w:rPr>
        <w:instrText xml:space="preserve"> PAGEREF _Toc80886934 \h </w:instrText>
      </w:r>
      <w:r>
        <w:rPr>
          <w:rStyle w:val="22"/>
        </w:rPr>
        <w:fldChar w:fldCharType="separate"/>
      </w:r>
      <w:r>
        <w:rPr>
          <w:rStyle w:val="22"/>
          <w:rFonts w:hint="eastAsia"/>
        </w:rPr>
        <w:t>44</w:t>
      </w:r>
      <w:r>
        <w:rPr>
          <w:rStyle w:val="22"/>
          <w:rFonts w:hint="eastAsia"/>
        </w:rPr>
        <w:fldChar w:fldCharType="end"/>
      </w:r>
      <w:r>
        <w:rPr>
          <w:rStyle w:val="22"/>
        </w:rPr>
        <w:fldChar w:fldCharType="end"/>
      </w:r>
    </w:p>
    <w:p w14:paraId="0FE9B328">
      <w:pPr>
        <w:pStyle w:val="12"/>
        <w:tabs>
          <w:tab w:val="right" w:leader="dot" w:pos="8869"/>
        </w:tabs>
        <w:rPr>
          <w:rFonts w:ascii="Calibri" w:hAnsi="Calibri"/>
          <w:szCs w:val="22"/>
        </w:rPr>
      </w:pPr>
      <w:r>
        <w:rPr>
          <w:rStyle w:val="22"/>
        </w:rPr>
        <w:fldChar w:fldCharType="begin"/>
      </w:r>
      <w:r>
        <w:rPr>
          <w:rStyle w:val="22"/>
        </w:rPr>
        <w:instrText xml:space="preserve"> </w:instrText>
      </w:r>
      <w:r>
        <w:rPr>
          <w:rStyle w:val="22"/>
          <w:rFonts w:hint="eastAsia"/>
        </w:rPr>
        <w:instrText xml:space="preserve">HYPERLINK "PageOfficeControl%20中的文档" \l "_Toc80886935"</w:instrText>
      </w:r>
      <w:r>
        <w:rPr>
          <w:rStyle w:val="22"/>
        </w:rPr>
        <w:instrText xml:space="preserve"> </w:instrText>
      </w:r>
      <w:r>
        <w:rPr>
          <w:rStyle w:val="22"/>
        </w:rPr>
        <w:fldChar w:fldCharType="separate"/>
      </w:r>
      <w:r>
        <w:rPr>
          <w:rStyle w:val="22"/>
          <w:rFonts w:hint="eastAsia" w:ascii="宋体" w:hAnsi="宋体"/>
        </w:rPr>
        <w:t>六、验收</w:t>
      </w:r>
      <w:r>
        <w:rPr>
          <w:rStyle w:val="22"/>
          <w:rFonts w:hint="eastAsia"/>
        </w:rPr>
        <w:tab/>
      </w:r>
      <w:r>
        <w:rPr>
          <w:rStyle w:val="22"/>
          <w:rFonts w:hint="eastAsia"/>
        </w:rPr>
        <w:fldChar w:fldCharType="begin"/>
      </w:r>
      <w:r>
        <w:rPr>
          <w:rStyle w:val="22"/>
          <w:rFonts w:hint="eastAsia"/>
        </w:rPr>
        <w:instrText xml:space="preserve"> PAGEREF _Toc80886935 \h </w:instrText>
      </w:r>
      <w:r>
        <w:rPr>
          <w:rStyle w:val="22"/>
        </w:rPr>
        <w:fldChar w:fldCharType="separate"/>
      </w:r>
      <w:r>
        <w:rPr>
          <w:rStyle w:val="22"/>
          <w:rFonts w:hint="eastAsia"/>
        </w:rPr>
        <w:t>47</w:t>
      </w:r>
      <w:r>
        <w:rPr>
          <w:rStyle w:val="22"/>
          <w:rFonts w:hint="eastAsia"/>
        </w:rPr>
        <w:fldChar w:fldCharType="end"/>
      </w:r>
      <w:r>
        <w:rPr>
          <w:rStyle w:val="22"/>
        </w:rPr>
        <w:fldChar w:fldCharType="end"/>
      </w:r>
    </w:p>
    <w:p w14:paraId="64AB4990">
      <w:pPr>
        <w:pStyle w:val="12"/>
        <w:tabs>
          <w:tab w:val="right" w:leader="dot" w:pos="8869"/>
        </w:tabs>
        <w:rPr>
          <w:rFonts w:ascii="Calibri" w:hAnsi="Calibri"/>
          <w:szCs w:val="22"/>
        </w:rPr>
      </w:pPr>
      <w:r>
        <w:rPr>
          <w:rStyle w:val="22"/>
        </w:rPr>
        <w:fldChar w:fldCharType="begin"/>
      </w:r>
      <w:r>
        <w:rPr>
          <w:rStyle w:val="22"/>
        </w:rPr>
        <w:instrText xml:space="preserve"> </w:instrText>
      </w:r>
      <w:r>
        <w:rPr>
          <w:rStyle w:val="22"/>
          <w:rFonts w:hint="eastAsia"/>
        </w:rPr>
        <w:instrText xml:space="preserve">HYPERLINK "PageOfficeControl%20中的文档" \l "_Toc80886936"</w:instrText>
      </w:r>
      <w:r>
        <w:rPr>
          <w:rStyle w:val="22"/>
        </w:rPr>
        <w:instrText xml:space="preserve"> </w:instrText>
      </w:r>
      <w:r>
        <w:rPr>
          <w:rStyle w:val="22"/>
        </w:rPr>
        <w:fldChar w:fldCharType="separate"/>
      </w:r>
      <w:r>
        <w:rPr>
          <w:rStyle w:val="22"/>
          <w:rFonts w:hint="eastAsia" w:ascii="宋体" w:hAnsi="宋体"/>
        </w:rPr>
        <w:t>七、其他事项</w:t>
      </w:r>
      <w:r>
        <w:rPr>
          <w:rStyle w:val="22"/>
          <w:rFonts w:hint="eastAsia"/>
        </w:rPr>
        <w:tab/>
      </w:r>
      <w:r>
        <w:rPr>
          <w:rStyle w:val="22"/>
          <w:rFonts w:hint="eastAsia"/>
        </w:rPr>
        <w:fldChar w:fldCharType="begin"/>
      </w:r>
      <w:r>
        <w:rPr>
          <w:rStyle w:val="22"/>
          <w:rFonts w:hint="eastAsia"/>
        </w:rPr>
        <w:instrText xml:space="preserve"> PAGEREF _Toc80886936 \h </w:instrText>
      </w:r>
      <w:r>
        <w:rPr>
          <w:rStyle w:val="22"/>
        </w:rPr>
        <w:fldChar w:fldCharType="separate"/>
      </w:r>
      <w:r>
        <w:rPr>
          <w:rStyle w:val="22"/>
          <w:rFonts w:hint="eastAsia"/>
        </w:rPr>
        <w:t>47</w:t>
      </w:r>
      <w:r>
        <w:rPr>
          <w:rStyle w:val="22"/>
          <w:rFonts w:hint="eastAsia"/>
        </w:rPr>
        <w:fldChar w:fldCharType="end"/>
      </w:r>
      <w:r>
        <w:rPr>
          <w:rStyle w:val="22"/>
        </w:rPr>
        <w:fldChar w:fldCharType="end"/>
      </w:r>
    </w:p>
    <w:p w14:paraId="2C3C661C">
      <w:pPr>
        <w:pStyle w:val="16"/>
        <w:tabs>
          <w:tab w:val="right" w:leader="dot" w:pos="8869"/>
        </w:tabs>
        <w:rPr>
          <w:rFonts w:ascii="Calibri" w:hAnsi="Calibri"/>
          <w:szCs w:val="22"/>
        </w:rPr>
      </w:pPr>
      <w:r>
        <w:rPr>
          <w:rStyle w:val="22"/>
        </w:rPr>
        <w:fldChar w:fldCharType="begin"/>
      </w:r>
      <w:r>
        <w:rPr>
          <w:rStyle w:val="22"/>
        </w:rPr>
        <w:instrText xml:space="preserve"> </w:instrText>
      </w:r>
      <w:r>
        <w:rPr>
          <w:rStyle w:val="22"/>
          <w:rFonts w:hint="eastAsia"/>
        </w:rPr>
        <w:instrText xml:space="preserve">HYPERLINK "PageOfficeControl%20中的文档" \l "_Toc80886937"</w:instrText>
      </w:r>
      <w:r>
        <w:rPr>
          <w:rStyle w:val="22"/>
        </w:rPr>
        <w:instrText xml:space="preserve"> </w:instrText>
      </w:r>
      <w:r>
        <w:rPr>
          <w:rStyle w:val="22"/>
        </w:rPr>
        <w:fldChar w:fldCharType="separate"/>
      </w:r>
      <w:r>
        <w:rPr>
          <w:rStyle w:val="22"/>
          <w:rFonts w:hint="eastAsia"/>
        </w:rPr>
        <w:t>第四章  评审程序、评审方法和评审标准</w:t>
      </w:r>
      <w:r>
        <w:rPr>
          <w:rStyle w:val="22"/>
          <w:rFonts w:hint="eastAsia"/>
        </w:rPr>
        <w:tab/>
      </w:r>
      <w:r>
        <w:rPr>
          <w:rStyle w:val="22"/>
          <w:rFonts w:hint="eastAsia"/>
        </w:rPr>
        <w:fldChar w:fldCharType="begin"/>
      </w:r>
      <w:r>
        <w:rPr>
          <w:rStyle w:val="22"/>
          <w:rFonts w:hint="eastAsia"/>
        </w:rPr>
        <w:instrText xml:space="preserve"> PAGEREF _Toc80886937 \h </w:instrText>
      </w:r>
      <w:r>
        <w:rPr>
          <w:rStyle w:val="22"/>
        </w:rPr>
        <w:fldChar w:fldCharType="separate"/>
      </w:r>
      <w:r>
        <w:rPr>
          <w:rStyle w:val="22"/>
          <w:rFonts w:hint="eastAsia"/>
        </w:rPr>
        <w:t>49</w:t>
      </w:r>
      <w:r>
        <w:rPr>
          <w:rStyle w:val="22"/>
          <w:rFonts w:hint="eastAsia"/>
        </w:rPr>
        <w:fldChar w:fldCharType="end"/>
      </w:r>
      <w:r>
        <w:rPr>
          <w:rStyle w:val="22"/>
        </w:rPr>
        <w:fldChar w:fldCharType="end"/>
      </w:r>
    </w:p>
    <w:p w14:paraId="5DA4C493">
      <w:pPr>
        <w:pStyle w:val="18"/>
        <w:rPr>
          <w:rFonts w:ascii="Calibri" w:hAnsi="Calibri"/>
          <w:szCs w:val="22"/>
        </w:rPr>
      </w:pPr>
      <w:r>
        <w:rPr>
          <w:rStyle w:val="22"/>
        </w:rPr>
        <w:fldChar w:fldCharType="begin"/>
      </w:r>
      <w:r>
        <w:rPr>
          <w:rStyle w:val="22"/>
        </w:rPr>
        <w:instrText xml:space="preserve"> </w:instrText>
      </w:r>
      <w:r>
        <w:rPr>
          <w:rStyle w:val="22"/>
          <w:rFonts w:hint="eastAsia"/>
        </w:rPr>
        <w:instrText xml:space="preserve">HYPERLINK "PageOfficeControl%20中的文档" \l "_Toc80886938"</w:instrText>
      </w:r>
      <w:r>
        <w:rPr>
          <w:rStyle w:val="22"/>
        </w:rPr>
        <w:instrText xml:space="preserve"> </w:instrText>
      </w:r>
      <w:r>
        <w:rPr>
          <w:rStyle w:val="22"/>
        </w:rPr>
        <w:fldChar w:fldCharType="separate"/>
      </w:r>
      <w:r>
        <w:rPr>
          <w:rStyle w:val="22"/>
          <w:rFonts w:hint="eastAsia" w:ascii="宋体" w:hAnsi="宋体"/>
        </w:rPr>
        <w:t>第一节 评审程序和评审方法</w:t>
      </w:r>
      <w:r>
        <w:rPr>
          <w:rStyle w:val="22"/>
          <w:rFonts w:hint="eastAsia"/>
        </w:rPr>
        <w:tab/>
      </w:r>
      <w:r>
        <w:rPr>
          <w:rStyle w:val="22"/>
          <w:rFonts w:hint="eastAsia"/>
        </w:rPr>
        <w:fldChar w:fldCharType="begin"/>
      </w:r>
      <w:r>
        <w:rPr>
          <w:rStyle w:val="22"/>
          <w:rFonts w:hint="eastAsia"/>
        </w:rPr>
        <w:instrText xml:space="preserve"> PAGEREF _Toc80886938 \h </w:instrText>
      </w:r>
      <w:r>
        <w:rPr>
          <w:rStyle w:val="22"/>
        </w:rPr>
        <w:fldChar w:fldCharType="separate"/>
      </w:r>
      <w:r>
        <w:rPr>
          <w:rStyle w:val="22"/>
          <w:rFonts w:hint="eastAsia"/>
        </w:rPr>
        <w:t>49</w:t>
      </w:r>
      <w:r>
        <w:rPr>
          <w:rStyle w:val="22"/>
          <w:rFonts w:hint="eastAsia"/>
        </w:rPr>
        <w:fldChar w:fldCharType="end"/>
      </w:r>
      <w:r>
        <w:rPr>
          <w:rStyle w:val="22"/>
        </w:rPr>
        <w:fldChar w:fldCharType="end"/>
      </w:r>
    </w:p>
    <w:p w14:paraId="371D2D7A">
      <w:pPr>
        <w:pStyle w:val="18"/>
        <w:rPr>
          <w:rFonts w:ascii="Calibri" w:hAnsi="Calibri"/>
          <w:szCs w:val="22"/>
        </w:rPr>
      </w:pPr>
      <w:r>
        <w:rPr>
          <w:rStyle w:val="22"/>
        </w:rPr>
        <w:fldChar w:fldCharType="begin"/>
      </w:r>
      <w:r>
        <w:rPr>
          <w:rStyle w:val="22"/>
        </w:rPr>
        <w:instrText xml:space="preserve"> </w:instrText>
      </w:r>
      <w:r>
        <w:rPr>
          <w:rStyle w:val="22"/>
          <w:rFonts w:hint="eastAsia"/>
        </w:rPr>
        <w:instrText xml:space="preserve">HYPERLINK "PageOfficeControl%20中的文档" \l "_Toc80886939"</w:instrText>
      </w:r>
      <w:r>
        <w:rPr>
          <w:rStyle w:val="22"/>
        </w:rPr>
        <w:instrText xml:space="preserve"> </w:instrText>
      </w:r>
      <w:r>
        <w:rPr>
          <w:rStyle w:val="22"/>
        </w:rPr>
        <w:fldChar w:fldCharType="separate"/>
      </w:r>
      <w:r>
        <w:rPr>
          <w:rStyle w:val="22"/>
          <w:rFonts w:hint="eastAsia" w:ascii="宋体" w:hAnsi="宋体"/>
        </w:rPr>
        <w:t>第二节 评标报告</w:t>
      </w:r>
      <w:r>
        <w:rPr>
          <w:rStyle w:val="22"/>
          <w:rFonts w:hint="eastAsia"/>
        </w:rPr>
        <w:tab/>
      </w:r>
      <w:r>
        <w:rPr>
          <w:rStyle w:val="22"/>
          <w:rFonts w:hint="eastAsia"/>
        </w:rPr>
        <w:fldChar w:fldCharType="begin"/>
      </w:r>
      <w:r>
        <w:rPr>
          <w:rStyle w:val="22"/>
          <w:rFonts w:hint="eastAsia"/>
        </w:rPr>
        <w:instrText xml:space="preserve"> PAGEREF _Toc80886939 \h </w:instrText>
      </w:r>
      <w:r>
        <w:rPr>
          <w:rStyle w:val="22"/>
        </w:rPr>
        <w:fldChar w:fldCharType="separate"/>
      </w:r>
      <w:r>
        <w:rPr>
          <w:rStyle w:val="22"/>
          <w:rFonts w:hint="eastAsia"/>
        </w:rPr>
        <w:t>60</w:t>
      </w:r>
      <w:r>
        <w:rPr>
          <w:rStyle w:val="22"/>
          <w:rFonts w:hint="eastAsia"/>
        </w:rPr>
        <w:fldChar w:fldCharType="end"/>
      </w:r>
      <w:r>
        <w:rPr>
          <w:rStyle w:val="22"/>
        </w:rPr>
        <w:fldChar w:fldCharType="end"/>
      </w:r>
    </w:p>
    <w:p w14:paraId="68010EF1">
      <w:pPr>
        <w:pStyle w:val="18"/>
        <w:rPr>
          <w:rFonts w:ascii="Calibri" w:hAnsi="Calibri"/>
          <w:szCs w:val="22"/>
        </w:rPr>
      </w:pPr>
      <w:r>
        <w:rPr>
          <w:rStyle w:val="22"/>
        </w:rPr>
        <w:fldChar w:fldCharType="begin"/>
      </w:r>
      <w:r>
        <w:rPr>
          <w:rStyle w:val="22"/>
        </w:rPr>
        <w:instrText xml:space="preserve"> </w:instrText>
      </w:r>
      <w:r>
        <w:rPr>
          <w:rStyle w:val="22"/>
          <w:rFonts w:hint="eastAsia"/>
        </w:rPr>
        <w:instrText xml:space="preserve">HYPERLINK "PageOfficeControl%20中的文档" \l "_Toc80886940"</w:instrText>
      </w:r>
      <w:r>
        <w:rPr>
          <w:rStyle w:val="22"/>
        </w:rPr>
        <w:instrText xml:space="preserve"> </w:instrText>
      </w:r>
      <w:r>
        <w:rPr>
          <w:rStyle w:val="22"/>
        </w:rPr>
        <w:fldChar w:fldCharType="separate"/>
      </w:r>
      <w:r>
        <w:rPr>
          <w:rStyle w:val="22"/>
          <w:rFonts w:hint="eastAsia" w:ascii="宋体" w:hAnsi="宋体"/>
        </w:rPr>
        <w:t>第三节 评审过程的保密与录像</w:t>
      </w:r>
      <w:r>
        <w:rPr>
          <w:rStyle w:val="22"/>
          <w:rFonts w:hint="eastAsia"/>
        </w:rPr>
        <w:tab/>
      </w:r>
      <w:r>
        <w:rPr>
          <w:rStyle w:val="22"/>
          <w:rFonts w:hint="eastAsia"/>
        </w:rPr>
        <w:fldChar w:fldCharType="begin"/>
      </w:r>
      <w:r>
        <w:rPr>
          <w:rStyle w:val="22"/>
          <w:rFonts w:hint="eastAsia"/>
        </w:rPr>
        <w:instrText xml:space="preserve"> PAGEREF _Toc80886940 \h </w:instrText>
      </w:r>
      <w:r>
        <w:rPr>
          <w:rStyle w:val="22"/>
        </w:rPr>
        <w:fldChar w:fldCharType="separate"/>
      </w:r>
      <w:r>
        <w:rPr>
          <w:rStyle w:val="22"/>
          <w:rFonts w:hint="eastAsia"/>
        </w:rPr>
        <w:t>60</w:t>
      </w:r>
      <w:r>
        <w:rPr>
          <w:rStyle w:val="22"/>
          <w:rFonts w:hint="eastAsia"/>
        </w:rPr>
        <w:fldChar w:fldCharType="end"/>
      </w:r>
      <w:r>
        <w:rPr>
          <w:rStyle w:val="22"/>
        </w:rPr>
        <w:fldChar w:fldCharType="end"/>
      </w:r>
    </w:p>
    <w:p w14:paraId="08D65BB4">
      <w:pPr>
        <w:pStyle w:val="16"/>
        <w:tabs>
          <w:tab w:val="right" w:leader="dot" w:pos="8869"/>
        </w:tabs>
        <w:rPr>
          <w:rFonts w:ascii="Calibri" w:hAnsi="Calibri"/>
          <w:szCs w:val="22"/>
        </w:rPr>
      </w:pPr>
      <w:r>
        <w:rPr>
          <w:rStyle w:val="22"/>
        </w:rPr>
        <w:fldChar w:fldCharType="begin"/>
      </w:r>
      <w:r>
        <w:rPr>
          <w:rStyle w:val="22"/>
        </w:rPr>
        <w:instrText xml:space="preserve"> </w:instrText>
      </w:r>
      <w:r>
        <w:rPr>
          <w:rStyle w:val="22"/>
          <w:rFonts w:hint="eastAsia"/>
        </w:rPr>
        <w:instrText xml:space="preserve">HYPERLINK "PageOfficeControl%20中的文档" \l "_Toc80886941"</w:instrText>
      </w:r>
      <w:r>
        <w:rPr>
          <w:rStyle w:val="22"/>
        </w:rPr>
        <w:instrText xml:space="preserve"> </w:instrText>
      </w:r>
      <w:r>
        <w:rPr>
          <w:rStyle w:val="22"/>
        </w:rPr>
        <w:fldChar w:fldCharType="separate"/>
      </w:r>
      <w:r>
        <w:rPr>
          <w:rStyle w:val="22"/>
          <w:rFonts w:hint="eastAsia"/>
        </w:rPr>
        <w:t>第五章 响应文件格式</w:t>
      </w:r>
      <w:r>
        <w:rPr>
          <w:rStyle w:val="22"/>
          <w:rFonts w:hint="eastAsia"/>
        </w:rPr>
        <w:tab/>
      </w:r>
      <w:r>
        <w:rPr>
          <w:rStyle w:val="22"/>
          <w:rFonts w:hint="eastAsia"/>
        </w:rPr>
        <w:fldChar w:fldCharType="begin"/>
      </w:r>
      <w:r>
        <w:rPr>
          <w:rStyle w:val="22"/>
          <w:rFonts w:hint="eastAsia"/>
        </w:rPr>
        <w:instrText xml:space="preserve"> PAGEREF _Toc80886941 \h </w:instrText>
      </w:r>
      <w:r>
        <w:rPr>
          <w:rStyle w:val="22"/>
        </w:rPr>
        <w:fldChar w:fldCharType="separate"/>
      </w:r>
      <w:r>
        <w:rPr>
          <w:rStyle w:val="22"/>
          <w:rFonts w:hint="eastAsia"/>
        </w:rPr>
        <w:t>61</w:t>
      </w:r>
      <w:r>
        <w:rPr>
          <w:rStyle w:val="22"/>
          <w:rFonts w:hint="eastAsia"/>
        </w:rPr>
        <w:fldChar w:fldCharType="end"/>
      </w:r>
      <w:r>
        <w:rPr>
          <w:rStyle w:val="22"/>
        </w:rPr>
        <w:fldChar w:fldCharType="end"/>
      </w:r>
    </w:p>
    <w:p w14:paraId="08C2A1E7">
      <w:pPr>
        <w:pStyle w:val="18"/>
        <w:rPr>
          <w:rFonts w:ascii="Calibri" w:hAnsi="Calibri"/>
          <w:szCs w:val="22"/>
        </w:rPr>
      </w:pPr>
      <w:r>
        <w:rPr>
          <w:rStyle w:val="22"/>
        </w:rPr>
        <w:fldChar w:fldCharType="begin"/>
      </w:r>
      <w:r>
        <w:rPr>
          <w:rStyle w:val="22"/>
        </w:rPr>
        <w:instrText xml:space="preserve"> </w:instrText>
      </w:r>
      <w:r>
        <w:rPr>
          <w:rStyle w:val="22"/>
          <w:rFonts w:hint="eastAsia"/>
        </w:rPr>
        <w:instrText xml:space="preserve">HYPERLINK "PageOfficeControl%20中的文档" \l "_Toc80886942"</w:instrText>
      </w:r>
      <w:r>
        <w:rPr>
          <w:rStyle w:val="22"/>
        </w:rPr>
        <w:instrText xml:space="preserve"> </w:instrText>
      </w:r>
      <w:r>
        <w:rPr>
          <w:rStyle w:val="22"/>
        </w:rPr>
        <w:fldChar w:fldCharType="separate"/>
      </w:r>
      <w:r>
        <w:rPr>
          <w:rStyle w:val="22"/>
          <w:rFonts w:hint="eastAsia" w:ascii="宋体" w:hAnsi="宋体"/>
        </w:rPr>
        <w:t>第一节 封面格式</w:t>
      </w:r>
      <w:r>
        <w:rPr>
          <w:rStyle w:val="22"/>
          <w:rFonts w:hint="eastAsia"/>
        </w:rPr>
        <w:tab/>
      </w:r>
      <w:r>
        <w:rPr>
          <w:rStyle w:val="22"/>
          <w:rFonts w:hint="eastAsia"/>
        </w:rPr>
        <w:fldChar w:fldCharType="begin"/>
      </w:r>
      <w:r>
        <w:rPr>
          <w:rStyle w:val="22"/>
          <w:rFonts w:hint="eastAsia"/>
        </w:rPr>
        <w:instrText xml:space="preserve"> PAGEREF _Toc80886942 \h </w:instrText>
      </w:r>
      <w:r>
        <w:rPr>
          <w:rStyle w:val="22"/>
        </w:rPr>
        <w:fldChar w:fldCharType="separate"/>
      </w:r>
      <w:r>
        <w:rPr>
          <w:rStyle w:val="22"/>
          <w:rFonts w:hint="eastAsia"/>
        </w:rPr>
        <w:t>62</w:t>
      </w:r>
      <w:r>
        <w:rPr>
          <w:rStyle w:val="22"/>
          <w:rFonts w:hint="eastAsia"/>
        </w:rPr>
        <w:fldChar w:fldCharType="end"/>
      </w:r>
      <w:r>
        <w:rPr>
          <w:rStyle w:val="22"/>
        </w:rPr>
        <w:fldChar w:fldCharType="end"/>
      </w:r>
    </w:p>
    <w:p w14:paraId="04A38FCF">
      <w:pPr>
        <w:pStyle w:val="18"/>
        <w:rPr>
          <w:rFonts w:ascii="Calibri" w:hAnsi="Calibri"/>
          <w:szCs w:val="22"/>
        </w:rPr>
      </w:pPr>
      <w:r>
        <w:rPr>
          <w:rStyle w:val="22"/>
        </w:rPr>
        <w:fldChar w:fldCharType="begin"/>
      </w:r>
      <w:r>
        <w:rPr>
          <w:rStyle w:val="22"/>
        </w:rPr>
        <w:instrText xml:space="preserve"> </w:instrText>
      </w:r>
      <w:r>
        <w:rPr>
          <w:rStyle w:val="22"/>
          <w:rFonts w:hint="eastAsia"/>
        </w:rPr>
        <w:instrText xml:space="preserve">HYPERLINK "PageOfficeControl%20中的文档" \l "_Toc80886943"</w:instrText>
      </w:r>
      <w:r>
        <w:rPr>
          <w:rStyle w:val="22"/>
        </w:rPr>
        <w:instrText xml:space="preserve"> </w:instrText>
      </w:r>
      <w:r>
        <w:rPr>
          <w:rStyle w:val="22"/>
        </w:rPr>
        <w:fldChar w:fldCharType="separate"/>
      </w:r>
      <w:r>
        <w:rPr>
          <w:rStyle w:val="22"/>
          <w:rFonts w:hint="eastAsia" w:ascii="宋体" w:hAnsi="宋体"/>
        </w:rPr>
        <w:t>第二节 资格证明文件格式</w:t>
      </w:r>
      <w:r>
        <w:rPr>
          <w:rStyle w:val="22"/>
          <w:rFonts w:hint="eastAsia"/>
        </w:rPr>
        <w:tab/>
      </w:r>
      <w:r>
        <w:rPr>
          <w:rStyle w:val="22"/>
          <w:rFonts w:hint="eastAsia"/>
        </w:rPr>
        <w:fldChar w:fldCharType="begin"/>
      </w:r>
      <w:r>
        <w:rPr>
          <w:rStyle w:val="22"/>
          <w:rFonts w:hint="eastAsia"/>
        </w:rPr>
        <w:instrText xml:space="preserve"> PAGEREF _Toc80886943 \h </w:instrText>
      </w:r>
      <w:r>
        <w:rPr>
          <w:rStyle w:val="22"/>
        </w:rPr>
        <w:fldChar w:fldCharType="separate"/>
      </w:r>
      <w:r>
        <w:rPr>
          <w:rStyle w:val="22"/>
          <w:rFonts w:hint="eastAsia"/>
        </w:rPr>
        <w:t>63</w:t>
      </w:r>
      <w:r>
        <w:rPr>
          <w:rStyle w:val="22"/>
          <w:rFonts w:hint="eastAsia"/>
        </w:rPr>
        <w:fldChar w:fldCharType="end"/>
      </w:r>
      <w:r>
        <w:rPr>
          <w:rStyle w:val="22"/>
        </w:rPr>
        <w:fldChar w:fldCharType="end"/>
      </w:r>
    </w:p>
    <w:p w14:paraId="3D11FCFE">
      <w:pPr>
        <w:pStyle w:val="18"/>
        <w:rPr>
          <w:rFonts w:ascii="Calibri" w:hAnsi="Calibri"/>
          <w:szCs w:val="22"/>
        </w:rPr>
      </w:pPr>
      <w:r>
        <w:rPr>
          <w:rStyle w:val="22"/>
        </w:rPr>
        <w:fldChar w:fldCharType="begin"/>
      </w:r>
      <w:r>
        <w:rPr>
          <w:rStyle w:val="22"/>
        </w:rPr>
        <w:instrText xml:space="preserve"> </w:instrText>
      </w:r>
      <w:r>
        <w:rPr>
          <w:rStyle w:val="22"/>
          <w:rFonts w:hint="eastAsia"/>
        </w:rPr>
        <w:instrText xml:space="preserve">HYPERLINK "PageOfficeControl%20中的文档" \l "_Toc80886944"</w:instrText>
      </w:r>
      <w:r>
        <w:rPr>
          <w:rStyle w:val="22"/>
        </w:rPr>
        <w:instrText xml:space="preserve"> </w:instrText>
      </w:r>
      <w:r>
        <w:rPr>
          <w:rStyle w:val="22"/>
        </w:rPr>
        <w:fldChar w:fldCharType="separate"/>
      </w:r>
      <w:r>
        <w:rPr>
          <w:rStyle w:val="22"/>
          <w:rFonts w:hint="eastAsia" w:ascii="宋体" w:hAnsi="宋体"/>
        </w:rPr>
        <w:t>第三节 商务技术文件格式</w:t>
      </w:r>
      <w:r>
        <w:rPr>
          <w:rStyle w:val="22"/>
          <w:rFonts w:hint="eastAsia"/>
        </w:rPr>
        <w:tab/>
      </w:r>
      <w:r>
        <w:rPr>
          <w:rStyle w:val="22"/>
          <w:rFonts w:hint="eastAsia"/>
        </w:rPr>
        <w:fldChar w:fldCharType="begin"/>
      </w:r>
      <w:r>
        <w:rPr>
          <w:rStyle w:val="22"/>
          <w:rFonts w:hint="eastAsia"/>
        </w:rPr>
        <w:instrText xml:space="preserve"> PAGEREF _Toc80886944 \h </w:instrText>
      </w:r>
      <w:r>
        <w:rPr>
          <w:rStyle w:val="22"/>
        </w:rPr>
        <w:fldChar w:fldCharType="separate"/>
      </w:r>
      <w:r>
        <w:rPr>
          <w:rStyle w:val="22"/>
          <w:rFonts w:hint="eastAsia"/>
        </w:rPr>
        <w:t>72</w:t>
      </w:r>
      <w:r>
        <w:rPr>
          <w:rStyle w:val="22"/>
          <w:rFonts w:hint="eastAsia"/>
        </w:rPr>
        <w:fldChar w:fldCharType="end"/>
      </w:r>
      <w:r>
        <w:rPr>
          <w:rStyle w:val="22"/>
        </w:rPr>
        <w:fldChar w:fldCharType="end"/>
      </w:r>
    </w:p>
    <w:p w14:paraId="0035FE4D">
      <w:pPr>
        <w:pStyle w:val="18"/>
        <w:rPr>
          <w:rFonts w:ascii="Calibri" w:hAnsi="Calibri"/>
          <w:szCs w:val="22"/>
        </w:rPr>
      </w:pPr>
      <w:r>
        <w:rPr>
          <w:rStyle w:val="22"/>
        </w:rPr>
        <w:fldChar w:fldCharType="begin"/>
      </w:r>
      <w:r>
        <w:rPr>
          <w:rStyle w:val="22"/>
        </w:rPr>
        <w:instrText xml:space="preserve"> </w:instrText>
      </w:r>
      <w:r>
        <w:rPr>
          <w:rStyle w:val="22"/>
          <w:rFonts w:hint="eastAsia"/>
        </w:rPr>
        <w:instrText xml:space="preserve">HYPERLINK "PageOfficeControl%20中的文档" \l "_Toc80886945"</w:instrText>
      </w:r>
      <w:r>
        <w:rPr>
          <w:rStyle w:val="22"/>
        </w:rPr>
        <w:instrText xml:space="preserve"> </w:instrText>
      </w:r>
      <w:r>
        <w:rPr>
          <w:rStyle w:val="22"/>
        </w:rPr>
        <w:fldChar w:fldCharType="separate"/>
      </w:r>
      <w:r>
        <w:rPr>
          <w:rStyle w:val="22"/>
          <w:rFonts w:hint="eastAsia" w:ascii="宋体" w:hAnsi="宋体"/>
        </w:rPr>
        <w:t>第四节 报价文件格式</w:t>
      </w:r>
      <w:r>
        <w:rPr>
          <w:rStyle w:val="22"/>
          <w:rFonts w:hint="eastAsia"/>
        </w:rPr>
        <w:tab/>
      </w:r>
      <w:r>
        <w:rPr>
          <w:rStyle w:val="22"/>
          <w:rFonts w:hint="eastAsia"/>
        </w:rPr>
        <w:fldChar w:fldCharType="begin"/>
      </w:r>
      <w:r>
        <w:rPr>
          <w:rStyle w:val="22"/>
          <w:rFonts w:hint="eastAsia"/>
        </w:rPr>
        <w:instrText xml:space="preserve"> PAGEREF _Toc80886945 \h </w:instrText>
      </w:r>
      <w:r>
        <w:rPr>
          <w:rStyle w:val="22"/>
        </w:rPr>
        <w:fldChar w:fldCharType="separate"/>
      </w:r>
      <w:r>
        <w:rPr>
          <w:rStyle w:val="22"/>
          <w:rFonts w:hint="eastAsia"/>
        </w:rPr>
        <w:t>88</w:t>
      </w:r>
      <w:r>
        <w:rPr>
          <w:rStyle w:val="22"/>
          <w:rFonts w:hint="eastAsia"/>
        </w:rPr>
        <w:fldChar w:fldCharType="end"/>
      </w:r>
      <w:r>
        <w:rPr>
          <w:rStyle w:val="22"/>
        </w:rPr>
        <w:fldChar w:fldCharType="end"/>
      </w:r>
    </w:p>
    <w:p w14:paraId="7C95F7F3">
      <w:pPr>
        <w:pStyle w:val="18"/>
        <w:rPr>
          <w:rFonts w:ascii="Calibri" w:hAnsi="Calibri"/>
          <w:szCs w:val="22"/>
        </w:rPr>
      </w:pPr>
      <w:r>
        <w:rPr>
          <w:rStyle w:val="22"/>
        </w:rPr>
        <w:fldChar w:fldCharType="begin"/>
      </w:r>
      <w:r>
        <w:rPr>
          <w:rStyle w:val="22"/>
        </w:rPr>
        <w:instrText xml:space="preserve"> </w:instrText>
      </w:r>
      <w:r>
        <w:rPr>
          <w:rStyle w:val="22"/>
          <w:rFonts w:hint="eastAsia"/>
        </w:rPr>
        <w:instrText xml:space="preserve">HYPERLINK "PageOfficeControl%20中的文档" \l "_Toc80886946"</w:instrText>
      </w:r>
      <w:r>
        <w:rPr>
          <w:rStyle w:val="22"/>
        </w:rPr>
        <w:instrText xml:space="preserve"> </w:instrText>
      </w:r>
      <w:r>
        <w:rPr>
          <w:rStyle w:val="22"/>
        </w:rPr>
        <w:fldChar w:fldCharType="separate"/>
      </w:r>
      <w:r>
        <w:rPr>
          <w:rStyle w:val="22"/>
          <w:rFonts w:hint="eastAsia" w:ascii="宋体" w:hAnsi="宋体"/>
        </w:rPr>
        <w:t>第五节 其他文书、文件格式</w:t>
      </w:r>
      <w:r>
        <w:rPr>
          <w:rStyle w:val="22"/>
          <w:rFonts w:hint="eastAsia"/>
        </w:rPr>
        <w:tab/>
      </w:r>
      <w:r>
        <w:rPr>
          <w:rStyle w:val="22"/>
          <w:rFonts w:hint="eastAsia"/>
        </w:rPr>
        <w:fldChar w:fldCharType="begin"/>
      </w:r>
      <w:r>
        <w:rPr>
          <w:rStyle w:val="22"/>
          <w:rFonts w:hint="eastAsia"/>
        </w:rPr>
        <w:instrText xml:space="preserve"> PAGEREF _Toc80886946 \h </w:instrText>
      </w:r>
      <w:r>
        <w:rPr>
          <w:rStyle w:val="22"/>
        </w:rPr>
        <w:fldChar w:fldCharType="separate"/>
      </w:r>
      <w:r>
        <w:rPr>
          <w:rStyle w:val="22"/>
          <w:rFonts w:hint="eastAsia"/>
        </w:rPr>
        <w:t>93</w:t>
      </w:r>
      <w:r>
        <w:rPr>
          <w:rStyle w:val="22"/>
          <w:rFonts w:hint="eastAsia"/>
        </w:rPr>
        <w:fldChar w:fldCharType="end"/>
      </w:r>
      <w:r>
        <w:rPr>
          <w:rStyle w:val="22"/>
        </w:rPr>
        <w:fldChar w:fldCharType="end"/>
      </w:r>
    </w:p>
    <w:p w14:paraId="590D9229">
      <w:pPr>
        <w:pStyle w:val="16"/>
        <w:tabs>
          <w:tab w:val="right" w:leader="dot" w:pos="8869"/>
        </w:tabs>
        <w:rPr>
          <w:rFonts w:ascii="Calibri" w:hAnsi="Calibri"/>
          <w:szCs w:val="22"/>
        </w:rPr>
      </w:pPr>
      <w:r>
        <w:rPr>
          <w:rStyle w:val="22"/>
        </w:rPr>
        <w:fldChar w:fldCharType="begin"/>
      </w:r>
      <w:r>
        <w:rPr>
          <w:rStyle w:val="22"/>
        </w:rPr>
        <w:instrText xml:space="preserve"> </w:instrText>
      </w:r>
      <w:r>
        <w:rPr>
          <w:rStyle w:val="22"/>
          <w:rFonts w:hint="eastAsia"/>
        </w:rPr>
        <w:instrText xml:space="preserve">HYPERLINK "PageOfficeControl%20中的文档" \l "_Toc80886947"</w:instrText>
      </w:r>
      <w:r>
        <w:rPr>
          <w:rStyle w:val="22"/>
        </w:rPr>
        <w:instrText xml:space="preserve"> </w:instrText>
      </w:r>
      <w:r>
        <w:rPr>
          <w:rStyle w:val="22"/>
        </w:rPr>
        <w:fldChar w:fldCharType="separate"/>
      </w:r>
      <w:r>
        <w:rPr>
          <w:rStyle w:val="22"/>
          <w:rFonts w:hint="eastAsia" w:ascii="宋体" w:hAnsi="宋体"/>
        </w:rPr>
        <w:t>第六章  合同文本</w:t>
      </w:r>
      <w:r>
        <w:rPr>
          <w:rStyle w:val="22"/>
          <w:rFonts w:hint="eastAsia"/>
        </w:rPr>
        <w:tab/>
      </w:r>
      <w:r>
        <w:rPr>
          <w:rStyle w:val="22"/>
          <w:rFonts w:hint="eastAsia"/>
        </w:rPr>
        <w:fldChar w:fldCharType="begin"/>
      </w:r>
      <w:r>
        <w:rPr>
          <w:rStyle w:val="22"/>
          <w:rFonts w:hint="eastAsia"/>
        </w:rPr>
        <w:instrText xml:space="preserve"> PAGEREF _Toc80886947 \h </w:instrText>
      </w:r>
      <w:r>
        <w:rPr>
          <w:rStyle w:val="22"/>
        </w:rPr>
        <w:fldChar w:fldCharType="separate"/>
      </w:r>
      <w:r>
        <w:rPr>
          <w:rStyle w:val="22"/>
          <w:rFonts w:hint="eastAsia"/>
        </w:rPr>
        <w:t>96</w:t>
      </w:r>
      <w:r>
        <w:rPr>
          <w:rStyle w:val="22"/>
          <w:rFonts w:hint="eastAsia"/>
        </w:rPr>
        <w:fldChar w:fldCharType="end"/>
      </w:r>
      <w:r>
        <w:rPr>
          <w:rStyle w:val="22"/>
        </w:rPr>
        <w:fldChar w:fldCharType="end"/>
      </w:r>
    </w:p>
    <w:p w14:paraId="0398A3BA">
      <w:pPr>
        <w:pStyle w:val="18"/>
        <w:rPr>
          <w:rFonts w:ascii="Calibri" w:hAnsi="Calibri"/>
          <w:szCs w:val="22"/>
        </w:rPr>
      </w:pPr>
      <w:r>
        <w:rPr>
          <w:rStyle w:val="22"/>
        </w:rPr>
        <w:fldChar w:fldCharType="begin"/>
      </w:r>
      <w:r>
        <w:rPr>
          <w:rStyle w:val="22"/>
        </w:rPr>
        <w:instrText xml:space="preserve"> </w:instrText>
      </w:r>
      <w:r>
        <w:rPr>
          <w:rStyle w:val="22"/>
          <w:rFonts w:hint="eastAsia"/>
        </w:rPr>
        <w:instrText xml:space="preserve">HYPERLINK "PageOfficeControl%20中的文档" \l "_Toc80886948"</w:instrText>
      </w:r>
      <w:r>
        <w:rPr>
          <w:rStyle w:val="22"/>
        </w:rPr>
        <w:instrText xml:space="preserve"> </w:instrText>
      </w:r>
      <w:r>
        <w:rPr>
          <w:rStyle w:val="22"/>
        </w:rPr>
        <w:fldChar w:fldCharType="separate"/>
      </w:r>
      <w:r>
        <w:rPr>
          <w:rStyle w:val="22"/>
          <w:rFonts w:hint="eastAsia" w:ascii="宋体" w:hAnsi="宋体"/>
        </w:rPr>
        <w:t>第一部分 合同书</w:t>
      </w:r>
      <w:r>
        <w:rPr>
          <w:rStyle w:val="22"/>
          <w:rFonts w:hint="eastAsia"/>
        </w:rPr>
        <w:tab/>
      </w:r>
      <w:r>
        <w:rPr>
          <w:rStyle w:val="22"/>
          <w:rFonts w:hint="eastAsia"/>
        </w:rPr>
        <w:fldChar w:fldCharType="begin"/>
      </w:r>
      <w:r>
        <w:rPr>
          <w:rStyle w:val="22"/>
          <w:rFonts w:hint="eastAsia"/>
        </w:rPr>
        <w:instrText xml:space="preserve"> PAGEREF _Toc80886948 \h </w:instrText>
      </w:r>
      <w:r>
        <w:rPr>
          <w:rStyle w:val="22"/>
        </w:rPr>
        <w:fldChar w:fldCharType="separate"/>
      </w:r>
      <w:r>
        <w:rPr>
          <w:rStyle w:val="22"/>
          <w:rFonts w:hint="eastAsia"/>
        </w:rPr>
        <w:t>99</w:t>
      </w:r>
      <w:r>
        <w:rPr>
          <w:rStyle w:val="22"/>
          <w:rFonts w:hint="eastAsia"/>
        </w:rPr>
        <w:fldChar w:fldCharType="end"/>
      </w:r>
      <w:r>
        <w:rPr>
          <w:rStyle w:val="22"/>
        </w:rPr>
        <w:fldChar w:fldCharType="end"/>
      </w:r>
    </w:p>
    <w:p w14:paraId="6C3452F5">
      <w:pPr>
        <w:pStyle w:val="18"/>
        <w:rPr>
          <w:rFonts w:ascii="Calibri" w:hAnsi="Calibri"/>
          <w:szCs w:val="22"/>
        </w:rPr>
      </w:pPr>
      <w:r>
        <w:rPr>
          <w:rStyle w:val="22"/>
        </w:rPr>
        <w:fldChar w:fldCharType="begin"/>
      </w:r>
      <w:r>
        <w:rPr>
          <w:rStyle w:val="22"/>
        </w:rPr>
        <w:instrText xml:space="preserve"> </w:instrText>
      </w:r>
      <w:r>
        <w:rPr>
          <w:rStyle w:val="22"/>
          <w:rFonts w:hint="eastAsia"/>
        </w:rPr>
        <w:instrText xml:space="preserve">HYPERLINK "PageOfficeControl%20中的文档" \l "_Toc80886949"</w:instrText>
      </w:r>
      <w:r>
        <w:rPr>
          <w:rStyle w:val="22"/>
        </w:rPr>
        <w:instrText xml:space="preserve"> </w:instrText>
      </w:r>
      <w:r>
        <w:rPr>
          <w:rStyle w:val="22"/>
        </w:rPr>
        <w:fldChar w:fldCharType="separate"/>
      </w:r>
      <w:r>
        <w:rPr>
          <w:rStyle w:val="22"/>
          <w:rFonts w:hint="eastAsia" w:ascii="宋体" w:hAnsi="宋体"/>
        </w:rPr>
        <w:t>第二部分 合同一般条款</w:t>
      </w:r>
      <w:r>
        <w:rPr>
          <w:rStyle w:val="22"/>
          <w:rFonts w:hint="eastAsia"/>
        </w:rPr>
        <w:tab/>
      </w:r>
      <w:r>
        <w:rPr>
          <w:rStyle w:val="22"/>
          <w:rFonts w:hint="eastAsia"/>
        </w:rPr>
        <w:fldChar w:fldCharType="begin"/>
      </w:r>
      <w:r>
        <w:rPr>
          <w:rStyle w:val="22"/>
          <w:rFonts w:hint="eastAsia"/>
        </w:rPr>
        <w:instrText xml:space="preserve"> PAGEREF _Toc80886949 \h </w:instrText>
      </w:r>
      <w:r>
        <w:rPr>
          <w:rStyle w:val="22"/>
        </w:rPr>
        <w:fldChar w:fldCharType="separate"/>
      </w:r>
      <w:r>
        <w:rPr>
          <w:rStyle w:val="22"/>
          <w:rFonts w:hint="eastAsia"/>
        </w:rPr>
        <w:t>103</w:t>
      </w:r>
      <w:r>
        <w:rPr>
          <w:rStyle w:val="22"/>
          <w:rFonts w:hint="eastAsia"/>
        </w:rPr>
        <w:fldChar w:fldCharType="end"/>
      </w:r>
      <w:r>
        <w:rPr>
          <w:rStyle w:val="22"/>
        </w:rPr>
        <w:fldChar w:fldCharType="end"/>
      </w:r>
    </w:p>
    <w:p w14:paraId="3D4194C1">
      <w:pPr>
        <w:pStyle w:val="18"/>
        <w:rPr>
          <w:rFonts w:ascii="Calibri" w:hAnsi="Calibri"/>
          <w:szCs w:val="22"/>
        </w:rPr>
      </w:pPr>
      <w:r>
        <w:rPr>
          <w:rStyle w:val="22"/>
        </w:rPr>
        <w:fldChar w:fldCharType="begin"/>
      </w:r>
      <w:r>
        <w:rPr>
          <w:rStyle w:val="22"/>
        </w:rPr>
        <w:instrText xml:space="preserve"> </w:instrText>
      </w:r>
      <w:r>
        <w:rPr>
          <w:rStyle w:val="22"/>
          <w:rFonts w:hint="eastAsia"/>
        </w:rPr>
        <w:instrText xml:space="preserve">HYPERLINK "PageOfficeControl%20中的文档" \l "_Toc80886950"</w:instrText>
      </w:r>
      <w:r>
        <w:rPr>
          <w:rStyle w:val="22"/>
        </w:rPr>
        <w:instrText xml:space="preserve"> </w:instrText>
      </w:r>
      <w:r>
        <w:rPr>
          <w:rStyle w:val="22"/>
        </w:rPr>
        <w:fldChar w:fldCharType="separate"/>
      </w:r>
      <w:r>
        <w:rPr>
          <w:rStyle w:val="22"/>
          <w:rFonts w:hint="eastAsia" w:ascii="宋体" w:hAnsi="宋体"/>
        </w:rPr>
        <w:t>第三部分  合同专用条款</w:t>
      </w:r>
      <w:r>
        <w:rPr>
          <w:rStyle w:val="22"/>
          <w:rFonts w:hint="eastAsia"/>
        </w:rPr>
        <w:tab/>
      </w:r>
      <w:r>
        <w:rPr>
          <w:rStyle w:val="22"/>
          <w:rFonts w:hint="eastAsia"/>
        </w:rPr>
        <w:fldChar w:fldCharType="begin"/>
      </w:r>
      <w:r>
        <w:rPr>
          <w:rStyle w:val="22"/>
          <w:rFonts w:hint="eastAsia"/>
        </w:rPr>
        <w:instrText xml:space="preserve"> PAGEREF _Toc80886950 \h </w:instrText>
      </w:r>
      <w:r>
        <w:rPr>
          <w:rStyle w:val="22"/>
        </w:rPr>
        <w:fldChar w:fldCharType="separate"/>
      </w:r>
      <w:r>
        <w:rPr>
          <w:rStyle w:val="22"/>
          <w:rFonts w:hint="eastAsia"/>
        </w:rPr>
        <w:t>108</w:t>
      </w:r>
      <w:r>
        <w:rPr>
          <w:rStyle w:val="22"/>
          <w:rFonts w:hint="eastAsia"/>
        </w:rPr>
        <w:fldChar w:fldCharType="end"/>
      </w:r>
      <w:r>
        <w:rPr>
          <w:rStyle w:val="22"/>
        </w:rPr>
        <w:fldChar w:fldCharType="end"/>
      </w:r>
    </w:p>
    <w:p w14:paraId="1DFAB8F3">
      <w:pPr>
        <w:pStyle w:val="16"/>
        <w:tabs>
          <w:tab w:val="right" w:leader="dot" w:pos="8869"/>
        </w:tabs>
        <w:rPr>
          <w:rFonts w:ascii="Calibri" w:hAnsi="Calibri"/>
          <w:szCs w:val="22"/>
        </w:rPr>
      </w:pPr>
      <w:r>
        <w:rPr>
          <w:rStyle w:val="22"/>
        </w:rPr>
        <w:fldChar w:fldCharType="begin"/>
      </w:r>
      <w:r>
        <w:rPr>
          <w:rStyle w:val="22"/>
        </w:rPr>
        <w:instrText xml:space="preserve"> </w:instrText>
      </w:r>
      <w:r>
        <w:rPr>
          <w:rStyle w:val="22"/>
          <w:rFonts w:hint="eastAsia"/>
        </w:rPr>
        <w:instrText xml:space="preserve">HYPERLINK "PageOfficeControl%20中的文档" \l "_Toc80886951"</w:instrText>
      </w:r>
      <w:r>
        <w:rPr>
          <w:rStyle w:val="22"/>
        </w:rPr>
        <w:instrText xml:space="preserve"> </w:instrText>
      </w:r>
      <w:r>
        <w:rPr>
          <w:rStyle w:val="22"/>
        </w:rPr>
        <w:fldChar w:fldCharType="separate"/>
      </w:r>
      <w:r>
        <w:rPr>
          <w:rStyle w:val="22"/>
          <w:rFonts w:hint="eastAsia" w:ascii="宋体" w:hAnsi="宋体" w:cs="仿宋_GB2312"/>
        </w:rPr>
        <w:t>第七章 质疑、投诉材料格式</w:t>
      </w:r>
      <w:r>
        <w:rPr>
          <w:rStyle w:val="22"/>
          <w:rFonts w:hint="eastAsia"/>
        </w:rPr>
        <w:tab/>
      </w:r>
      <w:r>
        <w:rPr>
          <w:rStyle w:val="22"/>
          <w:rFonts w:hint="eastAsia"/>
        </w:rPr>
        <w:fldChar w:fldCharType="begin"/>
      </w:r>
      <w:r>
        <w:rPr>
          <w:rStyle w:val="22"/>
          <w:rFonts w:hint="eastAsia"/>
        </w:rPr>
        <w:instrText xml:space="preserve"> PAGEREF _Toc80886951 \h </w:instrText>
      </w:r>
      <w:r>
        <w:rPr>
          <w:rStyle w:val="22"/>
        </w:rPr>
        <w:fldChar w:fldCharType="separate"/>
      </w:r>
      <w:r>
        <w:rPr>
          <w:rStyle w:val="22"/>
          <w:rFonts w:hint="eastAsia"/>
        </w:rPr>
        <w:t>111</w:t>
      </w:r>
      <w:r>
        <w:rPr>
          <w:rStyle w:val="22"/>
          <w:rFonts w:hint="eastAsia"/>
        </w:rPr>
        <w:fldChar w:fldCharType="end"/>
      </w:r>
      <w:r>
        <w:rPr>
          <w:rStyle w:val="22"/>
        </w:rPr>
        <w:fldChar w:fldCharType="end"/>
      </w:r>
    </w:p>
    <w:p w14:paraId="64E6347E">
      <w:pPr>
        <w:pStyle w:val="18"/>
        <w:rPr>
          <w:sz w:val="28"/>
          <w:szCs w:val="28"/>
        </w:rPr>
      </w:pPr>
      <w:r>
        <w:rPr>
          <w:rFonts w:hint="eastAsia" w:ascii="宋体" w:hAnsi="宋体"/>
          <w:b/>
          <w:sz w:val="30"/>
          <w:szCs w:val="30"/>
        </w:rPr>
        <w:fldChar w:fldCharType="end"/>
      </w:r>
    </w:p>
    <w:p w14:paraId="758985D3">
      <w:pPr>
        <w:tabs>
          <w:tab w:val="left" w:pos="7470"/>
        </w:tabs>
        <w:spacing w:line="400" w:lineRule="exact"/>
        <w:jc w:val="left"/>
        <w:rPr>
          <w:rFonts w:hint="eastAsia" w:ascii="宋体" w:hAnsi="宋体"/>
          <w:b/>
          <w:sz w:val="32"/>
          <w:szCs w:val="32"/>
        </w:rPr>
      </w:pPr>
      <w:r>
        <w:rPr>
          <w:rFonts w:hint="eastAsia" w:ascii="宋体" w:hAnsi="宋体"/>
          <w:b/>
          <w:sz w:val="32"/>
          <w:szCs w:val="32"/>
        </w:rPr>
        <w:tab/>
      </w:r>
    </w:p>
    <w:p w14:paraId="6F63A718">
      <w:pPr>
        <w:spacing w:line="400" w:lineRule="exact"/>
        <w:jc w:val="center"/>
        <w:rPr>
          <w:rFonts w:hint="eastAsia" w:ascii="宋体" w:hAnsi="宋体"/>
          <w:b/>
          <w:sz w:val="32"/>
          <w:szCs w:val="32"/>
        </w:rPr>
      </w:pPr>
    </w:p>
    <w:p w14:paraId="45306D12">
      <w:pPr>
        <w:spacing w:line="400" w:lineRule="exact"/>
        <w:jc w:val="center"/>
        <w:rPr>
          <w:rFonts w:hint="eastAsia" w:ascii="宋体" w:hAnsi="宋体"/>
          <w:b/>
          <w:sz w:val="32"/>
          <w:szCs w:val="32"/>
        </w:rPr>
      </w:pPr>
    </w:p>
    <w:p w14:paraId="35279470">
      <w:pPr>
        <w:spacing w:line="400" w:lineRule="exact"/>
        <w:jc w:val="center"/>
        <w:rPr>
          <w:rFonts w:hint="eastAsia" w:ascii="宋体" w:hAnsi="宋体"/>
          <w:b/>
          <w:sz w:val="32"/>
          <w:szCs w:val="32"/>
        </w:rPr>
      </w:pPr>
    </w:p>
    <w:p w14:paraId="4B34303A">
      <w:pPr>
        <w:spacing w:line="400" w:lineRule="exact"/>
        <w:jc w:val="center"/>
        <w:rPr>
          <w:rFonts w:hint="eastAsia" w:ascii="宋体" w:hAnsi="宋体"/>
          <w:b/>
          <w:sz w:val="32"/>
          <w:szCs w:val="32"/>
        </w:rPr>
      </w:pPr>
    </w:p>
    <w:p w14:paraId="72B462D3">
      <w:pPr>
        <w:widowControl/>
        <w:jc w:val="left"/>
        <w:rPr>
          <w:rFonts w:ascii="宋体" w:hAnsi="宋体"/>
          <w:b/>
          <w:sz w:val="32"/>
          <w:szCs w:val="32"/>
        </w:rPr>
        <w:sectPr>
          <w:headerReference r:id="rId3" w:type="default"/>
          <w:footerReference r:id="rId4" w:type="default"/>
          <w:pgSz w:w="11906" w:h="16838"/>
          <w:pgMar w:top="1440" w:right="1440" w:bottom="1440" w:left="1587" w:header="851" w:footer="992" w:gutter="0"/>
          <w:pgNumType w:start="1"/>
          <w:cols w:space="720" w:num="1"/>
          <w:docGrid w:type="lines" w:linePitch="312" w:charSpace="0"/>
        </w:sectPr>
      </w:pPr>
    </w:p>
    <w:p w14:paraId="3E5A2C7B">
      <w:pPr>
        <w:pStyle w:val="2"/>
        <w:keepNext/>
        <w:keepLines/>
        <w:pageBreakBefore w:val="0"/>
        <w:widowControl w:val="0"/>
        <w:kinsoku/>
        <w:wordWrap/>
        <w:overflowPunct/>
        <w:topLinePunct w:val="0"/>
        <w:autoSpaceDE/>
        <w:autoSpaceDN/>
        <w:bidi w:val="0"/>
        <w:adjustRightInd/>
        <w:snapToGrid/>
        <w:spacing w:before="0" w:line="240" w:lineRule="auto"/>
        <w:jc w:val="center"/>
        <w:textAlignment w:val="auto"/>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-234315</wp:posOffset>
                </wp:positionH>
                <wp:positionV relativeFrom="paragraph">
                  <wp:posOffset>621665</wp:posOffset>
                </wp:positionV>
                <wp:extent cx="5970270" cy="1355725"/>
                <wp:effectExtent l="0" t="0" r="11430" b="15875"/>
                <wp:wrapNone/>
                <wp:docPr id="4" name="文本框 4"/>
                <wp:cNvGraphicFramePr/>
                <a:graphic xmlns:a="http://schemas.openxmlformats.org/drawingml/2006/main">
                  <a:graphicData uri="http://schemas.microsoft.com/office/word/2010/wordprocessingShape">
                    <wps:wsp>
                      <wps:cNvSpPr txBox="1"/>
                      <wps:spPr>
                        <a:xfrm>
                          <a:off x="0" y="0"/>
                          <a:ext cx="5970270" cy="1355725"/>
                        </a:xfrm>
                        <a:prstGeom prst="rect">
                          <a:avLst/>
                        </a:prstGeom>
                        <a:solidFill>
                          <a:srgbClr val="FFFFFF"/>
                        </a:solidFill>
                        <a:ln>
                          <a:noFill/>
                        </a:ln>
                      </wps:spPr>
                      <wps:txbx>
                        <w:txbxContent>
                          <w:p w14:paraId="1CDB2885">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olor w:val="000000"/>
                                <w:szCs w:val="21"/>
                                <w:lang w:eastAsia="zh-CN"/>
                              </w:rPr>
                            </w:pPr>
                            <w:r>
                              <w:rPr>
                                <w:rFonts w:hint="eastAsia" w:ascii="宋体" w:hAnsi="宋体"/>
                                <w:color w:val="000000"/>
                                <w:szCs w:val="21"/>
                              </w:rPr>
                              <w:t>项目概况</w:t>
                            </w:r>
                            <w:r>
                              <w:rPr>
                                <w:rFonts w:hint="eastAsia" w:ascii="宋体" w:hAnsi="宋体"/>
                                <w:color w:val="000000"/>
                                <w:szCs w:val="21"/>
                                <w:lang w:eastAsia="zh-CN"/>
                              </w:rPr>
                              <w:t>：</w:t>
                            </w:r>
                          </w:p>
                          <w:p w14:paraId="28DEECE3">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u w:val="single"/>
                                <w:lang w:val="en-US" w:eastAsia="zh-CN"/>
                              </w:rPr>
                              <w:t>上林县委县政府机关大院物业服务项目(重)</w:t>
                            </w:r>
                            <w:r>
                              <w:rPr>
                                <w:rFonts w:hint="eastAsia" w:ascii="宋体" w:hAnsi="宋体"/>
                                <w:color w:val="000000"/>
                                <w:szCs w:val="21"/>
                                <w:u w:val="single"/>
                              </w:rPr>
                              <w:t xml:space="preserve"> </w:t>
                            </w:r>
                            <w:r>
                              <w:rPr>
                                <w:rFonts w:hint="eastAsia" w:ascii="宋体" w:hAnsi="宋体"/>
                                <w:color w:val="000000"/>
                                <w:szCs w:val="21"/>
                              </w:rPr>
                              <w:t>采购项目的潜在供应商应在</w:t>
                            </w:r>
                            <w:r>
                              <w:rPr>
                                <w:rFonts w:hint="eastAsia" w:ascii="仿宋_GB2312" w:hAnsi="仿宋" w:eastAsia="仿宋_GB2312"/>
                                <w:sz w:val="24"/>
                              </w:rPr>
                              <w:t>政采云平台（</w:t>
                            </w:r>
                            <w:r>
                              <w:rPr>
                                <w:rFonts w:hint="eastAsia" w:ascii="仿宋_GB2312" w:hAnsi="仿宋" w:eastAsia="仿宋_GB2312"/>
                                <w:snapToGrid w:val="0"/>
                              </w:rPr>
                              <w:t>https://www.gcy.zfcg.gxzf.gov.cn/）获取（下载）</w:t>
                            </w:r>
                            <w:r>
                              <w:rPr>
                                <w:rFonts w:hint="eastAsia" w:ascii="宋体" w:hAnsi="宋体"/>
                                <w:color w:val="000000"/>
                                <w:szCs w:val="21"/>
                              </w:rPr>
                              <w:t>获取竞争性磋商文件，</w:t>
                            </w:r>
                            <w:r>
                              <w:rPr>
                                <w:rFonts w:hint="eastAsia" w:ascii="宋体" w:hAnsi="宋体"/>
                                <w:color w:val="000000"/>
                                <w:szCs w:val="21"/>
                                <w:highlight w:val="none"/>
                              </w:rPr>
                              <w:t>并于</w:t>
                            </w:r>
                            <w:r>
                              <w:rPr>
                                <w:rFonts w:hint="eastAsia" w:ascii="宋体" w:hAnsi="宋体"/>
                                <w:color w:val="000000"/>
                                <w:szCs w:val="21"/>
                                <w:highlight w:val="none"/>
                                <w:u w:val="single"/>
                                <w:lang w:val="en-US" w:eastAsia="zh-CN"/>
                              </w:rPr>
                              <w:t>2026年04月10日14时00分</w:t>
                            </w:r>
                            <w:r>
                              <w:rPr>
                                <w:rFonts w:hint="eastAsia" w:ascii="宋体" w:hAnsi="宋体"/>
                                <w:bCs/>
                                <w:color w:val="000000"/>
                                <w:szCs w:val="21"/>
                                <w:highlight w:val="none"/>
                              </w:rPr>
                              <w:t>（</w:t>
                            </w:r>
                            <w:r>
                              <w:rPr>
                                <w:rFonts w:hint="eastAsia" w:ascii="宋体" w:hAnsi="宋体"/>
                                <w:bCs/>
                                <w:color w:val="000000"/>
                                <w:szCs w:val="21"/>
                              </w:rPr>
                              <w:t>北京时间）前提交响应文件</w:t>
                            </w:r>
                            <w:r>
                              <w:rPr>
                                <w:rFonts w:hint="eastAsia" w:ascii="宋体" w:hAnsi="宋体"/>
                                <w:color w:val="000000"/>
                                <w:szCs w:val="21"/>
                              </w:rPr>
                              <w:t>。</w:t>
                            </w:r>
                          </w:p>
                          <w:p w14:paraId="0D8F4B66">
                            <w:pPr>
                              <w:rPr>
                                <w:rFonts w:hint="eastAsia"/>
                              </w:rPr>
                            </w:pPr>
                          </w:p>
                        </w:txbxContent>
                      </wps:txbx>
                      <wps:bodyPr upright="1"/>
                    </wps:wsp>
                  </a:graphicData>
                </a:graphic>
              </wp:anchor>
            </w:drawing>
          </mc:Choice>
          <mc:Fallback>
            <w:pict>
              <v:shape id="_x0000_s1026" o:spid="_x0000_s1026" o:spt="202" type="#_x0000_t202" style="position:absolute;left:0pt;margin-left:-18.45pt;margin-top:48.95pt;height:106.75pt;width:470.1pt;z-index:251661312;mso-width-relative:page;mso-height-relative:page;" fillcolor="#FFFFFF" filled="t" stroked="f" coordsize="21600,21600" o:gfxdata="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waFZ32AAAAAoBAAAPAAAAAAAAAAEAIAAAACIAAABkcnMvZG93bnJldi54&#10;bWxQSwECFAAUAAAACACHTuJAFdT4ScEBAAB4AwAADgAAAAAAAAABACAAAAAnAQAAZHJzL2Uyb0Rv&#10;Yy54bWxQSwUGAAAAAAYABgBZAQAAWgUAAAAA&#10;">
                <v:fill on="t" focussize="0,0"/>
                <v:stroke on="f"/>
                <v:imagedata o:title=""/>
                <o:lock v:ext="edit" aspectratio="f"/>
                <v:textbox>
                  <w:txbxContent>
                    <w:p w14:paraId="1CDB2885">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olor w:val="000000"/>
                          <w:szCs w:val="21"/>
                          <w:lang w:eastAsia="zh-CN"/>
                        </w:rPr>
                      </w:pPr>
                      <w:r>
                        <w:rPr>
                          <w:rFonts w:hint="eastAsia" w:ascii="宋体" w:hAnsi="宋体"/>
                          <w:color w:val="000000"/>
                          <w:szCs w:val="21"/>
                        </w:rPr>
                        <w:t>项目概况</w:t>
                      </w:r>
                      <w:r>
                        <w:rPr>
                          <w:rFonts w:hint="eastAsia" w:ascii="宋体" w:hAnsi="宋体"/>
                          <w:color w:val="000000"/>
                          <w:szCs w:val="21"/>
                          <w:lang w:eastAsia="zh-CN"/>
                        </w:rPr>
                        <w:t>：</w:t>
                      </w:r>
                    </w:p>
                    <w:p w14:paraId="28DEECE3">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u w:val="single"/>
                          <w:lang w:val="en-US" w:eastAsia="zh-CN"/>
                        </w:rPr>
                        <w:t>上林县委县政府机关大院物业服务项目(重)</w:t>
                      </w:r>
                      <w:r>
                        <w:rPr>
                          <w:rFonts w:hint="eastAsia" w:ascii="宋体" w:hAnsi="宋体"/>
                          <w:color w:val="000000"/>
                          <w:szCs w:val="21"/>
                          <w:u w:val="single"/>
                        </w:rPr>
                        <w:t xml:space="preserve"> </w:t>
                      </w:r>
                      <w:r>
                        <w:rPr>
                          <w:rFonts w:hint="eastAsia" w:ascii="宋体" w:hAnsi="宋体"/>
                          <w:color w:val="000000"/>
                          <w:szCs w:val="21"/>
                        </w:rPr>
                        <w:t>采购项目的潜在供应商应在</w:t>
                      </w:r>
                      <w:r>
                        <w:rPr>
                          <w:rFonts w:hint="eastAsia" w:ascii="仿宋_GB2312" w:hAnsi="仿宋" w:eastAsia="仿宋_GB2312"/>
                          <w:sz w:val="24"/>
                        </w:rPr>
                        <w:t>政采云平台（</w:t>
                      </w:r>
                      <w:r>
                        <w:rPr>
                          <w:rFonts w:hint="eastAsia" w:ascii="仿宋_GB2312" w:hAnsi="仿宋" w:eastAsia="仿宋_GB2312"/>
                          <w:snapToGrid w:val="0"/>
                        </w:rPr>
                        <w:t>https://www.gcy.zfcg.gxzf.gov.cn/）获取（下载）</w:t>
                      </w:r>
                      <w:r>
                        <w:rPr>
                          <w:rFonts w:hint="eastAsia" w:ascii="宋体" w:hAnsi="宋体"/>
                          <w:color w:val="000000"/>
                          <w:szCs w:val="21"/>
                        </w:rPr>
                        <w:t>获取竞争性磋商文件，</w:t>
                      </w:r>
                      <w:r>
                        <w:rPr>
                          <w:rFonts w:hint="eastAsia" w:ascii="宋体" w:hAnsi="宋体"/>
                          <w:color w:val="000000"/>
                          <w:szCs w:val="21"/>
                          <w:highlight w:val="none"/>
                        </w:rPr>
                        <w:t>并于</w:t>
                      </w:r>
                      <w:r>
                        <w:rPr>
                          <w:rFonts w:hint="eastAsia" w:ascii="宋体" w:hAnsi="宋体"/>
                          <w:color w:val="000000"/>
                          <w:szCs w:val="21"/>
                          <w:highlight w:val="none"/>
                          <w:u w:val="single"/>
                          <w:lang w:val="en-US" w:eastAsia="zh-CN"/>
                        </w:rPr>
                        <w:t>2026年04月10日14时00分</w:t>
                      </w:r>
                      <w:r>
                        <w:rPr>
                          <w:rFonts w:hint="eastAsia" w:ascii="宋体" w:hAnsi="宋体"/>
                          <w:bCs/>
                          <w:color w:val="000000"/>
                          <w:szCs w:val="21"/>
                          <w:highlight w:val="none"/>
                        </w:rPr>
                        <w:t>（</w:t>
                      </w:r>
                      <w:r>
                        <w:rPr>
                          <w:rFonts w:hint="eastAsia" w:ascii="宋体" w:hAnsi="宋体"/>
                          <w:bCs/>
                          <w:color w:val="000000"/>
                          <w:szCs w:val="21"/>
                        </w:rPr>
                        <w:t>北京时间）前提交响应文件</w:t>
                      </w:r>
                      <w:r>
                        <w:rPr>
                          <w:rFonts w:hint="eastAsia" w:ascii="宋体" w:hAnsi="宋体"/>
                          <w:color w:val="000000"/>
                          <w:szCs w:val="21"/>
                        </w:rPr>
                        <w:t>。</w:t>
                      </w:r>
                    </w:p>
                    <w:p w14:paraId="0D8F4B66">
                      <w:pPr>
                        <w:rPr>
                          <w:rFonts w:hint="eastAsia"/>
                        </w:rPr>
                      </w:pPr>
                    </w:p>
                  </w:txbxContent>
                </v:textbox>
              </v:shape>
            </w:pict>
          </mc:Fallback>
        </mc:AlternateContent>
      </w:r>
      <w:bookmarkStart w:id="1" w:name="_Toc80886925"/>
      <w:r>
        <w:rPr>
          <w:rFonts w:hint="eastAsia"/>
        </w:rPr>
        <w:t>第一章</w:t>
      </w:r>
      <w:r>
        <w:t xml:space="preserve"> </w:t>
      </w:r>
      <w:r>
        <w:rPr>
          <w:rFonts w:hint="eastAsia"/>
        </w:rPr>
        <w:t>竞争性磋商公告</w:t>
      </w:r>
      <w:bookmarkEnd w:id="1"/>
      <w:bookmarkStart w:id="2" w:name="_Toc35393629"/>
      <w:bookmarkStart w:id="3" w:name="_Toc44229878"/>
      <w:bookmarkStart w:id="4" w:name="_Toc28359012"/>
      <w:bookmarkStart w:id="5" w:name="_Toc28359089"/>
      <w:bookmarkStart w:id="6" w:name="_Toc35393798"/>
      <w:bookmarkStart w:id="7" w:name="_Toc28359004"/>
      <w:bookmarkStart w:id="8" w:name="_Toc35393623"/>
      <w:bookmarkStart w:id="9" w:name="_Toc35393792"/>
      <w:bookmarkStart w:id="10" w:name="_Toc28359081"/>
    </w:p>
    <w:p w14:paraId="35A8DAFF">
      <w:pPr>
        <w:pStyle w:val="2"/>
        <w:spacing w:line="400" w:lineRule="exact"/>
        <w:ind w:firstLine="482" w:firstLineChars="200"/>
        <w:rPr>
          <w:rFonts w:ascii="黑体" w:hAnsi="黑体" w:eastAsia="黑体" w:cs="宋体"/>
          <w:bCs w:val="0"/>
          <w:sz w:val="24"/>
          <w:szCs w:val="24"/>
        </w:rPr>
      </w:pPr>
    </w:p>
    <w:p w14:paraId="7142B6B1">
      <w:pPr>
        <w:pStyle w:val="2"/>
        <w:spacing w:line="400" w:lineRule="exact"/>
        <w:ind w:firstLine="482" w:firstLineChars="200"/>
        <w:rPr>
          <w:rFonts w:hint="eastAsia" w:ascii="黑体" w:hAnsi="黑体" w:eastAsia="黑体" w:cs="宋体"/>
          <w:bCs w:val="0"/>
          <w:sz w:val="24"/>
          <w:szCs w:val="24"/>
        </w:rPr>
      </w:pPr>
    </w:p>
    <w:p w14:paraId="2BE71867">
      <w:pPr>
        <w:pStyle w:val="2"/>
        <w:spacing w:line="400" w:lineRule="exact"/>
        <w:rPr>
          <w:rFonts w:hint="eastAsia" w:ascii="黑体" w:hAnsi="黑体" w:eastAsia="黑体" w:cs="宋体"/>
          <w:bCs w:val="0"/>
          <w:sz w:val="24"/>
          <w:szCs w:val="24"/>
        </w:rPr>
      </w:pPr>
    </w:p>
    <w:p w14:paraId="73EDBA4C">
      <w:pPr>
        <w:spacing w:line="360" w:lineRule="auto"/>
        <w:ind w:firstLine="480" w:firstLineChars="200"/>
        <w:rPr>
          <w:rFonts w:hint="eastAsia"/>
        </w:rPr>
      </w:pPr>
      <w:r>
        <w:rPr>
          <w:rFonts w:hint="eastAsia" w:ascii="黑体" w:hAnsi="黑体" w:eastAsia="黑体" w:cs="宋体"/>
          <w:bCs/>
          <w:sz w:val="24"/>
        </w:rPr>
        <w:t>一、项目基本情况</w:t>
      </w:r>
      <w:bookmarkEnd w:id="2"/>
      <w:bookmarkEnd w:id="3"/>
      <w:bookmarkEnd w:id="4"/>
      <w:bookmarkEnd w:id="5"/>
      <w:bookmarkEnd w:id="6"/>
    </w:p>
    <w:p w14:paraId="0A724B0B">
      <w:pPr>
        <w:spacing w:line="360" w:lineRule="auto"/>
        <w:ind w:firstLine="420" w:firstLineChars="200"/>
        <w:rPr>
          <w:rFonts w:hint="eastAsia" w:ascii="宋体" w:hAnsi="宋体"/>
          <w:szCs w:val="21"/>
          <w:lang w:eastAsia="zh-CN"/>
        </w:rPr>
      </w:pPr>
      <w:r>
        <w:rPr>
          <w:rFonts w:hint="eastAsia" w:ascii="宋体" w:hAnsi="宋体"/>
          <w:szCs w:val="21"/>
        </w:rPr>
        <w:t>1.项目编号：</w:t>
      </w:r>
      <w:r>
        <w:rPr>
          <w:rFonts w:hint="eastAsia" w:ascii="宋体" w:hAnsi="宋体"/>
          <w:szCs w:val="21"/>
          <w:lang w:eastAsia="zh-CN"/>
        </w:rPr>
        <w:t>NNZC2026-C3-250033-SLXZ</w:t>
      </w:r>
    </w:p>
    <w:p w14:paraId="26FE9B90">
      <w:pPr>
        <w:spacing w:line="360" w:lineRule="auto"/>
        <w:ind w:firstLine="420" w:firstLineChars="200"/>
        <w:rPr>
          <w:rFonts w:hint="eastAsia" w:ascii="宋体" w:hAnsi="宋体" w:eastAsia="宋体"/>
          <w:szCs w:val="21"/>
          <w:lang w:eastAsia="zh-CN"/>
        </w:rPr>
      </w:pPr>
      <w:r>
        <w:rPr>
          <w:rFonts w:hint="eastAsia" w:ascii="宋体" w:hAnsi="宋体"/>
          <w:szCs w:val="21"/>
        </w:rPr>
        <w:t>2.项目名称：</w:t>
      </w:r>
      <w:r>
        <w:rPr>
          <w:rFonts w:hint="eastAsia" w:ascii="宋体" w:hAnsi="宋体"/>
          <w:szCs w:val="21"/>
          <w:lang w:eastAsia="zh-CN"/>
        </w:rPr>
        <w:t>上林县委县政府机关大院物业服务项目(重)</w:t>
      </w:r>
    </w:p>
    <w:p w14:paraId="36A64D44">
      <w:pPr>
        <w:spacing w:line="360" w:lineRule="auto"/>
        <w:ind w:firstLine="420" w:firstLineChars="200"/>
        <w:rPr>
          <w:rFonts w:hint="eastAsia" w:ascii="宋体" w:hAnsi="宋体"/>
          <w:szCs w:val="21"/>
        </w:rPr>
      </w:pPr>
      <w:r>
        <w:rPr>
          <w:rFonts w:hint="eastAsia" w:ascii="宋体" w:hAnsi="宋体"/>
          <w:szCs w:val="21"/>
        </w:rPr>
        <w:t>3.采购方式：竞争性磋商</w:t>
      </w:r>
    </w:p>
    <w:p w14:paraId="503CA221">
      <w:pPr>
        <w:spacing w:line="360" w:lineRule="auto"/>
        <w:ind w:firstLine="420" w:firstLineChars="200"/>
        <w:rPr>
          <w:rFonts w:hint="default" w:ascii="宋体" w:hAnsi="宋体" w:eastAsia="宋体"/>
          <w:szCs w:val="21"/>
          <w:lang w:val="en-US" w:eastAsia="zh-CN"/>
        </w:rPr>
      </w:pPr>
      <w:r>
        <w:rPr>
          <w:rFonts w:hint="eastAsia" w:ascii="宋体" w:hAnsi="宋体"/>
          <w:szCs w:val="21"/>
        </w:rPr>
        <w:t>4.预算金额：</w:t>
      </w:r>
      <w:r>
        <w:rPr>
          <w:rFonts w:hint="eastAsia" w:ascii="宋体" w:hAnsi="宋体"/>
          <w:szCs w:val="21"/>
          <w:lang w:val="en-US" w:eastAsia="zh-CN"/>
        </w:rPr>
        <w:t>2460000.00元</w:t>
      </w:r>
    </w:p>
    <w:p w14:paraId="0AE095F0">
      <w:pPr>
        <w:spacing w:line="360" w:lineRule="auto"/>
        <w:ind w:firstLine="420" w:firstLineChars="200"/>
        <w:rPr>
          <w:rFonts w:hint="eastAsia" w:ascii="宋体" w:hAnsi="宋体"/>
          <w:szCs w:val="21"/>
        </w:rPr>
      </w:pPr>
      <w:r>
        <w:rPr>
          <w:rFonts w:hint="eastAsia" w:ascii="宋体" w:hAnsi="宋体"/>
          <w:szCs w:val="21"/>
        </w:rPr>
        <w:t>5.最高限价：</w:t>
      </w:r>
      <w:r>
        <w:rPr>
          <w:rFonts w:hint="eastAsia" w:ascii="宋体" w:hAnsi="宋体"/>
          <w:szCs w:val="21"/>
          <w:lang w:val="en-US" w:eastAsia="zh-CN"/>
        </w:rPr>
        <w:t>2460000.00元</w:t>
      </w:r>
    </w:p>
    <w:p w14:paraId="0ECFC9FB">
      <w:pPr>
        <w:spacing w:line="360" w:lineRule="auto"/>
        <w:ind w:firstLine="420" w:firstLineChars="200"/>
        <w:rPr>
          <w:rFonts w:hint="eastAsia" w:ascii="宋体" w:hAnsi="宋体"/>
          <w:szCs w:val="21"/>
        </w:rPr>
      </w:pPr>
      <w:r>
        <w:rPr>
          <w:rFonts w:hint="eastAsia" w:ascii="宋体" w:hAnsi="宋体"/>
          <w:szCs w:val="21"/>
        </w:rPr>
        <w:t xml:space="preserve">6.采购需求：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2497"/>
        <w:gridCol w:w="535"/>
        <w:gridCol w:w="535"/>
        <w:gridCol w:w="1284"/>
        <w:gridCol w:w="1740"/>
        <w:gridCol w:w="1284"/>
        <w:gridCol w:w="536"/>
      </w:tblGrid>
      <w:tr w14:paraId="12CF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469DDD6D">
            <w:pPr>
              <w:spacing w:line="360" w:lineRule="auto"/>
              <w:jc w:val="center"/>
              <w:rPr>
                <w:rFonts w:hint="eastAsia" w:ascii="宋体" w:hAnsi="宋体"/>
                <w:color w:val="000000"/>
                <w:szCs w:val="21"/>
              </w:rPr>
            </w:pPr>
            <w:r>
              <w:rPr>
                <w:rFonts w:hint="eastAsia" w:ascii="宋体" w:hAnsi="宋体"/>
                <w:color w:val="000000"/>
                <w:szCs w:val="21"/>
              </w:rPr>
              <w:t>序号</w:t>
            </w:r>
          </w:p>
        </w:tc>
        <w:tc>
          <w:tcPr>
            <w:tcW w:w="0" w:type="auto"/>
            <w:noWrap w:val="0"/>
            <w:vAlign w:val="center"/>
          </w:tcPr>
          <w:p w14:paraId="5EF3D3D7">
            <w:pPr>
              <w:spacing w:line="360" w:lineRule="auto"/>
              <w:jc w:val="center"/>
              <w:rPr>
                <w:rFonts w:hint="eastAsia" w:ascii="宋体" w:hAnsi="宋体"/>
                <w:color w:val="000000"/>
                <w:szCs w:val="21"/>
              </w:rPr>
            </w:pPr>
            <w:r>
              <w:rPr>
                <w:rFonts w:hint="eastAsia" w:ascii="宋体" w:hAnsi="宋体"/>
                <w:color w:val="000000"/>
                <w:szCs w:val="21"/>
              </w:rPr>
              <w:t>标项名称</w:t>
            </w:r>
          </w:p>
        </w:tc>
        <w:tc>
          <w:tcPr>
            <w:tcW w:w="0" w:type="auto"/>
            <w:noWrap w:val="0"/>
            <w:vAlign w:val="center"/>
          </w:tcPr>
          <w:p w14:paraId="28426DE3">
            <w:pPr>
              <w:spacing w:line="360" w:lineRule="auto"/>
              <w:jc w:val="center"/>
              <w:rPr>
                <w:rFonts w:hint="eastAsia" w:ascii="宋体" w:hAnsi="宋体"/>
                <w:color w:val="000000"/>
                <w:szCs w:val="21"/>
              </w:rPr>
            </w:pPr>
            <w:r>
              <w:rPr>
                <w:rFonts w:hint="eastAsia" w:ascii="宋体" w:hAnsi="宋体"/>
                <w:color w:val="000000"/>
                <w:szCs w:val="21"/>
              </w:rPr>
              <w:t>数量</w:t>
            </w:r>
          </w:p>
        </w:tc>
        <w:tc>
          <w:tcPr>
            <w:tcW w:w="0" w:type="auto"/>
            <w:noWrap w:val="0"/>
            <w:vAlign w:val="center"/>
          </w:tcPr>
          <w:p w14:paraId="44F4644F">
            <w:pPr>
              <w:spacing w:line="360" w:lineRule="auto"/>
              <w:jc w:val="center"/>
              <w:rPr>
                <w:rFonts w:hint="eastAsia" w:ascii="宋体" w:hAnsi="宋体"/>
                <w:color w:val="000000"/>
                <w:szCs w:val="21"/>
              </w:rPr>
            </w:pPr>
            <w:r>
              <w:rPr>
                <w:rFonts w:hint="eastAsia" w:ascii="宋体" w:hAnsi="宋体"/>
                <w:color w:val="000000"/>
                <w:szCs w:val="21"/>
              </w:rPr>
              <w:t>单位</w:t>
            </w:r>
          </w:p>
        </w:tc>
        <w:tc>
          <w:tcPr>
            <w:tcW w:w="0" w:type="auto"/>
            <w:noWrap w:val="0"/>
            <w:vAlign w:val="center"/>
          </w:tcPr>
          <w:p w14:paraId="093C91AD">
            <w:pPr>
              <w:spacing w:line="360" w:lineRule="auto"/>
              <w:jc w:val="center"/>
              <w:rPr>
                <w:rFonts w:hint="eastAsia" w:ascii="宋体" w:hAnsi="宋体"/>
                <w:color w:val="000000"/>
                <w:szCs w:val="21"/>
              </w:rPr>
            </w:pPr>
            <w:r>
              <w:rPr>
                <w:rFonts w:hint="eastAsia" w:ascii="宋体" w:hAnsi="宋体"/>
                <w:color w:val="000000"/>
                <w:szCs w:val="21"/>
              </w:rPr>
              <w:t>预算金额(万元)</w:t>
            </w:r>
          </w:p>
        </w:tc>
        <w:tc>
          <w:tcPr>
            <w:tcW w:w="0" w:type="auto"/>
            <w:noWrap w:val="0"/>
            <w:vAlign w:val="center"/>
          </w:tcPr>
          <w:p w14:paraId="0266D3C0">
            <w:pPr>
              <w:spacing w:line="360" w:lineRule="auto"/>
              <w:jc w:val="center"/>
              <w:rPr>
                <w:rFonts w:hint="eastAsia" w:ascii="宋体" w:hAnsi="宋体"/>
                <w:color w:val="000000"/>
                <w:szCs w:val="21"/>
              </w:rPr>
            </w:pPr>
            <w:r>
              <w:rPr>
                <w:rFonts w:hint="eastAsia" w:ascii="宋体" w:hAnsi="宋体"/>
                <w:color w:val="000000"/>
                <w:szCs w:val="21"/>
              </w:rPr>
              <w:t>简要规格描述或基本概况介绍</w:t>
            </w:r>
          </w:p>
        </w:tc>
        <w:tc>
          <w:tcPr>
            <w:tcW w:w="0" w:type="auto"/>
            <w:noWrap w:val="0"/>
            <w:vAlign w:val="center"/>
          </w:tcPr>
          <w:p w14:paraId="788E4374">
            <w:pPr>
              <w:spacing w:line="360" w:lineRule="auto"/>
              <w:jc w:val="center"/>
              <w:rPr>
                <w:rFonts w:hint="eastAsia" w:ascii="宋体" w:hAnsi="宋体"/>
                <w:color w:val="000000"/>
                <w:szCs w:val="21"/>
              </w:rPr>
            </w:pPr>
            <w:r>
              <w:rPr>
                <w:rFonts w:hint="eastAsia" w:ascii="宋体" w:hAnsi="宋体"/>
                <w:color w:val="000000"/>
                <w:szCs w:val="21"/>
              </w:rPr>
              <w:t>最高限价(万元)</w:t>
            </w:r>
          </w:p>
        </w:tc>
        <w:tc>
          <w:tcPr>
            <w:tcW w:w="0" w:type="auto"/>
            <w:noWrap w:val="0"/>
            <w:vAlign w:val="center"/>
          </w:tcPr>
          <w:p w14:paraId="7942DA09">
            <w:pPr>
              <w:spacing w:line="360" w:lineRule="auto"/>
              <w:jc w:val="center"/>
              <w:rPr>
                <w:rFonts w:hint="eastAsia" w:ascii="宋体" w:hAnsi="宋体"/>
                <w:color w:val="000000"/>
                <w:szCs w:val="21"/>
              </w:rPr>
            </w:pPr>
            <w:r>
              <w:rPr>
                <w:rFonts w:hint="eastAsia" w:ascii="宋体" w:hAnsi="宋体"/>
                <w:color w:val="000000"/>
                <w:szCs w:val="21"/>
              </w:rPr>
              <w:t>备注</w:t>
            </w:r>
          </w:p>
        </w:tc>
      </w:tr>
      <w:tr w14:paraId="6E65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787EE64">
            <w:pPr>
              <w:spacing w:line="360" w:lineRule="auto"/>
              <w:jc w:val="center"/>
              <w:rPr>
                <w:rFonts w:hint="eastAsia" w:ascii="宋体" w:hAnsi="宋体"/>
                <w:color w:val="000000"/>
                <w:szCs w:val="21"/>
              </w:rPr>
            </w:pPr>
            <w:r>
              <w:rPr>
                <w:rFonts w:hint="eastAsia" w:ascii="宋体" w:hAnsi="宋体"/>
                <w:color w:val="000000"/>
                <w:szCs w:val="21"/>
              </w:rPr>
              <w:t>1</w:t>
            </w:r>
          </w:p>
        </w:tc>
        <w:tc>
          <w:tcPr>
            <w:tcW w:w="0" w:type="auto"/>
            <w:noWrap w:val="0"/>
            <w:vAlign w:val="center"/>
          </w:tcPr>
          <w:p w14:paraId="53BB9360">
            <w:pPr>
              <w:spacing w:line="360" w:lineRule="auto"/>
              <w:jc w:val="center"/>
              <w:rPr>
                <w:rFonts w:hint="eastAsia" w:ascii="宋体" w:hAnsi="宋体" w:eastAsia="宋体"/>
                <w:color w:val="000000"/>
                <w:szCs w:val="21"/>
                <w:lang w:eastAsia="zh-CN"/>
              </w:rPr>
            </w:pPr>
            <w:r>
              <w:rPr>
                <w:rFonts w:hint="eastAsia" w:ascii="宋体" w:hAnsi="宋体"/>
                <w:szCs w:val="21"/>
                <w:lang w:eastAsia="zh-CN"/>
              </w:rPr>
              <w:t>上林县委县政府机关大院物业服务项目(重)</w:t>
            </w:r>
          </w:p>
        </w:tc>
        <w:tc>
          <w:tcPr>
            <w:tcW w:w="0" w:type="auto"/>
            <w:noWrap w:val="0"/>
            <w:vAlign w:val="center"/>
          </w:tcPr>
          <w:p w14:paraId="1524AC12">
            <w:pPr>
              <w:spacing w:line="360" w:lineRule="auto"/>
              <w:jc w:val="center"/>
              <w:rPr>
                <w:rFonts w:hint="eastAsia" w:ascii="宋体" w:hAnsi="宋体" w:eastAsia="宋体"/>
                <w:color w:val="000000"/>
                <w:szCs w:val="21"/>
                <w:lang w:eastAsia="zh-CN"/>
              </w:rPr>
            </w:pPr>
            <w:r>
              <w:rPr>
                <w:rFonts w:hint="eastAsia" w:ascii="宋体" w:hAnsi="宋体"/>
                <w:color w:val="000000"/>
                <w:szCs w:val="21"/>
                <w:lang w:val="en-US" w:eastAsia="zh-CN"/>
              </w:rPr>
              <w:t>3</w:t>
            </w:r>
          </w:p>
        </w:tc>
        <w:tc>
          <w:tcPr>
            <w:tcW w:w="0" w:type="auto"/>
            <w:noWrap w:val="0"/>
            <w:vAlign w:val="center"/>
          </w:tcPr>
          <w:p w14:paraId="14C8A707">
            <w:pPr>
              <w:spacing w:line="360" w:lineRule="auto"/>
              <w:jc w:val="center"/>
              <w:rPr>
                <w:rFonts w:hint="eastAsia" w:ascii="宋体" w:hAnsi="宋体"/>
                <w:color w:val="000000"/>
                <w:szCs w:val="21"/>
              </w:rPr>
            </w:pPr>
            <w:r>
              <w:rPr>
                <w:rFonts w:hint="eastAsia" w:ascii="宋体" w:hAnsi="宋体"/>
                <w:color w:val="000000"/>
                <w:szCs w:val="21"/>
              </w:rPr>
              <w:t>年</w:t>
            </w:r>
          </w:p>
        </w:tc>
        <w:tc>
          <w:tcPr>
            <w:tcW w:w="0" w:type="auto"/>
            <w:noWrap w:val="0"/>
            <w:vAlign w:val="center"/>
          </w:tcPr>
          <w:p w14:paraId="3C2950A3">
            <w:pPr>
              <w:spacing w:line="360" w:lineRule="auto"/>
              <w:jc w:val="center"/>
              <w:rPr>
                <w:rFonts w:hint="default" w:ascii="宋体" w:hAnsi="宋体" w:eastAsia="宋体"/>
                <w:color w:val="000000"/>
                <w:szCs w:val="21"/>
                <w:lang w:val="en-US" w:eastAsia="zh-CN"/>
              </w:rPr>
            </w:pPr>
            <w:r>
              <w:rPr>
                <w:rFonts w:hint="eastAsia" w:ascii="宋体" w:hAnsi="宋体"/>
                <w:color w:val="000000"/>
                <w:szCs w:val="21"/>
                <w:lang w:val="en-US" w:eastAsia="zh-CN"/>
              </w:rPr>
              <w:t>246.00</w:t>
            </w:r>
          </w:p>
        </w:tc>
        <w:tc>
          <w:tcPr>
            <w:tcW w:w="0" w:type="auto"/>
            <w:noWrap w:val="0"/>
            <w:vAlign w:val="center"/>
          </w:tcPr>
          <w:p w14:paraId="68FE90A5">
            <w:pPr>
              <w:spacing w:line="360" w:lineRule="auto"/>
              <w:jc w:val="center"/>
              <w:rPr>
                <w:rFonts w:hint="eastAsia" w:ascii="宋体" w:hAnsi="宋体"/>
                <w:color w:val="auto"/>
                <w:szCs w:val="21"/>
              </w:rPr>
            </w:pPr>
            <w:r>
              <w:rPr>
                <w:rFonts w:hint="eastAsia" w:ascii="宋体" w:hAnsi="宋体"/>
                <w:color w:val="auto"/>
                <w:szCs w:val="21"/>
              </w:rPr>
              <w:t>详见招标文件</w:t>
            </w:r>
          </w:p>
        </w:tc>
        <w:tc>
          <w:tcPr>
            <w:tcW w:w="0" w:type="auto"/>
            <w:noWrap w:val="0"/>
            <w:vAlign w:val="center"/>
          </w:tcPr>
          <w:p w14:paraId="07C2CBA9">
            <w:pPr>
              <w:spacing w:line="360" w:lineRule="auto"/>
              <w:jc w:val="center"/>
              <w:rPr>
                <w:rFonts w:hint="eastAsia" w:ascii="宋体" w:hAnsi="宋体"/>
                <w:color w:val="auto"/>
                <w:szCs w:val="21"/>
              </w:rPr>
            </w:pPr>
            <w:r>
              <w:rPr>
                <w:rFonts w:hint="eastAsia" w:ascii="宋体" w:hAnsi="宋体"/>
                <w:color w:val="000000"/>
                <w:szCs w:val="21"/>
              </w:rPr>
              <w:t>2</w:t>
            </w:r>
            <w:r>
              <w:rPr>
                <w:rFonts w:hint="eastAsia" w:ascii="宋体" w:hAnsi="宋体"/>
                <w:color w:val="000000"/>
                <w:szCs w:val="21"/>
                <w:lang w:val="en-US" w:eastAsia="zh-CN"/>
              </w:rPr>
              <w:t>46</w:t>
            </w:r>
            <w:r>
              <w:rPr>
                <w:rFonts w:hint="eastAsia" w:ascii="宋体" w:hAnsi="宋体"/>
                <w:color w:val="000000"/>
                <w:szCs w:val="21"/>
              </w:rPr>
              <w:t>.00</w:t>
            </w:r>
          </w:p>
        </w:tc>
        <w:tc>
          <w:tcPr>
            <w:tcW w:w="0" w:type="auto"/>
            <w:noWrap w:val="0"/>
            <w:vAlign w:val="center"/>
          </w:tcPr>
          <w:p w14:paraId="0DED4F5B">
            <w:pPr>
              <w:spacing w:line="360" w:lineRule="auto"/>
              <w:jc w:val="center"/>
              <w:rPr>
                <w:rFonts w:hint="eastAsia" w:ascii="宋体" w:hAnsi="宋体"/>
                <w:color w:val="000000"/>
                <w:szCs w:val="21"/>
              </w:rPr>
            </w:pPr>
          </w:p>
        </w:tc>
      </w:tr>
    </w:tbl>
    <w:p w14:paraId="2E46DF59">
      <w:pPr>
        <w:spacing w:line="360" w:lineRule="auto"/>
        <w:ind w:firstLine="420" w:firstLineChars="200"/>
        <w:rPr>
          <w:rFonts w:hint="eastAsia" w:ascii="宋体" w:hAnsi="宋体" w:eastAsia="宋体"/>
          <w:szCs w:val="21"/>
          <w:u w:val="single"/>
          <w:lang w:eastAsia="zh-CN"/>
        </w:rPr>
      </w:pPr>
      <w:r>
        <w:rPr>
          <w:rFonts w:hint="eastAsia" w:ascii="宋体" w:hAnsi="宋体"/>
          <w:szCs w:val="21"/>
        </w:rPr>
        <w:t>7.合同履行期限：</w:t>
      </w:r>
      <w:r>
        <w:rPr>
          <w:rFonts w:hint="eastAsia" w:ascii="宋体" w:hAnsi="宋体"/>
          <w:color w:val="000000"/>
          <w:szCs w:val="21"/>
        </w:rPr>
        <w:t>详见</w:t>
      </w:r>
      <w:r>
        <w:rPr>
          <w:rFonts w:hint="eastAsia" w:ascii="宋体" w:hAnsi="宋体"/>
          <w:color w:val="000000"/>
          <w:szCs w:val="21"/>
          <w:lang w:eastAsia="zh-CN"/>
        </w:rPr>
        <w:t>采购</w:t>
      </w:r>
      <w:r>
        <w:rPr>
          <w:rFonts w:hint="eastAsia" w:ascii="宋体" w:hAnsi="宋体"/>
          <w:color w:val="000000"/>
          <w:szCs w:val="21"/>
        </w:rPr>
        <w:t>文件</w:t>
      </w:r>
      <w:r>
        <w:rPr>
          <w:rFonts w:hint="eastAsia" w:ascii="宋体" w:hAnsi="宋体"/>
          <w:color w:val="000000"/>
          <w:szCs w:val="21"/>
          <w:lang w:eastAsia="zh-CN"/>
        </w:rPr>
        <w:t>第二章</w:t>
      </w:r>
    </w:p>
    <w:p w14:paraId="0C494D2D">
      <w:pPr>
        <w:spacing w:line="360" w:lineRule="auto"/>
        <w:ind w:firstLine="420" w:firstLineChars="200"/>
        <w:rPr>
          <w:rFonts w:hint="eastAsia" w:ascii="宋体" w:hAnsi="宋体"/>
          <w:szCs w:val="21"/>
        </w:rPr>
      </w:pPr>
      <w:r>
        <w:rPr>
          <w:rFonts w:hint="eastAsia" w:ascii="宋体" w:hAnsi="宋体"/>
          <w:szCs w:val="21"/>
        </w:rPr>
        <w:t>8.本项目是否接受联合体：</w:t>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rPr>
        <w:t>否</w:t>
      </w:r>
    </w:p>
    <w:p w14:paraId="319D70A0">
      <w:pPr>
        <w:spacing w:line="360" w:lineRule="auto"/>
        <w:ind w:firstLine="482" w:firstLineChars="200"/>
        <w:rPr>
          <w:rFonts w:hint="eastAsia" w:ascii="黑体" w:hAnsi="黑体" w:eastAsia="黑体" w:cs="宋体"/>
          <w:bCs/>
          <w:sz w:val="24"/>
        </w:rPr>
      </w:pPr>
      <w:bookmarkStart w:id="11" w:name="_Toc28359090"/>
      <w:bookmarkStart w:id="12" w:name="_Toc44229879"/>
      <w:bookmarkStart w:id="13" w:name="_Toc35393799"/>
      <w:bookmarkStart w:id="14" w:name="_Toc35393630"/>
      <w:bookmarkStart w:id="15" w:name="_Toc28359013"/>
      <w:r>
        <w:rPr>
          <w:rFonts w:hint="eastAsia" w:ascii="黑体" w:hAnsi="黑体" w:eastAsia="黑体" w:cs="宋体"/>
          <w:b/>
          <w:kern w:val="44"/>
          <w:sz w:val="24"/>
        </w:rPr>
        <w:t>二、供应商的资格条件</w:t>
      </w:r>
      <w:bookmarkEnd w:id="11"/>
      <w:bookmarkEnd w:id="12"/>
      <w:bookmarkEnd w:id="13"/>
      <w:bookmarkEnd w:id="14"/>
      <w:bookmarkEnd w:id="15"/>
    </w:p>
    <w:p w14:paraId="6DC91350">
      <w:pPr>
        <w:spacing w:line="360" w:lineRule="auto"/>
        <w:ind w:firstLine="420" w:firstLineChars="200"/>
        <w:rPr>
          <w:rFonts w:hint="eastAsia" w:ascii="宋体" w:hAnsi="宋体"/>
          <w:color w:val="000000"/>
          <w:szCs w:val="21"/>
        </w:rPr>
      </w:pPr>
      <w:r>
        <w:rPr>
          <w:rFonts w:hint="eastAsia" w:ascii="宋体" w:hAnsi="宋体"/>
          <w:color w:val="000000"/>
          <w:szCs w:val="21"/>
        </w:rPr>
        <w:t>1.满足《中华人民共和国政府采购法》第二十二条规定；</w:t>
      </w:r>
    </w:p>
    <w:p w14:paraId="7DEC522D">
      <w:pPr>
        <w:spacing w:line="360" w:lineRule="auto"/>
        <w:ind w:firstLine="420" w:firstLineChars="200"/>
        <w:rPr>
          <w:rFonts w:hint="eastAsia" w:ascii="宋体" w:hAnsi="宋体"/>
          <w:color w:val="000000"/>
          <w:szCs w:val="21"/>
        </w:rPr>
      </w:pPr>
      <w:r>
        <w:rPr>
          <w:rFonts w:hint="eastAsia" w:ascii="宋体" w:hAnsi="宋体"/>
          <w:color w:val="000000"/>
          <w:szCs w:val="21"/>
        </w:rPr>
        <w:t>2.落实政府采购政策需满足的资格要求：</w:t>
      </w:r>
    </w:p>
    <w:p w14:paraId="6F7D2F14">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专门面向中小企业采购的项目（供应商应为中小微企业、监狱企业、残疾人福利性单位)</w:t>
      </w:r>
    </w:p>
    <w:p w14:paraId="09B2491B">
      <w:pPr>
        <w:spacing w:line="360" w:lineRule="auto"/>
        <w:ind w:firstLine="420" w:firstLineChars="200"/>
        <w:rPr>
          <w:rFonts w:hint="eastAsia" w:ascii="宋体" w:hAnsi="宋体"/>
          <w:color w:val="000000"/>
          <w:szCs w:val="21"/>
        </w:rPr>
      </w:pPr>
      <w:r>
        <w:rPr>
          <w:rFonts w:hint="eastAsia" w:ascii="宋体" w:hAnsi="宋体"/>
          <w:color w:val="000000"/>
          <w:szCs w:val="21"/>
        </w:rPr>
        <w:t>□非专门面向中小企业采购的项目</w:t>
      </w:r>
    </w:p>
    <w:p w14:paraId="1C09F113">
      <w:pPr>
        <w:spacing w:line="360" w:lineRule="auto"/>
        <w:ind w:firstLine="420" w:firstLineChars="200"/>
        <w:rPr>
          <w:rFonts w:hint="eastAsia" w:ascii="宋体" w:hAnsi="宋体"/>
          <w:color w:val="000000"/>
          <w:szCs w:val="21"/>
        </w:rPr>
      </w:pPr>
      <w:r>
        <w:rPr>
          <w:rFonts w:hint="eastAsia" w:ascii="宋体" w:hAnsi="宋体"/>
          <w:color w:val="000000"/>
          <w:szCs w:val="21"/>
        </w:rPr>
        <w:t>3.本项目的特定资格要求：</w:t>
      </w:r>
      <w:r>
        <w:rPr>
          <w:rFonts w:hint="eastAsia" w:ascii="宋体" w:hAnsi="宋体"/>
          <w:color w:val="000000"/>
          <w:szCs w:val="21"/>
          <w:u w:val="single"/>
        </w:rPr>
        <w:t>无</w:t>
      </w:r>
      <w:r>
        <w:rPr>
          <w:rFonts w:hint="eastAsia" w:ascii="宋体" w:hAnsi="宋体"/>
          <w:color w:val="000000"/>
          <w:szCs w:val="21"/>
        </w:rPr>
        <w:t xml:space="preserve"> </w:t>
      </w:r>
    </w:p>
    <w:p w14:paraId="6ABCF981">
      <w:pPr>
        <w:spacing w:line="360" w:lineRule="auto"/>
        <w:ind w:firstLine="420" w:firstLineChars="200"/>
        <w:rPr>
          <w:rFonts w:hint="eastAsia" w:ascii="宋体" w:hAnsi="宋体"/>
          <w:color w:val="000000"/>
          <w:szCs w:val="21"/>
        </w:rPr>
      </w:pPr>
      <w:r>
        <w:rPr>
          <w:rFonts w:hint="eastAsia" w:ascii="宋体" w:hAnsi="宋体"/>
          <w:color w:val="000000"/>
          <w:szCs w:val="21"/>
        </w:rPr>
        <w:t>4.本项目的特定条件：无</w:t>
      </w:r>
    </w:p>
    <w:p w14:paraId="62D2C1BB">
      <w:pPr>
        <w:snapToGrid w:val="0"/>
        <w:spacing w:line="360" w:lineRule="auto"/>
        <w:ind w:firstLine="420"/>
        <w:jc w:val="left"/>
        <w:rPr>
          <w:rFonts w:hint="eastAsia" w:ascii="宋体" w:hAnsi="宋体"/>
          <w:color w:val="000000"/>
          <w:szCs w:val="21"/>
        </w:rPr>
      </w:pPr>
      <w:r>
        <w:rPr>
          <w:rFonts w:hint="eastAsia" w:ascii="宋体" w:hAnsi="宋体"/>
          <w:color w:val="000000"/>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5635236">
      <w:pPr>
        <w:spacing w:line="360" w:lineRule="auto"/>
        <w:ind w:firstLine="420" w:firstLineChars="200"/>
        <w:rPr>
          <w:rFonts w:hint="eastAsia" w:ascii="宋体" w:hAnsi="宋体"/>
          <w:color w:val="000000"/>
          <w:szCs w:val="21"/>
        </w:rPr>
      </w:pPr>
      <w:r>
        <w:rPr>
          <w:rFonts w:hint="eastAsia" w:ascii="宋体" w:hAnsi="宋体"/>
          <w:color w:val="000000"/>
          <w:szCs w:val="21"/>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41C4B2D">
      <w:pPr>
        <w:spacing w:line="360" w:lineRule="auto"/>
        <w:ind w:firstLine="482" w:firstLineChars="200"/>
        <w:rPr>
          <w:rFonts w:hint="eastAsia" w:ascii="黑体" w:hAnsi="黑体" w:eastAsia="黑体"/>
          <w:b/>
          <w:bCs/>
          <w:color w:val="000000"/>
          <w:sz w:val="24"/>
        </w:rPr>
      </w:pPr>
      <w:r>
        <w:rPr>
          <w:rFonts w:hint="eastAsia" w:ascii="黑体" w:hAnsi="黑体" w:eastAsia="黑体"/>
          <w:b/>
          <w:bCs/>
          <w:color w:val="000000"/>
          <w:sz w:val="24"/>
        </w:rPr>
        <w:t>三、获取竞争性磋商文件</w:t>
      </w:r>
      <w:bookmarkEnd w:id="7"/>
      <w:bookmarkEnd w:id="8"/>
      <w:bookmarkEnd w:id="9"/>
      <w:bookmarkEnd w:id="10"/>
    </w:p>
    <w:p w14:paraId="3FE7A8CD">
      <w:pPr>
        <w:spacing w:line="360" w:lineRule="auto"/>
        <w:ind w:firstLine="420" w:firstLineChars="200"/>
        <w:rPr>
          <w:rFonts w:hint="eastAsia" w:ascii="宋体" w:hAnsi="宋体"/>
          <w:color w:val="000000"/>
          <w:szCs w:val="21"/>
        </w:rPr>
      </w:pPr>
      <w:bookmarkStart w:id="16" w:name="_Toc35393624"/>
      <w:bookmarkStart w:id="17" w:name="_Toc35393793"/>
      <w:bookmarkStart w:id="18" w:name="_Toc28359082"/>
      <w:bookmarkStart w:id="19" w:name="_Toc28359005"/>
      <w:r>
        <w:rPr>
          <w:rFonts w:hint="eastAsia" w:ascii="宋体" w:hAnsi="宋体"/>
          <w:color w:val="000000"/>
          <w:szCs w:val="21"/>
        </w:rPr>
        <w:t>时间：自公告发布之日起。</w:t>
      </w:r>
    </w:p>
    <w:p w14:paraId="023C2F1B">
      <w:pPr>
        <w:spacing w:line="360" w:lineRule="auto"/>
        <w:ind w:firstLine="420" w:firstLineChars="200"/>
        <w:rPr>
          <w:rFonts w:hint="eastAsia" w:ascii="黑体" w:hAnsi="黑体" w:eastAsia="黑体"/>
          <w:b/>
          <w:bCs/>
          <w:color w:val="000000"/>
          <w:sz w:val="24"/>
        </w:rPr>
      </w:pPr>
      <w:r>
        <w:rPr>
          <w:rFonts w:hint="eastAsia" w:ascii="宋体" w:hAnsi="宋体"/>
          <w:color w:val="000000"/>
          <w:szCs w:val="21"/>
        </w:rPr>
        <w:t>获取方式:网上下载。本项目不发放纸质采购文件，供应商可自行在</w:t>
      </w:r>
      <w:r>
        <w:rPr>
          <w:rFonts w:hint="eastAsia" w:ascii="宋体" w:hAnsi="宋体"/>
          <w:color w:val="000000"/>
          <w:szCs w:val="21"/>
        </w:rPr>
        <w:fldChar w:fldCharType="begin"/>
      </w:r>
      <w:r>
        <w:rPr>
          <w:rFonts w:hint="eastAsia" w:ascii="宋体" w:hAnsi="宋体"/>
          <w:color w:val="000000"/>
          <w:szCs w:val="21"/>
        </w:rPr>
        <w:instrText xml:space="preserve"> HYPERLINK "" </w:instrText>
      </w:r>
      <w:r>
        <w:rPr>
          <w:rFonts w:ascii="宋体" w:hAnsi="宋体"/>
          <w:color w:val="000000"/>
          <w:szCs w:val="21"/>
        </w:rPr>
        <w:fldChar w:fldCharType="separate"/>
      </w:r>
      <w:r>
        <w:rPr>
          <w:rFonts w:hint="eastAsia" w:ascii="宋体" w:hAnsi="宋体"/>
          <w:color w:val="000000"/>
          <w:szCs w:val="21"/>
        </w:rPr>
        <w:fldChar w:fldCharType="end"/>
      </w:r>
      <w:r>
        <w:rPr>
          <w:rFonts w:hint="eastAsia" w:ascii="宋体" w:hAnsi="宋体"/>
          <w:color w:val="000000"/>
          <w:szCs w:val="21"/>
        </w:rPr>
        <w:t>“政采云”平台（http：//www.gcy.zfcg.gxzf.gov.cn）下载采购文件（操作路径：登录“政采云”平台-项目采购-获取采购文件-找到本项目-点击“申请获取采购文件”），电子响应文件制作需要基于“政采云”平台（http：//www.gcy.zfcg.gxzf.gov.cn）获取的采购文件编制。</w:t>
      </w:r>
    </w:p>
    <w:p w14:paraId="069B59B5">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售价：0元。</w:t>
      </w:r>
    </w:p>
    <w:p w14:paraId="76C7DC84">
      <w:pPr>
        <w:spacing w:line="360" w:lineRule="auto"/>
        <w:ind w:firstLine="482" w:firstLineChars="200"/>
        <w:rPr>
          <w:rFonts w:hint="eastAsia" w:ascii="黑体" w:hAnsi="黑体" w:eastAsia="黑体"/>
          <w:b/>
          <w:bCs/>
          <w:color w:val="000000"/>
          <w:sz w:val="24"/>
        </w:rPr>
      </w:pPr>
      <w:r>
        <w:rPr>
          <w:rFonts w:hint="eastAsia" w:ascii="黑体" w:hAnsi="黑体" w:eastAsia="黑体"/>
          <w:b/>
          <w:bCs/>
          <w:color w:val="000000"/>
          <w:sz w:val="24"/>
        </w:rPr>
        <w:t>四、</w:t>
      </w:r>
      <w:bookmarkEnd w:id="16"/>
      <w:bookmarkEnd w:id="17"/>
      <w:bookmarkEnd w:id="18"/>
      <w:bookmarkEnd w:id="19"/>
      <w:r>
        <w:rPr>
          <w:rFonts w:hint="eastAsia" w:ascii="黑体" w:hAnsi="黑体" w:eastAsia="黑体"/>
          <w:b/>
          <w:bCs/>
          <w:color w:val="000000"/>
          <w:sz w:val="24"/>
        </w:rPr>
        <w:t>响应文件提交</w:t>
      </w:r>
    </w:p>
    <w:p w14:paraId="62871478">
      <w:pPr>
        <w:spacing w:line="360" w:lineRule="auto"/>
        <w:ind w:firstLine="420" w:firstLineChars="200"/>
        <w:rPr>
          <w:rFonts w:hint="eastAsia" w:ascii="宋体" w:hAnsi="宋体"/>
          <w:bCs/>
          <w:color w:val="000000"/>
          <w:szCs w:val="21"/>
        </w:rPr>
      </w:pPr>
      <w:r>
        <w:rPr>
          <w:rFonts w:hint="eastAsia" w:ascii="宋体" w:hAnsi="宋体"/>
          <w:szCs w:val="21"/>
        </w:rPr>
        <w:t>1、首次响应文件提交截止时间</w:t>
      </w:r>
      <w:r>
        <w:rPr>
          <w:rFonts w:hint="eastAsia" w:ascii="宋体" w:hAnsi="宋体"/>
          <w:bCs/>
          <w:szCs w:val="21"/>
        </w:rPr>
        <w:t>（北京时间）</w:t>
      </w:r>
      <w:r>
        <w:rPr>
          <w:rFonts w:hint="eastAsia" w:ascii="宋体" w:hAnsi="宋体"/>
          <w:bCs/>
          <w:color w:val="000000"/>
          <w:szCs w:val="21"/>
        </w:rPr>
        <w:t>：</w:t>
      </w:r>
      <w:bookmarkStart w:id="20" w:name="PO_3000001866_PM015_1"/>
      <w:r>
        <w:rPr>
          <w:rFonts w:hint="eastAsia" w:ascii="宋体" w:hAnsi="宋体"/>
          <w:bCs/>
          <w:color w:val="000000"/>
          <w:szCs w:val="21"/>
          <w:highlight w:val="none"/>
          <w:u w:val="single"/>
        </w:rPr>
        <w:t>2026年</w:t>
      </w:r>
      <w:r>
        <w:rPr>
          <w:rFonts w:hint="eastAsia" w:ascii="宋体" w:hAnsi="宋体"/>
          <w:bCs/>
          <w:color w:val="000000"/>
          <w:szCs w:val="21"/>
          <w:highlight w:val="none"/>
          <w:u w:val="single"/>
          <w:lang w:val="en-US" w:eastAsia="zh-CN"/>
        </w:rPr>
        <w:t>04</w:t>
      </w:r>
      <w:r>
        <w:rPr>
          <w:rFonts w:hint="eastAsia" w:ascii="宋体" w:hAnsi="宋体"/>
          <w:bCs/>
          <w:color w:val="000000"/>
          <w:szCs w:val="21"/>
          <w:highlight w:val="none"/>
          <w:u w:val="single"/>
        </w:rPr>
        <w:t>月</w:t>
      </w:r>
      <w:r>
        <w:rPr>
          <w:rFonts w:hint="eastAsia" w:ascii="宋体" w:hAnsi="宋体"/>
          <w:bCs/>
          <w:color w:val="000000"/>
          <w:szCs w:val="21"/>
          <w:highlight w:val="none"/>
          <w:u w:val="single"/>
          <w:lang w:val="en-US" w:eastAsia="zh-CN"/>
        </w:rPr>
        <w:t>10</w:t>
      </w:r>
      <w:r>
        <w:rPr>
          <w:rFonts w:hint="eastAsia" w:ascii="宋体" w:hAnsi="宋体"/>
          <w:bCs/>
          <w:color w:val="000000"/>
          <w:szCs w:val="21"/>
          <w:highlight w:val="none"/>
          <w:u w:val="single"/>
        </w:rPr>
        <w:t>日</w:t>
      </w:r>
      <w:r>
        <w:rPr>
          <w:rFonts w:hint="eastAsia" w:ascii="宋体" w:hAnsi="宋体"/>
          <w:bCs/>
          <w:color w:val="000000"/>
          <w:szCs w:val="21"/>
          <w:highlight w:val="none"/>
          <w:u w:val="single"/>
          <w:lang w:val="en-US" w:eastAsia="zh-CN"/>
        </w:rPr>
        <w:t>14</w:t>
      </w:r>
      <w:r>
        <w:rPr>
          <w:rFonts w:hint="eastAsia" w:ascii="宋体" w:hAnsi="宋体"/>
          <w:bCs/>
          <w:color w:val="000000"/>
          <w:szCs w:val="21"/>
          <w:highlight w:val="none"/>
          <w:u w:val="single"/>
        </w:rPr>
        <w:t>时</w:t>
      </w:r>
      <w:r>
        <w:rPr>
          <w:rFonts w:hint="eastAsia" w:ascii="宋体" w:hAnsi="宋体"/>
          <w:bCs/>
          <w:color w:val="000000"/>
          <w:szCs w:val="21"/>
          <w:highlight w:val="none"/>
          <w:u w:val="single"/>
          <w:lang w:val="en-US" w:eastAsia="zh-CN"/>
        </w:rPr>
        <w:t>00</w:t>
      </w:r>
      <w:r>
        <w:rPr>
          <w:rFonts w:hint="eastAsia" w:ascii="宋体" w:hAnsi="宋体"/>
          <w:bCs/>
          <w:color w:val="000000"/>
          <w:szCs w:val="21"/>
          <w:highlight w:val="none"/>
          <w:u w:val="single"/>
        </w:rPr>
        <w:t>分</w:t>
      </w:r>
      <w:bookmarkEnd w:id="20"/>
      <w:r>
        <w:rPr>
          <w:rFonts w:hint="eastAsia" w:ascii="宋体" w:hAnsi="宋体"/>
          <w:bCs/>
          <w:color w:val="000000"/>
          <w:szCs w:val="21"/>
        </w:rPr>
        <w:t>（北京时间）</w:t>
      </w:r>
    </w:p>
    <w:p w14:paraId="6C152920">
      <w:pPr>
        <w:spacing w:line="360" w:lineRule="auto"/>
        <w:ind w:firstLine="420" w:firstLineChars="200"/>
        <w:rPr>
          <w:rFonts w:hint="eastAsia" w:ascii="宋体" w:hAnsi="宋体"/>
          <w:szCs w:val="21"/>
        </w:rPr>
      </w:pPr>
      <w:r>
        <w:rPr>
          <w:rFonts w:hint="eastAsia" w:ascii="宋体" w:hAnsi="宋体"/>
          <w:szCs w:val="21"/>
        </w:rPr>
        <w:t>2、首次响应文件提交地点：</w:t>
      </w:r>
    </w:p>
    <w:p w14:paraId="6086D8DC">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（1）响应文件提交方式：本项目为南宁市全流程电子化项目，通过“政采云”平台（http：//www.gcy.zfcg.gxzf.gov.cn）实行在线电子响应，供应商应先安装“政采云电子交易客户端”</w:t>
      </w:r>
      <w:r>
        <w:rPr>
          <w:rFonts w:hint="eastAsia" w:ascii="宋体" w:hAnsi="宋体"/>
          <w:color w:val="000000"/>
          <w:szCs w:val="21"/>
          <w:highlight w:val="none"/>
        </w:rPr>
        <w:t>（请自行前往“政采云”平台进行下载）</w:t>
      </w:r>
      <w:r>
        <w:rPr>
          <w:rFonts w:hint="eastAsia" w:ascii="宋体" w:hAnsi="宋体"/>
          <w:color w:val="000000"/>
          <w:szCs w:val="21"/>
        </w:rPr>
        <w:t>，并按照本项目采购文件和“政采云”平台的要求编制、加密后在投标截止时间前通过网络上传至南宁市“政采云”平台，</w:t>
      </w:r>
      <w:r>
        <w:rPr>
          <w:rFonts w:hint="eastAsia" w:ascii="宋体" w:hAnsi="宋体"/>
          <w:b/>
          <w:color w:val="000000"/>
          <w:szCs w:val="21"/>
        </w:rPr>
        <w:t>供应商在“政采云”平台提交电子版响应文件时，请填写参加远程采购活动经办人联系方式，</w:t>
      </w:r>
      <w:r>
        <w:rPr>
          <w:rFonts w:hint="eastAsia" w:ascii="宋体" w:hAnsi="宋体"/>
          <w:color w:val="000000"/>
          <w:szCs w:val="21"/>
        </w:rPr>
        <w:t>电子响应文件具体操作流程详见本公告附件</w:t>
      </w:r>
      <w:r>
        <w:rPr>
          <w:rFonts w:hint="eastAsia" w:ascii="宋体" w:hAnsi="宋体"/>
          <w:color w:val="000000"/>
          <w:szCs w:val="21"/>
          <w:lang w:val="en-US" w:eastAsia="zh-CN"/>
        </w:rPr>
        <w:t>2</w:t>
      </w:r>
      <w:r>
        <w:rPr>
          <w:rFonts w:hint="eastAsia" w:ascii="宋体" w:hAnsi="宋体"/>
          <w:color w:val="000000"/>
          <w:szCs w:val="21"/>
        </w:rPr>
        <w:t>。</w:t>
      </w:r>
    </w:p>
    <w:p w14:paraId="3CF5CEFC">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（2）未进行网上注册并办理数字证书（CA认证）的供应商将无法参与本项目政府采购活动，潜在供应商应当在投标截止时间前，完成电子交易平台上的CA数字证书办理</w:t>
      </w:r>
      <w:r>
        <w:rPr>
          <w:rFonts w:hint="eastAsia" w:ascii="宋体" w:hAnsi="宋体"/>
          <w:color w:val="000000"/>
          <w:szCs w:val="21"/>
          <w:highlight w:val="none"/>
        </w:rPr>
        <w:t>（申领流程见本公告附件</w:t>
      </w:r>
      <w:r>
        <w:rPr>
          <w:rFonts w:hint="eastAsia" w:ascii="宋体" w:hAnsi="宋体"/>
          <w:color w:val="000000"/>
          <w:szCs w:val="21"/>
          <w:highlight w:val="none"/>
          <w:lang w:val="en-US" w:eastAsia="zh-CN"/>
        </w:rPr>
        <w:t>1</w:t>
      </w:r>
      <w:r>
        <w:rPr>
          <w:rFonts w:hint="eastAsia" w:ascii="宋体" w:hAnsi="宋体"/>
          <w:color w:val="000000"/>
          <w:szCs w:val="21"/>
          <w:highlight w:val="none"/>
        </w:rPr>
        <w:t>）及响应文件的提交。</w:t>
      </w:r>
      <w:r>
        <w:rPr>
          <w:rFonts w:hint="eastAsia" w:ascii="宋体" w:hAnsi="宋体"/>
          <w:color w:val="000000"/>
          <w:szCs w:val="21"/>
        </w:rPr>
        <w:t>完成CA数字证书办理预计7日左右，</w:t>
      </w:r>
      <w:r>
        <w:rPr>
          <w:rFonts w:hint="eastAsia" w:ascii="宋体" w:hAnsi="宋体" w:cs="宋体"/>
          <w:szCs w:val="21"/>
        </w:rPr>
        <w:t>供应商只需办理其中一家CA数字证书及签章</w:t>
      </w:r>
      <w:r>
        <w:rPr>
          <w:rFonts w:hint="eastAsia" w:ascii="宋体" w:hAnsi="宋体"/>
          <w:color w:val="000000"/>
          <w:szCs w:val="21"/>
        </w:rPr>
        <w:t>。</w:t>
      </w:r>
    </w:p>
    <w:p w14:paraId="5C21B970">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（3）为确保网上操作合法、有效和安全，请供应商确保在电子响应过程中能够对相关数据电文进行加密和使用电子签章，妥善保管CA数字证书并使用有效的CA数字证书参与整个采购活动。</w:t>
      </w:r>
    </w:p>
    <w:p w14:paraId="245908E3">
      <w:pPr>
        <w:spacing w:line="360" w:lineRule="auto"/>
        <w:ind w:firstLine="420" w:firstLineChars="200"/>
        <w:rPr>
          <w:rFonts w:hint="eastAsia" w:ascii="宋体" w:hAnsi="宋体"/>
          <w:bCs/>
          <w:color w:val="000000"/>
          <w:szCs w:val="21"/>
          <w:u w:val="single"/>
        </w:rPr>
      </w:pPr>
      <w:r>
        <w:rPr>
          <w:rFonts w:hint="eastAsia" w:ascii="宋体" w:hAnsi="宋体"/>
          <w:bCs/>
          <w:color w:val="000000"/>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政采云”平台将予以拒收。</w:t>
      </w:r>
    </w:p>
    <w:p w14:paraId="1FAB2239">
      <w:pPr>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3、CA证书在线解密：首次响应文件开启时，</w:t>
      </w:r>
      <w:r>
        <w:rPr>
          <w:rFonts w:hint="eastAsia" w:ascii="宋体" w:hAnsi="宋体" w:cs="宋体"/>
          <w:b/>
          <w:color w:val="000000"/>
          <w:kern w:val="0"/>
          <w:szCs w:val="21"/>
        </w:rPr>
        <w:t>须要供应商携带制作响应文件时用来加密的有效数字证书（CA认证）</w:t>
      </w:r>
      <w:r>
        <w:rPr>
          <w:rFonts w:hint="eastAsia" w:ascii="宋体" w:hAnsi="宋体" w:cs="宋体"/>
          <w:color w:val="000000"/>
          <w:kern w:val="0"/>
          <w:szCs w:val="21"/>
        </w:rPr>
        <w:t>登录“政采云”平台电子开标大厅现场按规定时间对加密的响应文件进行解密，</w:t>
      </w:r>
      <w:r>
        <w:rPr>
          <w:rFonts w:hint="eastAsia" w:ascii="宋体" w:hAnsi="宋体" w:cs="宋体"/>
          <w:color w:val="00B0F0"/>
          <w:kern w:val="0"/>
          <w:szCs w:val="21"/>
        </w:rPr>
        <w:t>未能按要求进行解密的，由此产生的后果由投标人自行承担</w:t>
      </w:r>
      <w:r>
        <w:rPr>
          <w:rFonts w:hint="eastAsia" w:ascii="宋体" w:hAnsi="宋体" w:cs="宋体"/>
          <w:color w:val="000000"/>
          <w:kern w:val="0"/>
          <w:szCs w:val="21"/>
        </w:rPr>
        <w:t>。</w:t>
      </w:r>
    </w:p>
    <w:p w14:paraId="65E61A84">
      <w:pPr>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4、供应商需要在具备有摄像头及语音功能且互联网网络状况良好的电脑登录“政采云”平台远程开标大厅参与本次磋商，否则后果自负。</w:t>
      </w:r>
    </w:p>
    <w:p w14:paraId="3F53EABD">
      <w:pPr>
        <w:spacing w:line="360" w:lineRule="auto"/>
        <w:ind w:firstLine="482" w:firstLineChars="200"/>
        <w:rPr>
          <w:rFonts w:hint="eastAsia" w:ascii="黑体" w:hAnsi="黑体" w:eastAsia="黑体"/>
          <w:b/>
          <w:bCs/>
          <w:color w:val="000000"/>
          <w:sz w:val="24"/>
        </w:rPr>
      </w:pPr>
      <w:r>
        <w:rPr>
          <w:rFonts w:hint="eastAsia" w:ascii="黑体" w:hAnsi="黑体" w:eastAsia="黑体"/>
          <w:b/>
          <w:bCs/>
          <w:color w:val="000000"/>
          <w:sz w:val="24"/>
        </w:rPr>
        <w:t>五、开启（首次响应文件开启时间）</w:t>
      </w:r>
    </w:p>
    <w:p w14:paraId="0A7D0E5D">
      <w:pPr>
        <w:spacing w:line="360" w:lineRule="auto"/>
        <w:ind w:firstLine="420" w:firstLineChars="200"/>
        <w:rPr>
          <w:rFonts w:hint="eastAsia" w:ascii="宋体" w:hAnsi="宋体"/>
          <w:bCs/>
          <w:szCs w:val="21"/>
          <w:u w:val="single"/>
        </w:rPr>
      </w:pPr>
      <w:r>
        <w:rPr>
          <w:rFonts w:hint="eastAsia" w:ascii="宋体" w:hAnsi="宋体"/>
          <w:szCs w:val="21"/>
        </w:rPr>
        <w:t>1.时间</w:t>
      </w:r>
      <w:r>
        <w:rPr>
          <w:rFonts w:hint="eastAsia" w:ascii="宋体" w:hAnsi="宋体"/>
          <w:bCs/>
          <w:szCs w:val="21"/>
        </w:rPr>
        <w:t>（北京时间）</w:t>
      </w:r>
      <w:r>
        <w:rPr>
          <w:rFonts w:hint="eastAsia" w:ascii="宋体" w:hAnsi="宋体"/>
          <w:szCs w:val="21"/>
        </w:rPr>
        <w:t>：</w:t>
      </w:r>
      <w:r>
        <w:rPr>
          <w:rFonts w:hint="eastAsia" w:ascii="宋体" w:hAnsi="宋体"/>
          <w:bCs/>
          <w:color w:val="000000"/>
          <w:szCs w:val="21"/>
          <w:u w:val="single"/>
        </w:rPr>
        <w:t>2026年</w:t>
      </w:r>
      <w:r>
        <w:rPr>
          <w:rFonts w:hint="eastAsia" w:ascii="宋体" w:hAnsi="宋体"/>
          <w:bCs/>
          <w:color w:val="000000"/>
          <w:szCs w:val="21"/>
          <w:u w:val="single"/>
          <w:lang w:val="en-US" w:eastAsia="zh-CN"/>
        </w:rPr>
        <w:t>04</w:t>
      </w:r>
      <w:r>
        <w:rPr>
          <w:rFonts w:hint="eastAsia" w:ascii="宋体" w:hAnsi="宋体"/>
          <w:bCs/>
          <w:color w:val="000000"/>
          <w:szCs w:val="21"/>
          <w:u w:val="single"/>
        </w:rPr>
        <w:t>月</w:t>
      </w:r>
      <w:r>
        <w:rPr>
          <w:rFonts w:hint="eastAsia" w:ascii="宋体" w:hAnsi="宋体"/>
          <w:bCs/>
          <w:color w:val="000000"/>
          <w:szCs w:val="21"/>
          <w:u w:val="single"/>
          <w:lang w:val="en-US" w:eastAsia="zh-CN"/>
        </w:rPr>
        <w:t>10</w:t>
      </w:r>
      <w:r>
        <w:rPr>
          <w:rFonts w:hint="eastAsia" w:ascii="宋体" w:hAnsi="宋体"/>
          <w:bCs/>
          <w:color w:val="000000"/>
          <w:szCs w:val="21"/>
          <w:u w:val="single"/>
        </w:rPr>
        <w:t>日</w:t>
      </w:r>
      <w:r>
        <w:rPr>
          <w:rFonts w:hint="eastAsia" w:ascii="宋体" w:hAnsi="宋体"/>
          <w:bCs/>
          <w:color w:val="000000"/>
          <w:szCs w:val="21"/>
          <w:u w:val="single"/>
          <w:lang w:val="en-US" w:eastAsia="zh-CN"/>
        </w:rPr>
        <w:t>14</w:t>
      </w:r>
      <w:r>
        <w:rPr>
          <w:rFonts w:hint="eastAsia" w:ascii="宋体" w:hAnsi="宋体"/>
          <w:bCs/>
          <w:color w:val="000000"/>
          <w:szCs w:val="21"/>
          <w:u w:val="single"/>
        </w:rPr>
        <w:t>时</w:t>
      </w:r>
      <w:r>
        <w:rPr>
          <w:rFonts w:hint="eastAsia" w:ascii="宋体" w:hAnsi="宋体"/>
          <w:bCs/>
          <w:color w:val="000000"/>
          <w:szCs w:val="21"/>
          <w:u w:val="single"/>
          <w:lang w:val="en-US" w:eastAsia="zh-CN"/>
        </w:rPr>
        <w:t>00</w:t>
      </w:r>
      <w:r>
        <w:rPr>
          <w:rFonts w:hint="eastAsia" w:ascii="宋体" w:hAnsi="宋体"/>
          <w:bCs/>
          <w:color w:val="000000"/>
          <w:szCs w:val="21"/>
          <w:u w:val="single"/>
        </w:rPr>
        <w:t>分</w:t>
      </w:r>
      <w:r>
        <w:rPr>
          <w:rFonts w:hint="eastAsia" w:ascii="宋体" w:hAnsi="宋体"/>
          <w:bCs/>
          <w:color w:val="000000"/>
          <w:szCs w:val="21"/>
        </w:rPr>
        <w:t>（北京时间）</w:t>
      </w:r>
      <w:r>
        <w:rPr>
          <w:rFonts w:hint="eastAsia" w:ascii="宋体" w:hAnsi="宋体"/>
          <w:szCs w:val="21"/>
        </w:rPr>
        <w:t>后</w:t>
      </w:r>
    </w:p>
    <w:p w14:paraId="17FCA17D">
      <w:pPr>
        <w:spacing w:line="360" w:lineRule="auto"/>
        <w:ind w:firstLine="420" w:firstLineChars="200"/>
        <w:rPr>
          <w:rFonts w:hint="eastAsia" w:ascii="宋体" w:hAnsi="宋体"/>
          <w:bCs/>
          <w:szCs w:val="21"/>
          <w:u w:val="single"/>
        </w:rPr>
      </w:pPr>
      <w:r>
        <w:rPr>
          <w:rFonts w:hint="eastAsia" w:ascii="宋体" w:hAnsi="宋体"/>
          <w:szCs w:val="21"/>
        </w:rPr>
        <w:t>2.地点：</w:t>
      </w:r>
      <w:r>
        <w:rPr>
          <w:rFonts w:hint="eastAsia" w:ascii="宋体" w:hAnsi="宋体"/>
          <w:szCs w:val="21"/>
          <w:u w:val="single"/>
        </w:rPr>
        <w:t xml:space="preserve">政府采购云平台远程开标大厅 </w:t>
      </w:r>
    </w:p>
    <w:p w14:paraId="76DB1731">
      <w:pPr>
        <w:spacing w:line="360" w:lineRule="auto"/>
        <w:ind w:firstLine="482" w:firstLineChars="200"/>
        <w:rPr>
          <w:rFonts w:hint="eastAsia" w:ascii="黑体" w:hAnsi="黑体" w:eastAsia="黑体"/>
          <w:b/>
          <w:bCs/>
          <w:color w:val="000000"/>
          <w:sz w:val="24"/>
        </w:rPr>
      </w:pPr>
      <w:bookmarkStart w:id="21" w:name="_Toc35393794"/>
      <w:bookmarkStart w:id="22" w:name="_Toc28359084"/>
      <w:bookmarkStart w:id="23" w:name="_Toc35393625"/>
      <w:bookmarkStart w:id="24" w:name="_Toc28359007"/>
      <w:r>
        <w:rPr>
          <w:rFonts w:hint="eastAsia" w:ascii="黑体" w:hAnsi="黑体" w:eastAsia="黑体"/>
          <w:b/>
          <w:bCs/>
          <w:color w:val="000000"/>
          <w:sz w:val="24"/>
        </w:rPr>
        <w:t>六、公告期限</w:t>
      </w:r>
      <w:bookmarkEnd w:id="21"/>
      <w:bookmarkEnd w:id="22"/>
      <w:bookmarkEnd w:id="23"/>
      <w:bookmarkEnd w:id="24"/>
    </w:p>
    <w:p w14:paraId="7F191631">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自本公告发布之日起5个工作日。</w:t>
      </w:r>
    </w:p>
    <w:p w14:paraId="7D704BD9">
      <w:pPr>
        <w:spacing w:line="360" w:lineRule="auto"/>
        <w:ind w:firstLine="482" w:firstLineChars="200"/>
        <w:rPr>
          <w:rFonts w:hint="eastAsia" w:ascii="黑体" w:hAnsi="黑体" w:eastAsia="黑体"/>
          <w:b/>
          <w:bCs/>
          <w:color w:val="000000"/>
          <w:sz w:val="24"/>
        </w:rPr>
      </w:pPr>
      <w:bookmarkStart w:id="25" w:name="_Toc35393626"/>
      <w:bookmarkStart w:id="26" w:name="_Toc35393795"/>
      <w:r>
        <w:rPr>
          <w:rFonts w:hint="eastAsia" w:ascii="黑体" w:hAnsi="黑体" w:eastAsia="黑体"/>
          <w:b/>
          <w:bCs/>
          <w:color w:val="000000"/>
          <w:sz w:val="24"/>
        </w:rPr>
        <w:t>七、其他补充事宜</w:t>
      </w:r>
      <w:bookmarkEnd w:id="25"/>
      <w:bookmarkEnd w:id="26"/>
    </w:p>
    <w:p w14:paraId="64E49C3E">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1.磋商保证金：本项目不收取磋商保证金</w:t>
      </w:r>
    </w:p>
    <w:p w14:paraId="340F89F1">
      <w:pPr>
        <w:spacing w:line="360" w:lineRule="auto"/>
        <w:ind w:firstLine="420" w:firstLineChars="200"/>
        <w:rPr>
          <w:rFonts w:hint="eastAsia" w:ascii="宋体" w:hAnsi="宋体" w:eastAsia="宋体" w:cs="宋体"/>
          <w:color w:val="000000"/>
          <w:kern w:val="0"/>
          <w:szCs w:val="21"/>
        </w:rPr>
      </w:pPr>
      <w:r>
        <w:rPr>
          <w:rFonts w:hint="eastAsia" w:ascii="宋体" w:hAnsi="宋体" w:cs="宋体"/>
          <w:color w:val="000000"/>
          <w:kern w:val="0"/>
          <w:szCs w:val="21"/>
        </w:rPr>
        <w:t>2.</w:t>
      </w:r>
      <w:r>
        <w:rPr>
          <w:rFonts w:hint="eastAsia" w:ascii="宋体" w:hAnsi="宋体" w:eastAsia="宋体" w:cs="宋体"/>
          <w:color w:val="000000"/>
          <w:kern w:val="0"/>
          <w:szCs w:val="21"/>
        </w:rPr>
        <w:t>采购意向公开链接：https://zfcg.gxzf.gov.cn/luban/detail?parentId=66485&amp;articleId=ann_nLV22J0HI1Tx3ma2i74Kt9D5ndTMr3NGt5TILBJnhQo=</w:t>
      </w:r>
    </w:p>
    <w:p w14:paraId="2D525DAE">
      <w:pPr>
        <w:spacing w:line="360" w:lineRule="auto"/>
        <w:ind w:firstLine="420" w:firstLineChars="200"/>
        <w:rPr>
          <w:rFonts w:hint="eastAsia" w:ascii="宋体" w:hAnsi="宋体" w:cs="宋体"/>
          <w:color w:val="000000"/>
          <w:kern w:val="0"/>
          <w:szCs w:val="21"/>
        </w:rPr>
      </w:pPr>
      <w:bookmarkStart w:id="27" w:name="_Hlk37429585"/>
      <w:r>
        <w:rPr>
          <w:rFonts w:hint="eastAsia" w:ascii="宋体" w:hAnsi="宋体" w:cs="宋体"/>
          <w:color w:val="000000"/>
          <w:kern w:val="0"/>
          <w:szCs w:val="21"/>
        </w:rPr>
        <w:t>3.</w:t>
      </w:r>
      <w:bookmarkStart w:id="28" w:name="_Hlk37429595"/>
      <w:r>
        <w:rPr>
          <w:rFonts w:hint="eastAsia" w:ascii="宋体" w:hAnsi="宋体" w:cs="宋体"/>
          <w:color w:val="000000"/>
          <w:kern w:val="0"/>
          <w:szCs w:val="21"/>
        </w:rPr>
        <w:t>网上查询地址</w:t>
      </w:r>
    </w:p>
    <w:bookmarkEnd w:id="27"/>
    <w:bookmarkEnd w:id="28"/>
    <w:p w14:paraId="4693063B">
      <w:pPr>
        <w:spacing w:line="360" w:lineRule="auto"/>
        <w:ind w:firstLine="420" w:firstLineChars="200"/>
        <w:rPr>
          <w:rFonts w:hint="eastAsia" w:ascii="宋体" w:hAnsi="宋体" w:cs="宋体"/>
          <w:color w:val="FF0000"/>
          <w:kern w:val="0"/>
          <w:szCs w:val="21"/>
        </w:rPr>
      </w:pPr>
      <w:bookmarkStart w:id="29" w:name="_Hlk37429674"/>
      <w:r>
        <w:rPr>
          <w:rFonts w:hint="eastAsia" w:ascii="宋体" w:hAnsi="宋体" w:cs="宋体"/>
          <w:color w:val="000000"/>
          <w:kern w:val="0"/>
          <w:szCs w:val="21"/>
        </w:rPr>
        <w:t>http://zfcg.gxzf.gov.cn (广西政府采购网)</w:t>
      </w:r>
      <w:r>
        <w:rPr>
          <w:rFonts w:hint="eastAsia" w:ascii="宋体" w:hAnsi="宋体" w:cs="宋体"/>
          <w:color w:val="FF0000"/>
          <w:kern w:val="0"/>
          <w:szCs w:val="21"/>
        </w:rPr>
        <w:t xml:space="preserve"> </w:t>
      </w:r>
    </w:p>
    <w:p w14:paraId="7A257442">
      <w:pPr>
        <w:spacing w:line="360" w:lineRule="auto"/>
        <w:ind w:firstLine="420" w:firstLineChars="200"/>
        <w:rPr>
          <w:rFonts w:hint="eastAsia" w:ascii="宋体" w:hAnsi="宋体" w:cs="宋体"/>
          <w:color w:val="FF0000"/>
          <w:kern w:val="0"/>
          <w:szCs w:val="21"/>
        </w:rPr>
      </w:pPr>
      <w:r>
        <w:rPr>
          <w:color w:val="auto"/>
        </w:rPr>
        <w:fldChar w:fldCharType="begin"/>
      </w:r>
      <w:r>
        <w:rPr>
          <w:color w:val="auto"/>
        </w:rPr>
        <w:instrText xml:space="preserve"> HYPERLINK "http://ggzy.nanning.gov.cn" </w:instrText>
      </w:r>
      <w:r>
        <w:rPr>
          <w:color w:val="auto"/>
        </w:rPr>
        <w:fldChar w:fldCharType="separate"/>
      </w:r>
      <w:r>
        <w:rPr>
          <w:rStyle w:val="22"/>
          <w:rFonts w:hAnsi="宋体" w:cs="宋体"/>
          <w:color w:val="auto"/>
          <w:kern w:val="0"/>
        </w:rPr>
        <w:t>http://ggzy.nanning.gov.cn</w:t>
      </w:r>
      <w:r>
        <w:rPr>
          <w:color w:val="auto"/>
        </w:rPr>
        <w:fldChar w:fldCharType="end"/>
      </w:r>
      <w:r>
        <w:rPr>
          <w:rFonts w:hint="eastAsia" w:ascii="宋体" w:hAnsi="宋体" w:cs="宋体"/>
          <w:color w:val="auto"/>
          <w:kern w:val="0"/>
          <w:szCs w:val="21"/>
        </w:rPr>
        <w:t>（广西南宁市公共资源交易中心网）；</w:t>
      </w:r>
    </w:p>
    <w:p w14:paraId="2EAEAF1F">
      <w:pPr>
        <w:spacing w:line="360" w:lineRule="auto"/>
        <w:ind w:firstLine="420" w:firstLineChars="200"/>
        <w:rPr>
          <w:rFonts w:hint="eastAsia" w:ascii="宋体" w:hAnsi="宋体" w:eastAsia="宋体" w:cs="宋体"/>
          <w:color w:val="FF0000"/>
          <w:kern w:val="0"/>
          <w:szCs w:val="21"/>
          <w:lang w:eastAsia="zh-CN"/>
        </w:rPr>
      </w:pPr>
      <w:r>
        <w:rPr>
          <w:rFonts w:hint="eastAsia" w:ascii="宋体" w:hAnsi="宋体" w:cs="宋体"/>
          <w:color w:val="000000"/>
          <w:kern w:val="0"/>
          <w:szCs w:val="21"/>
        </w:rPr>
        <w:t>4</w:t>
      </w:r>
      <w:r>
        <w:rPr>
          <w:rFonts w:hint="eastAsia" w:ascii="宋体" w:hAnsi="宋体"/>
          <w:color w:val="000000"/>
          <w:szCs w:val="21"/>
        </w:rPr>
        <w:t xml:space="preserve">. </w:t>
      </w:r>
      <w:r>
        <w:rPr>
          <w:rFonts w:hint="eastAsia" w:ascii="宋体" w:hAnsi="宋体" w:cs="宋体"/>
          <w:color w:val="000000"/>
          <w:kern w:val="0"/>
          <w:szCs w:val="21"/>
        </w:rPr>
        <w:t>本项目需要落实的政府采购政策</w:t>
      </w:r>
      <w:r>
        <w:rPr>
          <w:rFonts w:hint="eastAsia" w:ascii="宋体" w:hAnsi="宋体" w:cs="宋体"/>
          <w:color w:val="000000"/>
          <w:kern w:val="0"/>
          <w:szCs w:val="21"/>
          <w:lang w:eastAsia="zh-CN"/>
        </w:rPr>
        <w:t>：</w:t>
      </w:r>
    </w:p>
    <w:bookmarkEnd w:id="29"/>
    <w:p w14:paraId="5CEC68E7">
      <w:pPr>
        <w:spacing w:line="360" w:lineRule="auto"/>
        <w:ind w:firstLine="315" w:firstLineChars="150"/>
        <w:rPr>
          <w:rFonts w:hint="eastAsia" w:ascii="宋体" w:hAnsi="宋体" w:cs="宋体"/>
          <w:kern w:val="0"/>
          <w:szCs w:val="21"/>
        </w:rPr>
      </w:pPr>
      <w:r>
        <w:rPr>
          <w:rFonts w:hint="eastAsia" w:ascii="宋体" w:hAnsi="宋体" w:cs="宋体"/>
          <w:kern w:val="0"/>
          <w:szCs w:val="21"/>
        </w:rPr>
        <w:t xml:space="preserve">（1）政府采购促进中小企业发展。 </w:t>
      </w:r>
    </w:p>
    <w:p w14:paraId="33EAB488">
      <w:pPr>
        <w:spacing w:line="360" w:lineRule="auto"/>
        <w:ind w:firstLine="315" w:firstLineChars="150"/>
        <w:rPr>
          <w:rFonts w:hint="eastAsia" w:ascii="宋体" w:hAnsi="宋体" w:cs="宋体"/>
          <w:kern w:val="0"/>
          <w:szCs w:val="21"/>
        </w:rPr>
      </w:pPr>
      <w:r>
        <w:rPr>
          <w:rFonts w:hint="eastAsia" w:ascii="宋体" w:hAnsi="宋体" w:cs="宋体"/>
          <w:kern w:val="0"/>
          <w:szCs w:val="21"/>
        </w:rPr>
        <w:t xml:space="preserve">（2）政府采购支持采用本国产品的政策。 </w:t>
      </w:r>
    </w:p>
    <w:p w14:paraId="794370A1">
      <w:pPr>
        <w:spacing w:line="360" w:lineRule="auto"/>
        <w:ind w:firstLine="315" w:firstLineChars="150"/>
        <w:rPr>
          <w:rFonts w:hint="eastAsia" w:ascii="宋体" w:hAnsi="宋体" w:cs="宋体"/>
          <w:kern w:val="0"/>
          <w:szCs w:val="21"/>
        </w:rPr>
      </w:pPr>
      <w:r>
        <w:rPr>
          <w:rFonts w:hint="eastAsia" w:ascii="宋体" w:hAnsi="宋体" w:cs="宋体"/>
          <w:kern w:val="0"/>
          <w:szCs w:val="21"/>
        </w:rPr>
        <w:t>（3）强制采购节能产品；优先采购节能产品、环境标志产品。</w:t>
      </w:r>
    </w:p>
    <w:p w14:paraId="2AEE5471">
      <w:pPr>
        <w:spacing w:line="360" w:lineRule="auto"/>
        <w:ind w:firstLine="315" w:firstLineChars="150"/>
        <w:rPr>
          <w:rFonts w:hint="eastAsia" w:ascii="宋体" w:hAnsi="宋体" w:cs="宋体"/>
          <w:kern w:val="0"/>
          <w:szCs w:val="21"/>
        </w:rPr>
      </w:pPr>
      <w:r>
        <w:rPr>
          <w:rFonts w:hint="eastAsia" w:ascii="宋体" w:hAnsi="宋体" w:cs="宋体"/>
          <w:kern w:val="0"/>
          <w:szCs w:val="21"/>
        </w:rPr>
        <w:t xml:space="preserve"> （4）政府采购促进残疾人就业政策。 </w:t>
      </w:r>
    </w:p>
    <w:p w14:paraId="5425B6E0">
      <w:pPr>
        <w:spacing w:line="360" w:lineRule="auto"/>
        <w:ind w:firstLine="315" w:firstLineChars="150"/>
        <w:rPr>
          <w:rFonts w:hint="eastAsia" w:ascii="宋体" w:hAnsi="宋体" w:cs="宋体"/>
          <w:kern w:val="0"/>
          <w:szCs w:val="21"/>
        </w:rPr>
      </w:pPr>
      <w:r>
        <w:rPr>
          <w:rFonts w:hint="eastAsia" w:ascii="宋体" w:hAnsi="宋体" w:cs="宋体"/>
          <w:kern w:val="0"/>
          <w:szCs w:val="21"/>
        </w:rPr>
        <w:t xml:space="preserve">（5）政府采购支持监狱企业发展。 </w:t>
      </w:r>
    </w:p>
    <w:p w14:paraId="19EDD602">
      <w:pPr>
        <w:spacing w:line="360" w:lineRule="auto"/>
        <w:ind w:firstLine="315" w:firstLineChars="150"/>
        <w:rPr>
          <w:rFonts w:hint="eastAsia" w:ascii="宋体" w:hAnsi="宋体" w:cs="宋体"/>
          <w:kern w:val="0"/>
          <w:szCs w:val="21"/>
        </w:rPr>
      </w:pPr>
      <w:r>
        <w:rPr>
          <w:rFonts w:hint="eastAsia" w:ascii="宋体" w:hAnsi="宋体" w:cs="宋体"/>
          <w:kern w:val="0"/>
          <w:szCs w:val="21"/>
        </w:rPr>
        <w:t>（6）扶持不发达地区和少数民族地区政策。</w:t>
      </w:r>
    </w:p>
    <w:p w14:paraId="45737B72">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0E313957">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 xml:space="preserve">6.若对项目采购电子交易系统操作有疑问，可登录“政采云”平台（https://www.gcy.zfcg.gxzf.gov.cn/），点击右侧咨询小采，获取采小蜜智能服务管家帮助，或拨打政采云服务热线400-881-7190获取热线服务帮助。 </w:t>
      </w:r>
    </w:p>
    <w:p w14:paraId="136B8CF9">
      <w:pPr>
        <w:spacing w:line="360" w:lineRule="auto"/>
        <w:ind w:firstLine="482" w:firstLineChars="200"/>
        <w:rPr>
          <w:rFonts w:hint="eastAsia" w:ascii="黑体" w:hAnsi="黑体" w:eastAsia="黑体" w:cs="宋体"/>
          <w:bCs/>
          <w:sz w:val="24"/>
        </w:rPr>
      </w:pPr>
      <w:r>
        <w:rPr>
          <w:rFonts w:hint="eastAsia" w:ascii="黑体" w:hAnsi="黑体" w:eastAsia="黑体" w:cs="宋体"/>
          <w:b/>
          <w:kern w:val="44"/>
          <w:sz w:val="24"/>
        </w:rPr>
        <w:t>八、凡对本次采购提出询问，请按以下方式联系</w:t>
      </w:r>
    </w:p>
    <w:p w14:paraId="4EF83FF0">
      <w:pPr>
        <w:spacing w:line="360" w:lineRule="auto"/>
        <w:ind w:firstLine="735" w:firstLineChars="350"/>
        <w:jc w:val="left"/>
        <w:rPr>
          <w:rFonts w:hint="eastAsia" w:ascii="宋体" w:hAnsi="宋体"/>
          <w:color w:val="000000"/>
          <w:szCs w:val="21"/>
        </w:rPr>
      </w:pPr>
      <w:r>
        <w:rPr>
          <w:rFonts w:hint="eastAsia" w:ascii="宋体" w:hAnsi="宋体" w:cs="宋体"/>
          <w:color w:val="000000"/>
          <w:szCs w:val="21"/>
        </w:rPr>
        <w:t>1.采购人信息</w:t>
      </w:r>
    </w:p>
    <w:p w14:paraId="43094C49">
      <w:pPr>
        <w:spacing w:line="360" w:lineRule="auto"/>
        <w:ind w:left="1041" w:leftChars="371" w:hanging="262" w:hangingChars="125"/>
        <w:jc w:val="left"/>
        <w:rPr>
          <w:rFonts w:hint="eastAsia" w:ascii="宋体" w:hAnsi="宋体"/>
          <w:color w:val="000000"/>
          <w:szCs w:val="21"/>
          <w:u w:val="single"/>
        </w:rPr>
      </w:pPr>
      <w:r>
        <w:rPr>
          <w:rFonts w:hint="eastAsia" w:ascii="宋体" w:hAnsi="宋体"/>
          <w:color w:val="000000"/>
          <w:szCs w:val="21"/>
        </w:rPr>
        <w:t>名 称：</w:t>
      </w:r>
      <w:bookmarkStart w:id="30" w:name="PO_3000001866_PM026_1"/>
      <w:r>
        <w:rPr>
          <w:rFonts w:hint="eastAsia" w:ascii="宋体" w:hAnsi="宋体"/>
          <w:color w:val="000000"/>
          <w:szCs w:val="21"/>
          <w:u w:val="single"/>
          <w:lang w:eastAsia="zh-CN"/>
        </w:rPr>
        <w:t>上林县</w:t>
      </w:r>
      <w:r>
        <w:rPr>
          <w:rFonts w:hint="eastAsia" w:ascii="宋体" w:hAnsi="宋体"/>
          <w:color w:val="000000"/>
          <w:szCs w:val="21"/>
          <w:u w:val="single"/>
        </w:rPr>
        <w:t>机关后勤服务中心</w:t>
      </w:r>
      <w:bookmarkEnd w:id="30"/>
    </w:p>
    <w:p w14:paraId="0021F537">
      <w:pPr>
        <w:spacing w:line="360" w:lineRule="auto"/>
        <w:ind w:left="1041" w:leftChars="371" w:hanging="262" w:hangingChars="125"/>
        <w:jc w:val="left"/>
        <w:rPr>
          <w:rFonts w:hint="eastAsia" w:ascii="宋体" w:hAnsi="宋体" w:eastAsia="宋体"/>
          <w:color w:val="000000"/>
          <w:szCs w:val="21"/>
          <w:lang w:val="en-US" w:eastAsia="zh-CN"/>
        </w:rPr>
      </w:pPr>
      <w:r>
        <w:rPr>
          <w:rFonts w:hint="eastAsia" w:ascii="宋体" w:hAnsi="宋体"/>
          <w:color w:val="000000"/>
          <w:szCs w:val="21"/>
        </w:rPr>
        <w:t>地址：</w:t>
      </w:r>
      <w:bookmarkStart w:id="31" w:name="PO_3000001866_PM030"/>
      <w:r>
        <w:rPr>
          <w:rFonts w:hint="eastAsia" w:ascii="宋体" w:hAnsi="宋体"/>
          <w:color w:val="000000"/>
          <w:szCs w:val="21"/>
          <w:u w:val="single"/>
          <w:lang w:eastAsia="zh-CN"/>
        </w:rPr>
        <w:t>上林县</w:t>
      </w:r>
      <w:bookmarkEnd w:id="31"/>
      <w:r>
        <w:rPr>
          <w:rFonts w:hint="eastAsia" w:ascii="宋体" w:hAnsi="宋体"/>
          <w:color w:val="000000"/>
          <w:szCs w:val="21"/>
          <w:u w:val="single"/>
          <w:lang w:eastAsia="zh-CN"/>
        </w:rPr>
        <w:t>明山路</w:t>
      </w:r>
      <w:r>
        <w:rPr>
          <w:rFonts w:hint="eastAsia" w:ascii="宋体" w:hAnsi="宋体"/>
          <w:color w:val="000000"/>
          <w:szCs w:val="21"/>
          <w:u w:val="single"/>
          <w:lang w:val="en-US" w:eastAsia="zh-CN"/>
        </w:rPr>
        <w:t>116号</w:t>
      </w:r>
    </w:p>
    <w:p w14:paraId="02091856">
      <w:pPr>
        <w:pStyle w:val="13"/>
        <w:spacing w:line="360" w:lineRule="auto"/>
        <w:ind w:firstLine="700" w:firstLineChars="350"/>
        <w:rPr>
          <w:rFonts w:hint="eastAsia" w:hAnsi="宋体" w:eastAsia="宋体"/>
          <w:color w:val="000000"/>
          <w:lang w:eastAsia="zh-CN"/>
        </w:rPr>
      </w:pPr>
      <w:r>
        <w:rPr>
          <w:rFonts w:hint="eastAsia" w:hAnsi="宋体"/>
          <w:color w:val="000000"/>
        </w:rPr>
        <w:t>项目联系人：</w:t>
      </w:r>
      <w:r>
        <w:rPr>
          <w:rFonts w:hint="eastAsia" w:hAnsi="宋体"/>
          <w:color w:val="000000"/>
          <w:u w:val="single"/>
          <w:lang w:eastAsia="zh-CN"/>
        </w:rPr>
        <w:t>韦工</w:t>
      </w:r>
    </w:p>
    <w:p w14:paraId="3ECD8C01">
      <w:pPr>
        <w:spacing w:line="360" w:lineRule="auto"/>
        <w:ind w:left="1041" w:leftChars="371" w:hanging="262" w:hangingChars="125"/>
        <w:jc w:val="left"/>
        <w:rPr>
          <w:rFonts w:hint="default" w:ascii="宋体" w:hAnsi="宋体" w:eastAsia="宋体"/>
          <w:color w:val="000000"/>
          <w:szCs w:val="21"/>
          <w:u w:val="single"/>
          <w:lang w:val="en-US" w:eastAsia="zh-CN"/>
        </w:rPr>
      </w:pPr>
      <w:r>
        <w:rPr>
          <w:rFonts w:hint="eastAsia" w:ascii="宋体" w:hAnsi="宋体"/>
          <w:color w:val="000000"/>
          <w:szCs w:val="21"/>
        </w:rPr>
        <w:t>联系电话：</w:t>
      </w:r>
      <w:r>
        <w:rPr>
          <w:rFonts w:hint="eastAsia" w:ascii="宋体" w:hAnsi="宋体"/>
          <w:color w:val="000000"/>
          <w:szCs w:val="21"/>
          <w:u w:val="single"/>
          <w:lang w:val="en-US" w:eastAsia="zh-CN"/>
        </w:rPr>
        <w:t>0771-5222634</w:t>
      </w:r>
    </w:p>
    <w:p w14:paraId="72B6F488">
      <w:pPr>
        <w:spacing w:line="360" w:lineRule="auto"/>
        <w:ind w:left="1041" w:leftChars="371" w:hanging="262" w:hangingChars="125"/>
        <w:jc w:val="left"/>
        <w:rPr>
          <w:rFonts w:hint="eastAsia" w:ascii="宋体" w:hAnsi="宋体"/>
          <w:color w:val="000000"/>
          <w:szCs w:val="21"/>
        </w:rPr>
      </w:pPr>
      <w:r>
        <w:rPr>
          <w:rFonts w:hint="eastAsia" w:ascii="宋体" w:hAnsi="宋体" w:cs="宋体"/>
          <w:color w:val="000000"/>
          <w:szCs w:val="21"/>
        </w:rPr>
        <w:t>2.采购代理机构信息</w:t>
      </w:r>
    </w:p>
    <w:p w14:paraId="49D63FE9">
      <w:pPr>
        <w:spacing w:line="360" w:lineRule="auto"/>
        <w:ind w:firstLine="735" w:firstLineChars="350"/>
        <w:rPr>
          <w:rFonts w:hint="eastAsia" w:ascii="宋体" w:hAnsi="宋体"/>
          <w:color w:val="000000"/>
          <w:szCs w:val="21"/>
          <w:u w:val="single"/>
          <w:lang w:eastAsia="zh-CN"/>
        </w:rPr>
      </w:pPr>
      <w:r>
        <w:rPr>
          <w:rFonts w:hint="eastAsia" w:ascii="宋体" w:hAnsi="宋体"/>
          <w:color w:val="000000"/>
          <w:szCs w:val="21"/>
        </w:rPr>
        <w:t>名 称：</w:t>
      </w:r>
      <w:r>
        <w:rPr>
          <w:rFonts w:hint="eastAsia" w:ascii="宋体" w:hAnsi="宋体"/>
          <w:color w:val="000000"/>
          <w:szCs w:val="21"/>
          <w:u w:val="single"/>
          <w:lang w:eastAsia="zh-CN"/>
        </w:rPr>
        <w:t>上林县政府集中采购中心</w:t>
      </w:r>
    </w:p>
    <w:p w14:paraId="1B863C14">
      <w:pPr>
        <w:spacing w:line="360" w:lineRule="auto"/>
        <w:ind w:firstLine="735" w:firstLineChars="350"/>
        <w:rPr>
          <w:rFonts w:hint="eastAsia" w:ascii="宋体" w:hAnsi="宋体"/>
          <w:color w:val="000000"/>
          <w:szCs w:val="21"/>
        </w:rPr>
      </w:pPr>
      <w:r>
        <w:rPr>
          <w:rFonts w:hint="eastAsia" w:ascii="宋体" w:hAnsi="宋体"/>
          <w:color w:val="000000"/>
          <w:szCs w:val="21"/>
        </w:rPr>
        <w:t>地　址：</w:t>
      </w:r>
      <w:bookmarkStart w:id="32" w:name="PO_3000001866_PM035_1"/>
      <w:r>
        <w:rPr>
          <w:rFonts w:hint="eastAsia" w:ascii="宋体" w:hAnsi="宋体"/>
          <w:color w:val="000000"/>
          <w:szCs w:val="21"/>
          <w:u w:val="single"/>
          <w:lang w:eastAsia="zh-CN"/>
        </w:rPr>
        <w:t>上林县</w:t>
      </w:r>
      <w:bookmarkEnd w:id="32"/>
      <w:r>
        <w:rPr>
          <w:rFonts w:hint="eastAsia" w:ascii="宋体" w:hAnsi="宋体"/>
          <w:color w:val="000000"/>
          <w:szCs w:val="21"/>
          <w:u w:val="single"/>
          <w:lang w:eastAsia="zh-CN"/>
        </w:rPr>
        <w:t>林溪路</w:t>
      </w:r>
      <w:r>
        <w:rPr>
          <w:rFonts w:hint="eastAsia" w:ascii="宋体" w:hAnsi="宋体"/>
          <w:color w:val="000000"/>
          <w:szCs w:val="21"/>
          <w:u w:val="single"/>
          <w:lang w:val="en-US" w:eastAsia="zh-CN"/>
        </w:rPr>
        <w:t>4号（县财政局一楼）</w:t>
      </w:r>
    </w:p>
    <w:p w14:paraId="2DE662DC">
      <w:pPr>
        <w:spacing w:line="360" w:lineRule="auto"/>
        <w:ind w:firstLine="735" w:firstLineChars="350"/>
        <w:rPr>
          <w:rFonts w:hint="default" w:ascii="宋体" w:hAnsi="宋体" w:eastAsia="宋体"/>
          <w:color w:val="000000"/>
          <w:szCs w:val="21"/>
          <w:lang w:val="en-US" w:eastAsia="zh-CN"/>
        </w:rPr>
      </w:pPr>
      <w:r>
        <w:rPr>
          <w:rFonts w:hint="eastAsia" w:ascii="宋体" w:hAnsi="宋体"/>
          <w:color w:val="000000"/>
          <w:szCs w:val="21"/>
        </w:rPr>
        <w:t>联系电话：</w:t>
      </w:r>
      <w:r>
        <w:rPr>
          <w:rFonts w:hint="eastAsia" w:ascii="宋体" w:hAnsi="宋体"/>
          <w:color w:val="000000"/>
          <w:szCs w:val="21"/>
          <w:u w:val="single"/>
          <w:lang w:val="en-US" w:eastAsia="zh-CN"/>
        </w:rPr>
        <w:t>0771-5280359</w:t>
      </w:r>
    </w:p>
    <w:p w14:paraId="0AC04DAA">
      <w:pPr>
        <w:spacing w:line="360" w:lineRule="auto"/>
        <w:ind w:firstLine="735" w:firstLineChars="350"/>
        <w:rPr>
          <w:rFonts w:hint="eastAsia" w:ascii="宋体" w:hAnsi="宋体"/>
          <w:color w:val="000000"/>
          <w:szCs w:val="21"/>
        </w:rPr>
      </w:pPr>
      <w:r>
        <w:rPr>
          <w:rFonts w:hint="eastAsia" w:ascii="宋体" w:hAnsi="宋体"/>
          <w:color w:val="000000"/>
          <w:szCs w:val="21"/>
        </w:rPr>
        <w:t>3.项目联系方式</w:t>
      </w:r>
    </w:p>
    <w:p w14:paraId="1BBFE89F">
      <w:pPr>
        <w:spacing w:line="360" w:lineRule="auto"/>
        <w:ind w:firstLine="735" w:firstLineChars="350"/>
        <w:rPr>
          <w:rFonts w:hint="eastAsia" w:ascii="宋体" w:hAnsi="宋体"/>
          <w:color w:val="000000"/>
          <w:szCs w:val="21"/>
        </w:rPr>
      </w:pPr>
      <w:r>
        <w:rPr>
          <w:rFonts w:hint="eastAsia" w:ascii="宋体" w:hAnsi="宋体"/>
          <w:color w:val="000000"/>
          <w:szCs w:val="21"/>
        </w:rPr>
        <w:t>项目联系人：</w:t>
      </w:r>
      <w:r>
        <w:rPr>
          <w:rFonts w:hint="eastAsia" w:ascii="宋体" w:hAnsi="宋体"/>
          <w:color w:val="000000"/>
          <w:szCs w:val="21"/>
          <w:u w:val="single"/>
          <w:lang w:eastAsia="zh-CN"/>
        </w:rPr>
        <w:t>覃工</w:t>
      </w:r>
      <w:r>
        <w:rPr>
          <w:rFonts w:hint="eastAsia" w:ascii="宋体" w:hAnsi="宋体"/>
          <w:color w:val="000000"/>
          <w:szCs w:val="21"/>
          <w:u w:val="single"/>
        </w:rPr>
        <w:t xml:space="preserve"> </w:t>
      </w:r>
    </w:p>
    <w:p w14:paraId="54FAC45F">
      <w:pPr>
        <w:spacing w:line="360" w:lineRule="auto"/>
        <w:ind w:firstLine="735" w:firstLineChars="350"/>
        <w:rPr>
          <w:rFonts w:hint="eastAsia" w:ascii="宋体" w:hAnsi="宋体"/>
          <w:color w:val="000000"/>
          <w:szCs w:val="21"/>
        </w:rPr>
      </w:pPr>
      <w:r>
        <w:rPr>
          <w:rFonts w:hint="eastAsia" w:ascii="宋体" w:hAnsi="宋体"/>
          <w:color w:val="000000"/>
          <w:szCs w:val="21"/>
        </w:rPr>
        <w:t>电    话：</w:t>
      </w:r>
      <w:r>
        <w:rPr>
          <w:rFonts w:hint="eastAsia" w:ascii="宋体" w:hAnsi="宋体"/>
          <w:color w:val="000000"/>
          <w:szCs w:val="21"/>
          <w:u w:val="single"/>
        </w:rPr>
        <w:t xml:space="preserve"> </w:t>
      </w:r>
      <w:r>
        <w:rPr>
          <w:rFonts w:hint="eastAsia" w:ascii="宋体" w:hAnsi="宋体"/>
          <w:color w:val="000000"/>
          <w:szCs w:val="21"/>
          <w:u w:val="single"/>
          <w:lang w:val="en-US" w:eastAsia="zh-CN"/>
        </w:rPr>
        <w:t>0771-5280359</w:t>
      </w:r>
      <w:r>
        <w:rPr>
          <w:rFonts w:hint="eastAsia" w:ascii="宋体" w:hAnsi="宋体"/>
          <w:color w:val="000000"/>
          <w:szCs w:val="21"/>
          <w:u w:val="single"/>
        </w:rPr>
        <w:t xml:space="preserve">  </w:t>
      </w:r>
    </w:p>
    <w:p w14:paraId="36607E6C">
      <w:pPr>
        <w:spacing w:line="360" w:lineRule="auto"/>
        <w:ind w:firstLine="420" w:firstLineChars="200"/>
        <w:rPr>
          <w:rFonts w:hint="eastAsia" w:ascii="宋体" w:hAnsi="宋体"/>
          <w:color w:val="000000"/>
          <w:szCs w:val="21"/>
        </w:rPr>
      </w:pPr>
    </w:p>
    <w:p w14:paraId="2B199213">
      <w:pPr>
        <w:pStyle w:val="7"/>
        <w:spacing w:line="360" w:lineRule="auto"/>
        <w:ind w:firstLine="420" w:firstLineChars="200"/>
        <w:rPr>
          <w:rFonts w:hint="eastAsia"/>
        </w:rPr>
      </w:pPr>
      <w:r>
        <w:rPr>
          <w:rFonts w:hint="eastAsia" w:ascii="宋体" w:hAnsi="宋体"/>
          <w:color w:val="000000"/>
          <w:szCs w:val="21"/>
        </w:rPr>
        <w:t>附件： 1.CA证书申请方式及操作指南下载地址（登陆</w:t>
      </w:r>
      <w:r>
        <w:fldChar w:fldCharType="begin"/>
      </w:r>
      <w:r>
        <w:instrText xml:space="preserve"> HYPERLINK "http://nncz.nanning.gov.cn/" </w:instrText>
      </w:r>
      <w:r>
        <w:fldChar w:fldCharType="separate"/>
      </w:r>
      <w:r>
        <w:rPr>
          <w:rStyle w:val="22"/>
        </w:rPr>
        <w:t>http://nncz.nanning.gov.cn/</w:t>
      </w:r>
      <w:r>
        <w:fldChar w:fldCharType="end"/>
      </w:r>
      <w:r>
        <w:rPr>
          <w:rFonts w:hint="eastAsia"/>
        </w:rPr>
        <w:t>（南宁市财政局官网）</w:t>
      </w:r>
      <w:r>
        <w:t>-</w:t>
      </w:r>
      <w:r>
        <w:rPr>
          <w:rFonts w:hint="eastAsia"/>
        </w:rPr>
        <w:t>业务专题-政府采购监督管理-资料下载</w:t>
      </w:r>
      <w:r>
        <w:t>-</w:t>
      </w:r>
      <w:r>
        <w:rPr>
          <w:rFonts w:hint="eastAsia"/>
        </w:rPr>
        <w:t>“广西政采云西部</w:t>
      </w:r>
      <w:r>
        <w:t>CA</w:t>
      </w:r>
      <w:r>
        <w:rPr>
          <w:rFonts w:hint="eastAsia"/>
        </w:rPr>
        <w:t>办理方式”或“南宁市政采云</w:t>
      </w:r>
      <w:r>
        <w:t>CA</w:t>
      </w:r>
      <w:r>
        <w:rPr>
          <w:rFonts w:hint="eastAsia"/>
        </w:rPr>
        <w:t>证书办理操作指南”</w:t>
      </w:r>
      <w:r>
        <w:rPr>
          <w:rFonts w:hint="eastAsia" w:ascii="宋体" w:hAnsi="宋体"/>
          <w:color w:val="000000"/>
          <w:szCs w:val="21"/>
        </w:rPr>
        <w:t>）</w:t>
      </w:r>
    </w:p>
    <w:p w14:paraId="73966A90">
      <w:pPr>
        <w:pStyle w:val="7"/>
        <w:spacing w:line="360" w:lineRule="auto"/>
        <w:ind w:firstLine="420" w:firstLineChars="200"/>
        <w:rPr>
          <w:rFonts w:ascii="宋体" w:hAnsi="宋体"/>
          <w:color w:val="000000"/>
          <w:szCs w:val="21"/>
        </w:rPr>
      </w:pPr>
      <w:r>
        <w:rPr>
          <w:rFonts w:hint="eastAsia" w:ascii="宋体" w:hAnsi="宋体"/>
          <w:color w:val="000000"/>
          <w:szCs w:val="21"/>
        </w:rPr>
        <w:t>2.电子投标文件制作与投送教程（在此网址下载：</w:t>
      </w:r>
      <w:r>
        <w:fldChar w:fldCharType="begin"/>
      </w:r>
      <w:r>
        <w:instrText xml:space="preserve"> HYPERLINK "http://nncz.nanning.gov.cn/" </w:instrText>
      </w:r>
      <w:r>
        <w:fldChar w:fldCharType="separate"/>
      </w:r>
      <w:r>
        <w:rPr>
          <w:rStyle w:val="22"/>
        </w:rPr>
        <w:t>http://nncz.nanning.gov.cn/</w:t>
      </w:r>
      <w:r>
        <w:fldChar w:fldCharType="end"/>
      </w:r>
      <w:r>
        <w:rPr>
          <w:rFonts w:hint="eastAsia"/>
        </w:rPr>
        <w:t>（南宁市财政局官网）</w:t>
      </w:r>
      <w:r>
        <w:t>-</w:t>
      </w:r>
      <w:r>
        <w:rPr>
          <w:rFonts w:hint="eastAsia"/>
        </w:rPr>
        <w:t>业务专题-政府采购监督管理-资料下载-南宁市政府采购项目全流程电子化交易操作指南</w:t>
      </w:r>
      <w:r>
        <w:rPr>
          <w:rFonts w:hint="eastAsia" w:ascii="宋体" w:hAnsi="宋体"/>
          <w:color w:val="000000"/>
          <w:szCs w:val="21"/>
        </w:rPr>
        <w:t>）</w:t>
      </w:r>
    </w:p>
    <w:p w14:paraId="1E599EDA">
      <w:pPr>
        <w:spacing w:line="360" w:lineRule="auto"/>
        <w:ind w:firstLine="420" w:firstLineChars="200"/>
        <w:jc w:val="right"/>
        <w:rPr>
          <w:rFonts w:hint="eastAsia" w:ascii="宋体" w:hAnsi="宋体"/>
          <w:color w:val="000000"/>
          <w:szCs w:val="21"/>
          <w:u w:val="single"/>
          <w:lang w:eastAsia="zh-CN"/>
        </w:rPr>
      </w:pPr>
      <w:r>
        <w:rPr>
          <w:rFonts w:hint="eastAsia" w:ascii="宋体" w:hAnsi="宋体"/>
          <w:color w:val="000000"/>
          <w:szCs w:val="21"/>
          <w:u w:val="single"/>
          <w:lang w:eastAsia="zh-CN"/>
        </w:rPr>
        <w:t>上林县政府集中采购中心</w:t>
      </w:r>
    </w:p>
    <w:p w14:paraId="655C581C">
      <w:pPr>
        <w:spacing w:line="360" w:lineRule="auto"/>
        <w:ind w:firstLine="420" w:firstLineChars="200"/>
        <w:jc w:val="right"/>
        <w:rPr>
          <w:rFonts w:hint="eastAsia" w:ascii="宋体" w:hAnsi="宋体"/>
          <w:sz w:val="32"/>
          <w:szCs w:val="32"/>
        </w:rPr>
      </w:pPr>
      <w:r>
        <w:rPr>
          <w:rFonts w:hint="eastAsia" w:ascii="宋体" w:hAnsi="宋体"/>
          <w:color w:val="000000"/>
          <w:szCs w:val="21"/>
          <w:u w:val="single"/>
          <w:lang w:val="en-US" w:eastAsia="zh-CN"/>
        </w:rPr>
        <w:t>2026</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u w:val="single"/>
          <w:lang w:val="en-US" w:eastAsia="zh-CN"/>
        </w:rPr>
        <w:t>03</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u w:val="single"/>
          <w:lang w:val="en-US" w:eastAsia="zh-CN"/>
        </w:rPr>
        <w:t>30</w:t>
      </w:r>
      <w:r>
        <w:rPr>
          <w:rFonts w:hint="eastAsia" w:ascii="宋体" w:hAnsi="宋体"/>
          <w:color w:val="000000"/>
          <w:szCs w:val="21"/>
        </w:rPr>
        <w:t>日</w:t>
      </w:r>
      <w:r>
        <w:rPr>
          <w:rFonts w:hint="eastAsia" w:ascii="宋体" w:hAnsi="宋体"/>
          <w:sz w:val="32"/>
          <w:szCs w:val="32"/>
        </w:rPr>
        <w:br w:type="page"/>
      </w:r>
    </w:p>
    <w:p w14:paraId="60A73D86">
      <w:pPr>
        <w:pStyle w:val="2"/>
        <w:jc w:val="center"/>
        <w:rPr>
          <w:rFonts w:hint="eastAsia"/>
        </w:rPr>
      </w:pPr>
      <w:bookmarkStart w:id="33" w:name="_Toc80886926"/>
      <w:r>
        <w:rPr>
          <w:rFonts w:hint="eastAsia" w:ascii="Cambria" w:hAnsi="Cambria"/>
          <w:bCs w:val="0"/>
          <w:sz w:val="32"/>
          <w:szCs w:val="32"/>
        </w:rPr>
        <w:t>第二章</w:t>
      </w:r>
      <w:r>
        <w:rPr>
          <w:rFonts w:ascii="Cambria" w:hAnsi="Cambria"/>
          <w:bCs w:val="0"/>
          <w:sz w:val="32"/>
          <w:szCs w:val="32"/>
        </w:rPr>
        <w:t xml:space="preserve"> </w:t>
      </w:r>
      <w:r>
        <w:rPr>
          <w:rFonts w:hint="eastAsia" w:ascii="Cambria" w:hAnsi="Cambria"/>
          <w:bCs w:val="0"/>
          <w:sz w:val="32"/>
          <w:szCs w:val="32"/>
        </w:rPr>
        <w:t>采购需求</w:t>
      </w:r>
      <w:bookmarkEnd w:id="33"/>
    </w:p>
    <w:p w14:paraId="6AEAA1E9">
      <w:pPr>
        <w:spacing w:line="420" w:lineRule="exact"/>
        <w:jc w:val="left"/>
        <w:rPr>
          <w:rFonts w:ascii="宋体" w:hAnsi="宋体" w:cs="宋体"/>
          <w:szCs w:val="21"/>
        </w:rPr>
      </w:pPr>
      <w:r>
        <w:rPr>
          <w:rFonts w:hint="eastAsia" w:ascii="宋体" w:hAnsi="宋体" w:cs="宋体"/>
          <w:szCs w:val="21"/>
        </w:rPr>
        <w:t>说明：</w:t>
      </w:r>
    </w:p>
    <w:p w14:paraId="663145A1">
      <w:pPr>
        <w:numPr>
          <w:ilvl w:val="0"/>
          <w:numId w:val="2"/>
        </w:numPr>
        <w:spacing w:line="420" w:lineRule="exact"/>
        <w:ind w:firstLine="420" w:firstLineChars="200"/>
        <w:jc w:val="left"/>
        <w:rPr>
          <w:rFonts w:hint="eastAsia"/>
        </w:rPr>
      </w:pPr>
      <w:r>
        <w:rPr>
          <w:rFonts w:hint="eastAsia"/>
        </w:rPr>
        <w:t>为落实政府采购政策需满足的要求</w:t>
      </w:r>
      <w:r>
        <w:rPr>
          <w:rFonts w:hint="eastAsia"/>
          <w:lang w:val="en-US" w:eastAsia="zh-CN"/>
        </w:rPr>
        <w:t>。</w:t>
      </w:r>
    </w:p>
    <w:p w14:paraId="46A843DC">
      <w:pPr>
        <w:numPr>
          <w:ilvl w:val="0"/>
          <w:numId w:val="2"/>
        </w:numPr>
        <w:spacing w:line="420" w:lineRule="exact"/>
        <w:ind w:firstLine="420" w:firstLineChars="200"/>
        <w:jc w:val="left"/>
        <w:rPr>
          <w:rFonts w:hint="eastAsia" w:ascii="宋体" w:hAnsi="宋体" w:cs="宋体"/>
          <w:szCs w:val="21"/>
        </w:rPr>
      </w:pPr>
      <w:r>
        <w:rPr>
          <w:rFonts w:hint="eastAsia" w:ascii="宋体" w:hAnsi="宋体" w:cs="宋体"/>
          <w:szCs w:val="21"/>
        </w:rPr>
        <w:t>（1）本竞争性磋商采购文件所称中小企业必须符合《政府采购促进中小企业发展管理办法》（财库〔2020〕46号）的规定。</w:t>
      </w:r>
    </w:p>
    <w:p w14:paraId="787CB05C">
      <w:pPr>
        <w:tabs>
          <w:tab w:val="left" w:pos="180"/>
          <w:tab w:val="left" w:pos="1620"/>
        </w:tabs>
        <w:spacing w:line="420" w:lineRule="exact"/>
        <w:ind w:firstLine="420" w:firstLineChars="200"/>
        <w:rPr>
          <w:rFonts w:hint="eastAsia" w:ascii="宋体" w:hAnsi="宋体" w:cs="宋体"/>
          <w:b/>
          <w:bCs/>
          <w:szCs w:val="21"/>
        </w:rPr>
      </w:pPr>
      <w:r>
        <w:rPr>
          <w:rFonts w:hint="eastAsia" w:ascii="宋体" w:hAnsi="宋体" w:cs="宋体"/>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扫描件（加盖供应商公章），否则响应文件作无效处理。如本项目包含的配套货物属于品目清单内非标注“★”的产品时，应优先采购，具体详见“第四章 评审程序和评定成交的标准”。</w:t>
      </w:r>
    </w:p>
    <w:p w14:paraId="694E7C13">
      <w:pPr>
        <w:spacing w:line="420" w:lineRule="exact"/>
        <w:ind w:firstLine="420" w:firstLineChars="200"/>
        <w:jc w:val="left"/>
        <w:rPr>
          <w:rFonts w:hint="eastAsia" w:ascii="宋体" w:hAnsi="宋体" w:cs="宋体"/>
          <w:szCs w:val="21"/>
        </w:rPr>
      </w:pPr>
      <w:r>
        <w:rPr>
          <w:rFonts w:hint="eastAsia" w:ascii="宋体" w:hAnsi="宋体" w:cs="宋体"/>
          <w:szCs w:val="21"/>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14:paraId="27B3F04F">
      <w:pPr>
        <w:spacing w:line="420" w:lineRule="exact"/>
        <w:ind w:firstLine="424" w:firstLineChars="202"/>
        <w:jc w:val="left"/>
        <w:rPr>
          <w:rFonts w:hint="eastAsia" w:ascii="宋体" w:hAnsi="宋体" w:cs="宋体"/>
          <w:szCs w:val="21"/>
        </w:rPr>
      </w:pPr>
      <w:r>
        <w:rPr>
          <w:rFonts w:hint="eastAsia" w:ascii="宋体" w:hAnsi="宋体" w:cs="宋体"/>
          <w:szCs w:val="21"/>
        </w:rPr>
        <w:t>……</w:t>
      </w:r>
    </w:p>
    <w:p w14:paraId="44130055">
      <w:pPr>
        <w:spacing w:line="420" w:lineRule="exact"/>
        <w:ind w:firstLine="413" w:firstLineChars="196"/>
        <w:rPr>
          <w:rFonts w:hint="eastAsia" w:ascii="宋体" w:hAnsi="宋体" w:cs="宋体"/>
          <w:b/>
          <w:bCs/>
          <w:szCs w:val="21"/>
        </w:rPr>
      </w:pPr>
      <w:r>
        <w:rPr>
          <w:rFonts w:hint="eastAsia" w:ascii="宋体" w:hAnsi="宋体" w:cs="宋体"/>
          <w:b/>
          <w:bCs/>
          <w:szCs w:val="21"/>
        </w:rPr>
        <w:t>2.“实质性要求”是指采购需求中带“▲”的条款或者不能负偏离的条款或者已经指明不满足按响应文件作无效处理的条款。</w:t>
      </w:r>
    </w:p>
    <w:p w14:paraId="3B21416A">
      <w:pPr>
        <w:pStyle w:val="7"/>
        <w:spacing w:line="420" w:lineRule="exact"/>
        <w:ind w:firstLine="420" w:firstLineChars="200"/>
        <w:rPr>
          <w:rFonts w:hint="eastAsia" w:ascii="宋体" w:hAnsi="宋体" w:cs="宋体"/>
          <w:szCs w:val="21"/>
          <w:lang w:val="en-US" w:eastAsia="zh-CN"/>
        </w:rPr>
      </w:pPr>
      <w:r>
        <w:rPr>
          <w:rFonts w:hint="eastAsia" w:ascii="宋体" w:hAnsi="宋体" w:cs="宋体"/>
          <w:szCs w:val="21"/>
        </w:rPr>
        <w:t>3.</w:t>
      </w:r>
      <w:r>
        <w:rPr>
          <w:rFonts w:hint="eastAsia" w:ascii="宋体" w:hAnsi="宋体" w:cs="宋体"/>
          <w:szCs w:val="21"/>
          <w:lang w:val="en-US" w:eastAsia="zh-CN"/>
        </w:rPr>
        <w:t xml:space="preserve"> 不需要供应商对采购需求响应为具体数值的，此采购需求的数值后将以◆号标注。</w:t>
      </w:r>
    </w:p>
    <w:p w14:paraId="7D62F992">
      <w:pPr>
        <w:spacing w:line="360" w:lineRule="auto"/>
        <w:ind w:firstLine="420" w:firstLineChars="200"/>
        <w:jc w:val="left"/>
        <w:rPr>
          <w:rFonts w:hint="eastAsia"/>
        </w:rPr>
      </w:pPr>
      <w:r>
        <w:rPr>
          <w:rFonts w:hint="eastAsia"/>
        </w:rPr>
        <w:t>4.如投标人投标产品存在侵犯他人的知识产权或者专利成果行为的，应承担相应法律责任。</w:t>
      </w:r>
    </w:p>
    <w:p w14:paraId="09B911C7">
      <w:pPr>
        <w:spacing w:line="360" w:lineRule="auto"/>
        <w:ind w:firstLine="420" w:firstLineChars="200"/>
        <w:jc w:val="left"/>
        <w:rPr>
          <w:rFonts w:hint="default" w:eastAsia="宋体"/>
          <w:u w:val="none"/>
          <w:lang w:val="en-US" w:eastAsia="zh-CN"/>
        </w:rPr>
      </w:pPr>
      <w:r>
        <w:rPr>
          <w:rFonts w:hint="eastAsia"/>
          <w:lang w:val="en-US" w:eastAsia="zh-CN"/>
        </w:rPr>
        <w:t>5.本项目</w:t>
      </w:r>
      <w:r>
        <w:rPr>
          <w:rFonts w:hint="eastAsia"/>
        </w:rPr>
        <w:t>中小企业划分标准所属行业名称</w:t>
      </w:r>
      <w:r>
        <w:rPr>
          <w:rFonts w:hint="eastAsia"/>
          <w:lang w:val="en-US" w:eastAsia="zh-CN"/>
        </w:rPr>
        <w:t>：</w:t>
      </w:r>
      <w:r>
        <w:rPr>
          <w:rFonts w:hint="eastAsia"/>
          <w:u w:val="single"/>
          <w:lang w:val="en-US" w:eastAsia="zh-CN"/>
        </w:rPr>
        <w:t>物业管理</w:t>
      </w:r>
      <w:r>
        <w:rPr>
          <w:rFonts w:hint="eastAsia"/>
          <w:u w:val="none"/>
          <w:lang w:val="en-US" w:eastAsia="zh-CN"/>
        </w:rPr>
        <w:t>（详</w:t>
      </w:r>
      <w:r>
        <w:rPr>
          <w:rFonts w:hint="eastAsia"/>
          <w:u w:val="none"/>
        </w:rPr>
        <w:t>见本章附件</w:t>
      </w:r>
      <w:r>
        <w:rPr>
          <w:u w:val="none"/>
        </w:rPr>
        <w:t>2</w:t>
      </w:r>
      <w:r>
        <w:rPr>
          <w:rFonts w:hint="eastAsia"/>
          <w:u w:val="none"/>
          <w:lang w:val="en-US" w:eastAsia="zh-CN"/>
        </w:rPr>
        <w:t>）</w:t>
      </w:r>
    </w:p>
    <w:p w14:paraId="2FE5FFCF">
      <w:pPr>
        <w:tabs>
          <w:tab w:val="left" w:pos="180"/>
          <w:tab w:val="left" w:pos="1620"/>
        </w:tabs>
        <w:spacing w:line="360" w:lineRule="auto"/>
        <w:ind w:firstLine="482" w:firstLineChars="200"/>
        <w:rPr>
          <w:rFonts w:ascii="宋体" w:hAnsi="宋体" w:cs="宋体"/>
          <w:b/>
          <w:bCs/>
          <w:sz w:val="24"/>
        </w:rPr>
      </w:pPr>
      <w:r>
        <w:rPr>
          <w:rFonts w:hint="eastAsia" w:ascii="宋体" w:hAnsi="宋体" w:cs="宋体"/>
          <w:b/>
          <w:bCs/>
          <w:sz w:val="24"/>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58"/>
        <w:gridCol w:w="334"/>
        <w:gridCol w:w="917"/>
        <w:gridCol w:w="475"/>
        <w:gridCol w:w="475"/>
        <w:gridCol w:w="5123"/>
        <w:gridCol w:w="1064"/>
      </w:tblGrid>
      <w:tr w14:paraId="2539B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0" w:type="auto"/>
            <w:gridSpan w:val="7"/>
            <w:tcBorders>
              <w:top w:val="single" w:color="auto" w:sz="4" w:space="0"/>
              <w:left w:val="single" w:color="auto" w:sz="4" w:space="0"/>
              <w:bottom w:val="nil"/>
              <w:right w:val="single" w:color="auto" w:sz="4" w:space="0"/>
            </w:tcBorders>
            <w:noWrap w:val="0"/>
            <w:vAlign w:val="center"/>
          </w:tcPr>
          <w:p w14:paraId="27FA1C1F">
            <w:pPr>
              <w:spacing w:line="320" w:lineRule="exact"/>
              <w:jc w:val="center"/>
              <w:rPr>
                <w:rFonts w:hint="eastAsia" w:ascii="宋体" w:hAnsi="宋体" w:cs="宋体"/>
                <w:b/>
                <w:sz w:val="24"/>
              </w:rPr>
            </w:pPr>
            <w:r>
              <w:rPr>
                <w:rFonts w:hint="eastAsia" w:ascii="仿宋_GB2312" w:hAnsi="宋体" w:eastAsia="仿宋_GB2312" w:cs="Arial"/>
                <w:b/>
                <w:color w:val="000000"/>
                <w:sz w:val="32"/>
                <w:szCs w:val="32"/>
              </w:rPr>
              <w:t>服务需求一览表</w:t>
            </w:r>
          </w:p>
        </w:tc>
      </w:tr>
      <w:tr w14:paraId="424AD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0" w:type="auto"/>
            <w:vMerge w:val="restart"/>
            <w:tcBorders>
              <w:top w:val="single" w:color="auto" w:sz="4" w:space="0"/>
              <w:left w:val="single" w:color="auto" w:sz="4" w:space="0"/>
              <w:bottom w:val="single" w:color="auto" w:sz="4" w:space="0"/>
              <w:right w:val="single" w:color="auto" w:sz="4" w:space="0"/>
            </w:tcBorders>
            <w:noWrap w:val="0"/>
            <w:vAlign w:val="top"/>
          </w:tcPr>
          <w:p w14:paraId="7DBEBE24">
            <w:pPr>
              <w:jc w:val="center"/>
              <w:rPr>
                <w:rFonts w:ascii="宋体" w:hAnsi="宋体" w:cs="宋体"/>
                <w:sz w:val="24"/>
              </w:rPr>
            </w:pPr>
            <w:r>
              <w:rPr>
                <w:rFonts w:hint="eastAsia" w:ascii="宋体" w:hAnsi="宋体" w:cs="宋体"/>
              </w:rPr>
              <w:t>采购清单及技术参数</w:t>
            </w:r>
          </w:p>
        </w:tc>
        <w:tc>
          <w:tcPr>
            <w:tcW w:w="0" w:type="auto"/>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6BC19F2">
            <w:pPr>
              <w:jc w:val="center"/>
              <w:rPr>
                <w:rFonts w:hint="eastAsia" w:ascii="宋体" w:hAnsi="宋体" w:cs="宋体"/>
                <w:sz w:val="24"/>
              </w:rPr>
            </w:pPr>
            <w:r>
              <w:rPr>
                <w:rFonts w:hint="eastAsia" w:ascii="宋体" w:hAnsi="宋体" w:cs="宋体"/>
                <w:sz w:val="24"/>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71F2E1B">
            <w:pPr>
              <w:jc w:val="center"/>
              <w:rPr>
                <w:rFonts w:hint="eastAsia" w:ascii="宋体" w:hAnsi="宋体" w:cs="宋体"/>
                <w:sz w:val="24"/>
              </w:rPr>
            </w:pPr>
            <w:r>
              <w:rPr>
                <w:rFonts w:hint="eastAsia" w:ascii="宋体" w:hAnsi="宋体" w:cs="宋体"/>
                <w:sz w:val="24"/>
              </w:rPr>
              <w:t>标的的名称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BE1985E">
            <w:pPr>
              <w:jc w:val="center"/>
              <w:rPr>
                <w:rFonts w:hint="eastAsia" w:ascii="宋体" w:hAnsi="宋体" w:cs="宋体"/>
                <w:sz w:val="24"/>
              </w:rPr>
            </w:pPr>
            <w:r>
              <w:rPr>
                <w:rFonts w:hint="eastAsia" w:ascii="宋体" w:hAnsi="宋体" w:cs="宋体"/>
                <w:sz w:val="24"/>
              </w:rPr>
              <w:t>单位</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E8CBCE9">
            <w:pPr>
              <w:jc w:val="center"/>
              <w:rPr>
                <w:rFonts w:hint="eastAsia" w:ascii="宋体" w:hAnsi="宋体" w:cs="宋体"/>
                <w:sz w:val="24"/>
              </w:rPr>
            </w:pPr>
            <w:r>
              <w:rPr>
                <w:rFonts w:hint="eastAsia" w:ascii="宋体" w:hAnsi="宋体" w:cs="宋体"/>
                <w:sz w:val="24"/>
              </w:rPr>
              <w:t>数量</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246513B">
            <w:pPr>
              <w:jc w:val="center"/>
              <w:rPr>
                <w:rFonts w:hint="eastAsia" w:ascii="宋体" w:hAnsi="宋体" w:cs="宋体"/>
                <w:sz w:val="24"/>
              </w:rPr>
            </w:pPr>
            <w:r>
              <w:rPr>
                <w:rFonts w:hint="eastAsia" w:ascii="宋体" w:hAnsi="宋体" w:cs="宋体"/>
                <w:sz w:val="24"/>
              </w:rPr>
              <w:t>服务参数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44FADA4">
            <w:pPr>
              <w:jc w:val="center"/>
              <w:rPr>
                <w:rFonts w:hint="eastAsia" w:ascii="宋体" w:hAnsi="宋体" w:cs="宋体"/>
                <w:sz w:val="24"/>
              </w:rPr>
            </w:pPr>
            <w:r>
              <w:rPr>
                <w:rFonts w:hint="eastAsia" w:ascii="宋体" w:hAnsi="宋体" w:cs="宋体"/>
                <w:sz w:val="24"/>
              </w:rPr>
              <w:t>分项预算合计（元）</w:t>
            </w:r>
          </w:p>
        </w:tc>
      </w:tr>
      <w:tr w14:paraId="5A2E9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6F0953A">
            <w:pPr>
              <w:widowControl/>
              <w:jc w:val="left"/>
              <w:rPr>
                <w:rFonts w:ascii="宋体" w:hAnsi="宋体" w:cs="宋体"/>
                <w:sz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234C1D8">
            <w:pPr>
              <w:spacing w:line="240" w:lineRule="exact"/>
              <w:jc w:val="center"/>
              <w:rPr>
                <w:rFonts w:hint="eastAsia" w:ascii="宋体" w:hAnsi="宋体"/>
                <w:szCs w:val="21"/>
              </w:rPr>
            </w:pPr>
            <w:r>
              <w:rPr>
                <w:rFonts w:hint="eastAsia"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AA17386">
            <w:pPr>
              <w:spacing w:line="360" w:lineRule="auto"/>
              <w:rPr>
                <w:rFonts w:hint="eastAsia" w:ascii="宋体" w:hAnsi="宋体" w:eastAsia="宋体"/>
                <w:szCs w:val="21"/>
                <w:lang w:eastAsia="zh-CN"/>
              </w:rPr>
            </w:pPr>
            <w:r>
              <w:rPr>
                <w:rFonts w:hint="eastAsia" w:ascii="宋体" w:hAnsi="宋体"/>
                <w:szCs w:val="21"/>
                <w:lang w:eastAsia="zh-CN"/>
              </w:rPr>
              <w:t>上林县委县政府机关大院物业服务项目(重)</w:t>
            </w:r>
          </w:p>
          <w:p w14:paraId="0B152289">
            <w:pPr>
              <w:spacing w:line="260" w:lineRule="exact"/>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88ED940">
            <w:pPr>
              <w:spacing w:line="260" w:lineRule="exact"/>
              <w:jc w:val="center"/>
              <w:rPr>
                <w:rFonts w:hint="eastAsia" w:ascii="宋体" w:hAnsi="宋体" w:eastAsia="宋体"/>
                <w:szCs w:val="21"/>
                <w:lang w:eastAsia="zh-CN"/>
              </w:rPr>
            </w:pPr>
            <w:r>
              <w:rPr>
                <w:rFonts w:hint="eastAsia" w:ascii="宋体" w:hAnsi="宋体"/>
                <w:szCs w:val="21"/>
                <w:lang w:eastAsia="zh-CN"/>
              </w:rPr>
              <w:t>年</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45BBF30">
            <w:pPr>
              <w:spacing w:line="260" w:lineRule="exact"/>
              <w:jc w:val="center"/>
              <w:rPr>
                <w:rFonts w:hint="eastAsia" w:ascii="宋体" w:hAnsi="宋体" w:eastAsia="宋体"/>
                <w:szCs w:val="21"/>
                <w:lang w:val="en-US" w:eastAsia="zh-CN"/>
              </w:rPr>
            </w:pPr>
            <w:r>
              <w:rPr>
                <w:rFonts w:hint="eastAsia" w:ascii="宋体" w:hAnsi="宋体"/>
                <w:szCs w:val="21"/>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0"/>
            <w:vAlign w:val="top"/>
          </w:tcPr>
          <w:p w14:paraId="318A7EAD">
            <w:pPr>
              <w:widowControl/>
              <w:kinsoku w:val="0"/>
              <w:autoSpaceDE w:val="0"/>
              <w:autoSpaceDN w:val="0"/>
              <w:adjustRightInd w:val="0"/>
              <w:snapToGrid w:val="0"/>
              <w:spacing w:line="500" w:lineRule="exact"/>
              <w:ind w:firstLine="418" w:firstLineChars="200"/>
              <w:textAlignment w:val="baseline"/>
              <w:rPr>
                <w:rFonts w:cs="CESI仿宋-GB2312"/>
                <w:b/>
                <w:bCs/>
                <w:spacing w:val="-1"/>
                <w:szCs w:val="21"/>
              </w:rPr>
            </w:pPr>
            <w:bookmarkStart w:id="34" w:name="_Toc193963300"/>
            <w:r>
              <w:rPr>
                <w:rFonts w:cs="CESI仿宋-GB2312"/>
                <w:b/>
                <w:bCs/>
                <w:spacing w:val="-1"/>
                <w:szCs w:val="21"/>
              </w:rPr>
              <w:t>1.</w:t>
            </w:r>
            <w:r>
              <w:rPr>
                <w:rFonts w:hint="eastAsia" w:cs="CESI仿宋-GB2312"/>
                <w:b/>
                <w:bCs/>
                <w:spacing w:val="-1"/>
                <w:szCs w:val="21"/>
              </w:rPr>
              <w:t>项目基本情况</w:t>
            </w:r>
            <w:bookmarkEnd w:id="34"/>
          </w:p>
          <w:p w14:paraId="5D80F45D">
            <w:pPr>
              <w:widowControl/>
              <w:kinsoku w:val="0"/>
              <w:autoSpaceDE w:val="0"/>
              <w:autoSpaceDN w:val="0"/>
              <w:adjustRightInd w:val="0"/>
              <w:snapToGrid w:val="0"/>
              <w:spacing w:line="500" w:lineRule="exact"/>
              <w:ind w:firstLine="418" w:firstLineChars="200"/>
              <w:textAlignment w:val="baseline"/>
              <w:rPr>
                <w:rFonts w:cs="CESI仿宋-GB2312"/>
                <w:b/>
                <w:bCs/>
                <w:spacing w:val="-1"/>
                <w:szCs w:val="21"/>
              </w:rPr>
            </w:pPr>
            <w:bookmarkStart w:id="35" w:name="_Toc193963301"/>
            <w:r>
              <w:rPr>
                <w:rFonts w:cs="CESI仿宋-GB2312"/>
                <w:b/>
                <w:bCs/>
                <w:spacing w:val="-1"/>
                <w:szCs w:val="21"/>
              </w:rPr>
              <w:t>1.1</w:t>
            </w:r>
            <w:r>
              <w:rPr>
                <w:rFonts w:hint="eastAsia" w:cs="CESI仿宋-GB2312"/>
                <w:b/>
                <w:bCs/>
                <w:spacing w:val="-1"/>
                <w:szCs w:val="21"/>
              </w:rPr>
              <w:t>物业服务范围</w:t>
            </w:r>
            <w:bookmarkEnd w:id="35"/>
          </w:p>
          <w:p w14:paraId="55E01075">
            <w:pPr>
              <w:widowControl/>
              <w:spacing w:line="500" w:lineRule="exact"/>
              <w:ind w:firstLine="416" w:firstLineChars="200"/>
              <w:rPr>
                <w:rFonts w:hint="default" w:eastAsia="宋体" w:cs="CESI仿宋-GB2312"/>
                <w:color w:val="FF0000"/>
                <w:spacing w:val="-1"/>
                <w:szCs w:val="21"/>
                <w:lang w:val="en-US" w:eastAsia="zh-CN"/>
              </w:rPr>
            </w:pPr>
            <w:bookmarkStart w:id="36" w:name="OLE_LINK19"/>
            <w:bookmarkStart w:id="37" w:name="OLE_LINK18"/>
            <w:r>
              <w:rPr>
                <w:rFonts w:hint="eastAsia" w:cs="CESI仿宋-GB2312"/>
                <w:spacing w:val="-1"/>
                <w:szCs w:val="21"/>
              </w:rPr>
              <w:t>1.1.1</w:t>
            </w:r>
            <w:r>
              <w:rPr>
                <w:rFonts w:hint="eastAsia" w:cs="CESI仿宋-GB2312"/>
                <w:spacing w:val="-1"/>
                <w:szCs w:val="21"/>
                <w:lang w:val="en-US" w:eastAsia="zh-CN"/>
              </w:rPr>
              <w:t>上林县委县政府大院内</w:t>
            </w:r>
            <w:r>
              <w:rPr>
                <w:rFonts w:hint="eastAsia" w:cs="CESI仿宋-GB2312"/>
                <w:spacing w:val="-1"/>
                <w:szCs w:val="21"/>
              </w:rPr>
              <w:t>办公</w:t>
            </w:r>
            <w:r>
              <w:rPr>
                <w:rFonts w:hint="eastAsia" w:cs="CESI仿宋-GB2312"/>
                <w:spacing w:val="-1"/>
                <w:szCs w:val="21"/>
                <w:lang w:val="en-US" w:eastAsia="zh-CN"/>
              </w:rPr>
              <w:t>区域</w:t>
            </w:r>
            <w:r>
              <w:rPr>
                <w:rFonts w:hint="eastAsia" w:cs="CESI仿宋-GB2312"/>
                <w:spacing w:val="-1"/>
                <w:szCs w:val="21"/>
              </w:rPr>
              <w:t>（</w:t>
            </w:r>
            <w:r>
              <w:rPr>
                <w:rFonts w:hint="eastAsia" w:cs="CESI仿宋-GB2312"/>
                <w:spacing w:val="-1"/>
                <w:szCs w:val="21"/>
                <w:lang w:val="en-US" w:eastAsia="zh-CN"/>
              </w:rPr>
              <w:t>明山路116号</w:t>
            </w:r>
            <w:r>
              <w:rPr>
                <w:rFonts w:hint="eastAsia" w:cs="CESI仿宋-GB2312"/>
                <w:spacing w:val="-1"/>
                <w:szCs w:val="21"/>
              </w:rPr>
              <w:t>）</w:t>
            </w:r>
            <w:r>
              <w:rPr>
                <w:rFonts w:hint="eastAsia" w:cs="CESI仿宋-GB2312"/>
                <w:spacing w:val="-1"/>
                <w:szCs w:val="21"/>
                <w:lang w:eastAsia="zh-CN"/>
              </w:rPr>
              <w:t>，</w:t>
            </w:r>
            <w:r>
              <w:rPr>
                <w:rFonts w:hint="eastAsia" w:cs="CESI仿宋-GB2312"/>
                <w:color w:val="auto"/>
                <w:spacing w:val="-1"/>
                <w:szCs w:val="21"/>
                <w:lang w:val="en-US" w:eastAsia="zh-CN"/>
              </w:rPr>
              <w:t>包括县人民大会堂、县委楼、县政协楼、县政府办公楼13、14楼。</w:t>
            </w:r>
          </w:p>
          <w:p w14:paraId="4B2D480D">
            <w:pPr>
              <w:widowControl/>
              <w:spacing w:line="500" w:lineRule="exact"/>
              <w:ind w:firstLine="416" w:firstLineChars="200"/>
              <w:rPr>
                <w:rFonts w:hint="default" w:eastAsia="宋体" w:cs="CESI仿宋-GB2312"/>
                <w:spacing w:val="-1"/>
                <w:szCs w:val="21"/>
                <w:lang w:val="en-US" w:eastAsia="zh-CN"/>
              </w:rPr>
            </w:pPr>
            <w:r>
              <w:rPr>
                <w:rFonts w:hint="eastAsia" w:cs="CESI仿宋-GB2312"/>
                <w:spacing w:val="-1"/>
                <w:szCs w:val="21"/>
                <w:lang w:val="en-US" w:eastAsia="zh-CN"/>
              </w:rPr>
              <w:t>1.1.2上林县委县政府大院内生活区</w:t>
            </w:r>
            <w:r>
              <w:rPr>
                <w:rFonts w:hint="eastAsia" w:cs="CESI仿宋-GB2312"/>
                <w:color w:val="auto"/>
                <w:spacing w:val="-1"/>
                <w:szCs w:val="21"/>
                <w:lang w:val="en-US" w:eastAsia="zh-CN"/>
              </w:rPr>
              <w:t>（明山路116号）；</w:t>
            </w:r>
          </w:p>
          <w:bookmarkEnd w:id="36"/>
          <w:bookmarkEnd w:id="37"/>
          <w:p w14:paraId="1E50BBC0">
            <w:pPr>
              <w:widowControl/>
              <w:kinsoku w:val="0"/>
              <w:autoSpaceDE w:val="0"/>
              <w:autoSpaceDN w:val="0"/>
              <w:adjustRightInd w:val="0"/>
              <w:snapToGrid w:val="0"/>
              <w:spacing w:line="500" w:lineRule="exact"/>
              <w:ind w:firstLine="418" w:firstLineChars="200"/>
              <w:textAlignment w:val="baseline"/>
              <w:rPr>
                <w:rFonts w:cs="CESI仿宋-GB2312"/>
                <w:b/>
                <w:bCs/>
                <w:spacing w:val="-1"/>
                <w:szCs w:val="21"/>
              </w:rPr>
            </w:pPr>
            <w:r>
              <w:rPr>
                <w:rFonts w:cs="CESI仿宋-GB2312"/>
                <w:b/>
                <w:bCs/>
                <w:spacing w:val="-1"/>
                <w:szCs w:val="21"/>
              </w:rPr>
              <w:t>2.</w:t>
            </w:r>
            <w:r>
              <w:rPr>
                <w:rFonts w:hint="eastAsia" w:cs="CESI仿宋-GB2312"/>
                <w:b/>
                <w:bCs/>
                <w:spacing w:val="-1"/>
                <w:szCs w:val="21"/>
              </w:rPr>
              <w:t>物业管理服务内容及标准</w:t>
            </w:r>
          </w:p>
          <w:p w14:paraId="6D117ECF">
            <w:pPr>
              <w:widowControl/>
              <w:kinsoku w:val="0"/>
              <w:autoSpaceDE w:val="0"/>
              <w:autoSpaceDN w:val="0"/>
              <w:adjustRightInd w:val="0"/>
              <w:snapToGrid w:val="0"/>
              <w:spacing w:line="500" w:lineRule="exact"/>
              <w:ind w:firstLine="416" w:firstLineChars="200"/>
              <w:textAlignment w:val="baseline"/>
              <w:rPr>
                <w:rFonts w:cs="CESI仿宋-GB2312"/>
                <w:spacing w:val="-1"/>
                <w:szCs w:val="21"/>
              </w:rPr>
            </w:pPr>
            <w:r>
              <w:rPr>
                <w:rFonts w:hint="eastAsia" w:cs="CESI仿宋-GB2312"/>
                <w:spacing w:val="-1"/>
                <w:szCs w:val="21"/>
              </w:rPr>
              <w:t>（一）服务范围</w:t>
            </w:r>
          </w:p>
          <w:p w14:paraId="64527703">
            <w:pPr>
              <w:widowControl/>
              <w:spacing w:line="500" w:lineRule="exact"/>
              <w:ind w:left="149" w:leftChars="71" w:firstLine="416" w:firstLineChars="200"/>
              <w:rPr>
                <w:rFonts w:hint="eastAsia" w:eastAsia="宋体" w:cs="CESI仿宋-GB2312"/>
                <w:spacing w:val="-1"/>
                <w:szCs w:val="21"/>
                <w:highlight w:val="red"/>
                <w:lang w:val="en-US" w:eastAsia="zh-CN"/>
              </w:rPr>
            </w:pPr>
            <w:r>
              <w:rPr>
                <w:rFonts w:hint="eastAsia" w:cs="CESI仿宋-GB2312"/>
                <w:spacing w:val="-1"/>
                <w:szCs w:val="21"/>
              </w:rPr>
              <w:t>上述区域的基本服务、安全保卫</w:t>
            </w:r>
            <w:r>
              <w:rPr>
                <w:rFonts w:hint="eastAsia" w:cs="CESI仿宋-GB2312"/>
                <w:spacing w:val="-1"/>
                <w:szCs w:val="21"/>
                <w:lang w:eastAsia="zh-CN"/>
              </w:rPr>
              <w:t>（</w:t>
            </w:r>
            <w:r>
              <w:rPr>
                <w:rFonts w:hint="eastAsia" w:cs="CESI仿宋-GB2312"/>
                <w:spacing w:val="-1"/>
                <w:szCs w:val="21"/>
                <w:lang w:val="en-US" w:eastAsia="zh-CN"/>
              </w:rPr>
              <w:t>执勤、巡视、消防安全检查、违禁品监控及避雷、防火、防盗、防破坏、防事故、抢险及协助突发事故处理）</w:t>
            </w:r>
            <w:r>
              <w:rPr>
                <w:rFonts w:hint="eastAsia" w:cs="CESI仿宋-GB2312"/>
                <w:spacing w:val="-1"/>
                <w:szCs w:val="21"/>
              </w:rPr>
              <w:t>、车辆管理；保洁、</w:t>
            </w:r>
            <w:r>
              <w:rPr>
                <w:rFonts w:hint="eastAsia" w:cs="CESI仿宋-GB2312"/>
                <w:spacing w:val="-1"/>
                <w:szCs w:val="21"/>
                <w:lang w:val="en-US" w:eastAsia="zh-CN"/>
              </w:rPr>
              <w:t>绿化、垃圾收集、清运</w:t>
            </w:r>
            <w:r>
              <w:rPr>
                <w:rFonts w:hint="eastAsia" w:cs="CESI仿宋-GB2312"/>
                <w:spacing w:val="-1"/>
                <w:szCs w:val="21"/>
              </w:rPr>
              <w:t>及小型设施设备维修（如：</w:t>
            </w:r>
            <w:r>
              <w:rPr>
                <w:rFonts w:hint="eastAsia" w:cs="CESI仿宋-GB2312"/>
                <w:spacing w:val="-1"/>
                <w:szCs w:val="21"/>
                <w:lang w:val="en-US" w:eastAsia="zh-CN"/>
              </w:rPr>
              <w:t>安全监控维护更换、灭火器的检查更换</w:t>
            </w:r>
            <w:r>
              <w:rPr>
                <w:rFonts w:hint="eastAsia" w:cs="CESI仿宋-GB2312"/>
                <w:spacing w:val="-1"/>
                <w:szCs w:val="21"/>
              </w:rPr>
              <w:t>等</w:t>
            </w:r>
            <w:r>
              <w:rPr>
                <w:rFonts w:hint="eastAsia" w:cs="CESI仿宋-GB2312"/>
                <w:spacing w:val="-1"/>
                <w:szCs w:val="21"/>
                <w:highlight w:val="none"/>
              </w:rPr>
              <w:t>）</w:t>
            </w:r>
            <w:r>
              <w:rPr>
                <w:rFonts w:hint="eastAsia" w:cs="CESI仿宋-GB2312"/>
                <w:spacing w:val="-1"/>
                <w:szCs w:val="21"/>
                <w:highlight w:val="none"/>
                <w:lang w:val="en-US" w:eastAsia="zh-CN"/>
              </w:rPr>
              <w:t>。</w:t>
            </w:r>
          </w:p>
          <w:p w14:paraId="07025203">
            <w:pPr>
              <w:widowControl/>
              <w:kinsoku w:val="0"/>
              <w:autoSpaceDE w:val="0"/>
              <w:autoSpaceDN w:val="0"/>
              <w:adjustRightInd w:val="0"/>
              <w:snapToGrid w:val="0"/>
              <w:spacing w:line="500" w:lineRule="exact"/>
              <w:ind w:firstLine="416" w:firstLineChars="200"/>
              <w:textAlignment w:val="baseline"/>
              <w:rPr>
                <w:rFonts w:cs="CESI仿宋-GB2312"/>
                <w:spacing w:val="-1"/>
                <w:szCs w:val="21"/>
              </w:rPr>
            </w:pPr>
            <w:r>
              <w:rPr>
                <w:rFonts w:hint="eastAsia" w:cs="CESI仿宋-GB2312"/>
                <w:spacing w:val="-1"/>
                <w:szCs w:val="21"/>
              </w:rPr>
              <w:t>（二）服务形式</w:t>
            </w:r>
          </w:p>
          <w:p w14:paraId="64AC290A">
            <w:pPr>
              <w:widowControl/>
              <w:kinsoku w:val="0"/>
              <w:autoSpaceDE w:val="0"/>
              <w:autoSpaceDN w:val="0"/>
              <w:adjustRightInd w:val="0"/>
              <w:snapToGrid w:val="0"/>
              <w:spacing w:line="500" w:lineRule="exact"/>
              <w:ind w:firstLine="416" w:firstLineChars="200"/>
              <w:textAlignment w:val="baseline"/>
              <w:rPr>
                <w:rFonts w:cs="CESI仿宋-GB2312"/>
                <w:spacing w:val="-1"/>
                <w:szCs w:val="21"/>
              </w:rPr>
            </w:pPr>
            <w:r>
              <w:rPr>
                <w:rFonts w:hint="eastAsia" w:cs="CESI仿宋-GB2312"/>
                <w:spacing w:val="-1"/>
                <w:szCs w:val="21"/>
              </w:rPr>
              <w:t>中标人在服务区域内设置物业管理机构，派驻专业物业管理经理，全面负责上述服务范围的物业管理工作。建立完善的物业管理制度、工作流程和工作计划，业务上接受业主单位的监督和检查。</w:t>
            </w:r>
          </w:p>
          <w:p w14:paraId="7058B6C5">
            <w:pPr>
              <w:widowControl/>
              <w:kinsoku w:val="0"/>
              <w:autoSpaceDE w:val="0"/>
              <w:autoSpaceDN w:val="0"/>
              <w:adjustRightInd w:val="0"/>
              <w:snapToGrid w:val="0"/>
              <w:spacing w:line="500" w:lineRule="exact"/>
              <w:ind w:firstLine="418" w:firstLineChars="200"/>
              <w:textAlignment w:val="baseline"/>
              <w:rPr>
                <w:rFonts w:cs="CESI仿宋-GB2312"/>
                <w:b/>
                <w:bCs/>
                <w:spacing w:val="-1"/>
                <w:szCs w:val="21"/>
              </w:rPr>
            </w:pPr>
            <w:bookmarkStart w:id="38" w:name="_Toc193963303"/>
            <w:r>
              <w:rPr>
                <w:rFonts w:cs="CESI仿宋-GB2312"/>
                <w:b/>
                <w:bCs/>
                <w:spacing w:val="-1"/>
                <w:szCs w:val="21"/>
              </w:rPr>
              <w:t>2.1</w:t>
            </w:r>
            <w:r>
              <w:rPr>
                <w:rFonts w:hint="eastAsia" w:cs="CESI仿宋-GB2312"/>
                <w:b/>
                <w:bCs/>
                <w:spacing w:val="-1"/>
                <w:szCs w:val="21"/>
              </w:rPr>
              <w:t>基本服务</w:t>
            </w:r>
            <w:bookmarkEnd w:id="38"/>
          </w:p>
          <w:tbl>
            <w:tblPr>
              <w:tblStyle w:val="19"/>
              <w:tblW w:w="0" w:type="auto"/>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71"/>
              <w:gridCol w:w="775"/>
              <w:gridCol w:w="3256"/>
            </w:tblGrid>
            <w:tr w14:paraId="268CE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41" w:hRule="atLeast"/>
              </w:trPr>
              <w:tc>
                <w:tcPr>
                  <w:tcW w:w="489" w:type="dxa"/>
                  <w:tcBorders>
                    <w:top w:val="single" w:color="000000" w:sz="2" w:space="0"/>
                    <w:left w:val="single" w:color="000000" w:sz="2" w:space="0"/>
                    <w:bottom w:val="single" w:color="000000" w:sz="2" w:space="0"/>
                    <w:right w:val="single" w:color="000000" w:sz="2" w:space="0"/>
                  </w:tcBorders>
                  <w:noWrap w:val="0"/>
                  <w:vAlign w:val="center"/>
                </w:tcPr>
                <w:p w14:paraId="2CE9F161">
                  <w:pPr>
                    <w:widowControl/>
                    <w:kinsoku w:val="0"/>
                    <w:autoSpaceDE w:val="0"/>
                    <w:autoSpaceDN w:val="0"/>
                    <w:adjustRightInd w:val="0"/>
                    <w:snapToGrid w:val="0"/>
                    <w:spacing w:line="360" w:lineRule="exact"/>
                    <w:jc w:val="both"/>
                    <w:textAlignment w:val="baseline"/>
                    <w:rPr>
                      <w:rFonts w:cs="CESI仿宋-GB2312"/>
                      <w:spacing w:val="-1"/>
                      <w:szCs w:val="21"/>
                    </w:rPr>
                  </w:pPr>
                  <w:r>
                    <w:rPr>
                      <w:rFonts w:hint="eastAsia" w:cs="CESI仿宋-GB2312"/>
                      <w:b/>
                      <w:bCs/>
                      <w:spacing w:val="-1"/>
                      <w:szCs w:val="21"/>
                    </w:rPr>
                    <w:t>序号</w:t>
                  </w:r>
                </w:p>
              </w:tc>
              <w:tc>
                <w:tcPr>
                  <w:tcW w:w="810" w:type="dxa"/>
                  <w:tcBorders>
                    <w:top w:val="single" w:color="000000" w:sz="2" w:space="0"/>
                    <w:left w:val="single" w:color="000000" w:sz="2" w:space="0"/>
                    <w:bottom w:val="single" w:color="000000" w:sz="2" w:space="0"/>
                    <w:right w:val="single" w:color="000000" w:sz="2" w:space="0"/>
                  </w:tcBorders>
                  <w:noWrap w:val="0"/>
                  <w:vAlign w:val="center"/>
                </w:tcPr>
                <w:p w14:paraId="4A310352">
                  <w:pPr>
                    <w:widowControl/>
                    <w:kinsoku w:val="0"/>
                    <w:autoSpaceDE w:val="0"/>
                    <w:autoSpaceDN w:val="0"/>
                    <w:adjustRightInd w:val="0"/>
                    <w:snapToGrid w:val="0"/>
                    <w:spacing w:line="360" w:lineRule="exact"/>
                    <w:textAlignment w:val="baseline"/>
                    <w:rPr>
                      <w:rFonts w:cs="CESI仿宋-GB2312"/>
                      <w:b/>
                      <w:bCs/>
                      <w:spacing w:val="-1"/>
                      <w:szCs w:val="21"/>
                    </w:rPr>
                  </w:pPr>
                  <w:r>
                    <w:rPr>
                      <w:rFonts w:hint="eastAsia" w:cs="CESI仿宋-GB2312"/>
                      <w:b/>
                      <w:bCs/>
                      <w:spacing w:val="-1"/>
                      <w:szCs w:val="21"/>
                    </w:rPr>
                    <w:t>服务内容</w:t>
                  </w: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3168BFD2">
                  <w:pPr>
                    <w:widowControl/>
                    <w:kinsoku w:val="0"/>
                    <w:autoSpaceDE w:val="0"/>
                    <w:autoSpaceDN w:val="0"/>
                    <w:adjustRightInd w:val="0"/>
                    <w:snapToGrid w:val="0"/>
                    <w:spacing w:line="360" w:lineRule="exact"/>
                    <w:ind w:firstLine="418" w:firstLineChars="200"/>
                    <w:jc w:val="center"/>
                    <w:textAlignment w:val="baseline"/>
                    <w:rPr>
                      <w:rFonts w:cs="CESI仿宋-GB2312"/>
                      <w:b/>
                      <w:bCs/>
                      <w:spacing w:val="-1"/>
                      <w:szCs w:val="21"/>
                    </w:rPr>
                  </w:pPr>
                  <w:r>
                    <w:rPr>
                      <w:rFonts w:hint="eastAsia" w:cs="CESI仿宋-GB2312"/>
                      <w:b/>
                      <w:bCs/>
                      <w:spacing w:val="-1"/>
                      <w:szCs w:val="21"/>
                    </w:rPr>
                    <w:t>服务标准</w:t>
                  </w:r>
                </w:p>
              </w:tc>
            </w:tr>
            <w:tr w14:paraId="0CC5A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6" w:hRule="atLeast"/>
              </w:trPr>
              <w:tc>
                <w:tcPr>
                  <w:tcW w:w="489" w:type="dxa"/>
                  <w:tcBorders>
                    <w:top w:val="single" w:color="000000" w:sz="2" w:space="0"/>
                    <w:left w:val="single" w:color="000000" w:sz="2" w:space="0"/>
                    <w:bottom w:val="single" w:color="000000" w:sz="2" w:space="0"/>
                    <w:right w:val="single" w:color="000000" w:sz="2" w:space="0"/>
                  </w:tcBorders>
                  <w:noWrap w:val="0"/>
                  <w:vAlign w:val="center"/>
                </w:tcPr>
                <w:p w14:paraId="783D0E8A">
                  <w:pPr>
                    <w:widowControl/>
                    <w:kinsoku w:val="0"/>
                    <w:autoSpaceDE w:val="0"/>
                    <w:autoSpaceDN w:val="0"/>
                    <w:adjustRightInd w:val="0"/>
                    <w:snapToGrid w:val="0"/>
                    <w:spacing w:line="360" w:lineRule="exact"/>
                    <w:jc w:val="center"/>
                    <w:textAlignment w:val="baseline"/>
                    <w:rPr>
                      <w:rFonts w:cs="CESI仿宋-GB2312"/>
                      <w:spacing w:val="-1"/>
                      <w:szCs w:val="21"/>
                    </w:rPr>
                  </w:pPr>
                  <w:r>
                    <w:rPr>
                      <w:rFonts w:hint="eastAsia" w:cs="CESI仿宋-GB2312"/>
                      <w:spacing w:val="-1"/>
                      <w:szCs w:val="21"/>
                    </w:rPr>
                    <w:t>1</w:t>
                  </w:r>
                </w:p>
              </w:tc>
              <w:tc>
                <w:tcPr>
                  <w:tcW w:w="810" w:type="dxa"/>
                  <w:tcBorders>
                    <w:top w:val="single" w:color="000000" w:sz="2" w:space="0"/>
                    <w:left w:val="single" w:color="000000" w:sz="2" w:space="0"/>
                    <w:bottom w:val="single" w:color="000000" w:sz="2" w:space="0"/>
                    <w:right w:val="single" w:color="000000" w:sz="2" w:space="0"/>
                  </w:tcBorders>
                  <w:noWrap w:val="0"/>
                  <w:vAlign w:val="center"/>
                </w:tcPr>
                <w:p w14:paraId="22F83F2E">
                  <w:pPr>
                    <w:widowControl/>
                    <w:kinsoku w:val="0"/>
                    <w:autoSpaceDE w:val="0"/>
                    <w:autoSpaceDN w:val="0"/>
                    <w:adjustRightInd w:val="0"/>
                    <w:snapToGrid w:val="0"/>
                    <w:spacing w:line="360" w:lineRule="exact"/>
                    <w:textAlignment w:val="baseline"/>
                    <w:rPr>
                      <w:rFonts w:cs="CESI仿宋-GB2312"/>
                      <w:spacing w:val="-1"/>
                      <w:szCs w:val="21"/>
                    </w:rPr>
                  </w:pPr>
                  <w:r>
                    <w:rPr>
                      <w:rFonts w:hint="eastAsia" w:cs="CESI仿宋-GB2312"/>
                      <w:spacing w:val="-1"/>
                      <w:szCs w:val="21"/>
                    </w:rPr>
                    <w:t>目标与责任</w:t>
                  </w: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0F4720A5">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（1）结合采购人要求及物业服务实际情况，制定年度管理目标，明确责任分工，并制定配套实施方案。</w:t>
                  </w:r>
                </w:p>
              </w:tc>
            </w:tr>
            <w:tr w14:paraId="192D3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489" w:type="dxa"/>
                  <w:vMerge w:val="restart"/>
                  <w:tcBorders>
                    <w:top w:val="single" w:color="000000" w:sz="2" w:space="0"/>
                    <w:left w:val="single" w:color="000000" w:sz="2" w:space="0"/>
                    <w:bottom w:val="single" w:color="000000" w:sz="2" w:space="0"/>
                    <w:right w:val="single" w:color="000000" w:sz="2" w:space="0"/>
                  </w:tcBorders>
                  <w:noWrap w:val="0"/>
                  <w:vAlign w:val="center"/>
                </w:tcPr>
                <w:p w14:paraId="527C66BD">
                  <w:pPr>
                    <w:widowControl/>
                    <w:kinsoku w:val="0"/>
                    <w:autoSpaceDE w:val="0"/>
                    <w:autoSpaceDN w:val="0"/>
                    <w:adjustRightInd w:val="0"/>
                    <w:snapToGrid w:val="0"/>
                    <w:spacing w:line="360" w:lineRule="exact"/>
                    <w:jc w:val="center"/>
                    <w:textAlignment w:val="baseline"/>
                    <w:rPr>
                      <w:rFonts w:cs="CESI仿宋-GB2312"/>
                      <w:spacing w:val="-1"/>
                      <w:szCs w:val="21"/>
                    </w:rPr>
                  </w:pPr>
                  <w:r>
                    <w:rPr>
                      <w:rFonts w:hint="eastAsia" w:cs="CESI仿宋-GB2312"/>
                      <w:spacing w:val="-1"/>
                      <w:szCs w:val="21"/>
                    </w:rPr>
                    <w:t>2</w:t>
                  </w:r>
                </w:p>
              </w:tc>
              <w:tc>
                <w:tcPr>
                  <w:tcW w:w="810" w:type="dxa"/>
                  <w:vMerge w:val="restart"/>
                  <w:tcBorders>
                    <w:top w:val="single" w:color="000000" w:sz="2" w:space="0"/>
                    <w:left w:val="single" w:color="000000" w:sz="2" w:space="0"/>
                    <w:bottom w:val="single" w:color="000000" w:sz="2" w:space="0"/>
                    <w:right w:val="single" w:color="000000" w:sz="2" w:space="0"/>
                  </w:tcBorders>
                  <w:noWrap w:val="0"/>
                  <w:vAlign w:val="center"/>
                </w:tcPr>
                <w:p w14:paraId="76B39838">
                  <w:pPr>
                    <w:widowControl/>
                    <w:kinsoku w:val="0"/>
                    <w:autoSpaceDE w:val="0"/>
                    <w:autoSpaceDN w:val="0"/>
                    <w:adjustRightInd w:val="0"/>
                    <w:snapToGrid w:val="0"/>
                    <w:spacing w:line="360" w:lineRule="exact"/>
                    <w:textAlignment w:val="baseline"/>
                    <w:rPr>
                      <w:rFonts w:cs="CESI仿宋-GB2312"/>
                      <w:spacing w:val="-1"/>
                      <w:szCs w:val="21"/>
                    </w:rPr>
                  </w:pPr>
                  <w:r>
                    <w:rPr>
                      <w:rFonts w:hint="eastAsia" w:cs="CESI仿宋-GB2312"/>
                      <w:spacing w:val="-1"/>
                      <w:szCs w:val="21"/>
                    </w:rPr>
                    <w:t>服务人员要求</w:t>
                  </w: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02338C9A">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（1）每季度至少开展1次岗位技能、职业素质、服务知识、客户文化、绿色节能环保等教育培训，并进行适当形式的考核。</w:t>
                  </w:r>
                </w:p>
              </w:tc>
            </w:tr>
            <w:tr w14:paraId="4F997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61DC8F6A">
                  <w:pPr>
                    <w:widowControl/>
                    <w:spacing w:line="360" w:lineRule="exact"/>
                    <w:ind w:firstLine="416" w:firstLineChars="200"/>
                    <w:jc w:val="left"/>
                    <w:rPr>
                      <w:rFonts w:cs="CESI仿宋-GB2312"/>
                      <w:spacing w:val="-1"/>
                      <w:szCs w:val="21"/>
                    </w:rPr>
                  </w:pP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0DD11AAE">
                  <w:pPr>
                    <w:widowControl/>
                    <w:spacing w:line="360" w:lineRule="exact"/>
                    <w:ind w:firstLine="416" w:firstLineChars="200"/>
                    <w:jc w:val="left"/>
                    <w:rPr>
                      <w:rFonts w:cs="CESI仿宋-GB2312"/>
                      <w:spacing w:val="-1"/>
                      <w:szCs w:val="21"/>
                    </w:rPr>
                  </w:pP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474829DD">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（2）根据采购人要求对服务人员进行从业资格审查，审查结果向采购人报备。</w:t>
                  </w:r>
                </w:p>
              </w:tc>
            </w:tr>
            <w:tr w14:paraId="6D011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4EAB4E02">
                  <w:pPr>
                    <w:widowControl/>
                    <w:spacing w:line="360" w:lineRule="exact"/>
                    <w:ind w:firstLine="416" w:firstLineChars="200"/>
                    <w:jc w:val="left"/>
                    <w:rPr>
                      <w:rFonts w:cs="CESI仿宋-GB2312"/>
                      <w:spacing w:val="-1"/>
                      <w:szCs w:val="21"/>
                    </w:rPr>
                  </w:pP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0C68A33F">
                  <w:pPr>
                    <w:widowControl/>
                    <w:spacing w:line="360" w:lineRule="exact"/>
                    <w:ind w:firstLine="416" w:firstLineChars="200"/>
                    <w:jc w:val="left"/>
                    <w:rPr>
                      <w:rFonts w:cs="CESI仿宋-GB2312"/>
                      <w:spacing w:val="-1"/>
                      <w:szCs w:val="21"/>
                    </w:rPr>
                  </w:pP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70B1512F">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3）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14:paraId="1D0C0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426"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1B72B9A1">
                  <w:pPr>
                    <w:widowControl/>
                    <w:spacing w:line="360" w:lineRule="exact"/>
                    <w:ind w:firstLine="416" w:firstLineChars="200"/>
                    <w:jc w:val="left"/>
                    <w:rPr>
                      <w:rFonts w:cs="CESI仿宋-GB2312"/>
                      <w:spacing w:val="-1"/>
                      <w:szCs w:val="21"/>
                    </w:rPr>
                  </w:pP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473AAC32">
                  <w:pPr>
                    <w:widowControl/>
                    <w:spacing w:line="360" w:lineRule="exact"/>
                    <w:ind w:firstLine="416" w:firstLineChars="200"/>
                    <w:jc w:val="left"/>
                    <w:rPr>
                      <w:rFonts w:cs="CESI仿宋-GB2312"/>
                      <w:spacing w:val="-1"/>
                      <w:szCs w:val="21"/>
                    </w:rPr>
                  </w:pP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13CC8971">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（4）如采购人认为服务人员不适应岗位要求或存在其他影响工作的，可要求中标人进行调换。如因中标人原因对服务人员进行调换，应当经采购人同意，</w:t>
                  </w:r>
                  <w:r>
                    <w:rPr>
                      <w:rFonts w:hint="eastAsia" w:cs="CESI仿宋-GB2312"/>
                      <w:color w:val="auto"/>
                      <w:spacing w:val="-1"/>
                      <w:szCs w:val="21"/>
                    </w:rPr>
                    <w:t>更换比例不得超过本项目服务人员总数的</w:t>
                  </w:r>
                  <w:r>
                    <w:rPr>
                      <w:rFonts w:hint="eastAsia" w:cs="CESI仿宋-GB2312"/>
                      <w:color w:val="auto"/>
                      <w:spacing w:val="-1"/>
                      <w:szCs w:val="21"/>
                      <w:lang w:val="en-US" w:eastAsia="zh-CN"/>
                    </w:rPr>
                    <w:t>4</w:t>
                  </w:r>
                  <w:r>
                    <w:rPr>
                      <w:rFonts w:hint="eastAsia" w:cs="CESI仿宋-GB2312"/>
                      <w:color w:val="auto"/>
                      <w:spacing w:val="-1"/>
                      <w:szCs w:val="21"/>
                    </w:rPr>
                    <w:t>0%。本项目服务人员不得在其他项目兼职。</w:t>
                  </w:r>
                </w:p>
              </w:tc>
            </w:tr>
            <w:tr w14:paraId="53EDD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8"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45BAC2F6">
                  <w:pPr>
                    <w:widowControl/>
                    <w:spacing w:line="360" w:lineRule="exact"/>
                    <w:ind w:firstLine="416" w:firstLineChars="200"/>
                    <w:jc w:val="left"/>
                    <w:rPr>
                      <w:rFonts w:cs="CESI仿宋-GB2312"/>
                      <w:spacing w:val="-1"/>
                      <w:szCs w:val="21"/>
                    </w:rPr>
                  </w:pP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5F502782">
                  <w:pPr>
                    <w:widowControl/>
                    <w:spacing w:line="360" w:lineRule="exact"/>
                    <w:ind w:firstLine="416" w:firstLineChars="200"/>
                    <w:jc w:val="left"/>
                    <w:rPr>
                      <w:rFonts w:cs="CESI仿宋-GB2312"/>
                      <w:spacing w:val="-1"/>
                      <w:szCs w:val="21"/>
                    </w:rPr>
                  </w:pP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313D89CC">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（5）着装分类统一，佩戴标识。仪容整洁、姿态端正、举止文明。用语文明礼貌，态度温和耐心。</w:t>
                  </w:r>
                </w:p>
              </w:tc>
            </w:tr>
            <w:tr w14:paraId="38CB0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22" w:hRule="atLeast"/>
              </w:trPr>
              <w:tc>
                <w:tcPr>
                  <w:tcW w:w="489" w:type="dxa"/>
                  <w:vMerge w:val="restart"/>
                  <w:tcBorders>
                    <w:top w:val="single" w:color="000000" w:sz="2" w:space="0"/>
                    <w:left w:val="single" w:color="000000" w:sz="2" w:space="0"/>
                    <w:bottom w:val="single" w:color="000000" w:sz="2" w:space="0"/>
                    <w:right w:val="single" w:color="000000" w:sz="2" w:space="0"/>
                  </w:tcBorders>
                  <w:noWrap w:val="0"/>
                  <w:vAlign w:val="center"/>
                </w:tcPr>
                <w:p w14:paraId="5A8B6C36">
                  <w:pPr>
                    <w:widowControl/>
                    <w:kinsoku w:val="0"/>
                    <w:autoSpaceDE w:val="0"/>
                    <w:autoSpaceDN w:val="0"/>
                    <w:adjustRightInd w:val="0"/>
                    <w:snapToGrid w:val="0"/>
                    <w:spacing w:line="360" w:lineRule="exact"/>
                    <w:jc w:val="center"/>
                    <w:textAlignment w:val="baseline"/>
                    <w:rPr>
                      <w:rFonts w:cs="CESI仿宋-GB2312"/>
                      <w:spacing w:val="-1"/>
                      <w:szCs w:val="21"/>
                    </w:rPr>
                  </w:pPr>
                  <w:r>
                    <w:rPr>
                      <w:rFonts w:hint="eastAsia" w:cs="CESI仿宋-GB2312"/>
                      <w:spacing w:val="-1"/>
                      <w:szCs w:val="21"/>
                    </w:rPr>
                    <w:t>3</w:t>
                  </w:r>
                </w:p>
              </w:tc>
              <w:tc>
                <w:tcPr>
                  <w:tcW w:w="810" w:type="dxa"/>
                  <w:vMerge w:val="restart"/>
                  <w:tcBorders>
                    <w:top w:val="single" w:color="000000" w:sz="2" w:space="0"/>
                    <w:left w:val="single" w:color="000000" w:sz="2" w:space="0"/>
                    <w:bottom w:val="single" w:color="000000" w:sz="2" w:space="0"/>
                    <w:right w:val="single" w:color="000000" w:sz="2" w:space="0"/>
                  </w:tcBorders>
                  <w:noWrap w:val="0"/>
                  <w:vAlign w:val="center"/>
                </w:tcPr>
                <w:p w14:paraId="30C78606">
                  <w:pPr>
                    <w:widowControl/>
                    <w:kinsoku w:val="0"/>
                    <w:autoSpaceDE w:val="0"/>
                    <w:autoSpaceDN w:val="0"/>
                    <w:adjustRightInd w:val="0"/>
                    <w:snapToGrid w:val="0"/>
                    <w:spacing w:line="360" w:lineRule="exact"/>
                    <w:textAlignment w:val="baseline"/>
                    <w:rPr>
                      <w:rFonts w:cs="CESI仿宋-GB2312"/>
                      <w:spacing w:val="-1"/>
                      <w:szCs w:val="21"/>
                    </w:rPr>
                  </w:pPr>
                  <w:r>
                    <w:rPr>
                      <w:rFonts w:hint="eastAsia" w:cs="CESI仿宋-GB2312"/>
                      <w:spacing w:val="-1"/>
                      <w:szCs w:val="21"/>
                    </w:rPr>
                    <w:t>保密和思想政治教育</w:t>
                  </w: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34279296">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（1）建立保密管理制度。制度内容应当包括但不限于：</w:t>
                  </w:r>
                </w:p>
                <w:p w14:paraId="6D135FD8">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①明确重点要害岗位保密职责。</w:t>
                  </w:r>
                </w:p>
                <w:p w14:paraId="5EEDA64D">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②对涉密工作岗位的保密要求。</w:t>
                  </w:r>
                </w:p>
              </w:tc>
            </w:tr>
            <w:tr w14:paraId="5C9F6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577F6665">
                  <w:pPr>
                    <w:widowControl/>
                    <w:spacing w:line="360" w:lineRule="exact"/>
                    <w:ind w:firstLine="416" w:firstLineChars="200"/>
                    <w:jc w:val="left"/>
                    <w:rPr>
                      <w:rFonts w:cs="CESI仿宋-GB2312"/>
                      <w:spacing w:val="-1"/>
                      <w:szCs w:val="21"/>
                    </w:rPr>
                  </w:pP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28092473">
                  <w:pPr>
                    <w:widowControl/>
                    <w:spacing w:line="360" w:lineRule="exact"/>
                    <w:ind w:firstLine="416" w:firstLineChars="200"/>
                    <w:jc w:val="left"/>
                    <w:rPr>
                      <w:rFonts w:cs="CESI仿宋-GB2312"/>
                      <w:spacing w:val="-1"/>
                      <w:szCs w:val="21"/>
                    </w:rPr>
                  </w:pP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0E8A6F83">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（2）根据采购人要求与涉密工作岗位的服务人员签订保密协议。保密协议应当向采购人报备。</w:t>
                  </w:r>
                </w:p>
              </w:tc>
            </w:tr>
            <w:tr w14:paraId="3D7CA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02A7F9FD">
                  <w:pPr>
                    <w:widowControl/>
                    <w:spacing w:line="360" w:lineRule="exact"/>
                    <w:ind w:firstLine="416" w:firstLineChars="200"/>
                    <w:jc w:val="left"/>
                    <w:rPr>
                      <w:rFonts w:cs="CESI仿宋-GB2312"/>
                      <w:spacing w:val="-1"/>
                      <w:szCs w:val="21"/>
                    </w:rPr>
                  </w:pP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0063BD8D">
                  <w:pPr>
                    <w:widowControl/>
                    <w:spacing w:line="360" w:lineRule="exact"/>
                    <w:ind w:firstLine="416" w:firstLineChars="200"/>
                    <w:jc w:val="left"/>
                    <w:rPr>
                      <w:rFonts w:cs="CESI仿宋-GB2312"/>
                      <w:spacing w:val="-1"/>
                      <w:szCs w:val="21"/>
                    </w:rPr>
                  </w:pP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275CC8C7">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（3）每季度至少开展1次对服务人员进行保密、思想政治教育的培训，增强服务人员保密意识和思想 政治意识。新入职员工应当接受保密、思想政治教育培训，进行必要的人员经历审查，合格后签订保密协议方可上岗。保密、思想政治教育培训记录存档。</w:t>
                  </w:r>
                </w:p>
              </w:tc>
            </w:tr>
            <w:tr w14:paraId="111A1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8"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0CA68B45">
                  <w:pPr>
                    <w:widowControl/>
                    <w:spacing w:line="360" w:lineRule="exact"/>
                    <w:ind w:firstLine="416" w:firstLineChars="200"/>
                    <w:jc w:val="left"/>
                    <w:rPr>
                      <w:rFonts w:cs="CESI仿宋-GB2312"/>
                      <w:spacing w:val="-1"/>
                      <w:szCs w:val="21"/>
                    </w:rPr>
                  </w:pP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267D23B1">
                  <w:pPr>
                    <w:widowControl/>
                    <w:spacing w:line="360" w:lineRule="exact"/>
                    <w:ind w:firstLine="416" w:firstLineChars="200"/>
                    <w:jc w:val="left"/>
                    <w:rPr>
                      <w:rFonts w:cs="CESI仿宋-GB2312"/>
                      <w:spacing w:val="-1"/>
                      <w:szCs w:val="21"/>
                    </w:rPr>
                  </w:pP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3E2305EC">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（4）发现服务人员违法违规或重大过失，及时报告采购人，并采取必要补救措施。</w:t>
                  </w:r>
                </w:p>
              </w:tc>
            </w:tr>
            <w:tr w14:paraId="6E053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489" w:type="dxa"/>
                  <w:vMerge w:val="restart"/>
                  <w:tcBorders>
                    <w:top w:val="single" w:color="000000" w:sz="2" w:space="0"/>
                    <w:left w:val="single" w:color="000000" w:sz="2" w:space="0"/>
                    <w:bottom w:val="single" w:color="000000" w:sz="2" w:space="0"/>
                    <w:right w:val="single" w:color="000000" w:sz="2" w:space="0"/>
                  </w:tcBorders>
                  <w:noWrap w:val="0"/>
                  <w:vAlign w:val="center"/>
                </w:tcPr>
                <w:p w14:paraId="1F00F490">
                  <w:pPr>
                    <w:widowControl/>
                    <w:kinsoku w:val="0"/>
                    <w:autoSpaceDE w:val="0"/>
                    <w:autoSpaceDN w:val="0"/>
                    <w:adjustRightInd w:val="0"/>
                    <w:snapToGrid w:val="0"/>
                    <w:spacing w:line="360" w:lineRule="exact"/>
                    <w:jc w:val="center"/>
                    <w:textAlignment w:val="baseline"/>
                    <w:rPr>
                      <w:rFonts w:cs="CESI仿宋-GB2312"/>
                      <w:spacing w:val="-1"/>
                      <w:szCs w:val="21"/>
                    </w:rPr>
                  </w:pPr>
                  <w:r>
                    <w:rPr>
                      <w:rFonts w:hint="eastAsia" w:cs="CESI仿宋-GB2312"/>
                      <w:spacing w:val="-1"/>
                      <w:szCs w:val="21"/>
                    </w:rPr>
                    <w:t>4</w:t>
                  </w:r>
                </w:p>
              </w:tc>
              <w:tc>
                <w:tcPr>
                  <w:tcW w:w="810" w:type="dxa"/>
                  <w:vMerge w:val="restart"/>
                  <w:tcBorders>
                    <w:top w:val="single" w:color="000000" w:sz="2" w:space="0"/>
                    <w:left w:val="single" w:color="000000" w:sz="2" w:space="0"/>
                    <w:bottom w:val="single" w:color="000000" w:sz="2" w:space="0"/>
                    <w:right w:val="single" w:color="000000" w:sz="2" w:space="0"/>
                  </w:tcBorders>
                  <w:noWrap w:val="0"/>
                  <w:vAlign w:val="center"/>
                </w:tcPr>
                <w:p w14:paraId="770BCDB7">
                  <w:pPr>
                    <w:widowControl/>
                    <w:kinsoku w:val="0"/>
                    <w:autoSpaceDE w:val="0"/>
                    <w:autoSpaceDN w:val="0"/>
                    <w:adjustRightInd w:val="0"/>
                    <w:snapToGrid w:val="0"/>
                    <w:spacing w:line="360" w:lineRule="exact"/>
                    <w:textAlignment w:val="baseline"/>
                    <w:rPr>
                      <w:rFonts w:cs="CESI仿宋-GB2312"/>
                      <w:spacing w:val="-1"/>
                      <w:szCs w:val="21"/>
                    </w:rPr>
                  </w:pPr>
                  <w:r>
                    <w:rPr>
                      <w:rFonts w:hint="eastAsia" w:cs="CESI仿宋-GB2312"/>
                      <w:spacing w:val="-1"/>
                      <w:szCs w:val="21"/>
                    </w:rPr>
                    <w:t>档案管理</w:t>
                  </w: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5AD1FD12">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（1）建立物业信息，准确、及时地对文件资料和服务记录进行归档保存，并确保其物理安全。</w:t>
                  </w:r>
                </w:p>
              </w:tc>
            </w:tr>
            <w:tr w14:paraId="4CA22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227A6A1D">
                  <w:pPr>
                    <w:widowControl/>
                    <w:spacing w:line="360" w:lineRule="exact"/>
                    <w:ind w:firstLine="416" w:firstLineChars="200"/>
                    <w:jc w:val="center"/>
                    <w:rPr>
                      <w:rFonts w:cs="CESI仿宋-GB2312"/>
                      <w:spacing w:val="-1"/>
                      <w:szCs w:val="21"/>
                    </w:rPr>
                  </w:pP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452D4EB8">
                  <w:pPr>
                    <w:widowControl/>
                    <w:spacing w:line="360" w:lineRule="exact"/>
                    <w:ind w:firstLine="416" w:firstLineChars="200"/>
                    <w:jc w:val="left"/>
                    <w:rPr>
                      <w:rFonts w:cs="CESI仿宋-GB2312"/>
                      <w:spacing w:val="-1"/>
                      <w:szCs w:val="21"/>
                    </w:rPr>
                  </w:pP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68A55094">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（2）档案和记录齐全，包括但不限于：</w:t>
                  </w:r>
                </w:p>
                <w:p w14:paraId="3D933A29">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①采购人建议与投诉等。各项教育培训和考核记录。</w:t>
                  </w:r>
                </w:p>
                <w:p w14:paraId="7F928B4C">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②公用设施设备维护服务：设备台账、设备卡、使用说明、维保记录、巡查记录、设施设备安全运行、设施设备定期巡检、维护保养、维修档案等。</w:t>
                  </w:r>
                </w:p>
                <w:p w14:paraId="0068E637">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③保安服务：监控记录、突发事件演习与处置记录等。</w:t>
                  </w:r>
                </w:p>
                <w:p w14:paraId="0A831C1E">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④保洁服务：工作日志、清洁检查表、用品清单、客户反馈表等。</w:t>
                  </w:r>
                </w:p>
                <w:p w14:paraId="03AD6845">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⑤其他：客户信息、财务明细、合同协议、信报信息登记、大件物品进出登记等。</w:t>
                  </w:r>
                </w:p>
              </w:tc>
            </w:tr>
            <w:tr w14:paraId="3770F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57DA4932">
                  <w:pPr>
                    <w:widowControl/>
                    <w:spacing w:line="360" w:lineRule="exact"/>
                    <w:ind w:firstLine="416" w:firstLineChars="200"/>
                    <w:jc w:val="center"/>
                    <w:rPr>
                      <w:rFonts w:cs="CESI仿宋-GB2312"/>
                      <w:spacing w:val="-1"/>
                      <w:szCs w:val="21"/>
                    </w:rPr>
                  </w:pP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3D233F7E">
                  <w:pPr>
                    <w:widowControl/>
                    <w:spacing w:line="360" w:lineRule="exact"/>
                    <w:ind w:firstLine="416" w:firstLineChars="200"/>
                    <w:jc w:val="left"/>
                    <w:rPr>
                      <w:rFonts w:cs="CESI仿宋-GB2312"/>
                      <w:spacing w:val="-1"/>
                      <w:szCs w:val="21"/>
                    </w:rPr>
                  </w:pP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29781D06">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（3）遵守采购人的信息、档案资料保密要求，未经许可，不得将建筑物平面图等资料转作其他用途或向其他单位、个人提供。</w:t>
                  </w:r>
                </w:p>
              </w:tc>
            </w:tr>
            <w:tr w14:paraId="175E9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8"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70FB28E4">
                  <w:pPr>
                    <w:widowControl/>
                    <w:spacing w:line="360" w:lineRule="exact"/>
                    <w:ind w:firstLine="416" w:firstLineChars="200"/>
                    <w:jc w:val="center"/>
                    <w:rPr>
                      <w:rFonts w:cs="CESI仿宋-GB2312"/>
                      <w:spacing w:val="-1"/>
                      <w:szCs w:val="21"/>
                    </w:rPr>
                  </w:pP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346946ED">
                  <w:pPr>
                    <w:widowControl/>
                    <w:spacing w:line="360" w:lineRule="exact"/>
                    <w:ind w:firstLine="416" w:firstLineChars="200"/>
                    <w:jc w:val="left"/>
                    <w:rPr>
                      <w:rFonts w:cs="CESI仿宋-GB2312"/>
                      <w:spacing w:val="-1"/>
                      <w:szCs w:val="21"/>
                    </w:rPr>
                  </w:pP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7C33D0B0">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（4）履约结束后，相关资料交还采购人，采购人按政府采购相关规定存档。</w:t>
                  </w:r>
                </w:p>
              </w:tc>
            </w:tr>
            <w:tr w14:paraId="01F1B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5"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036ABA25">
                  <w:pPr>
                    <w:widowControl/>
                    <w:spacing w:line="360" w:lineRule="exact"/>
                    <w:ind w:firstLine="416" w:firstLineChars="200"/>
                    <w:jc w:val="center"/>
                    <w:rPr>
                      <w:rFonts w:cs="CESI仿宋-GB2312"/>
                      <w:spacing w:val="-1"/>
                      <w:szCs w:val="21"/>
                    </w:rPr>
                  </w:pP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03DC9C98">
                  <w:pPr>
                    <w:widowControl/>
                    <w:spacing w:line="360" w:lineRule="exact"/>
                    <w:ind w:firstLine="416" w:firstLineChars="200"/>
                    <w:jc w:val="left"/>
                    <w:rPr>
                      <w:rFonts w:cs="CESI仿宋-GB2312"/>
                      <w:spacing w:val="-1"/>
                      <w:szCs w:val="21"/>
                    </w:rPr>
                  </w:pP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54307A49">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（5）根据工作反馈意见与建议，持续提升服务品质。</w:t>
                  </w:r>
                </w:p>
              </w:tc>
            </w:tr>
            <w:tr w14:paraId="5E779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489" w:type="dxa"/>
                  <w:vMerge w:val="restart"/>
                  <w:tcBorders>
                    <w:top w:val="single" w:color="000000" w:sz="2" w:space="0"/>
                    <w:left w:val="single" w:color="000000" w:sz="2" w:space="0"/>
                    <w:bottom w:val="single" w:color="000000" w:sz="2" w:space="0"/>
                    <w:right w:val="single" w:color="000000" w:sz="2" w:space="0"/>
                  </w:tcBorders>
                  <w:noWrap w:val="0"/>
                  <w:vAlign w:val="center"/>
                </w:tcPr>
                <w:p w14:paraId="01E379DD">
                  <w:pPr>
                    <w:widowControl/>
                    <w:kinsoku w:val="0"/>
                    <w:autoSpaceDE w:val="0"/>
                    <w:autoSpaceDN w:val="0"/>
                    <w:adjustRightInd w:val="0"/>
                    <w:snapToGrid w:val="0"/>
                    <w:spacing w:line="360" w:lineRule="exact"/>
                    <w:jc w:val="center"/>
                    <w:textAlignment w:val="baseline"/>
                    <w:rPr>
                      <w:rFonts w:cs="CESI仿宋-GB2312"/>
                      <w:spacing w:val="-1"/>
                      <w:szCs w:val="21"/>
                    </w:rPr>
                  </w:pPr>
                  <w:r>
                    <w:rPr>
                      <w:rFonts w:hint="eastAsia" w:cs="CESI仿宋-GB2312"/>
                      <w:spacing w:val="-1"/>
                      <w:szCs w:val="21"/>
                    </w:rPr>
                    <w:t>5</w:t>
                  </w:r>
                </w:p>
              </w:tc>
              <w:tc>
                <w:tcPr>
                  <w:tcW w:w="810" w:type="dxa"/>
                  <w:vMerge w:val="restart"/>
                  <w:tcBorders>
                    <w:top w:val="single" w:color="000000" w:sz="2" w:space="0"/>
                    <w:left w:val="single" w:color="000000" w:sz="2" w:space="0"/>
                    <w:bottom w:val="single" w:color="000000" w:sz="2" w:space="0"/>
                    <w:right w:val="single" w:color="000000" w:sz="2" w:space="0"/>
                  </w:tcBorders>
                  <w:noWrap w:val="0"/>
                  <w:vAlign w:val="center"/>
                </w:tcPr>
                <w:p w14:paraId="4CF08084">
                  <w:pPr>
                    <w:widowControl/>
                    <w:kinsoku w:val="0"/>
                    <w:autoSpaceDE w:val="0"/>
                    <w:autoSpaceDN w:val="0"/>
                    <w:adjustRightInd w:val="0"/>
                    <w:snapToGrid w:val="0"/>
                    <w:spacing w:line="360" w:lineRule="exact"/>
                    <w:textAlignment w:val="baseline"/>
                    <w:rPr>
                      <w:rFonts w:cs="CESI仿宋-GB2312"/>
                      <w:spacing w:val="-1"/>
                      <w:szCs w:val="21"/>
                    </w:rPr>
                  </w:pPr>
                  <w:r>
                    <w:rPr>
                      <w:rFonts w:hint="eastAsia" w:cs="CESI仿宋-GB2312"/>
                      <w:spacing w:val="-1"/>
                      <w:szCs w:val="21"/>
                    </w:rPr>
                    <w:t>服务改进</w:t>
                  </w: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5C514C6E">
                  <w:pPr>
                    <w:widowControl/>
                    <w:kinsoku w:val="0"/>
                    <w:autoSpaceDE w:val="0"/>
                    <w:autoSpaceDN w:val="0"/>
                    <w:adjustRightInd w:val="0"/>
                    <w:snapToGrid w:val="0"/>
                    <w:spacing w:line="360" w:lineRule="exact"/>
                    <w:textAlignment w:val="baseline"/>
                    <w:rPr>
                      <w:rFonts w:cs="CESI仿宋-GB2312"/>
                      <w:spacing w:val="-1"/>
                      <w:szCs w:val="21"/>
                    </w:rPr>
                  </w:pPr>
                  <w:r>
                    <w:rPr>
                      <w:rFonts w:hint="eastAsia" w:cs="CESI仿宋-GB2312"/>
                      <w:spacing w:val="-1"/>
                      <w:szCs w:val="21"/>
                    </w:rPr>
                    <w:t>（1）明确负责人，定期对物业服务过程进行自查，结合反馈意见与评价结果采取改进措施，持续提升 管理与服务水平。</w:t>
                  </w:r>
                </w:p>
              </w:tc>
            </w:tr>
            <w:tr w14:paraId="78406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640F4E91">
                  <w:pPr>
                    <w:widowControl/>
                    <w:spacing w:line="360" w:lineRule="exact"/>
                    <w:ind w:firstLine="416" w:firstLineChars="200"/>
                    <w:jc w:val="left"/>
                    <w:rPr>
                      <w:rFonts w:cs="CESI仿宋-GB2312"/>
                      <w:spacing w:val="-1"/>
                      <w:szCs w:val="21"/>
                    </w:rPr>
                  </w:pP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035D3821">
                  <w:pPr>
                    <w:widowControl/>
                    <w:spacing w:line="360" w:lineRule="exact"/>
                    <w:ind w:firstLine="416" w:firstLineChars="200"/>
                    <w:jc w:val="left"/>
                    <w:rPr>
                      <w:rFonts w:cs="CESI仿宋-GB2312"/>
                      <w:spacing w:val="-1"/>
                      <w:szCs w:val="21"/>
                    </w:rPr>
                  </w:pP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654C2FAB">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（2）对不合格服务进行控制，对不合格服务的原因进行识别和分析，及时采取纠正措施，消除不合格 的原因，防止不合格再发生。</w:t>
                  </w:r>
                </w:p>
              </w:tc>
            </w:tr>
            <w:tr w14:paraId="11BCB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88"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74EBE217">
                  <w:pPr>
                    <w:widowControl/>
                    <w:spacing w:line="360" w:lineRule="exact"/>
                    <w:ind w:firstLine="416" w:firstLineChars="200"/>
                    <w:jc w:val="left"/>
                    <w:rPr>
                      <w:rFonts w:cs="CESI仿宋-GB2312"/>
                      <w:spacing w:val="-1"/>
                      <w:szCs w:val="21"/>
                    </w:rPr>
                  </w:pP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37AD49FC">
                  <w:pPr>
                    <w:widowControl/>
                    <w:spacing w:line="360" w:lineRule="exact"/>
                    <w:ind w:firstLine="416" w:firstLineChars="200"/>
                    <w:jc w:val="left"/>
                    <w:rPr>
                      <w:rFonts w:cs="CESI仿宋-GB2312"/>
                      <w:spacing w:val="-1"/>
                      <w:szCs w:val="21"/>
                    </w:rPr>
                  </w:pP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3E999A24">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（3）需整改问题及时整改完成。</w:t>
                  </w:r>
                </w:p>
              </w:tc>
            </w:tr>
            <w:tr w14:paraId="4A26C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19" w:hRule="atLeast"/>
              </w:trPr>
              <w:tc>
                <w:tcPr>
                  <w:tcW w:w="489" w:type="dxa"/>
                  <w:vMerge w:val="restart"/>
                  <w:tcBorders>
                    <w:top w:val="single" w:color="000000" w:sz="2" w:space="0"/>
                    <w:left w:val="single" w:color="000000" w:sz="2" w:space="0"/>
                    <w:bottom w:val="single" w:color="000000" w:sz="2" w:space="0"/>
                    <w:right w:val="single" w:color="000000" w:sz="2" w:space="0"/>
                  </w:tcBorders>
                  <w:noWrap w:val="0"/>
                  <w:vAlign w:val="center"/>
                </w:tcPr>
                <w:p w14:paraId="68B337A1">
                  <w:pPr>
                    <w:widowControl/>
                    <w:kinsoku w:val="0"/>
                    <w:autoSpaceDE w:val="0"/>
                    <w:autoSpaceDN w:val="0"/>
                    <w:adjustRightInd w:val="0"/>
                    <w:snapToGrid w:val="0"/>
                    <w:spacing w:line="360" w:lineRule="exact"/>
                    <w:jc w:val="center"/>
                    <w:textAlignment w:val="baseline"/>
                    <w:rPr>
                      <w:rFonts w:cs="CESI仿宋-GB2312"/>
                      <w:spacing w:val="-1"/>
                      <w:szCs w:val="21"/>
                    </w:rPr>
                  </w:pPr>
                  <w:r>
                    <w:rPr>
                      <w:rFonts w:hint="eastAsia" w:cs="CESI仿宋-GB2312"/>
                      <w:spacing w:val="-1"/>
                      <w:szCs w:val="21"/>
                    </w:rPr>
                    <w:t>6</w:t>
                  </w:r>
                </w:p>
              </w:tc>
              <w:tc>
                <w:tcPr>
                  <w:tcW w:w="810" w:type="dxa"/>
                  <w:vMerge w:val="restart"/>
                  <w:tcBorders>
                    <w:top w:val="single" w:color="000000" w:sz="2" w:space="0"/>
                    <w:left w:val="single" w:color="000000" w:sz="2" w:space="0"/>
                    <w:bottom w:val="single" w:color="000000" w:sz="2" w:space="0"/>
                    <w:right w:val="single" w:color="000000" w:sz="2" w:space="0"/>
                  </w:tcBorders>
                  <w:noWrap w:val="0"/>
                  <w:vAlign w:val="center"/>
                </w:tcPr>
                <w:p w14:paraId="0B393690">
                  <w:pPr>
                    <w:widowControl/>
                    <w:kinsoku w:val="0"/>
                    <w:autoSpaceDE w:val="0"/>
                    <w:autoSpaceDN w:val="0"/>
                    <w:adjustRightInd w:val="0"/>
                    <w:snapToGrid w:val="0"/>
                    <w:spacing w:line="360" w:lineRule="exact"/>
                    <w:textAlignment w:val="baseline"/>
                    <w:rPr>
                      <w:rFonts w:cs="CESI仿宋-GB2312"/>
                      <w:spacing w:val="-1"/>
                      <w:szCs w:val="21"/>
                    </w:rPr>
                  </w:pPr>
                  <w:r>
                    <w:rPr>
                      <w:rFonts w:hint="eastAsia" w:cs="CESI仿宋-GB2312"/>
                      <w:spacing w:val="-1"/>
                      <w:szCs w:val="21"/>
                    </w:rPr>
                    <w:t>重大活动后勤保障</w:t>
                  </w: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0B7F093C">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（1）制定流程和方案。配合采购人制订重大活动后勤保障工作流程和方案，需对任务进行详细了解，并根据工作安 排制定详细的后勤保障计划。</w:t>
                  </w:r>
                </w:p>
              </w:tc>
            </w:tr>
            <w:tr w14:paraId="66A6A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27789BDC">
                  <w:pPr>
                    <w:widowControl/>
                    <w:spacing w:line="360" w:lineRule="exact"/>
                    <w:ind w:firstLine="416" w:firstLineChars="200"/>
                    <w:jc w:val="center"/>
                    <w:rPr>
                      <w:rFonts w:cs="CESI仿宋-GB2312"/>
                      <w:spacing w:val="-1"/>
                      <w:szCs w:val="21"/>
                    </w:rPr>
                  </w:pP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747EE8C3">
                  <w:pPr>
                    <w:widowControl/>
                    <w:spacing w:line="360" w:lineRule="exact"/>
                    <w:ind w:firstLine="416" w:firstLineChars="200"/>
                    <w:jc w:val="left"/>
                    <w:rPr>
                      <w:rFonts w:cs="CESI仿宋-GB2312"/>
                      <w:spacing w:val="-1"/>
                      <w:szCs w:val="21"/>
                    </w:rPr>
                  </w:pP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0D4301C7">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（2）实施保障。按计划在关键区域和重点部位进行部署，确保任务顺利进行，对活动区域进行全面安 全检查，发现并排除安全隐患，对车辆进行有序引导和管理，确保交通安全畅通，以礼貌、专业的态度对待来宾，展现良好形象。</w:t>
                  </w:r>
                </w:p>
              </w:tc>
            </w:tr>
            <w:tr w14:paraId="1F717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98"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55978960">
                  <w:pPr>
                    <w:widowControl/>
                    <w:spacing w:line="360" w:lineRule="exact"/>
                    <w:ind w:firstLine="416" w:firstLineChars="200"/>
                    <w:jc w:val="center"/>
                    <w:rPr>
                      <w:rFonts w:cs="CESI仿宋-GB2312"/>
                      <w:spacing w:val="-1"/>
                      <w:szCs w:val="21"/>
                    </w:rPr>
                  </w:pP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383CB174">
                  <w:pPr>
                    <w:widowControl/>
                    <w:spacing w:line="360" w:lineRule="exact"/>
                    <w:ind w:firstLine="416" w:firstLineChars="200"/>
                    <w:jc w:val="left"/>
                    <w:rPr>
                      <w:rFonts w:cs="CESI仿宋-GB2312"/>
                      <w:spacing w:val="-1"/>
                      <w:szCs w:val="21"/>
                    </w:rPr>
                  </w:pP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0BE22F6E">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（3）收尾工作。对现场进行检查，做好清理工作。</w:t>
                  </w:r>
                </w:p>
              </w:tc>
            </w:tr>
            <w:tr w14:paraId="079B8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596" w:hRule="atLeast"/>
              </w:trPr>
              <w:tc>
                <w:tcPr>
                  <w:tcW w:w="489" w:type="dxa"/>
                  <w:vMerge w:val="restart"/>
                  <w:tcBorders>
                    <w:top w:val="single" w:color="000000" w:sz="2" w:space="0"/>
                    <w:left w:val="single" w:color="000000" w:sz="2" w:space="0"/>
                    <w:bottom w:val="single" w:color="000000" w:sz="2" w:space="0"/>
                    <w:right w:val="single" w:color="000000" w:sz="2" w:space="0"/>
                  </w:tcBorders>
                  <w:noWrap w:val="0"/>
                  <w:vAlign w:val="center"/>
                </w:tcPr>
                <w:p w14:paraId="1FA8CC22">
                  <w:pPr>
                    <w:widowControl/>
                    <w:kinsoku w:val="0"/>
                    <w:autoSpaceDE w:val="0"/>
                    <w:autoSpaceDN w:val="0"/>
                    <w:adjustRightInd w:val="0"/>
                    <w:snapToGrid w:val="0"/>
                    <w:spacing w:line="360" w:lineRule="exact"/>
                    <w:jc w:val="center"/>
                    <w:textAlignment w:val="baseline"/>
                    <w:rPr>
                      <w:rFonts w:cs="CESI仿宋-GB2312"/>
                      <w:spacing w:val="-1"/>
                      <w:szCs w:val="21"/>
                    </w:rPr>
                  </w:pPr>
                  <w:r>
                    <w:rPr>
                      <w:rFonts w:hint="eastAsia" w:cs="CESI仿宋-GB2312"/>
                      <w:spacing w:val="-1"/>
                      <w:szCs w:val="21"/>
                    </w:rPr>
                    <w:t>7</w:t>
                  </w:r>
                </w:p>
              </w:tc>
              <w:tc>
                <w:tcPr>
                  <w:tcW w:w="810" w:type="dxa"/>
                  <w:vMerge w:val="restart"/>
                  <w:tcBorders>
                    <w:top w:val="single" w:color="000000" w:sz="2" w:space="0"/>
                    <w:left w:val="single" w:color="000000" w:sz="2" w:space="0"/>
                    <w:bottom w:val="single" w:color="000000" w:sz="2" w:space="0"/>
                    <w:right w:val="single" w:color="000000" w:sz="2" w:space="0"/>
                  </w:tcBorders>
                  <w:noWrap w:val="0"/>
                  <w:vAlign w:val="center"/>
                </w:tcPr>
                <w:p w14:paraId="58835D6B">
                  <w:pPr>
                    <w:widowControl/>
                    <w:kinsoku w:val="0"/>
                    <w:autoSpaceDE w:val="0"/>
                    <w:autoSpaceDN w:val="0"/>
                    <w:adjustRightInd w:val="0"/>
                    <w:snapToGrid w:val="0"/>
                    <w:spacing w:line="360" w:lineRule="exact"/>
                    <w:textAlignment w:val="baseline"/>
                    <w:rPr>
                      <w:rFonts w:cs="CESI仿宋-GB2312"/>
                      <w:spacing w:val="-1"/>
                      <w:szCs w:val="21"/>
                    </w:rPr>
                  </w:pPr>
                  <w:r>
                    <w:rPr>
                      <w:rFonts w:hint="eastAsia" w:cs="CESI仿宋-GB2312"/>
                      <w:spacing w:val="-1"/>
                      <w:szCs w:val="21"/>
                    </w:rPr>
                    <w:t>应急保障预案</w:t>
                  </w: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060C75F2">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14:paraId="3BFA7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4FC53C7D">
                  <w:pPr>
                    <w:widowControl/>
                    <w:spacing w:line="360" w:lineRule="exact"/>
                    <w:ind w:firstLine="416" w:firstLineChars="200"/>
                    <w:jc w:val="left"/>
                    <w:rPr>
                      <w:rFonts w:cs="CESI仿宋-GB2312"/>
                      <w:spacing w:val="-1"/>
                      <w:szCs w:val="21"/>
                    </w:rPr>
                  </w:pP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18D14F7A">
                  <w:pPr>
                    <w:widowControl/>
                    <w:spacing w:line="360" w:lineRule="exact"/>
                    <w:ind w:firstLine="416" w:firstLineChars="200"/>
                    <w:jc w:val="left"/>
                    <w:rPr>
                      <w:rFonts w:cs="CESI仿宋-GB2312"/>
                      <w:spacing w:val="-1"/>
                      <w:szCs w:val="21"/>
                    </w:rPr>
                  </w:pP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31140022">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（2）应急预案的建立。根据办公楼隐患排查的结果和实际情况，制定专项预案，包括但不限于：火情火警紧急处理应急预案、紧急疏散应急预案、停水停电应急预案、有限空间救援应急预案、高空作业救援应 急预案、恶劣天气应对应急预案等。事故处理后，及时形成事故应急总结报告，完善应急救援工作方案。</w:t>
                  </w:r>
                </w:p>
              </w:tc>
            </w:tr>
            <w:tr w14:paraId="452B4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3E430694">
                  <w:pPr>
                    <w:widowControl/>
                    <w:spacing w:line="360" w:lineRule="exact"/>
                    <w:ind w:firstLine="416" w:firstLineChars="200"/>
                    <w:jc w:val="left"/>
                    <w:rPr>
                      <w:rFonts w:cs="CESI仿宋-GB2312"/>
                      <w:spacing w:val="-1"/>
                      <w:szCs w:val="21"/>
                    </w:rPr>
                  </w:pP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1D54D354">
                  <w:pPr>
                    <w:widowControl/>
                    <w:spacing w:line="360" w:lineRule="exact"/>
                    <w:ind w:firstLine="416" w:firstLineChars="200"/>
                    <w:jc w:val="left"/>
                    <w:rPr>
                      <w:rFonts w:cs="CESI仿宋-GB2312"/>
                      <w:spacing w:val="-1"/>
                      <w:szCs w:val="21"/>
                    </w:rPr>
                  </w:pP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5E5CCB8B">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（3）应急预案的培训和演练。应急预案定期培训和演练，组织相关岗位每半年至少开展1次专项应急预案演练；留存培训及演练记录和影像资料，并对预案进行评价，确保与实际情况相结合。</w:t>
                  </w:r>
                </w:p>
              </w:tc>
            </w:tr>
            <w:tr w14:paraId="4B281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3"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6DAA8284">
                  <w:pPr>
                    <w:widowControl/>
                    <w:spacing w:line="360" w:lineRule="exact"/>
                    <w:ind w:firstLine="416" w:firstLineChars="200"/>
                    <w:jc w:val="left"/>
                    <w:rPr>
                      <w:rFonts w:cs="CESI仿宋-GB2312"/>
                      <w:spacing w:val="-1"/>
                      <w:szCs w:val="21"/>
                    </w:rPr>
                  </w:pP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043CA38D">
                  <w:pPr>
                    <w:widowControl/>
                    <w:spacing w:line="360" w:lineRule="exact"/>
                    <w:ind w:firstLine="416" w:firstLineChars="200"/>
                    <w:jc w:val="left"/>
                    <w:rPr>
                      <w:rFonts w:cs="CESI仿宋-GB2312"/>
                      <w:spacing w:val="-1"/>
                      <w:szCs w:val="21"/>
                    </w:rPr>
                  </w:pPr>
                </w:p>
              </w:tc>
              <w:tc>
                <w:tcPr>
                  <w:tcW w:w="3463" w:type="dxa"/>
                  <w:tcBorders>
                    <w:top w:val="single" w:color="000000" w:sz="2" w:space="0"/>
                    <w:left w:val="single" w:color="000000" w:sz="2" w:space="0"/>
                    <w:bottom w:val="single" w:color="auto" w:sz="4" w:space="0"/>
                    <w:right w:val="single" w:color="000000" w:sz="2" w:space="0"/>
                  </w:tcBorders>
                  <w:noWrap w:val="0"/>
                  <w:vAlign w:val="center"/>
                </w:tcPr>
                <w:p w14:paraId="44A2F63C">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4）应急预案的执行。发生意外事件时，根据应急预案处理方法，及时采取应急措施，维护办公区域物业服务正常进行，维护现场秩序，保护人身财产安全。办公区域物业服务应急预案终止实施后，积极采取措施，在尽可能短的时间内，消除事故带来 的不良影响，妥善安置和慰问受害及受影响的人员和部门。</w:t>
                  </w:r>
                </w:p>
              </w:tc>
            </w:tr>
            <w:tr w14:paraId="428D3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1"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5A92ACB6">
                  <w:pPr>
                    <w:widowControl/>
                    <w:spacing w:line="360" w:lineRule="exact"/>
                    <w:ind w:firstLine="416" w:firstLineChars="200"/>
                    <w:jc w:val="left"/>
                    <w:rPr>
                      <w:rFonts w:cs="CESI仿宋-GB2312"/>
                      <w:spacing w:val="-1"/>
                      <w:szCs w:val="21"/>
                    </w:rPr>
                  </w:pP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65EB9764">
                  <w:pPr>
                    <w:widowControl/>
                    <w:spacing w:line="360" w:lineRule="exact"/>
                    <w:ind w:firstLine="416" w:firstLineChars="200"/>
                    <w:jc w:val="left"/>
                    <w:rPr>
                      <w:rFonts w:cs="CESI仿宋-GB2312"/>
                      <w:spacing w:val="-1"/>
                      <w:szCs w:val="21"/>
                    </w:rPr>
                  </w:pPr>
                </w:p>
              </w:tc>
              <w:tc>
                <w:tcPr>
                  <w:tcW w:w="3463" w:type="dxa"/>
                  <w:tcBorders>
                    <w:top w:val="single" w:color="auto" w:sz="4" w:space="0"/>
                    <w:left w:val="single" w:color="000000" w:sz="2" w:space="0"/>
                    <w:bottom w:val="single" w:color="000000" w:sz="2" w:space="0"/>
                    <w:right w:val="single" w:color="000000" w:sz="2" w:space="0"/>
                  </w:tcBorders>
                  <w:noWrap w:val="0"/>
                  <w:vAlign w:val="center"/>
                </w:tcPr>
                <w:p w14:paraId="0A9AE9DC">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（5）应急物资的管理。根据专项预案中的应对需要、必要的应急物资，建立清单或台账，并由专人定期对应急物资进行检查，如有应急物资不足，及时通知采购人购置齐全，确保能够随时正常使用。</w:t>
                  </w:r>
                </w:p>
              </w:tc>
            </w:tr>
            <w:tr w14:paraId="00010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489" w:type="dxa"/>
                  <w:vMerge w:val="restart"/>
                  <w:tcBorders>
                    <w:top w:val="single" w:color="000000" w:sz="2" w:space="0"/>
                    <w:left w:val="single" w:color="000000" w:sz="2" w:space="0"/>
                    <w:bottom w:val="single" w:color="000000" w:sz="2" w:space="0"/>
                    <w:right w:val="single" w:color="000000" w:sz="2" w:space="0"/>
                  </w:tcBorders>
                  <w:noWrap w:val="0"/>
                  <w:vAlign w:val="center"/>
                </w:tcPr>
                <w:p w14:paraId="26D44133">
                  <w:pPr>
                    <w:spacing w:line="360" w:lineRule="exact"/>
                    <w:jc w:val="center"/>
                  </w:pPr>
                  <w:r>
                    <w:rPr>
                      <w:rFonts w:hint="eastAsia"/>
                    </w:rPr>
                    <w:t>8</w:t>
                  </w:r>
                </w:p>
              </w:tc>
              <w:tc>
                <w:tcPr>
                  <w:tcW w:w="810" w:type="dxa"/>
                  <w:vMerge w:val="restart"/>
                  <w:tcBorders>
                    <w:top w:val="single" w:color="000000" w:sz="2" w:space="0"/>
                    <w:left w:val="single" w:color="000000" w:sz="2" w:space="0"/>
                    <w:bottom w:val="single" w:color="000000" w:sz="2" w:space="0"/>
                    <w:right w:val="single" w:color="000000" w:sz="2" w:space="0"/>
                  </w:tcBorders>
                  <w:noWrap w:val="0"/>
                  <w:vAlign w:val="center"/>
                </w:tcPr>
                <w:p w14:paraId="38AEED86">
                  <w:pPr>
                    <w:widowControl/>
                    <w:kinsoku w:val="0"/>
                    <w:autoSpaceDE w:val="0"/>
                    <w:autoSpaceDN w:val="0"/>
                    <w:adjustRightInd w:val="0"/>
                    <w:snapToGrid w:val="0"/>
                    <w:spacing w:line="360" w:lineRule="exact"/>
                    <w:textAlignment w:val="baseline"/>
                    <w:rPr>
                      <w:rFonts w:cs="CESI仿宋-GB2312"/>
                      <w:spacing w:val="-1"/>
                      <w:szCs w:val="21"/>
                    </w:rPr>
                  </w:pPr>
                  <w:r>
                    <w:rPr>
                      <w:rFonts w:hint="eastAsia" w:cs="CESI仿宋-GB2312"/>
                      <w:spacing w:val="-1"/>
                      <w:szCs w:val="21"/>
                    </w:rPr>
                    <w:t>服务方案及工作制度</w:t>
                  </w: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05AE9000">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（1）制定工作制度，主要包括：人员录用制度、档案管理制度、物业服务管理制度、公用设施设备相关管理制度等。</w:t>
                  </w:r>
                </w:p>
              </w:tc>
            </w:tr>
            <w:tr w14:paraId="005D7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2F0AFF69">
                  <w:pPr>
                    <w:widowControl/>
                    <w:spacing w:line="360" w:lineRule="exact"/>
                    <w:ind w:firstLine="416" w:firstLineChars="200"/>
                    <w:jc w:val="center"/>
                    <w:rPr>
                      <w:rFonts w:cs="CESI仿宋-GB2312"/>
                      <w:spacing w:val="-1"/>
                      <w:szCs w:val="21"/>
                    </w:rPr>
                  </w:pP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404BE2A4">
                  <w:pPr>
                    <w:widowControl/>
                    <w:spacing w:line="360" w:lineRule="exact"/>
                    <w:ind w:firstLine="416" w:firstLineChars="200"/>
                    <w:jc w:val="left"/>
                    <w:rPr>
                      <w:rFonts w:cs="CESI仿宋-GB2312"/>
                      <w:spacing w:val="-1"/>
                      <w:szCs w:val="21"/>
                    </w:rPr>
                  </w:pP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217EDD30">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（2）制定项目实施方案，主要包括：交接方案、人员培训方案、人员稳定性方案、保密方案等。</w:t>
                  </w:r>
                </w:p>
              </w:tc>
            </w:tr>
            <w:tr w14:paraId="6B75A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87"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38A4C6BF">
                  <w:pPr>
                    <w:widowControl/>
                    <w:spacing w:line="360" w:lineRule="exact"/>
                    <w:ind w:firstLine="416" w:firstLineChars="200"/>
                    <w:jc w:val="center"/>
                    <w:rPr>
                      <w:rFonts w:cs="CESI仿宋-GB2312"/>
                      <w:spacing w:val="-1"/>
                      <w:szCs w:val="21"/>
                    </w:rPr>
                  </w:pP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4A14D140">
                  <w:pPr>
                    <w:widowControl/>
                    <w:spacing w:line="360" w:lineRule="exact"/>
                    <w:ind w:firstLine="416" w:firstLineChars="200"/>
                    <w:jc w:val="left"/>
                    <w:rPr>
                      <w:rFonts w:cs="CESI仿宋-GB2312"/>
                      <w:spacing w:val="-1"/>
                      <w:szCs w:val="21"/>
                    </w:rPr>
                  </w:pP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04FBA89C">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（3）制定物业服务方案，主要包括：公用设施设备维护服务方案、保洁服务方案、保安服务方案等。</w:t>
                  </w:r>
                </w:p>
              </w:tc>
            </w:tr>
            <w:tr w14:paraId="0B209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489" w:type="dxa"/>
                  <w:vMerge w:val="restart"/>
                  <w:tcBorders>
                    <w:top w:val="single" w:color="000000" w:sz="2" w:space="0"/>
                    <w:left w:val="single" w:color="000000" w:sz="2" w:space="0"/>
                    <w:bottom w:val="single" w:color="000000" w:sz="2" w:space="0"/>
                    <w:right w:val="single" w:color="000000" w:sz="2" w:space="0"/>
                  </w:tcBorders>
                  <w:noWrap w:val="0"/>
                  <w:vAlign w:val="center"/>
                </w:tcPr>
                <w:p w14:paraId="1BC04312">
                  <w:pPr>
                    <w:widowControl/>
                    <w:kinsoku w:val="0"/>
                    <w:autoSpaceDE w:val="0"/>
                    <w:autoSpaceDN w:val="0"/>
                    <w:adjustRightInd w:val="0"/>
                    <w:snapToGrid w:val="0"/>
                    <w:spacing w:line="360" w:lineRule="exact"/>
                    <w:jc w:val="center"/>
                    <w:textAlignment w:val="baseline"/>
                    <w:rPr>
                      <w:rFonts w:cs="CESI仿宋-GB2312"/>
                      <w:spacing w:val="-1"/>
                      <w:szCs w:val="21"/>
                    </w:rPr>
                  </w:pPr>
                  <w:r>
                    <w:rPr>
                      <w:rFonts w:hint="eastAsia" w:cs="CESI仿宋-GB2312"/>
                      <w:spacing w:val="-1"/>
                      <w:szCs w:val="21"/>
                    </w:rPr>
                    <w:t>9</w:t>
                  </w:r>
                </w:p>
              </w:tc>
              <w:tc>
                <w:tcPr>
                  <w:tcW w:w="810" w:type="dxa"/>
                  <w:vMerge w:val="restart"/>
                  <w:tcBorders>
                    <w:top w:val="single" w:color="000000" w:sz="2" w:space="0"/>
                    <w:left w:val="single" w:color="000000" w:sz="2" w:space="0"/>
                    <w:bottom w:val="single" w:color="000000" w:sz="2" w:space="0"/>
                    <w:right w:val="single" w:color="000000" w:sz="2" w:space="0"/>
                  </w:tcBorders>
                  <w:noWrap w:val="0"/>
                  <w:vAlign w:val="center"/>
                </w:tcPr>
                <w:p w14:paraId="4D1B588E">
                  <w:pPr>
                    <w:widowControl/>
                    <w:kinsoku w:val="0"/>
                    <w:autoSpaceDE w:val="0"/>
                    <w:autoSpaceDN w:val="0"/>
                    <w:adjustRightInd w:val="0"/>
                    <w:snapToGrid w:val="0"/>
                    <w:spacing w:line="360" w:lineRule="exact"/>
                    <w:textAlignment w:val="baseline"/>
                    <w:rPr>
                      <w:rFonts w:cs="CESI仿宋-GB2312"/>
                      <w:spacing w:val="-1"/>
                      <w:szCs w:val="21"/>
                    </w:rPr>
                  </w:pPr>
                  <w:r>
                    <w:rPr>
                      <w:rFonts w:hint="eastAsia" w:cs="CESI仿宋-GB2312"/>
                      <w:spacing w:val="-1"/>
                      <w:szCs w:val="21"/>
                    </w:rPr>
                    <w:t>服务热线及紧急维修</w:t>
                  </w:r>
                </w:p>
              </w:tc>
              <w:tc>
                <w:tcPr>
                  <w:tcW w:w="3463" w:type="dxa"/>
                  <w:tcBorders>
                    <w:top w:val="single" w:color="000000" w:sz="2" w:space="0"/>
                    <w:left w:val="single" w:color="000000" w:sz="2" w:space="0"/>
                    <w:bottom w:val="single" w:color="000000" w:sz="2" w:space="0"/>
                    <w:right w:val="single" w:color="000000" w:sz="2" w:space="0"/>
                  </w:tcBorders>
                  <w:noWrap w:val="0"/>
                  <w:vAlign w:val="center"/>
                </w:tcPr>
                <w:p w14:paraId="419B484C">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（1）设置24小时服务热线。</w:t>
                  </w:r>
                </w:p>
              </w:tc>
            </w:tr>
            <w:tr w14:paraId="4BBFF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6"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41D1DA7E">
                  <w:pPr>
                    <w:widowControl/>
                    <w:spacing w:line="360" w:lineRule="exact"/>
                    <w:ind w:firstLine="416" w:firstLineChars="200"/>
                    <w:jc w:val="left"/>
                    <w:rPr>
                      <w:rFonts w:cs="CESI仿宋-GB2312"/>
                      <w:spacing w:val="-1"/>
                      <w:szCs w:val="21"/>
                    </w:rPr>
                  </w:pP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04CBB49C">
                  <w:pPr>
                    <w:widowControl/>
                    <w:spacing w:line="360" w:lineRule="exact"/>
                    <w:ind w:firstLine="416" w:firstLineChars="200"/>
                    <w:jc w:val="left"/>
                    <w:rPr>
                      <w:rFonts w:cs="CESI仿宋-GB2312"/>
                      <w:spacing w:val="-1"/>
                      <w:szCs w:val="21"/>
                    </w:rPr>
                  </w:pPr>
                </w:p>
              </w:tc>
              <w:tc>
                <w:tcPr>
                  <w:tcW w:w="3463" w:type="dxa"/>
                  <w:tcBorders>
                    <w:top w:val="single" w:color="000000" w:sz="2" w:space="0"/>
                    <w:left w:val="single" w:color="000000" w:sz="2" w:space="0"/>
                    <w:bottom w:val="single" w:color="auto" w:sz="4" w:space="0"/>
                    <w:right w:val="single" w:color="000000" w:sz="2" w:space="0"/>
                  </w:tcBorders>
                  <w:noWrap w:val="0"/>
                  <w:vAlign w:val="center"/>
                </w:tcPr>
                <w:p w14:paraId="72D272B2">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（2）对于紧急</w:t>
                  </w:r>
                  <w:r>
                    <w:rPr>
                      <w:rFonts w:hint="eastAsia" w:cs="CESI仿宋-GB2312"/>
                      <w:spacing w:val="-1"/>
                      <w:szCs w:val="21"/>
                      <w:lang w:val="en-US" w:eastAsia="zh-CN"/>
                    </w:rPr>
                    <w:t>突发事件</w:t>
                  </w:r>
                  <w:r>
                    <w:rPr>
                      <w:rFonts w:hint="eastAsia" w:cs="CESI仿宋-GB2312"/>
                      <w:spacing w:val="-1"/>
                      <w:szCs w:val="21"/>
                    </w:rPr>
                    <w:t>，物业服务</w:t>
                  </w:r>
                  <w:r>
                    <w:rPr>
                      <w:rFonts w:hint="eastAsia" w:cs="CESI仿宋-GB2312"/>
                      <w:spacing w:val="-1"/>
                      <w:szCs w:val="21"/>
                      <w:lang w:val="en-US" w:eastAsia="zh-CN"/>
                    </w:rPr>
                    <w:t>项目管理员</w:t>
                  </w:r>
                  <w:r>
                    <w:rPr>
                      <w:rFonts w:hint="eastAsia" w:cs="CESI仿宋-GB2312"/>
                      <w:spacing w:val="-1"/>
                      <w:szCs w:val="21"/>
                    </w:rPr>
                    <w:t>在10 分钟 内到达现场。</w:t>
                  </w:r>
                </w:p>
              </w:tc>
            </w:tr>
            <w:tr w14:paraId="0A844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58"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7C67F9B1">
                  <w:pPr>
                    <w:widowControl/>
                    <w:spacing w:line="360" w:lineRule="exact"/>
                    <w:ind w:firstLine="416" w:firstLineChars="200"/>
                    <w:jc w:val="left"/>
                    <w:rPr>
                      <w:rFonts w:cs="CESI仿宋-GB2312"/>
                      <w:spacing w:val="-1"/>
                      <w:szCs w:val="21"/>
                    </w:rPr>
                  </w:pP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324B737E">
                  <w:pPr>
                    <w:widowControl/>
                    <w:spacing w:line="360" w:lineRule="exact"/>
                    <w:ind w:firstLine="416" w:firstLineChars="200"/>
                    <w:jc w:val="left"/>
                    <w:rPr>
                      <w:rFonts w:cs="CESI仿宋-GB2312"/>
                      <w:spacing w:val="-1"/>
                      <w:szCs w:val="21"/>
                    </w:rPr>
                  </w:pPr>
                </w:p>
              </w:tc>
              <w:tc>
                <w:tcPr>
                  <w:tcW w:w="3463" w:type="dxa"/>
                  <w:tcBorders>
                    <w:top w:val="single" w:color="auto" w:sz="4" w:space="0"/>
                    <w:left w:val="single" w:color="000000" w:sz="2" w:space="0"/>
                    <w:bottom w:val="single" w:color="auto" w:sz="4" w:space="0"/>
                    <w:right w:val="single" w:color="000000" w:sz="2" w:space="0"/>
                  </w:tcBorders>
                  <w:noWrap w:val="0"/>
                  <w:vAlign w:val="center"/>
                </w:tcPr>
                <w:p w14:paraId="62F0E858">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w:t>
                  </w:r>
                  <w:r>
                    <w:rPr>
                      <w:rFonts w:hint="eastAsia" w:cs="CESI仿宋-GB2312"/>
                      <w:spacing w:val="-1"/>
                      <w:szCs w:val="21"/>
                      <w:lang w:val="en-US" w:eastAsia="zh-CN"/>
                    </w:rPr>
                    <w:t>3</w:t>
                  </w:r>
                  <w:r>
                    <w:rPr>
                      <w:rFonts w:hint="eastAsia" w:cs="CESI仿宋-GB2312"/>
                      <w:spacing w:val="-1"/>
                      <w:szCs w:val="21"/>
                    </w:rPr>
                    <w:t>）</w:t>
                  </w:r>
                  <w:r>
                    <w:rPr>
                      <w:rFonts w:hint="eastAsia" w:cs="CESI仿宋-GB2312"/>
                      <w:spacing w:val="-1"/>
                      <w:szCs w:val="21"/>
                      <w:lang w:val="en-US" w:eastAsia="zh-CN"/>
                    </w:rPr>
                    <w:t>消防设施、安全监控设施的更换与</w:t>
                  </w:r>
                  <w:r>
                    <w:rPr>
                      <w:rFonts w:hint="eastAsia" w:cs="CESI仿宋-GB2312"/>
                      <w:spacing w:val="-1"/>
                      <w:szCs w:val="21"/>
                    </w:rPr>
                    <w:t>维修</w:t>
                  </w:r>
                  <w:r>
                    <w:rPr>
                      <w:rFonts w:hint="eastAsia" w:cs="CESI仿宋-GB2312"/>
                      <w:spacing w:val="-1"/>
                      <w:szCs w:val="21"/>
                      <w:lang w:val="en-US" w:eastAsia="zh-CN"/>
                    </w:rPr>
                    <w:t>需</w:t>
                  </w:r>
                  <w:r>
                    <w:rPr>
                      <w:rFonts w:hint="eastAsia" w:cs="CESI仿宋-GB2312"/>
                      <w:spacing w:val="-1"/>
                      <w:szCs w:val="21"/>
                    </w:rPr>
                    <w:t>与采购人进行沟通。</w:t>
                  </w:r>
                </w:p>
              </w:tc>
            </w:tr>
            <w:tr w14:paraId="4872C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61"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22F8AFC2">
                  <w:pPr>
                    <w:widowControl/>
                    <w:spacing w:line="360" w:lineRule="exact"/>
                    <w:ind w:firstLine="416" w:firstLineChars="200"/>
                    <w:jc w:val="left"/>
                    <w:rPr>
                      <w:rFonts w:cs="CESI仿宋-GB2312"/>
                      <w:spacing w:val="-1"/>
                      <w:szCs w:val="21"/>
                    </w:rPr>
                  </w:pP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79F18530">
                  <w:pPr>
                    <w:widowControl/>
                    <w:spacing w:line="360" w:lineRule="exact"/>
                    <w:ind w:firstLine="416" w:firstLineChars="200"/>
                    <w:jc w:val="left"/>
                    <w:rPr>
                      <w:rFonts w:cs="CESI仿宋-GB2312"/>
                      <w:spacing w:val="-1"/>
                      <w:szCs w:val="21"/>
                    </w:rPr>
                  </w:pPr>
                </w:p>
              </w:tc>
              <w:tc>
                <w:tcPr>
                  <w:tcW w:w="3463" w:type="dxa"/>
                  <w:tcBorders>
                    <w:top w:val="single" w:color="auto" w:sz="4" w:space="0"/>
                    <w:left w:val="single" w:color="000000" w:sz="2" w:space="0"/>
                    <w:bottom w:val="single" w:color="auto" w:sz="4" w:space="0"/>
                    <w:right w:val="single" w:color="000000" w:sz="2" w:space="0"/>
                  </w:tcBorders>
                  <w:noWrap w:val="0"/>
                  <w:vAlign w:val="center"/>
                </w:tcPr>
                <w:p w14:paraId="6007C67D">
                  <w:pPr>
                    <w:widowControl/>
                    <w:kinsoku w:val="0"/>
                    <w:autoSpaceDE w:val="0"/>
                    <w:autoSpaceDN w:val="0"/>
                    <w:adjustRightInd w:val="0"/>
                    <w:snapToGrid w:val="0"/>
                    <w:spacing w:line="360" w:lineRule="exact"/>
                    <w:ind w:firstLine="416" w:firstLineChars="200"/>
                    <w:textAlignment w:val="baseline"/>
                    <w:rPr>
                      <w:rFonts w:hint="default" w:eastAsia="宋体" w:cs="CESI仿宋-GB2312"/>
                      <w:spacing w:val="-1"/>
                      <w:szCs w:val="21"/>
                      <w:lang w:val="en-US" w:eastAsia="zh-CN"/>
                    </w:rPr>
                  </w:pPr>
                  <w:r>
                    <w:rPr>
                      <w:rFonts w:hint="eastAsia" w:cs="CESI仿宋-GB2312"/>
                      <w:spacing w:val="-1"/>
                      <w:szCs w:val="21"/>
                      <w:highlight w:val="none"/>
                    </w:rPr>
                    <w:t>（</w:t>
                  </w:r>
                  <w:r>
                    <w:rPr>
                      <w:rFonts w:hint="eastAsia" w:cs="CESI仿宋-GB2312"/>
                      <w:spacing w:val="-1"/>
                      <w:szCs w:val="21"/>
                      <w:highlight w:val="none"/>
                      <w:lang w:val="en-US" w:eastAsia="zh-CN"/>
                    </w:rPr>
                    <w:t>4</w:t>
                  </w:r>
                  <w:r>
                    <w:rPr>
                      <w:rFonts w:hint="eastAsia" w:cs="CESI仿宋-GB2312"/>
                      <w:spacing w:val="-1"/>
                      <w:szCs w:val="21"/>
                      <w:highlight w:val="none"/>
                    </w:rPr>
                    <w:t>）对</w:t>
                  </w:r>
                  <w:r>
                    <w:rPr>
                      <w:rFonts w:hint="eastAsia" w:cs="CESI仿宋-GB2312"/>
                      <w:spacing w:val="-1"/>
                      <w:szCs w:val="21"/>
                      <w:highlight w:val="none"/>
                      <w:lang w:val="en-US" w:eastAsia="zh-CN"/>
                    </w:rPr>
                    <w:t>服务</w:t>
                  </w:r>
                  <w:r>
                    <w:rPr>
                      <w:rFonts w:hint="eastAsia" w:cs="CESI仿宋-GB2312"/>
                      <w:spacing w:val="-1"/>
                      <w:szCs w:val="21"/>
                      <w:lang w:val="en-US" w:eastAsia="zh-CN"/>
                    </w:rPr>
                    <w:t>区域内</w:t>
                  </w:r>
                  <w:r>
                    <w:rPr>
                      <w:rFonts w:hint="eastAsia" w:cs="CESI仿宋-GB2312"/>
                      <w:spacing w:val="-1"/>
                      <w:szCs w:val="21"/>
                    </w:rPr>
                    <w:t>场所</w:t>
                  </w:r>
                  <w:r>
                    <w:rPr>
                      <w:rFonts w:hint="eastAsia" w:cs="CESI仿宋-GB2312"/>
                      <w:spacing w:val="-1"/>
                      <w:szCs w:val="21"/>
                      <w:lang w:val="en-US" w:eastAsia="zh-CN"/>
                    </w:rPr>
                    <w:t>的灭火器材、监控设备进行100%回访检查并记录。</w:t>
                  </w:r>
                </w:p>
              </w:tc>
            </w:tr>
            <w:tr w14:paraId="3BF42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55" w:hRule="atLeast"/>
              </w:trPr>
              <w:tc>
                <w:tcPr>
                  <w:tcW w:w="489" w:type="dxa"/>
                  <w:vMerge w:val="restart"/>
                  <w:tcBorders>
                    <w:top w:val="single" w:color="000000" w:sz="2" w:space="0"/>
                    <w:left w:val="single" w:color="000000" w:sz="2" w:space="0"/>
                    <w:bottom w:val="single" w:color="000000" w:sz="2" w:space="0"/>
                    <w:right w:val="single" w:color="000000" w:sz="2" w:space="0"/>
                  </w:tcBorders>
                  <w:noWrap w:val="0"/>
                  <w:vAlign w:val="center"/>
                </w:tcPr>
                <w:p w14:paraId="645BD45B">
                  <w:pPr>
                    <w:widowControl/>
                    <w:kinsoku w:val="0"/>
                    <w:autoSpaceDE w:val="0"/>
                    <w:autoSpaceDN w:val="0"/>
                    <w:adjustRightInd w:val="0"/>
                    <w:snapToGrid w:val="0"/>
                    <w:spacing w:line="360" w:lineRule="exact"/>
                    <w:jc w:val="center"/>
                    <w:textAlignment w:val="baseline"/>
                    <w:rPr>
                      <w:rFonts w:hint="default" w:eastAsia="宋体" w:cs="CESI仿宋-GB2312"/>
                      <w:spacing w:val="-1"/>
                      <w:szCs w:val="21"/>
                      <w:lang w:val="en-US" w:eastAsia="zh-CN"/>
                    </w:rPr>
                  </w:pPr>
                  <w:r>
                    <w:rPr>
                      <w:rFonts w:hint="eastAsia" w:cs="CESI仿宋-GB2312"/>
                      <w:spacing w:val="-1"/>
                      <w:szCs w:val="21"/>
                      <w:lang w:val="en-US" w:eastAsia="zh-CN"/>
                    </w:rPr>
                    <w:t>10</w:t>
                  </w:r>
                </w:p>
              </w:tc>
              <w:tc>
                <w:tcPr>
                  <w:tcW w:w="810" w:type="dxa"/>
                  <w:vMerge w:val="restart"/>
                  <w:tcBorders>
                    <w:top w:val="single" w:color="000000" w:sz="2" w:space="0"/>
                    <w:left w:val="single" w:color="000000" w:sz="2" w:space="0"/>
                    <w:bottom w:val="single" w:color="000000" w:sz="2" w:space="0"/>
                    <w:right w:val="single" w:color="000000" w:sz="2" w:space="0"/>
                  </w:tcBorders>
                  <w:noWrap w:val="0"/>
                  <w:vAlign w:val="center"/>
                </w:tcPr>
                <w:p w14:paraId="01C3A2BC">
                  <w:pPr>
                    <w:widowControl/>
                    <w:kinsoku w:val="0"/>
                    <w:autoSpaceDE w:val="0"/>
                    <w:autoSpaceDN w:val="0"/>
                    <w:adjustRightInd w:val="0"/>
                    <w:snapToGrid w:val="0"/>
                    <w:spacing w:line="360" w:lineRule="exact"/>
                    <w:textAlignment w:val="baseline"/>
                    <w:rPr>
                      <w:rFonts w:cs="CESI仿宋-GB2312"/>
                      <w:spacing w:val="-1"/>
                      <w:szCs w:val="21"/>
                    </w:rPr>
                  </w:pPr>
                  <w:r>
                    <w:rPr>
                      <w:rFonts w:hint="eastAsia" w:cs="CESI仿宋-GB2312"/>
                      <w:spacing w:val="-1"/>
                      <w:szCs w:val="21"/>
                    </w:rPr>
                    <w:t>投诉管理</w:t>
                  </w:r>
                </w:p>
              </w:tc>
              <w:tc>
                <w:tcPr>
                  <w:tcW w:w="3463" w:type="dxa"/>
                  <w:tcBorders>
                    <w:top w:val="single" w:color="auto" w:sz="4" w:space="0"/>
                    <w:left w:val="single" w:color="000000" w:sz="2" w:space="0"/>
                    <w:bottom w:val="single" w:color="auto" w:sz="4" w:space="0"/>
                    <w:right w:val="single" w:color="000000" w:sz="2" w:space="0"/>
                  </w:tcBorders>
                  <w:noWrap w:val="0"/>
                  <w:vAlign w:val="center"/>
                </w:tcPr>
                <w:p w14:paraId="7E51A43C">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（1）建立投诉处理相关制度，公开投诉电话，投诉处理应符合相关要求。</w:t>
                  </w:r>
                </w:p>
              </w:tc>
            </w:tr>
            <w:tr w14:paraId="32CB2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7"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39CEB245">
                  <w:pPr>
                    <w:widowControl/>
                    <w:spacing w:line="360" w:lineRule="exact"/>
                    <w:ind w:firstLine="416" w:firstLineChars="200"/>
                    <w:jc w:val="center"/>
                    <w:rPr>
                      <w:rFonts w:cs="CESI仿宋-GB2312"/>
                      <w:spacing w:val="-1"/>
                      <w:szCs w:val="21"/>
                    </w:rPr>
                  </w:pP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577ACC99">
                  <w:pPr>
                    <w:widowControl/>
                    <w:spacing w:line="360" w:lineRule="exact"/>
                    <w:ind w:firstLine="416" w:firstLineChars="200"/>
                    <w:jc w:val="left"/>
                    <w:rPr>
                      <w:rFonts w:cs="CESI仿宋-GB2312"/>
                      <w:spacing w:val="-1"/>
                      <w:szCs w:val="21"/>
                    </w:rPr>
                  </w:pPr>
                </w:p>
              </w:tc>
              <w:tc>
                <w:tcPr>
                  <w:tcW w:w="3463" w:type="dxa"/>
                  <w:tcBorders>
                    <w:top w:val="single" w:color="auto" w:sz="4" w:space="0"/>
                    <w:left w:val="single" w:color="000000" w:sz="2" w:space="0"/>
                    <w:bottom w:val="single" w:color="auto" w:sz="4" w:space="0"/>
                    <w:right w:val="single" w:color="000000" w:sz="2" w:space="0"/>
                  </w:tcBorders>
                  <w:noWrap w:val="0"/>
                  <w:vAlign w:val="center"/>
                </w:tcPr>
                <w:p w14:paraId="4F7350FB">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（2）接到投诉后记录投诉内容，将投诉情况及时上报，确保投诉信息能够及时传达。</w:t>
                  </w:r>
                </w:p>
              </w:tc>
            </w:tr>
            <w:tr w14:paraId="1BA6E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7"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2A5EFE10">
                  <w:pPr>
                    <w:widowControl/>
                    <w:spacing w:line="360" w:lineRule="exact"/>
                    <w:ind w:firstLine="416" w:firstLineChars="200"/>
                    <w:jc w:val="center"/>
                    <w:rPr>
                      <w:rFonts w:cs="CESI仿宋-GB2312"/>
                      <w:spacing w:val="-1"/>
                      <w:szCs w:val="21"/>
                    </w:rPr>
                  </w:pP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5476DB2C">
                  <w:pPr>
                    <w:widowControl/>
                    <w:spacing w:line="360" w:lineRule="exact"/>
                    <w:ind w:firstLine="416" w:firstLineChars="200"/>
                    <w:jc w:val="left"/>
                    <w:rPr>
                      <w:rFonts w:cs="CESI仿宋-GB2312"/>
                      <w:spacing w:val="-1"/>
                      <w:szCs w:val="21"/>
                    </w:rPr>
                  </w:pPr>
                </w:p>
              </w:tc>
              <w:tc>
                <w:tcPr>
                  <w:tcW w:w="3463" w:type="dxa"/>
                  <w:tcBorders>
                    <w:top w:val="single" w:color="auto" w:sz="4" w:space="0"/>
                    <w:left w:val="single" w:color="000000" w:sz="2" w:space="0"/>
                    <w:bottom w:val="single" w:color="auto" w:sz="4" w:space="0"/>
                    <w:right w:val="single" w:color="000000" w:sz="2" w:space="0"/>
                  </w:tcBorders>
                  <w:noWrap w:val="0"/>
                  <w:vAlign w:val="center"/>
                </w:tcPr>
                <w:p w14:paraId="327BF688">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（3）对投诉情况查明事实.分清责任.如实反映.并做好处理工作。</w:t>
                  </w:r>
                </w:p>
              </w:tc>
            </w:tr>
            <w:tr w14:paraId="733D4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7"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7AAD9CD4">
                  <w:pPr>
                    <w:widowControl/>
                    <w:spacing w:line="360" w:lineRule="exact"/>
                    <w:ind w:firstLine="416" w:firstLineChars="200"/>
                    <w:jc w:val="center"/>
                    <w:rPr>
                      <w:rFonts w:cs="CESI仿宋-GB2312"/>
                      <w:spacing w:val="-1"/>
                      <w:szCs w:val="21"/>
                    </w:rPr>
                  </w:pPr>
                  <w:r>
                    <w:rPr>
                      <w:rFonts w:hint="eastAsia" w:cs="CESI仿宋-GB2312"/>
                      <w:spacing w:val="-1"/>
                      <w:szCs w:val="21"/>
                    </w:rPr>
                    <w:t>++</w:t>
                  </w: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5D43DBC7">
                  <w:pPr>
                    <w:widowControl/>
                    <w:spacing w:line="360" w:lineRule="exact"/>
                    <w:ind w:firstLine="416" w:firstLineChars="200"/>
                    <w:jc w:val="left"/>
                    <w:rPr>
                      <w:rFonts w:cs="CESI仿宋-GB2312"/>
                      <w:spacing w:val="-1"/>
                      <w:szCs w:val="21"/>
                    </w:rPr>
                  </w:pPr>
                </w:p>
              </w:tc>
              <w:tc>
                <w:tcPr>
                  <w:tcW w:w="3463" w:type="dxa"/>
                  <w:tcBorders>
                    <w:top w:val="single" w:color="auto" w:sz="4" w:space="0"/>
                    <w:left w:val="single" w:color="000000" w:sz="2" w:space="0"/>
                    <w:bottom w:val="single" w:color="auto" w:sz="4" w:space="0"/>
                    <w:right w:val="single" w:color="000000" w:sz="2" w:space="0"/>
                  </w:tcBorders>
                  <w:noWrap w:val="0"/>
                  <w:vAlign w:val="center"/>
                </w:tcPr>
                <w:p w14:paraId="203B7EE9">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（4）投诉处理完成后24 h内进行回访，回访比例100%。对相关工作资料进行存档。</w:t>
                  </w:r>
                </w:p>
              </w:tc>
            </w:tr>
            <w:tr w14:paraId="35A36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45" w:hRule="atLeast"/>
              </w:trPr>
              <w:tc>
                <w:tcPr>
                  <w:tcW w:w="489" w:type="dxa"/>
                  <w:vMerge w:val="restart"/>
                  <w:tcBorders>
                    <w:top w:val="single" w:color="000000" w:sz="2" w:space="0"/>
                    <w:left w:val="single" w:color="000000" w:sz="2" w:space="0"/>
                    <w:bottom w:val="single" w:color="000000" w:sz="2" w:space="0"/>
                    <w:right w:val="single" w:color="000000" w:sz="2" w:space="0"/>
                  </w:tcBorders>
                  <w:noWrap w:val="0"/>
                  <w:vAlign w:val="center"/>
                </w:tcPr>
                <w:p w14:paraId="1E39EDA0">
                  <w:pPr>
                    <w:widowControl/>
                    <w:kinsoku w:val="0"/>
                    <w:autoSpaceDE w:val="0"/>
                    <w:autoSpaceDN w:val="0"/>
                    <w:adjustRightInd w:val="0"/>
                    <w:snapToGrid w:val="0"/>
                    <w:spacing w:line="360" w:lineRule="exact"/>
                    <w:jc w:val="center"/>
                    <w:textAlignment w:val="baseline"/>
                    <w:rPr>
                      <w:rFonts w:hint="default" w:eastAsia="宋体" w:cs="CESI仿宋-GB2312"/>
                      <w:spacing w:val="-1"/>
                      <w:szCs w:val="21"/>
                      <w:lang w:val="en-US" w:eastAsia="zh-CN"/>
                    </w:rPr>
                  </w:pPr>
                  <w:r>
                    <w:rPr>
                      <w:rFonts w:hint="eastAsia" w:cs="CESI仿宋-GB2312"/>
                      <w:spacing w:val="-1"/>
                      <w:szCs w:val="21"/>
                      <w:lang w:val="en-US" w:eastAsia="zh-CN"/>
                    </w:rPr>
                    <w:t>11</w:t>
                  </w:r>
                </w:p>
              </w:tc>
              <w:tc>
                <w:tcPr>
                  <w:tcW w:w="810" w:type="dxa"/>
                  <w:vMerge w:val="restart"/>
                  <w:tcBorders>
                    <w:top w:val="single" w:color="000000" w:sz="2" w:space="0"/>
                    <w:left w:val="single" w:color="000000" w:sz="2" w:space="0"/>
                    <w:bottom w:val="single" w:color="000000" w:sz="2" w:space="0"/>
                    <w:right w:val="single" w:color="000000" w:sz="2" w:space="0"/>
                  </w:tcBorders>
                  <w:noWrap w:val="0"/>
                  <w:vAlign w:val="center"/>
                </w:tcPr>
                <w:p w14:paraId="0ACB4832">
                  <w:pPr>
                    <w:widowControl/>
                    <w:kinsoku w:val="0"/>
                    <w:autoSpaceDE w:val="0"/>
                    <w:autoSpaceDN w:val="0"/>
                    <w:adjustRightInd w:val="0"/>
                    <w:snapToGrid w:val="0"/>
                    <w:spacing w:line="360" w:lineRule="exact"/>
                    <w:textAlignment w:val="baseline"/>
                    <w:rPr>
                      <w:rFonts w:cs="CESI仿宋-GB2312"/>
                      <w:spacing w:val="-1"/>
                      <w:szCs w:val="21"/>
                    </w:rPr>
                  </w:pPr>
                  <w:r>
                    <w:rPr>
                      <w:rFonts w:hint="eastAsia" w:cs="CESI仿宋-GB2312"/>
                      <w:spacing w:val="-1"/>
                      <w:szCs w:val="21"/>
                    </w:rPr>
                    <w:t>满意度调查</w:t>
                  </w:r>
                </w:p>
              </w:tc>
              <w:tc>
                <w:tcPr>
                  <w:tcW w:w="3463" w:type="dxa"/>
                  <w:tcBorders>
                    <w:top w:val="single" w:color="auto" w:sz="4" w:space="0"/>
                    <w:left w:val="single" w:color="000000" w:sz="2" w:space="0"/>
                    <w:bottom w:val="single" w:color="auto" w:sz="4" w:space="0"/>
                    <w:right w:val="single" w:color="000000" w:sz="2" w:space="0"/>
                  </w:tcBorders>
                  <w:noWrap w:val="0"/>
                  <w:vAlign w:val="center"/>
                </w:tcPr>
                <w:p w14:paraId="258CBC31">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（1）制定满意度调查方案。每年至少2次对集中办公区内干部职工或单位开展总体满意度调查。</w:t>
                  </w:r>
                </w:p>
              </w:tc>
            </w:tr>
            <w:tr w14:paraId="61921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40"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0EE1764C">
                  <w:pPr>
                    <w:widowControl/>
                    <w:spacing w:line="360" w:lineRule="exact"/>
                    <w:ind w:firstLine="416" w:firstLineChars="200"/>
                    <w:jc w:val="left"/>
                    <w:rPr>
                      <w:rFonts w:cs="CESI仿宋-GB2312"/>
                      <w:spacing w:val="-1"/>
                      <w:szCs w:val="21"/>
                    </w:rPr>
                  </w:pP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65C52960">
                  <w:pPr>
                    <w:widowControl/>
                    <w:spacing w:line="360" w:lineRule="exact"/>
                    <w:ind w:firstLine="416" w:firstLineChars="200"/>
                    <w:jc w:val="left"/>
                    <w:rPr>
                      <w:rFonts w:cs="CESI仿宋-GB2312"/>
                      <w:spacing w:val="-1"/>
                      <w:szCs w:val="21"/>
                    </w:rPr>
                  </w:pPr>
                </w:p>
              </w:tc>
              <w:tc>
                <w:tcPr>
                  <w:tcW w:w="3463" w:type="dxa"/>
                  <w:tcBorders>
                    <w:top w:val="single" w:color="auto" w:sz="4" w:space="0"/>
                    <w:left w:val="single" w:color="000000" w:sz="2" w:space="0"/>
                    <w:bottom w:val="single" w:color="auto" w:sz="4" w:space="0"/>
                    <w:right w:val="single" w:color="000000" w:sz="2" w:space="0"/>
                  </w:tcBorders>
                  <w:noWrap w:val="0"/>
                  <w:vAlign w:val="center"/>
                </w:tcPr>
                <w:p w14:paraId="36BA7F7B">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（2）关注物业服务对象需求。在日常工作中通过现场、电话、函件等方式收集物业服务情况的信息反馈，并进行分析、改进。</w:t>
                  </w:r>
                </w:p>
              </w:tc>
            </w:tr>
            <w:tr w14:paraId="5B2FC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12" w:hRule="atLeast"/>
              </w:trPr>
              <w:tc>
                <w:tcPr>
                  <w:tcW w:w="4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56A826D2">
                  <w:pPr>
                    <w:widowControl/>
                    <w:spacing w:line="360" w:lineRule="exact"/>
                    <w:ind w:firstLine="416" w:firstLineChars="200"/>
                    <w:jc w:val="left"/>
                    <w:rPr>
                      <w:rFonts w:cs="CESI仿宋-GB2312"/>
                      <w:spacing w:val="-1"/>
                      <w:szCs w:val="21"/>
                    </w:rPr>
                  </w:pPr>
                </w:p>
              </w:tc>
              <w:tc>
                <w:tcPr>
                  <w:tcW w:w="810" w:type="dxa"/>
                  <w:vMerge w:val="continue"/>
                  <w:tcBorders>
                    <w:top w:val="single" w:color="000000" w:sz="2" w:space="0"/>
                    <w:left w:val="single" w:color="000000" w:sz="2" w:space="0"/>
                    <w:bottom w:val="single" w:color="000000" w:sz="2" w:space="0"/>
                    <w:right w:val="single" w:color="000000" w:sz="2" w:space="0"/>
                  </w:tcBorders>
                  <w:noWrap w:val="0"/>
                  <w:vAlign w:val="center"/>
                </w:tcPr>
                <w:p w14:paraId="36D6E193">
                  <w:pPr>
                    <w:widowControl/>
                    <w:spacing w:line="360" w:lineRule="exact"/>
                    <w:ind w:firstLine="416" w:firstLineChars="200"/>
                    <w:jc w:val="left"/>
                    <w:rPr>
                      <w:rFonts w:cs="CESI仿宋-GB2312"/>
                      <w:spacing w:val="-1"/>
                      <w:szCs w:val="21"/>
                    </w:rPr>
                  </w:pPr>
                </w:p>
              </w:tc>
              <w:tc>
                <w:tcPr>
                  <w:tcW w:w="3463" w:type="dxa"/>
                  <w:tcBorders>
                    <w:top w:val="single" w:color="auto" w:sz="4" w:space="0"/>
                    <w:left w:val="single" w:color="000000" w:sz="2" w:space="0"/>
                    <w:bottom w:val="single" w:color="000000" w:sz="2" w:space="0"/>
                    <w:right w:val="single" w:color="000000" w:sz="2" w:space="0"/>
                  </w:tcBorders>
                  <w:noWrap w:val="0"/>
                  <w:vAlign w:val="center"/>
                </w:tcPr>
                <w:p w14:paraId="2B64D3C7">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（3）对满意度调查进行汇总、分析并形成报告，对物业服务对象提出的工作建议或意见.制定整改措施及计划，落实责任人并及时回访相关部门。</w:t>
                  </w:r>
                </w:p>
              </w:tc>
            </w:tr>
          </w:tbl>
          <w:p w14:paraId="6A329D2E">
            <w:pPr>
              <w:widowControl/>
              <w:kinsoku w:val="0"/>
              <w:autoSpaceDE w:val="0"/>
              <w:autoSpaceDN w:val="0"/>
              <w:adjustRightInd w:val="0"/>
              <w:snapToGrid w:val="0"/>
              <w:spacing w:line="500" w:lineRule="exact"/>
              <w:ind w:firstLine="418" w:firstLineChars="200"/>
              <w:textAlignment w:val="baseline"/>
              <w:rPr>
                <w:rFonts w:cs="CESI仿宋-GB2312"/>
                <w:b/>
                <w:bCs/>
                <w:spacing w:val="-1"/>
                <w:szCs w:val="21"/>
              </w:rPr>
            </w:pPr>
            <w:bookmarkStart w:id="39" w:name="_Toc193963306"/>
            <w:r>
              <w:rPr>
                <w:rFonts w:cs="CESI仿宋-GB2312"/>
                <w:b/>
                <w:bCs/>
                <w:spacing w:val="-1"/>
                <w:szCs w:val="21"/>
              </w:rPr>
              <w:t>2.</w:t>
            </w:r>
            <w:r>
              <w:rPr>
                <w:rFonts w:hint="eastAsia" w:cs="CESI仿宋-GB2312"/>
                <w:b/>
                <w:bCs/>
                <w:spacing w:val="-1"/>
                <w:szCs w:val="21"/>
                <w:lang w:val="en-US" w:eastAsia="zh-CN"/>
              </w:rPr>
              <w:t>2</w:t>
            </w:r>
            <w:r>
              <w:rPr>
                <w:rFonts w:hint="eastAsia" w:cs="CESI仿宋-GB2312"/>
                <w:b/>
                <w:bCs/>
                <w:spacing w:val="-1"/>
                <w:szCs w:val="21"/>
              </w:rPr>
              <w:t>保洁服务</w:t>
            </w:r>
            <w:bookmarkEnd w:id="39"/>
          </w:p>
          <w:p w14:paraId="1D1F7C17">
            <w:pPr>
              <w:widowControl/>
              <w:spacing w:line="500" w:lineRule="exact"/>
              <w:ind w:firstLine="416" w:firstLineChars="200"/>
              <w:jc w:val="left"/>
              <w:rPr>
                <w:rFonts w:cs="CESI仿宋-GB2312"/>
                <w:spacing w:val="-1"/>
                <w:szCs w:val="21"/>
              </w:rPr>
            </w:pPr>
            <w:r>
              <w:rPr>
                <w:rFonts w:hint="eastAsia" w:cs="CESI仿宋-GB2312"/>
                <w:spacing w:val="-1"/>
                <w:szCs w:val="21"/>
              </w:rPr>
              <w:t>服务内容：负责</w:t>
            </w:r>
            <w:r>
              <w:rPr>
                <w:rFonts w:hint="eastAsia" w:cs="CESI仿宋-GB2312"/>
                <w:color w:val="auto"/>
                <w:spacing w:val="-1"/>
                <w:szCs w:val="21"/>
                <w:lang w:val="en-US" w:eastAsia="zh-CN"/>
              </w:rPr>
              <w:t>县委县政府大院</w:t>
            </w:r>
            <w:r>
              <w:rPr>
                <w:rFonts w:hint="eastAsia" w:cs="CESI仿宋-GB2312"/>
                <w:color w:val="auto"/>
                <w:spacing w:val="-1"/>
                <w:szCs w:val="21"/>
              </w:rPr>
              <w:t>办公区</w:t>
            </w:r>
            <w:r>
              <w:rPr>
                <w:rFonts w:hint="eastAsia" w:cs="CESI仿宋-GB2312"/>
                <w:color w:val="auto"/>
                <w:spacing w:val="-1"/>
                <w:szCs w:val="21"/>
                <w:lang w:eastAsia="zh-CN"/>
              </w:rPr>
              <w:t>、</w:t>
            </w:r>
            <w:r>
              <w:rPr>
                <w:rFonts w:hint="eastAsia" w:cs="CESI仿宋-GB2312"/>
                <w:color w:val="auto"/>
                <w:spacing w:val="-1"/>
                <w:szCs w:val="21"/>
                <w:lang w:val="en-US" w:eastAsia="zh-CN"/>
              </w:rPr>
              <w:t>生活区</w:t>
            </w:r>
            <w:r>
              <w:rPr>
                <w:rFonts w:hint="eastAsia" w:cs="CESI仿宋-GB2312"/>
                <w:spacing w:val="-1"/>
                <w:szCs w:val="21"/>
              </w:rPr>
              <w:t>公共区域和公共设施设备的清洁保养工作。包括但不限于：道路、广场、活动场所、停车场、绿地、各办公楼层公共通道、地面、走廊、楼梯扶手、门厅、玻璃雨棚、办公室、公共卫生间、电梯轿厢、路灯、走廊灯、广告栏（牌）、交通标志、饮水机、地</w:t>
            </w:r>
            <w:r>
              <w:rPr>
                <w:rFonts w:hint="eastAsia" w:cs="CESI仿宋-GB2312"/>
                <w:spacing w:val="-1"/>
                <w:szCs w:val="21"/>
                <w:lang w:val="en-US" w:eastAsia="zh-CN"/>
              </w:rPr>
              <w:t>面</w:t>
            </w:r>
            <w:r>
              <w:rPr>
                <w:rFonts w:hint="eastAsia" w:cs="CESI仿宋-GB2312"/>
                <w:spacing w:val="-1"/>
                <w:szCs w:val="21"/>
              </w:rPr>
              <w:t>（含走廊、大厅、电梯）等清洁保养工作，按次数开展清理、清洁工作，但需要做好巡检工作，随脏随清。</w:t>
            </w:r>
          </w:p>
          <w:tbl>
            <w:tblPr>
              <w:tblStyle w:val="19"/>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765"/>
              <w:gridCol w:w="817"/>
              <w:gridCol w:w="3320"/>
            </w:tblGrid>
            <w:tr w14:paraId="64EF4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1" w:type="dxa"/>
                  <w:tcBorders>
                    <w:top w:val="single" w:color="000000" w:sz="2" w:space="0"/>
                    <w:left w:val="single" w:color="000000" w:sz="2" w:space="0"/>
                    <w:bottom w:val="single" w:color="000000" w:sz="2" w:space="0"/>
                    <w:right w:val="single" w:color="000000" w:sz="2" w:space="0"/>
                  </w:tcBorders>
                  <w:noWrap w:val="0"/>
                  <w:vAlign w:val="center"/>
                </w:tcPr>
                <w:p w14:paraId="25D68162">
                  <w:pPr>
                    <w:widowControl/>
                    <w:kinsoku w:val="0"/>
                    <w:autoSpaceDE w:val="0"/>
                    <w:autoSpaceDN w:val="0"/>
                    <w:adjustRightInd w:val="0"/>
                    <w:snapToGrid w:val="0"/>
                    <w:spacing w:line="360" w:lineRule="exact"/>
                    <w:textAlignment w:val="baseline"/>
                    <w:rPr>
                      <w:rFonts w:cs="CESI仿宋-GB2312"/>
                      <w:b/>
                      <w:bCs/>
                      <w:spacing w:val="-1"/>
                      <w:szCs w:val="21"/>
                    </w:rPr>
                  </w:pPr>
                  <w:r>
                    <w:rPr>
                      <w:rFonts w:hint="eastAsia" w:cs="CESI仿宋-GB2312"/>
                      <w:b/>
                      <w:bCs/>
                      <w:spacing w:val="-1"/>
                      <w:szCs w:val="21"/>
                    </w:rPr>
                    <w:t>序号</w:t>
                  </w:r>
                </w:p>
              </w:tc>
              <w:tc>
                <w:tcPr>
                  <w:tcW w:w="1080" w:type="dxa"/>
                  <w:tcBorders>
                    <w:top w:val="single" w:color="000000" w:sz="2" w:space="0"/>
                    <w:left w:val="single" w:color="000000" w:sz="2" w:space="0"/>
                    <w:bottom w:val="single" w:color="000000" w:sz="2" w:space="0"/>
                    <w:right w:val="single" w:color="000000" w:sz="2" w:space="0"/>
                  </w:tcBorders>
                  <w:noWrap w:val="0"/>
                  <w:vAlign w:val="center"/>
                </w:tcPr>
                <w:p w14:paraId="2D1927D4">
                  <w:pPr>
                    <w:widowControl/>
                    <w:kinsoku w:val="0"/>
                    <w:autoSpaceDE w:val="0"/>
                    <w:autoSpaceDN w:val="0"/>
                    <w:adjustRightInd w:val="0"/>
                    <w:snapToGrid w:val="0"/>
                    <w:spacing w:line="360" w:lineRule="exact"/>
                    <w:textAlignment w:val="baseline"/>
                    <w:rPr>
                      <w:rFonts w:cs="CESI仿宋-GB2312"/>
                      <w:b/>
                      <w:bCs/>
                      <w:spacing w:val="-1"/>
                      <w:szCs w:val="21"/>
                    </w:rPr>
                  </w:pPr>
                  <w:r>
                    <w:rPr>
                      <w:rFonts w:hint="eastAsia" w:cs="CESI仿宋-GB2312"/>
                      <w:b/>
                      <w:bCs/>
                      <w:spacing w:val="-1"/>
                      <w:szCs w:val="21"/>
                    </w:rPr>
                    <w:t>服务内容</w:t>
                  </w:r>
                </w:p>
              </w:tc>
              <w:tc>
                <w:tcPr>
                  <w:tcW w:w="4769" w:type="dxa"/>
                  <w:tcBorders>
                    <w:top w:val="single" w:color="000000" w:sz="2" w:space="0"/>
                    <w:left w:val="single" w:color="000000" w:sz="2" w:space="0"/>
                    <w:bottom w:val="single" w:color="000000" w:sz="2" w:space="0"/>
                    <w:right w:val="single" w:color="000000" w:sz="2" w:space="0"/>
                  </w:tcBorders>
                  <w:noWrap w:val="0"/>
                  <w:vAlign w:val="center"/>
                </w:tcPr>
                <w:p w14:paraId="15D14574">
                  <w:pPr>
                    <w:widowControl/>
                    <w:kinsoku w:val="0"/>
                    <w:autoSpaceDE w:val="0"/>
                    <w:autoSpaceDN w:val="0"/>
                    <w:adjustRightInd w:val="0"/>
                    <w:snapToGrid w:val="0"/>
                    <w:spacing w:line="360" w:lineRule="exact"/>
                    <w:ind w:firstLine="418" w:firstLineChars="200"/>
                    <w:jc w:val="center"/>
                    <w:textAlignment w:val="baseline"/>
                    <w:rPr>
                      <w:rFonts w:cs="CESI仿宋-GB2312"/>
                      <w:b/>
                      <w:bCs/>
                      <w:spacing w:val="-1"/>
                      <w:szCs w:val="21"/>
                    </w:rPr>
                  </w:pPr>
                  <w:r>
                    <w:rPr>
                      <w:rFonts w:hint="eastAsia" w:cs="CESI仿宋-GB2312"/>
                      <w:b/>
                      <w:bCs/>
                      <w:spacing w:val="-1"/>
                      <w:szCs w:val="21"/>
                    </w:rPr>
                    <w:t>服务标准</w:t>
                  </w:r>
                </w:p>
              </w:tc>
            </w:tr>
            <w:tr w14:paraId="1A449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1" w:type="dxa"/>
                  <w:vMerge w:val="restart"/>
                  <w:tcBorders>
                    <w:top w:val="single" w:color="000000" w:sz="2" w:space="0"/>
                    <w:left w:val="single" w:color="000000" w:sz="2" w:space="0"/>
                    <w:bottom w:val="single" w:color="000000" w:sz="2" w:space="0"/>
                    <w:right w:val="single" w:color="000000" w:sz="2" w:space="0"/>
                  </w:tcBorders>
                  <w:noWrap w:val="0"/>
                  <w:vAlign w:val="center"/>
                </w:tcPr>
                <w:p w14:paraId="4911066C">
                  <w:pPr>
                    <w:widowControl/>
                    <w:kinsoku w:val="0"/>
                    <w:autoSpaceDE w:val="0"/>
                    <w:autoSpaceDN w:val="0"/>
                    <w:adjustRightInd w:val="0"/>
                    <w:snapToGrid w:val="0"/>
                    <w:spacing w:line="360" w:lineRule="exact"/>
                    <w:ind w:firstLine="416" w:firstLineChars="200"/>
                    <w:jc w:val="center"/>
                    <w:textAlignment w:val="baseline"/>
                    <w:rPr>
                      <w:rFonts w:cs="CESI仿宋-GB2312"/>
                      <w:spacing w:val="-1"/>
                      <w:szCs w:val="21"/>
                    </w:rPr>
                  </w:pPr>
                  <w:r>
                    <w:rPr>
                      <w:rFonts w:hint="eastAsia" w:cs="CESI仿宋-GB2312"/>
                      <w:spacing w:val="-1"/>
                      <w:szCs w:val="21"/>
                    </w:rPr>
                    <w:t>1</w:t>
                  </w:r>
                </w:p>
              </w:tc>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14:paraId="32A251F0">
                  <w:pPr>
                    <w:widowControl/>
                    <w:kinsoku w:val="0"/>
                    <w:autoSpaceDE w:val="0"/>
                    <w:autoSpaceDN w:val="0"/>
                    <w:adjustRightInd w:val="0"/>
                    <w:snapToGrid w:val="0"/>
                    <w:spacing w:line="360" w:lineRule="exact"/>
                    <w:textAlignment w:val="baseline"/>
                    <w:rPr>
                      <w:rFonts w:cs="CESI仿宋-GB2312"/>
                      <w:spacing w:val="-1"/>
                      <w:szCs w:val="21"/>
                    </w:rPr>
                  </w:pPr>
                  <w:r>
                    <w:rPr>
                      <w:rFonts w:hint="eastAsia" w:cs="CESI仿宋-GB2312"/>
                      <w:spacing w:val="-1"/>
                      <w:szCs w:val="21"/>
                    </w:rPr>
                    <w:t>基本要求</w:t>
                  </w:r>
                </w:p>
              </w:tc>
              <w:tc>
                <w:tcPr>
                  <w:tcW w:w="4769" w:type="dxa"/>
                  <w:tcBorders>
                    <w:top w:val="single" w:color="000000" w:sz="2" w:space="0"/>
                    <w:left w:val="single" w:color="000000" w:sz="2" w:space="0"/>
                    <w:bottom w:val="single" w:color="000000" w:sz="2" w:space="0"/>
                    <w:right w:val="single" w:color="000000" w:sz="2" w:space="0"/>
                  </w:tcBorders>
                  <w:noWrap w:val="0"/>
                  <w:vAlign w:val="top"/>
                </w:tcPr>
                <w:p w14:paraId="6B64A8CB">
                  <w:pPr>
                    <w:widowControl/>
                    <w:kinsoku w:val="0"/>
                    <w:autoSpaceDE w:val="0"/>
                    <w:autoSpaceDN w:val="0"/>
                    <w:adjustRightInd w:val="0"/>
                    <w:snapToGrid w:val="0"/>
                    <w:spacing w:line="360" w:lineRule="exact"/>
                    <w:ind w:firstLine="416" w:firstLineChars="200"/>
                    <w:textAlignment w:val="baseline"/>
                    <w:rPr>
                      <w:rFonts w:hint="eastAsia" w:cs="CESI仿宋-GB2312"/>
                      <w:color w:val="auto"/>
                      <w:spacing w:val="-1"/>
                      <w:szCs w:val="21"/>
                    </w:rPr>
                  </w:pPr>
                  <w:r>
                    <w:rPr>
                      <w:rFonts w:hint="eastAsia" w:cs="CESI仿宋-GB2312"/>
                      <w:color w:val="auto"/>
                      <w:spacing w:val="-1"/>
                      <w:szCs w:val="21"/>
                    </w:rPr>
                    <w:t>（1）建立保洁服务的工作制度及工作计划，并按照执行，提升工作环境卫生质量，规范保洁员工作行为，确保项目日常运营的安全与整洁。在本项目遇到紧急重大事务、临时工作等需要增援的情况时，能快速、大量的调动附近项目的专业人员及设备来增援本项目。</w:t>
                  </w:r>
                </w:p>
              </w:tc>
            </w:tr>
            <w:tr w14:paraId="5F69D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2E1F2BDF">
                  <w:pPr>
                    <w:widowControl/>
                    <w:spacing w:line="360" w:lineRule="exact"/>
                    <w:ind w:firstLine="416" w:firstLineChars="200"/>
                    <w:jc w:val="left"/>
                    <w:rPr>
                      <w:rFonts w:cs="CESI仿宋-GB2312"/>
                      <w:spacing w:val="-1"/>
                      <w:szCs w:val="21"/>
                    </w:rPr>
                  </w:pPr>
                </w:p>
              </w:tc>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14:paraId="2F41AAF5">
                  <w:pPr>
                    <w:widowControl/>
                    <w:spacing w:line="360" w:lineRule="exact"/>
                    <w:ind w:firstLine="416" w:firstLineChars="200"/>
                    <w:jc w:val="left"/>
                    <w:rPr>
                      <w:rFonts w:cs="CESI仿宋-GB2312"/>
                      <w:spacing w:val="-1"/>
                      <w:szCs w:val="21"/>
                    </w:rPr>
                  </w:pPr>
                </w:p>
              </w:tc>
              <w:tc>
                <w:tcPr>
                  <w:tcW w:w="4769" w:type="dxa"/>
                  <w:tcBorders>
                    <w:top w:val="single" w:color="000000" w:sz="2" w:space="0"/>
                    <w:left w:val="single" w:color="000000" w:sz="2" w:space="0"/>
                    <w:bottom w:val="single" w:color="000000" w:sz="2" w:space="0"/>
                    <w:right w:val="single" w:color="000000" w:sz="2" w:space="0"/>
                  </w:tcBorders>
                  <w:noWrap w:val="0"/>
                  <w:vAlign w:val="top"/>
                </w:tcPr>
                <w:p w14:paraId="7B451B2B">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（2）做好保洁服务工作记录，记录填写规范、保存完好。</w:t>
                  </w:r>
                </w:p>
              </w:tc>
            </w:tr>
            <w:tr w14:paraId="626BF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57C451B9">
                  <w:pPr>
                    <w:widowControl/>
                    <w:spacing w:line="360" w:lineRule="exact"/>
                    <w:ind w:firstLine="416" w:firstLineChars="200"/>
                    <w:jc w:val="left"/>
                    <w:rPr>
                      <w:rFonts w:cs="CESI仿宋-GB2312"/>
                      <w:spacing w:val="-1"/>
                      <w:szCs w:val="21"/>
                    </w:rPr>
                  </w:pPr>
                </w:p>
              </w:tc>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14:paraId="5EEAD236">
                  <w:pPr>
                    <w:widowControl/>
                    <w:spacing w:line="360" w:lineRule="exact"/>
                    <w:ind w:firstLine="416" w:firstLineChars="200"/>
                    <w:jc w:val="left"/>
                    <w:rPr>
                      <w:rFonts w:cs="CESI仿宋-GB2312"/>
                      <w:spacing w:val="-1"/>
                      <w:szCs w:val="21"/>
                    </w:rPr>
                  </w:pPr>
                </w:p>
              </w:tc>
              <w:tc>
                <w:tcPr>
                  <w:tcW w:w="4769" w:type="dxa"/>
                  <w:tcBorders>
                    <w:top w:val="single" w:color="000000" w:sz="2" w:space="0"/>
                    <w:left w:val="single" w:color="000000" w:sz="2" w:space="0"/>
                    <w:bottom w:val="single" w:color="000000" w:sz="2" w:space="0"/>
                    <w:right w:val="single" w:color="000000" w:sz="2" w:space="0"/>
                  </w:tcBorders>
                  <w:noWrap w:val="0"/>
                  <w:vAlign w:val="top"/>
                </w:tcPr>
                <w:p w14:paraId="0D250E90">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（3）作业时采取安全防护措施，防止对作业人员或他人造成伤害。相关耗材的环保、安全性等应当符合国家相关规定要求。</w:t>
                  </w:r>
                </w:p>
              </w:tc>
            </w:tr>
            <w:tr w14:paraId="63006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6"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160FF69E">
                  <w:pPr>
                    <w:widowControl/>
                    <w:spacing w:line="360" w:lineRule="exact"/>
                    <w:ind w:firstLine="416" w:firstLineChars="200"/>
                    <w:jc w:val="left"/>
                    <w:rPr>
                      <w:rFonts w:cs="CESI仿宋-GB2312"/>
                      <w:spacing w:val="-1"/>
                      <w:szCs w:val="21"/>
                    </w:rPr>
                  </w:pPr>
                </w:p>
              </w:tc>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14:paraId="3EB3B3AB">
                  <w:pPr>
                    <w:widowControl/>
                    <w:spacing w:line="360" w:lineRule="exact"/>
                    <w:ind w:firstLine="416" w:firstLineChars="200"/>
                    <w:jc w:val="left"/>
                    <w:rPr>
                      <w:rFonts w:cs="CESI仿宋-GB2312"/>
                      <w:spacing w:val="-1"/>
                      <w:szCs w:val="21"/>
                    </w:rPr>
                  </w:pPr>
                </w:p>
              </w:tc>
              <w:tc>
                <w:tcPr>
                  <w:tcW w:w="4769" w:type="dxa"/>
                  <w:tcBorders>
                    <w:top w:val="single" w:color="auto" w:sz="4" w:space="0"/>
                    <w:left w:val="single" w:color="000000" w:sz="2" w:space="0"/>
                    <w:bottom w:val="single" w:color="auto" w:sz="4" w:space="0"/>
                    <w:right w:val="single" w:color="000000" w:sz="2" w:space="0"/>
                  </w:tcBorders>
                  <w:noWrap w:val="0"/>
                  <w:vAlign w:val="top"/>
                </w:tcPr>
                <w:p w14:paraId="2CFE5422">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w:t>
                  </w:r>
                  <w:r>
                    <w:rPr>
                      <w:rFonts w:hint="eastAsia" w:cs="CESI仿宋-GB2312"/>
                      <w:spacing w:val="-1"/>
                      <w:szCs w:val="21"/>
                      <w:lang w:val="en-US" w:eastAsia="zh-CN"/>
                    </w:rPr>
                    <w:t>4</w:t>
                  </w:r>
                  <w:r>
                    <w:rPr>
                      <w:rFonts w:hint="eastAsia" w:cs="CESI仿宋-GB2312"/>
                      <w:spacing w:val="-1"/>
                      <w:szCs w:val="21"/>
                    </w:rPr>
                    <w:t>）在重点区域内按需增加保洁次数和人员，并配合业主单位完成临时性保洁任务。</w:t>
                  </w:r>
                </w:p>
              </w:tc>
            </w:tr>
            <w:tr w14:paraId="39D88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1" w:type="dxa"/>
                  <w:vMerge w:val="restart"/>
                  <w:tcBorders>
                    <w:top w:val="single" w:color="000000" w:sz="2" w:space="0"/>
                    <w:left w:val="single" w:color="000000" w:sz="2" w:space="0"/>
                    <w:bottom w:val="single" w:color="000000" w:sz="2" w:space="0"/>
                    <w:right w:val="single" w:color="000000" w:sz="2" w:space="0"/>
                  </w:tcBorders>
                  <w:noWrap w:val="0"/>
                  <w:vAlign w:val="center"/>
                </w:tcPr>
                <w:p w14:paraId="543EBEAA">
                  <w:pPr>
                    <w:widowControl/>
                    <w:kinsoku w:val="0"/>
                    <w:autoSpaceDE w:val="0"/>
                    <w:autoSpaceDN w:val="0"/>
                    <w:adjustRightInd w:val="0"/>
                    <w:snapToGrid w:val="0"/>
                    <w:spacing w:line="360" w:lineRule="exact"/>
                    <w:ind w:firstLine="416" w:firstLineChars="200"/>
                    <w:jc w:val="center"/>
                    <w:textAlignment w:val="baseline"/>
                    <w:rPr>
                      <w:rFonts w:cs="CESI仿宋-GB2312"/>
                      <w:spacing w:val="-1"/>
                      <w:szCs w:val="21"/>
                    </w:rPr>
                  </w:pPr>
                  <w:r>
                    <w:rPr>
                      <w:rFonts w:hint="eastAsia" w:cs="CESI仿宋-GB2312"/>
                      <w:spacing w:val="-1"/>
                      <w:szCs w:val="21"/>
                    </w:rPr>
                    <w:t>2</w:t>
                  </w:r>
                </w:p>
              </w:tc>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14:paraId="387CF613">
                  <w:pPr>
                    <w:widowControl/>
                    <w:kinsoku w:val="0"/>
                    <w:autoSpaceDE w:val="0"/>
                    <w:autoSpaceDN w:val="0"/>
                    <w:adjustRightInd w:val="0"/>
                    <w:snapToGrid w:val="0"/>
                    <w:spacing w:line="360" w:lineRule="exact"/>
                    <w:textAlignment w:val="baseline"/>
                    <w:rPr>
                      <w:rFonts w:cs="CESI仿宋-GB2312"/>
                      <w:spacing w:val="-1"/>
                      <w:szCs w:val="21"/>
                    </w:rPr>
                  </w:pPr>
                  <w:r>
                    <w:rPr>
                      <w:rFonts w:hint="eastAsia" w:cs="CESI仿宋-GB2312"/>
                      <w:spacing w:val="-1"/>
                      <w:szCs w:val="21"/>
                    </w:rPr>
                    <w:t>办公用房区域保洁</w:t>
                  </w:r>
                </w:p>
              </w:tc>
              <w:tc>
                <w:tcPr>
                  <w:tcW w:w="4769" w:type="dxa"/>
                  <w:tcBorders>
                    <w:top w:val="single" w:color="000000" w:sz="2" w:space="0"/>
                    <w:left w:val="single" w:color="000000" w:sz="2" w:space="0"/>
                    <w:bottom w:val="single" w:color="000000" w:sz="2" w:space="0"/>
                    <w:right w:val="single" w:color="000000" w:sz="2" w:space="0"/>
                  </w:tcBorders>
                  <w:noWrap w:val="0"/>
                  <w:vAlign w:val="top"/>
                </w:tcPr>
                <w:p w14:paraId="76B59FEE">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（1）大厅、楼内公共通道：</w:t>
                  </w:r>
                </w:p>
                <w:p w14:paraId="75FEAC8D">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①每日做好清洁卫生，垃圾处理，地面擦拭工作。</w:t>
                  </w:r>
                </w:p>
                <w:p w14:paraId="4BFD485C">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②办公区公共通道、走廊保持干净，无异味、无杂物、无积水，每日开展2次清洁作业，做好巡检。</w:t>
                  </w:r>
                </w:p>
                <w:p w14:paraId="658B33A8">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③</w:t>
                  </w:r>
                  <w:r>
                    <w:rPr>
                      <w:rFonts w:hint="eastAsia" w:cs="CESI仿宋-GB2312"/>
                      <w:spacing w:val="-1"/>
                      <w:szCs w:val="21"/>
                      <w:lang w:val="en-US" w:eastAsia="zh-CN"/>
                    </w:rPr>
                    <w:t>公共区域</w:t>
                  </w:r>
                  <w:r>
                    <w:rPr>
                      <w:rFonts w:hint="eastAsia" w:cs="CESI仿宋-GB2312"/>
                      <w:spacing w:val="-1"/>
                      <w:szCs w:val="21"/>
                    </w:rPr>
                    <w:t>门窗玻璃光亮、清洁、无污迹、水迹、灰尘及明显手印。</w:t>
                  </w:r>
                </w:p>
                <w:p w14:paraId="56691C62">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④指示牌干净，无污渍，每日开展</w:t>
                  </w:r>
                  <w:r>
                    <w:rPr>
                      <w:rFonts w:hint="eastAsia" w:cs="CESI仿宋-GB2312"/>
                      <w:color w:val="auto"/>
                      <w:spacing w:val="-1"/>
                      <w:szCs w:val="21"/>
                      <w:lang w:val="en-US" w:eastAsia="zh-CN"/>
                    </w:rPr>
                    <w:t>1</w:t>
                  </w:r>
                  <w:r>
                    <w:rPr>
                      <w:rFonts w:hint="eastAsia" w:cs="CESI仿宋-GB2312"/>
                      <w:color w:val="auto"/>
                      <w:spacing w:val="-1"/>
                      <w:szCs w:val="21"/>
                    </w:rPr>
                    <w:t>次</w:t>
                  </w:r>
                  <w:r>
                    <w:rPr>
                      <w:rFonts w:hint="eastAsia" w:cs="CESI仿宋-GB2312"/>
                      <w:spacing w:val="-1"/>
                      <w:szCs w:val="21"/>
                    </w:rPr>
                    <w:t>清洁作业。</w:t>
                  </w:r>
                </w:p>
                <w:p w14:paraId="076238CB">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⑤各办公楼室内地面无纸屑、油渍、痰迹、口香糖、果皮、烟头、白色垃圾等。</w:t>
                  </w:r>
                </w:p>
                <w:p w14:paraId="79D4A200">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⑥保持</w:t>
                  </w:r>
                  <w:r>
                    <w:rPr>
                      <w:rFonts w:hint="eastAsia" w:cs="CESI仿宋-GB2312"/>
                      <w:spacing w:val="-1"/>
                      <w:szCs w:val="21"/>
                      <w:lang w:val="en-US" w:eastAsia="zh-CN"/>
                    </w:rPr>
                    <w:t>公共区域</w:t>
                  </w:r>
                  <w:r>
                    <w:rPr>
                      <w:rFonts w:hint="eastAsia" w:cs="CESI仿宋-GB2312"/>
                      <w:spacing w:val="-1"/>
                      <w:szCs w:val="21"/>
                    </w:rPr>
                    <w:t>大理石、瓷砖地面光亮、不锈钢（如电梯间、扶手、门把等）全面保养擦拭，无灰尘、蜘蛛网、污物。</w:t>
                  </w:r>
                </w:p>
              </w:tc>
            </w:tr>
            <w:tr w14:paraId="61209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4675C08D">
                  <w:pPr>
                    <w:widowControl/>
                    <w:spacing w:line="360" w:lineRule="exact"/>
                    <w:ind w:firstLine="416" w:firstLineChars="200"/>
                    <w:jc w:val="left"/>
                    <w:rPr>
                      <w:rFonts w:cs="CESI仿宋-GB2312"/>
                      <w:spacing w:val="-1"/>
                      <w:szCs w:val="21"/>
                    </w:rPr>
                  </w:pPr>
                </w:p>
              </w:tc>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14:paraId="3050924E">
                  <w:pPr>
                    <w:widowControl/>
                    <w:spacing w:line="360" w:lineRule="exact"/>
                    <w:ind w:firstLine="416" w:firstLineChars="200"/>
                    <w:jc w:val="left"/>
                    <w:rPr>
                      <w:rFonts w:cs="CESI仿宋-GB2312"/>
                      <w:spacing w:val="-1"/>
                      <w:szCs w:val="21"/>
                    </w:rPr>
                  </w:pPr>
                </w:p>
              </w:tc>
              <w:tc>
                <w:tcPr>
                  <w:tcW w:w="4769" w:type="dxa"/>
                  <w:tcBorders>
                    <w:top w:val="single" w:color="000000" w:sz="2" w:space="0"/>
                    <w:left w:val="single" w:color="000000" w:sz="2" w:space="0"/>
                    <w:bottom w:val="single" w:color="000000" w:sz="2" w:space="0"/>
                    <w:right w:val="single" w:color="000000" w:sz="2" w:space="0"/>
                  </w:tcBorders>
                  <w:noWrap w:val="0"/>
                  <w:vAlign w:val="top"/>
                </w:tcPr>
                <w:p w14:paraId="654D0AA1">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（2）电器、消防等设施设备：</w:t>
                  </w:r>
                </w:p>
                <w:p w14:paraId="1A47F96D">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①配电箱、设备机房、消防栓及开关插座等保持表面干净，无尘无污迹，每月至少开展1次清洁作业。</w:t>
                  </w:r>
                </w:p>
                <w:p w14:paraId="0F749977">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②监控摄像头、门禁系统等表面光亮，无尘、无斑点，每月至少开展1次清洁作业。</w:t>
                  </w:r>
                </w:p>
              </w:tc>
            </w:tr>
            <w:tr w14:paraId="41792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06"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2B17D2B0">
                  <w:pPr>
                    <w:widowControl/>
                    <w:spacing w:line="360" w:lineRule="exact"/>
                    <w:ind w:firstLine="416" w:firstLineChars="200"/>
                    <w:jc w:val="left"/>
                    <w:rPr>
                      <w:rFonts w:cs="CESI仿宋-GB2312"/>
                      <w:spacing w:val="-1"/>
                      <w:szCs w:val="21"/>
                    </w:rPr>
                  </w:pPr>
                </w:p>
              </w:tc>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14:paraId="51A8B18A">
                  <w:pPr>
                    <w:widowControl/>
                    <w:spacing w:line="360" w:lineRule="exact"/>
                    <w:ind w:firstLine="416" w:firstLineChars="200"/>
                    <w:jc w:val="left"/>
                    <w:rPr>
                      <w:rFonts w:cs="CESI仿宋-GB2312"/>
                      <w:spacing w:val="-1"/>
                      <w:szCs w:val="21"/>
                    </w:rPr>
                  </w:pPr>
                </w:p>
              </w:tc>
              <w:tc>
                <w:tcPr>
                  <w:tcW w:w="4769" w:type="dxa"/>
                  <w:tcBorders>
                    <w:top w:val="single" w:color="000000" w:sz="2" w:space="0"/>
                    <w:left w:val="single" w:color="000000" w:sz="2" w:space="0"/>
                    <w:bottom w:val="single" w:color="000000" w:sz="2" w:space="0"/>
                    <w:right w:val="single" w:color="000000" w:sz="2" w:space="0"/>
                  </w:tcBorders>
                  <w:noWrap w:val="0"/>
                  <w:vAlign w:val="top"/>
                </w:tcPr>
                <w:p w14:paraId="3B56A7AB">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（3）楼梯间：</w:t>
                  </w:r>
                </w:p>
                <w:p w14:paraId="7D160242">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color w:val="auto"/>
                      <w:spacing w:val="-1"/>
                      <w:szCs w:val="21"/>
                    </w:rPr>
                    <w:t>各办公楼的楼梯及楼梯间保持干净、无异味、无杂物、无积水，每日开展清洁作业，每周拖洗，楼梯扶手每日擦洗，做好巡检。</w:t>
                  </w:r>
                </w:p>
              </w:tc>
            </w:tr>
            <w:tr w14:paraId="23A0A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340C02C6">
                  <w:pPr>
                    <w:widowControl/>
                    <w:spacing w:line="360" w:lineRule="exact"/>
                    <w:ind w:firstLine="416" w:firstLineChars="200"/>
                    <w:jc w:val="left"/>
                    <w:rPr>
                      <w:rFonts w:cs="CESI仿宋-GB2312"/>
                      <w:spacing w:val="-1"/>
                      <w:szCs w:val="21"/>
                    </w:rPr>
                  </w:pPr>
                </w:p>
              </w:tc>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14:paraId="5AE05EA3">
                  <w:pPr>
                    <w:widowControl/>
                    <w:spacing w:line="360" w:lineRule="exact"/>
                    <w:ind w:firstLine="416" w:firstLineChars="200"/>
                    <w:jc w:val="left"/>
                    <w:rPr>
                      <w:rFonts w:cs="CESI仿宋-GB2312"/>
                      <w:spacing w:val="-1"/>
                      <w:szCs w:val="21"/>
                    </w:rPr>
                  </w:pPr>
                </w:p>
              </w:tc>
              <w:tc>
                <w:tcPr>
                  <w:tcW w:w="4769" w:type="dxa"/>
                  <w:tcBorders>
                    <w:top w:val="single" w:color="000000" w:sz="2" w:space="0"/>
                    <w:left w:val="single" w:color="000000" w:sz="2" w:space="0"/>
                    <w:bottom w:val="single" w:color="000000" w:sz="2" w:space="0"/>
                    <w:right w:val="single" w:color="000000" w:sz="2" w:space="0"/>
                  </w:tcBorders>
                  <w:noWrap w:val="0"/>
                  <w:vAlign w:val="top"/>
                </w:tcPr>
                <w:p w14:paraId="75AADE9D">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（4）作业工具间：</w:t>
                  </w:r>
                </w:p>
                <w:p w14:paraId="5007A453">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①保持干净，无异味、无杂物、无积水，每日至少开展1次清洁作业。</w:t>
                  </w:r>
                </w:p>
                <w:p w14:paraId="39B5B472">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②作业工具摆放整齐有序，表面干净无渍，每日消毒。</w:t>
                  </w:r>
                </w:p>
              </w:tc>
            </w:tr>
            <w:tr w14:paraId="203BB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9"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4D01D93D">
                  <w:pPr>
                    <w:widowControl/>
                    <w:spacing w:line="360" w:lineRule="exact"/>
                    <w:ind w:firstLine="416" w:firstLineChars="200"/>
                    <w:jc w:val="left"/>
                    <w:rPr>
                      <w:rFonts w:cs="CESI仿宋-GB2312"/>
                      <w:spacing w:val="-1"/>
                      <w:szCs w:val="21"/>
                    </w:rPr>
                  </w:pPr>
                </w:p>
              </w:tc>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14:paraId="4E229296">
                  <w:pPr>
                    <w:widowControl/>
                    <w:spacing w:line="360" w:lineRule="exact"/>
                    <w:ind w:firstLine="416" w:firstLineChars="200"/>
                    <w:jc w:val="left"/>
                    <w:rPr>
                      <w:rFonts w:cs="CESI仿宋-GB2312"/>
                      <w:spacing w:val="-1"/>
                      <w:szCs w:val="21"/>
                    </w:rPr>
                  </w:pPr>
                </w:p>
              </w:tc>
              <w:tc>
                <w:tcPr>
                  <w:tcW w:w="4769" w:type="dxa"/>
                  <w:tcBorders>
                    <w:top w:val="single" w:color="000000" w:sz="2" w:space="0"/>
                    <w:left w:val="single" w:color="000000" w:sz="2" w:space="0"/>
                    <w:bottom w:val="single" w:color="000000" w:sz="2" w:space="0"/>
                    <w:right w:val="single" w:color="000000" w:sz="2" w:space="0"/>
                  </w:tcBorders>
                  <w:noWrap w:val="0"/>
                  <w:vAlign w:val="top"/>
                </w:tcPr>
                <w:p w14:paraId="7985887F">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（5）公共卫生间：</w:t>
                  </w:r>
                </w:p>
                <w:p w14:paraId="278D4896">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①卫生间保持清洁、干净、无异味，洗手盆上无杂物、无纸屑、无积水；及时清理脚印、水渍；大小便池内外无痰垢；墙面、水管、隔断、门槛、窗台无灰尘，厕所内无异味。每日开展2次清洁作业。做好巡检。</w:t>
                  </w:r>
                </w:p>
                <w:p w14:paraId="7893FA28">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②各办公楼公共卫生间按需配备擦手纸、厕纸、洗手液、檀香等物品，并及时补充。</w:t>
                  </w:r>
                </w:p>
              </w:tc>
            </w:tr>
            <w:tr w14:paraId="44678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0A74D3FA">
                  <w:pPr>
                    <w:widowControl/>
                    <w:spacing w:line="360" w:lineRule="exact"/>
                    <w:ind w:firstLine="416" w:firstLineChars="200"/>
                    <w:jc w:val="left"/>
                    <w:rPr>
                      <w:rFonts w:cs="CESI仿宋-GB2312"/>
                      <w:spacing w:val="-1"/>
                      <w:szCs w:val="21"/>
                    </w:rPr>
                  </w:pPr>
                </w:p>
              </w:tc>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14:paraId="70F67C39">
                  <w:pPr>
                    <w:widowControl/>
                    <w:spacing w:line="360" w:lineRule="exact"/>
                    <w:ind w:firstLine="416" w:firstLineChars="200"/>
                    <w:jc w:val="left"/>
                    <w:rPr>
                      <w:rFonts w:cs="CESI仿宋-GB2312"/>
                      <w:spacing w:val="-1"/>
                      <w:szCs w:val="21"/>
                    </w:rPr>
                  </w:pPr>
                </w:p>
              </w:tc>
              <w:tc>
                <w:tcPr>
                  <w:tcW w:w="4769" w:type="dxa"/>
                  <w:tcBorders>
                    <w:top w:val="single" w:color="000000" w:sz="2" w:space="0"/>
                    <w:left w:val="single" w:color="000000" w:sz="2" w:space="0"/>
                    <w:bottom w:val="single" w:color="000000" w:sz="2" w:space="0"/>
                    <w:right w:val="single" w:color="000000" w:sz="2" w:space="0"/>
                  </w:tcBorders>
                  <w:noWrap w:val="0"/>
                  <w:vAlign w:val="top"/>
                </w:tcPr>
                <w:p w14:paraId="5F29AC24">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（6）电梯轿厢：</w:t>
                  </w:r>
                </w:p>
                <w:p w14:paraId="5B5BF678">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 xml:space="preserve">①保持干净，无污渍、无粘贴物、无异味，每日开展2次清洁作业。做好巡检。每日更换电梯地垫并清洗备用。对电梯轿厢环境进行检查，避免轿厢内产生异味或者空调过冷过热情况。 </w:t>
                  </w:r>
                </w:p>
                <w:p w14:paraId="72DBBEEA">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②灯具、操作指示板明亮。</w:t>
                  </w:r>
                </w:p>
              </w:tc>
            </w:tr>
            <w:tr w14:paraId="37776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2D5246C4">
                  <w:pPr>
                    <w:widowControl/>
                    <w:spacing w:line="360" w:lineRule="exact"/>
                    <w:ind w:firstLine="416" w:firstLineChars="200"/>
                    <w:jc w:val="left"/>
                    <w:rPr>
                      <w:rFonts w:cs="CESI仿宋-GB2312"/>
                      <w:spacing w:val="-1"/>
                      <w:szCs w:val="21"/>
                    </w:rPr>
                  </w:pPr>
                </w:p>
              </w:tc>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14:paraId="68F1B056">
                  <w:pPr>
                    <w:widowControl/>
                    <w:spacing w:line="360" w:lineRule="exact"/>
                    <w:ind w:firstLine="416" w:firstLineChars="200"/>
                    <w:jc w:val="left"/>
                    <w:rPr>
                      <w:rFonts w:cs="CESI仿宋-GB2312"/>
                      <w:spacing w:val="-1"/>
                      <w:szCs w:val="21"/>
                    </w:rPr>
                  </w:pPr>
                </w:p>
              </w:tc>
              <w:tc>
                <w:tcPr>
                  <w:tcW w:w="4769" w:type="dxa"/>
                  <w:tcBorders>
                    <w:top w:val="single" w:color="auto" w:sz="4" w:space="0"/>
                    <w:left w:val="single" w:color="000000" w:sz="2" w:space="0"/>
                    <w:bottom w:val="single" w:color="auto" w:sz="4" w:space="0"/>
                    <w:right w:val="single" w:color="000000" w:sz="2" w:space="0"/>
                  </w:tcBorders>
                  <w:noWrap w:val="0"/>
                  <w:vAlign w:val="top"/>
                </w:tcPr>
                <w:p w14:paraId="7CED4942">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w:t>
                  </w:r>
                  <w:r>
                    <w:rPr>
                      <w:rFonts w:hint="eastAsia" w:cs="CESI仿宋-GB2312"/>
                      <w:spacing w:val="-1"/>
                      <w:szCs w:val="21"/>
                      <w:lang w:val="en-US" w:eastAsia="zh-CN"/>
                    </w:rPr>
                    <w:t>7</w:t>
                  </w:r>
                  <w:r>
                    <w:rPr>
                      <w:rFonts w:hint="eastAsia" w:cs="CESI仿宋-GB2312"/>
                      <w:spacing w:val="-1"/>
                      <w:szCs w:val="21"/>
                    </w:rPr>
                    <w:t>）服务区域内办公大楼公共区域饮水机、报刊架、书架等设施设备按需清洁，符合卫生标准。</w:t>
                  </w:r>
                </w:p>
              </w:tc>
            </w:tr>
            <w:tr w14:paraId="527F8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1" w:type="dxa"/>
                  <w:vMerge w:val="restart"/>
                  <w:tcBorders>
                    <w:top w:val="single" w:color="000000" w:sz="2" w:space="0"/>
                    <w:left w:val="single" w:color="000000" w:sz="2" w:space="0"/>
                    <w:bottom w:val="single" w:color="000000" w:sz="2" w:space="0"/>
                    <w:right w:val="single" w:color="000000" w:sz="2" w:space="0"/>
                  </w:tcBorders>
                  <w:noWrap w:val="0"/>
                  <w:vAlign w:val="center"/>
                </w:tcPr>
                <w:p w14:paraId="7873347F">
                  <w:pPr>
                    <w:widowControl/>
                    <w:kinsoku w:val="0"/>
                    <w:autoSpaceDE w:val="0"/>
                    <w:autoSpaceDN w:val="0"/>
                    <w:adjustRightInd w:val="0"/>
                    <w:snapToGrid w:val="0"/>
                    <w:spacing w:line="360" w:lineRule="exact"/>
                    <w:ind w:firstLine="416" w:firstLineChars="200"/>
                    <w:jc w:val="center"/>
                    <w:textAlignment w:val="baseline"/>
                    <w:rPr>
                      <w:rFonts w:cs="CESI仿宋-GB2312"/>
                      <w:spacing w:val="-1"/>
                      <w:szCs w:val="21"/>
                    </w:rPr>
                  </w:pPr>
                  <w:r>
                    <w:rPr>
                      <w:rFonts w:hint="eastAsia" w:cs="CESI仿宋-GB2312"/>
                      <w:spacing w:val="-1"/>
                      <w:szCs w:val="21"/>
                    </w:rPr>
                    <w:t>3</w:t>
                  </w:r>
                </w:p>
              </w:tc>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14:paraId="3DDE7B92">
                  <w:pPr>
                    <w:widowControl/>
                    <w:kinsoku w:val="0"/>
                    <w:autoSpaceDE w:val="0"/>
                    <w:autoSpaceDN w:val="0"/>
                    <w:adjustRightInd w:val="0"/>
                    <w:snapToGrid w:val="0"/>
                    <w:spacing w:line="360" w:lineRule="exact"/>
                    <w:textAlignment w:val="baseline"/>
                    <w:rPr>
                      <w:rFonts w:cs="CESI仿宋-GB2312"/>
                      <w:spacing w:val="-1"/>
                      <w:szCs w:val="21"/>
                    </w:rPr>
                  </w:pPr>
                  <w:r>
                    <w:rPr>
                      <w:rFonts w:hint="eastAsia" w:cs="CESI仿宋-GB2312"/>
                      <w:spacing w:val="-1"/>
                      <w:szCs w:val="21"/>
                    </w:rPr>
                    <w:t>公共场地区域保洁</w:t>
                  </w:r>
                </w:p>
              </w:tc>
              <w:tc>
                <w:tcPr>
                  <w:tcW w:w="4769" w:type="dxa"/>
                  <w:tcBorders>
                    <w:top w:val="single" w:color="000000" w:sz="2" w:space="0"/>
                    <w:left w:val="single" w:color="000000" w:sz="2" w:space="0"/>
                    <w:bottom w:val="single" w:color="000000" w:sz="2" w:space="0"/>
                    <w:right w:val="single" w:color="000000" w:sz="2" w:space="0"/>
                  </w:tcBorders>
                  <w:noWrap w:val="0"/>
                  <w:vAlign w:val="top"/>
                </w:tcPr>
                <w:p w14:paraId="1C92E269">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（1）每日清扫</w:t>
                  </w:r>
                  <w:r>
                    <w:rPr>
                      <w:rFonts w:hint="eastAsia" w:cs="CESI仿宋-GB2312"/>
                      <w:color w:val="auto"/>
                      <w:spacing w:val="-1"/>
                      <w:szCs w:val="21"/>
                      <w:lang w:val="en-US" w:eastAsia="zh-CN"/>
                    </w:rPr>
                    <w:t>2次</w:t>
                  </w:r>
                  <w:r>
                    <w:rPr>
                      <w:rFonts w:hint="eastAsia" w:cs="CESI仿宋-GB2312"/>
                      <w:spacing w:val="-1"/>
                      <w:szCs w:val="21"/>
                    </w:rPr>
                    <w:t>道路地面、广场、活动场所、绿地、停车场等公共区域，保持干净、无杂物、无积水。并做好巡逻。室外公共场所地面无纸屑、油渍、痰迹、口香糖、果皮、烟头、白色垃圾等。</w:t>
                  </w:r>
                </w:p>
              </w:tc>
            </w:tr>
            <w:tr w14:paraId="077BC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56F7894E">
                  <w:pPr>
                    <w:widowControl/>
                    <w:spacing w:line="360" w:lineRule="exact"/>
                    <w:ind w:firstLine="416" w:firstLineChars="200"/>
                    <w:jc w:val="left"/>
                    <w:rPr>
                      <w:rFonts w:cs="CESI仿宋-GB2312"/>
                      <w:spacing w:val="-1"/>
                      <w:szCs w:val="21"/>
                    </w:rPr>
                  </w:pPr>
                </w:p>
              </w:tc>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14:paraId="4389FBE2">
                  <w:pPr>
                    <w:widowControl/>
                    <w:spacing w:line="360" w:lineRule="exact"/>
                    <w:ind w:firstLine="416" w:firstLineChars="200"/>
                    <w:jc w:val="left"/>
                    <w:rPr>
                      <w:rFonts w:cs="CESI仿宋-GB2312"/>
                      <w:spacing w:val="-1"/>
                      <w:szCs w:val="21"/>
                    </w:rPr>
                  </w:pPr>
                </w:p>
              </w:tc>
              <w:tc>
                <w:tcPr>
                  <w:tcW w:w="4769" w:type="dxa"/>
                  <w:tcBorders>
                    <w:top w:val="single" w:color="000000" w:sz="2" w:space="0"/>
                    <w:left w:val="single" w:color="000000" w:sz="2" w:space="0"/>
                    <w:bottom w:val="single" w:color="000000" w:sz="2" w:space="0"/>
                    <w:right w:val="single" w:color="000000" w:sz="2" w:space="0"/>
                  </w:tcBorders>
                  <w:noWrap w:val="0"/>
                  <w:vAlign w:val="top"/>
                </w:tcPr>
                <w:p w14:paraId="6955180F">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（2）台风、降雨、冰冻时及时清扫积水、落叶、积冰，并采取安全防护措施。</w:t>
                  </w:r>
                </w:p>
              </w:tc>
            </w:tr>
            <w:tr w14:paraId="0E675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6ACEF1EC">
                  <w:pPr>
                    <w:widowControl/>
                    <w:spacing w:line="360" w:lineRule="exact"/>
                    <w:ind w:firstLine="416" w:firstLineChars="200"/>
                    <w:jc w:val="left"/>
                    <w:rPr>
                      <w:rFonts w:cs="CESI仿宋-GB2312"/>
                      <w:spacing w:val="-1"/>
                      <w:szCs w:val="21"/>
                    </w:rPr>
                  </w:pPr>
                </w:p>
              </w:tc>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14:paraId="4B039B28">
                  <w:pPr>
                    <w:widowControl/>
                    <w:spacing w:line="360" w:lineRule="exact"/>
                    <w:ind w:firstLine="416" w:firstLineChars="200"/>
                    <w:jc w:val="left"/>
                    <w:rPr>
                      <w:rFonts w:cs="CESI仿宋-GB2312"/>
                      <w:spacing w:val="-1"/>
                      <w:szCs w:val="21"/>
                    </w:rPr>
                  </w:pPr>
                </w:p>
              </w:tc>
              <w:tc>
                <w:tcPr>
                  <w:tcW w:w="4769" w:type="dxa"/>
                  <w:tcBorders>
                    <w:top w:val="single" w:color="000000" w:sz="2" w:space="0"/>
                    <w:left w:val="single" w:color="000000" w:sz="2" w:space="0"/>
                    <w:bottom w:val="single" w:color="000000" w:sz="2" w:space="0"/>
                    <w:right w:val="single" w:color="000000" w:sz="2" w:space="0"/>
                  </w:tcBorders>
                  <w:noWrap w:val="0"/>
                  <w:vAlign w:val="top"/>
                </w:tcPr>
                <w:p w14:paraId="75879288">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（3）各种路标、宣传栏等保持干净，每月至少开展1次清洁作业。</w:t>
                  </w:r>
                </w:p>
              </w:tc>
            </w:tr>
            <w:tr w14:paraId="3252A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3CB795D3">
                  <w:pPr>
                    <w:widowControl/>
                    <w:spacing w:line="360" w:lineRule="exact"/>
                    <w:ind w:firstLine="416" w:firstLineChars="200"/>
                    <w:jc w:val="left"/>
                    <w:rPr>
                      <w:rFonts w:cs="CESI仿宋-GB2312"/>
                      <w:spacing w:val="-1"/>
                      <w:szCs w:val="21"/>
                    </w:rPr>
                  </w:pPr>
                </w:p>
              </w:tc>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14:paraId="6796FB32">
                  <w:pPr>
                    <w:widowControl/>
                    <w:spacing w:line="360" w:lineRule="exact"/>
                    <w:ind w:firstLine="416" w:firstLineChars="200"/>
                    <w:jc w:val="left"/>
                    <w:rPr>
                      <w:rFonts w:cs="CESI仿宋-GB2312"/>
                      <w:spacing w:val="-1"/>
                      <w:szCs w:val="21"/>
                    </w:rPr>
                  </w:pPr>
                </w:p>
              </w:tc>
              <w:tc>
                <w:tcPr>
                  <w:tcW w:w="4769" w:type="dxa"/>
                  <w:tcBorders>
                    <w:top w:val="single" w:color="000000" w:sz="2" w:space="0"/>
                    <w:left w:val="single" w:color="000000" w:sz="2" w:space="0"/>
                    <w:bottom w:val="single" w:color="000000" w:sz="2" w:space="0"/>
                    <w:right w:val="single" w:color="000000" w:sz="2" w:space="0"/>
                  </w:tcBorders>
                  <w:noWrap w:val="0"/>
                  <w:vAlign w:val="top"/>
                </w:tcPr>
                <w:p w14:paraId="04BECDE6">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（4）清洁室外照明设备，每月至少开展1次清洁作业。</w:t>
                  </w:r>
                </w:p>
              </w:tc>
            </w:tr>
            <w:tr w14:paraId="7F360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27D75321">
                  <w:pPr>
                    <w:widowControl/>
                    <w:spacing w:line="360" w:lineRule="exact"/>
                    <w:ind w:firstLine="416" w:firstLineChars="200"/>
                    <w:jc w:val="left"/>
                    <w:rPr>
                      <w:rFonts w:cs="CESI仿宋-GB2312"/>
                      <w:spacing w:val="-1"/>
                      <w:szCs w:val="21"/>
                    </w:rPr>
                  </w:pPr>
                </w:p>
              </w:tc>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14:paraId="7F683A8E">
                  <w:pPr>
                    <w:widowControl/>
                    <w:spacing w:line="360" w:lineRule="exact"/>
                    <w:ind w:firstLine="416" w:firstLineChars="200"/>
                    <w:jc w:val="left"/>
                    <w:rPr>
                      <w:rFonts w:cs="CESI仿宋-GB2312"/>
                      <w:spacing w:val="-1"/>
                      <w:szCs w:val="21"/>
                    </w:rPr>
                  </w:pPr>
                </w:p>
              </w:tc>
              <w:tc>
                <w:tcPr>
                  <w:tcW w:w="4769" w:type="dxa"/>
                  <w:tcBorders>
                    <w:top w:val="single" w:color="000000" w:sz="2" w:space="0"/>
                    <w:left w:val="single" w:color="000000" w:sz="2" w:space="0"/>
                    <w:bottom w:val="single" w:color="000000" w:sz="2" w:space="0"/>
                    <w:right w:val="single" w:color="000000" w:sz="2" w:space="0"/>
                  </w:tcBorders>
                  <w:noWrap w:val="0"/>
                  <w:vAlign w:val="top"/>
                </w:tcPr>
                <w:p w14:paraId="041A1B33">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（5）绿地内无</w:t>
                  </w:r>
                  <w:r>
                    <w:rPr>
                      <w:rFonts w:hint="eastAsia" w:cs="CESI仿宋-GB2312"/>
                      <w:spacing w:val="-1"/>
                      <w:szCs w:val="21"/>
                      <w:lang w:val="en-US" w:eastAsia="zh-CN"/>
                    </w:rPr>
                    <w:t>垃圾、无</w:t>
                  </w:r>
                  <w:r>
                    <w:rPr>
                      <w:rFonts w:hint="eastAsia" w:cs="CESI仿宋-GB2312"/>
                      <w:spacing w:val="-1"/>
                      <w:szCs w:val="21"/>
                    </w:rPr>
                    <w:t>杂物、无改变用途和破坏、践踏、占用现象。</w:t>
                  </w:r>
                </w:p>
              </w:tc>
            </w:tr>
            <w:tr w14:paraId="5284E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39" w:hRule="atLeast"/>
                <w:jc w:val="center"/>
              </w:trPr>
              <w:tc>
                <w:tcPr>
                  <w:tcW w:w="781" w:type="dxa"/>
                  <w:vMerge w:val="restart"/>
                  <w:tcBorders>
                    <w:top w:val="single" w:color="000000" w:sz="2" w:space="0"/>
                    <w:left w:val="single" w:color="000000" w:sz="2" w:space="0"/>
                    <w:bottom w:val="single" w:color="000000" w:sz="2" w:space="0"/>
                    <w:right w:val="single" w:color="000000" w:sz="2" w:space="0"/>
                  </w:tcBorders>
                  <w:noWrap w:val="0"/>
                  <w:vAlign w:val="center"/>
                </w:tcPr>
                <w:p w14:paraId="4224FE11">
                  <w:pPr>
                    <w:widowControl/>
                    <w:kinsoku w:val="0"/>
                    <w:autoSpaceDE w:val="0"/>
                    <w:autoSpaceDN w:val="0"/>
                    <w:adjustRightInd w:val="0"/>
                    <w:snapToGrid w:val="0"/>
                    <w:spacing w:line="360" w:lineRule="exact"/>
                    <w:ind w:firstLine="416" w:firstLineChars="200"/>
                    <w:jc w:val="center"/>
                    <w:textAlignment w:val="baseline"/>
                    <w:rPr>
                      <w:rFonts w:cs="CESI仿宋-GB2312"/>
                      <w:spacing w:val="-1"/>
                      <w:szCs w:val="21"/>
                    </w:rPr>
                  </w:pPr>
                  <w:r>
                    <w:rPr>
                      <w:rFonts w:hint="eastAsia" w:cs="CESI仿宋-GB2312"/>
                      <w:spacing w:val="-1"/>
                      <w:szCs w:val="21"/>
                    </w:rPr>
                    <w:t>4</w:t>
                  </w:r>
                </w:p>
              </w:tc>
              <w:tc>
                <w:tcPr>
                  <w:tcW w:w="1080" w:type="dxa"/>
                  <w:vMerge w:val="restart"/>
                  <w:tcBorders>
                    <w:top w:val="single" w:color="000000" w:sz="2" w:space="0"/>
                    <w:left w:val="single" w:color="000000" w:sz="2" w:space="0"/>
                    <w:bottom w:val="single" w:color="000000" w:sz="2" w:space="0"/>
                    <w:right w:val="single" w:color="000000" w:sz="2" w:space="0"/>
                  </w:tcBorders>
                  <w:noWrap w:val="0"/>
                  <w:vAlign w:val="center"/>
                </w:tcPr>
                <w:p w14:paraId="1BF17526">
                  <w:pPr>
                    <w:widowControl/>
                    <w:kinsoku w:val="0"/>
                    <w:autoSpaceDE w:val="0"/>
                    <w:autoSpaceDN w:val="0"/>
                    <w:adjustRightInd w:val="0"/>
                    <w:snapToGrid w:val="0"/>
                    <w:spacing w:line="360" w:lineRule="exact"/>
                    <w:textAlignment w:val="baseline"/>
                    <w:rPr>
                      <w:rFonts w:cs="CESI仿宋-GB2312"/>
                      <w:spacing w:val="-1"/>
                      <w:szCs w:val="21"/>
                    </w:rPr>
                  </w:pPr>
                  <w:r>
                    <w:rPr>
                      <w:rFonts w:hint="eastAsia" w:cs="CESI仿宋-GB2312"/>
                      <w:spacing w:val="-1"/>
                      <w:szCs w:val="21"/>
                    </w:rPr>
                    <w:t>垃圾处理</w:t>
                  </w:r>
                </w:p>
              </w:tc>
              <w:tc>
                <w:tcPr>
                  <w:tcW w:w="4769" w:type="dxa"/>
                  <w:tcBorders>
                    <w:top w:val="single" w:color="000000" w:sz="2" w:space="0"/>
                    <w:left w:val="single" w:color="000000" w:sz="2" w:space="0"/>
                    <w:bottom w:val="single" w:color="000000" w:sz="2" w:space="0"/>
                    <w:right w:val="single" w:color="000000" w:sz="2" w:space="0"/>
                  </w:tcBorders>
                  <w:noWrap w:val="0"/>
                  <w:vAlign w:val="top"/>
                </w:tcPr>
                <w:p w14:paraId="1C732BCC">
                  <w:pPr>
                    <w:widowControl/>
                    <w:kinsoku/>
                    <w:autoSpaceDE/>
                    <w:autoSpaceDN/>
                    <w:adjustRightInd/>
                    <w:snapToGrid/>
                    <w:spacing w:line="360" w:lineRule="exact"/>
                    <w:ind w:firstLine="416" w:firstLineChars="200"/>
                    <w:jc w:val="left"/>
                    <w:textAlignment w:val="auto"/>
                    <w:rPr>
                      <w:rFonts w:cs="CESI仿宋-GB2312"/>
                      <w:spacing w:val="-1"/>
                      <w:szCs w:val="21"/>
                    </w:rPr>
                  </w:pPr>
                  <w:r>
                    <w:rPr>
                      <w:rFonts w:hint="eastAsia" w:cs="CESI仿宋-GB2312"/>
                      <w:spacing w:val="-1"/>
                      <w:szCs w:val="21"/>
                    </w:rPr>
                    <w:t>（1）各办公楼按楼层设置分类垃圾桶，垃圾处理须分类装袋，每日清运。户外合理设置果壳箱或分类垃圾桶，每日分类清运。并在显著处张贴垃圾分类标识。分类垃圾桶和垃圾分类标识根据南宁市有关垃圾分类要求设置。</w:t>
                  </w:r>
                </w:p>
              </w:tc>
            </w:tr>
            <w:tr w14:paraId="5C452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470EA69F">
                  <w:pPr>
                    <w:widowControl/>
                    <w:spacing w:line="360" w:lineRule="exact"/>
                    <w:ind w:firstLine="416" w:firstLineChars="200"/>
                    <w:jc w:val="left"/>
                    <w:rPr>
                      <w:rFonts w:cs="CESI仿宋-GB2312"/>
                      <w:spacing w:val="-1"/>
                      <w:szCs w:val="21"/>
                    </w:rPr>
                  </w:pPr>
                </w:p>
              </w:tc>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14:paraId="620E5AC2">
                  <w:pPr>
                    <w:widowControl/>
                    <w:spacing w:line="360" w:lineRule="exact"/>
                    <w:ind w:firstLine="416" w:firstLineChars="200"/>
                    <w:jc w:val="left"/>
                    <w:rPr>
                      <w:rFonts w:cs="CESI仿宋-GB2312"/>
                      <w:spacing w:val="-1"/>
                      <w:szCs w:val="21"/>
                    </w:rPr>
                  </w:pPr>
                </w:p>
              </w:tc>
              <w:tc>
                <w:tcPr>
                  <w:tcW w:w="4769" w:type="dxa"/>
                  <w:tcBorders>
                    <w:top w:val="single" w:color="000000" w:sz="2" w:space="0"/>
                    <w:left w:val="single" w:color="000000" w:sz="2" w:space="0"/>
                    <w:bottom w:val="single" w:color="000000" w:sz="2" w:space="0"/>
                    <w:right w:val="single" w:color="000000" w:sz="2" w:space="0"/>
                  </w:tcBorders>
                  <w:noWrap w:val="0"/>
                  <w:vAlign w:val="top"/>
                </w:tcPr>
                <w:p w14:paraId="1436C357">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（2）桶身表面干净无污渍，每日开展至少2次清洁作业。</w:t>
                  </w:r>
                </w:p>
              </w:tc>
            </w:tr>
            <w:tr w14:paraId="5F32B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766F51E0">
                  <w:pPr>
                    <w:widowControl/>
                    <w:spacing w:line="360" w:lineRule="exact"/>
                    <w:ind w:firstLine="416" w:firstLineChars="200"/>
                    <w:jc w:val="left"/>
                    <w:rPr>
                      <w:rFonts w:cs="CESI仿宋-GB2312"/>
                      <w:spacing w:val="-1"/>
                      <w:szCs w:val="21"/>
                    </w:rPr>
                  </w:pPr>
                </w:p>
              </w:tc>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14:paraId="451DB3B9">
                  <w:pPr>
                    <w:widowControl/>
                    <w:spacing w:line="360" w:lineRule="exact"/>
                    <w:ind w:firstLine="416" w:firstLineChars="200"/>
                    <w:jc w:val="left"/>
                    <w:rPr>
                      <w:rFonts w:cs="CESI仿宋-GB2312"/>
                      <w:spacing w:val="-1"/>
                      <w:szCs w:val="21"/>
                    </w:rPr>
                  </w:pPr>
                </w:p>
              </w:tc>
              <w:tc>
                <w:tcPr>
                  <w:tcW w:w="4769" w:type="dxa"/>
                  <w:tcBorders>
                    <w:top w:val="single" w:color="000000" w:sz="2" w:space="0"/>
                    <w:left w:val="single" w:color="000000" w:sz="2" w:space="0"/>
                    <w:bottom w:val="single" w:color="000000" w:sz="2" w:space="0"/>
                    <w:right w:val="single" w:color="000000" w:sz="2" w:space="0"/>
                  </w:tcBorders>
                  <w:noWrap w:val="0"/>
                  <w:vAlign w:val="top"/>
                </w:tcPr>
                <w:p w14:paraId="34CDE214">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3）公共场所、卫生间、各垃圾收集点无堆积物，垃圾箱外表干净、无积垢、无异味。垃圾中转房保持整洁，无明显异味，每日至少开展2次清洁作业。每次清运后对垃圾桶及周边范围进行彻底清洗，清洗后喷洒杀虫剂及消毒。</w:t>
                  </w:r>
                </w:p>
              </w:tc>
            </w:tr>
            <w:tr w14:paraId="20D74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0F2C5353">
                  <w:pPr>
                    <w:widowControl/>
                    <w:spacing w:line="360" w:lineRule="exact"/>
                    <w:ind w:firstLine="416" w:firstLineChars="200"/>
                    <w:jc w:val="left"/>
                    <w:rPr>
                      <w:rFonts w:cs="CESI仿宋-GB2312"/>
                      <w:spacing w:val="-1"/>
                      <w:szCs w:val="21"/>
                    </w:rPr>
                  </w:pPr>
                </w:p>
              </w:tc>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14:paraId="41B3C65B">
                  <w:pPr>
                    <w:widowControl/>
                    <w:spacing w:line="360" w:lineRule="exact"/>
                    <w:ind w:firstLine="416" w:firstLineChars="200"/>
                    <w:jc w:val="left"/>
                    <w:rPr>
                      <w:rFonts w:cs="CESI仿宋-GB2312"/>
                      <w:spacing w:val="-1"/>
                      <w:szCs w:val="21"/>
                    </w:rPr>
                  </w:pPr>
                </w:p>
              </w:tc>
              <w:tc>
                <w:tcPr>
                  <w:tcW w:w="4769" w:type="dxa"/>
                  <w:tcBorders>
                    <w:top w:val="single" w:color="000000" w:sz="2" w:space="0"/>
                    <w:left w:val="single" w:color="000000" w:sz="2" w:space="0"/>
                    <w:bottom w:val="single" w:color="000000" w:sz="2" w:space="0"/>
                    <w:right w:val="single" w:color="000000" w:sz="2" w:space="0"/>
                  </w:tcBorders>
                  <w:noWrap w:val="0"/>
                  <w:vAlign w:val="center"/>
                </w:tcPr>
                <w:p w14:paraId="40B2ABAD">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w:t>
                  </w:r>
                  <w:r>
                    <w:rPr>
                      <w:rFonts w:hint="eastAsia" w:cs="CESI仿宋-GB2312"/>
                      <w:spacing w:val="-1"/>
                      <w:szCs w:val="21"/>
                      <w:lang w:val="en-US" w:eastAsia="zh-CN"/>
                    </w:rPr>
                    <w:t>4</w:t>
                  </w:r>
                  <w:r>
                    <w:rPr>
                      <w:rFonts w:hint="eastAsia" w:cs="CESI仿宋-GB2312"/>
                      <w:spacing w:val="-1"/>
                      <w:szCs w:val="21"/>
                    </w:rPr>
                    <w:t>）每日内要对楼层产生的垃圾，进行清理分类，并运至垃圾集中堆放点。运输过程中确保垃圾不遗洒、不滴漏，避免对周边环境造成污染。每次清运后对垃圾桶及周边范围进行彻底清洗，清洗后喷洒杀虫剂及消毒。</w:t>
                  </w:r>
                </w:p>
              </w:tc>
            </w:tr>
            <w:tr w14:paraId="709F9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6"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7860D77F">
                  <w:pPr>
                    <w:widowControl/>
                    <w:spacing w:line="360" w:lineRule="exact"/>
                    <w:ind w:firstLine="416" w:firstLineChars="200"/>
                    <w:jc w:val="left"/>
                    <w:rPr>
                      <w:rFonts w:cs="CESI仿宋-GB2312"/>
                      <w:spacing w:val="-1"/>
                      <w:szCs w:val="21"/>
                    </w:rPr>
                  </w:pPr>
                </w:p>
              </w:tc>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14:paraId="592EC9FF">
                  <w:pPr>
                    <w:widowControl/>
                    <w:spacing w:line="360" w:lineRule="exact"/>
                    <w:ind w:firstLine="416" w:firstLineChars="200"/>
                    <w:jc w:val="left"/>
                    <w:rPr>
                      <w:rFonts w:cs="CESI仿宋-GB2312"/>
                      <w:spacing w:val="-1"/>
                      <w:szCs w:val="21"/>
                    </w:rPr>
                  </w:pPr>
                </w:p>
              </w:tc>
              <w:tc>
                <w:tcPr>
                  <w:tcW w:w="4769" w:type="dxa"/>
                  <w:tcBorders>
                    <w:top w:val="single" w:color="000000" w:sz="2" w:space="0"/>
                    <w:left w:val="single" w:color="000000" w:sz="2" w:space="0"/>
                    <w:bottom w:val="single" w:color="000000" w:sz="2" w:space="0"/>
                    <w:right w:val="single" w:color="000000" w:sz="2" w:space="0"/>
                  </w:tcBorders>
                  <w:noWrap w:val="0"/>
                  <w:vAlign w:val="center"/>
                </w:tcPr>
                <w:p w14:paraId="7763F069">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w:t>
                  </w:r>
                  <w:r>
                    <w:rPr>
                      <w:rFonts w:hint="eastAsia" w:cs="CESI仿宋-GB2312"/>
                      <w:spacing w:val="-1"/>
                      <w:szCs w:val="21"/>
                      <w:lang w:val="en-US" w:eastAsia="zh-CN"/>
                    </w:rPr>
                    <w:t>5</w:t>
                  </w:r>
                  <w:r>
                    <w:rPr>
                      <w:rFonts w:hint="eastAsia" w:cs="CESI仿宋-GB2312"/>
                      <w:spacing w:val="-1"/>
                      <w:szCs w:val="21"/>
                    </w:rPr>
                    <w:t>）及时对大院内的无主或闲置的废弃办公家具及设施设备等进行清运。</w:t>
                  </w:r>
                </w:p>
              </w:tc>
            </w:tr>
            <w:tr w14:paraId="38705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51AEBEBF">
                  <w:pPr>
                    <w:widowControl/>
                    <w:spacing w:line="360" w:lineRule="exact"/>
                    <w:ind w:firstLine="416" w:firstLineChars="200"/>
                    <w:jc w:val="left"/>
                    <w:rPr>
                      <w:rFonts w:cs="CESI仿宋-GB2312"/>
                      <w:spacing w:val="-1"/>
                      <w:szCs w:val="21"/>
                    </w:rPr>
                  </w:pPr>
                </w:p>
              </w:tc>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14:paraId="06D196AF">
                  <w:pPr>
                    <w:widowControl/>
                    <w:spacing w:line="360" w:lineRule="exact"/>
                    <w:ind w:firstLine="416" w:firstLineChars="200"/>
                    <w:jc w:val="left"/>
                    <w:rPr>
                      <w:rFonts w:cs="CESI仿宋-GB2312"/>
                      <w:spacing w:val="-1"/>
                      <w:szCs w:val="21"/>
                    </w:rPr>
                  </w:pPr>
                </w:p>
              </w:tc>
              <w:tc>
                <w:tcPr>
                  <w:tcW w:w="4769" w:type="dxa"/>
                  <w:tcBorders>
                    <w:top w:val="single" w:color="000000" w:sz="2" w:space="0"/>
                    <w:left w:val="single" w:color="000000" w:sz="2" w:space="0"/>
                    <w:bottom w:val="single" w:color="000000" w:sz="2" w:space="0"/>
                    <w:right w:val="single" w:color="000000" w:sz="2" w:space="0"/>
                  </w:tcBorders>
                  <w:noWrap w:val="0"/>
                  <w:vAlign w:val="center"/>
                </w:tcPr>
                <w:p w14:paraId="74A544C5">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w:t>
                  </w:r>
                  <w:r>
                    <w:rPr>
                      <w:rFonts w:hint="eastAsia" w:cs="CESI仿宋-GB2312"/>
                      <w:spacing w:val="-1"/>
                      <w:szCs w:val="21"/>
                      <w:lang w:val="en-US" w:eastAsia="zh-CN"/>
                    </w:rPr>
                    <w:t>6</w:t>
                  </w:r>
                  <w:r>
                    <w:rPr>
                      <w:rFonts w:hint="eastAsia" w:cs="CESI仿宋-GB2312"/>
                      <w:spacing w:val="-1"/>
                      <w:szCs w:val="21"/>
                    </w:rPr>
                    <w:t>）建立垃圾清运台账，绿化垃圾、生活垃圾等均应交由规范的渠道回收处理。</w:t>
                  </w:r>
                </w:p>
              </w:tc>
            </w:tr>
            <w:tr w14:paraId="1E167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0E68471E">
                  <w:pPr>
                    <w:widowControl/>
                    <w:spacing w:line="360" w:lineRule="exact"/>
                    <w:ind w:firstLine="416" w:firstLineChars="200"/>
                    <w:jc w:val="left"/>
                    <w:rPr>
                      <w:rFonts w:cs="CESI仿宋-GB2312"/>
                      <w:spacing w:val="-1"/>
                      <w:szCs w:val="21"/>
                    </w:rPr>
                  </w:pPr>
                </w:p>
              </w:tc>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14:paraId="2AD81A29">
                  <w:pPr>
                    <w:widowControl/>
                    <w:spacing w:line="360" w:lineRule="exact"/>
                    <w:ind w:firstLine="416" w:firstLineChars="200"/>
                    <w:jc w:val="left"/>
                    <w:rPr>
                      <w:rFonts w:cs="CESI仿宋-GB2312"/>
                      <w:spacing w:val="-1"/>
                      <w:szCs w:val="21"/>
                    </w:rPr>
                  </w:pPr>
                </w:p>
              </w:tc>
              <w:tc>
                <w:tcPr>
                  <w:tcW w:w="4769" w:type="dxa"/>
                  <w:tcBorders>
                    <w:top w:val="single" w:color="000000" w:sz="2" w:space="0"/>
                    <w:left w:val="single" w:color="000000" w:sz="2" w:space="0"/>
                    <w:bottom w:val="single" w:color="000000" w:sz="2" w:space="0"/>
                    <w:right w:val="single" w:color="000000" w:sz="2" w:space="0"/>
                  </w:tcBorders>
                  <w:noWrap w:val="0"/>
                  <w:vAlign w:val="center"/>
                </w:tcPr>
                <w:p w14:paraId="312613E4">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w:t>
                  </w:r>
                  <w:r>
                    <w:rPr>
                      <w:rFonts w:hint="eastAsia" w:cs="CESI仿宋-GB2312"/>
                      <w:spacing w:val="-1"/>
                      <w:szCs w:val="21"/>
                      <w:lang w:val="en-US" w:eastAsia="zh-CN"/>
                    </w:rPr>
                    <w:t>7</w:t>
                  </w:r>
                  <w:r>
                    <w:rPr>
                      <w:rFonts w:hint="eastAsia" w:cs="CESI仿宋-GB2312"/>
                      <w:spacing w:val="-1"/>
                      <w:szCs w:val="21"/>
                    </w:rPr>
                    <w:t>）做好垃圾分类管理的宣传工作，督促并引导全员参与垃圾分类投放。</w:t>
                  </w:r>
                </w:p>
              </w:tc>
            </w:tr>
            <w:tr w14:paraId="7A79F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70"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1A8E15B2">
                  <w:pPr>
                    <w:widowControl/>
                    <w:spacing w:line="360" w:lineRule="exact"/>
                    <w:ind w:firstLine="416" w:firstLineChars="200"/>
                    <w:jc w:val="left"/>
                    <w:rPr>
                      <w:rFonts w:cs="CESI仿宋-GB2312"/>
                      <w:spacing w:val="-1"/>
                      <w:szCs w:val="21"/>
                    </w:rPr>
                  </w:pPr>
                </w:p>
              </w:tc>
              <w:tc>
                <w:tcPr>
                  <w:tcW w:w="1080" w:type="dxa"/>
                  <w:vMerge w:val="continue"/>
                  <w:tcBorders>
                    <w:top w:val="single" w:color="000000" w:sz="2" w:space="0"/>
                    <w:left w:val="single" w:color="000000" w:sz="2" w:space="0"/>
                    <w:bottom w:val="single" w:color="000000" w:sz="2" w:space="0"/>
                    <w:right w:val="single" w:color="000000" w:sz="2" w:space="0"/>
                  </w:tcBorders>
                  <w:noWrap w:val="0"/>
                  <w:vAlign w:val="center"/>
                </w:tcPr>
                <w:p w14:paraId="70CF2252">
                  <w:pPr>
                    <w:widowControl/>
                    <w:spacing w:line="360" w:lineRule="exact"/>
                    <w:ind w:firstLine="416" w:firstLineChars="200"/>
                    <w:jc w:val="left"/>
                    <w:rPr>
                      <w:rFonts w:cs="CESI仿宋-GB2312"/>
                      <w:spacing w:val="-1"/>
                      <w:szCs w:val="21"/>
                    </w:rPr>
                  </w:pPr>
                </w:p>
              </w:tc>
              <w:tc>
                <w:tcPr>
                  <w:tcW w:w="4769" w:type="dxa"/>
                  <w:tcBorders>
                    <w:top w:val="single" w:color="000000" w:sz="2" w:space="0"/>
                    <w:left w:val="single" w:color="000000" w:sz="2" w:space="0"/>
                    <w:bottom w:val="single" w:color="000000" w:sz="2" w:space="0"/>
                    <w:right w:val="single" w:color="000000" w:sz="2" w:space="0"/>
                  </w:tcBorders>
                  <w:noWrap w:val="0"/>
                  <w:vAlign w:val="center"/>
                </w:tcPr>
                <w:p w14:paraId="6F3AD173">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w:t>
                  </w:r>
                  <w:r>
                    <w:rPr>
                      <w:rFonts w:hint="eastAsia" w:cs="CESI仿宋-GB2312"/>
                      <w:spacing w:val="-1"/>
                      <w:szCs w:val="21"/>
                      <w:lang w:val="en-US" w:eastAsia="zh-CN"/>
                    </w:rPr>
                    <w:t>8</w:t>
                  </w:r>
                  <w:r>
                    <w:rPr>
                      <w:rFonts w:hint="eastAsia" w:cs="CESI仿宋-GB2312"/>
                      <w:spacing w:val="-1"/>
                      <w:szCs w:val="21"/>
                    </w:rPr>
                    <w:t>）垃圾分类投放管理工作的执行标准，按南宁市有关垃圾分类的要求执行。</w:t>
                  </w:r>
                </w:p>
              </w:tc>
            </w:tr>
          </w:tbl>
          <w:p w14:paraId="5FD01E59">
            <w:pPr>
              <w:widowControl/>
              <w:kinsoku w:val="0"/>
              <w:autoSpaceDE w:val="0"/>
              <w:autoSpaceDN w:val="0"/>
              <w:adjustRightInd w:val="0"/>
              <w:snapToGrid w:val="0"/>
              <w:spacing w:line="500" w:lineRule="exact"/>
              <w:ind w:firstLine="418" w:firstLineChars="200"/>
              <w:textAlignment w:val="baseline"/>
              <w:rPr>
                <w:rFonts w:cs="CESI仿宋-GB2312"/>
                <w:b/>
                <w:bCs/>
                <w:spacing w:val="-1"/>
                <w:szCs w:val="21"/>
              </w:rPr>
            </w:pPr>
            <w:bookmarkStart w:id="40" w:name="_Toc193963309"/>
            <w:r>
              <w:rPr>
                <w:rFonts w:cs="CESI仿宋-GB2312"/>
                <w:b/>
                <w:bCs/>
                <w:spacing w:val="-1"/>
                <w:szCs w:val="21"/>
              </w:rPr>
              <w:t>2.</w:t>
            </w:r>
            <w:r>
              <w:rPr>
                <w:rFonts w:hint="eastAsia" w:cs="CESI仿宋-GB2312"/>
                <w:b/>
                <w:bCs/>
                <w:spacing w:val="-1"/>
                <w:szCs w:val="21"/>
              </w:rPr>
              <w:t>4保安服务</w:t>
            </w:r>
            <w:bookmarkEnd w:id="40"/>
          </w:p>
          <w:p w14:paraId="1BD4F636">
            <w:pPr>
              <w:widowControl/>
              <w:spacing w:line="500" w:lineRule="exact"/>
              <w:ind w:firstLine="416" w:firstLineChars="200"/>
              <w:rPr>
                <w:rFonts w:cs="CESI仿宋-GB2312"/>
                <w:spacing w:val="-1"/>
                <w:szCs w:val="21"/>
              </w:rPr>
            </w:pPr>
            <w:r>
              <w:rPr>
                <w:rFonts w:hint="eastAsia" w:cs="CESI仿宋-GB2312"/>
                <w:spacing w:val="-1"/>
                <w:szCs w:val="21"/>
              </w:rPr>
              <w:t>服务内容：做好办公区服务区域</w:t>
            </w:r>
            <w:r>
              <w:rPr>
                <w:rFonts w:hint="eastAsia" w:cs="CESI仿宋-GB2312"/>
                <w:spacing w:val="-1"/>
                <w:szCs w:val="21"/>
                <w:lang w:val="en-US" w:eastAsia="zh-CN"/>
              </w:rPr>
              <w:t>内及住宿区域</w:t>
            </w:r>
            <w:r>
              <w:rPr>
                <w:rFonts w:hint="eastAsia" w:cs="CESI仿宋-GB2312"/>
                <w:spacing w:val="-1"/>
                <w:szCs w:val="21"/>
              </w:rPr>
              <w:t>的维稳工作和社会治安综合治理，负责服务区域内安全保卫、安全生产、治安处置、突发事件和消防安全等工作，维护服务区安全秩序。</w:t>
            </w:r>
          </w:p>
          <w:tbl>
            <w:tblPr>
              <w:tblStyle w:val="19"/>
              <w:tblW w:w="0" w:type="auto"/>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740"/>
              <w:gridCol w:w="801"/>
              <w:gridCol w:w="3361"/>
            </w:tblGrid>
            <w:tr w14:paraId="373FB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6" w:hRule="atLeast"/>
              </w:trPr>
              <w:tc>
                <w:tcPr>
                  <w:tcW w:w="731" w:type="dxa"/>
                  <w:tcBorders>
                    <w:top w:val="single" w:color="000000" w:sz="2" w:space="0"/>
                    <w:left w:val="single" w:color="000000" w:sz="2" w:space="0"/>
                    <w:bottom w:val="single" w:color="000000" w:sz="2" w:space="0"/>
                    <w:right w:val="single" w:color="000000" w:sz="2" w:space="0"/>
                  </w:tcBorders>
                  <w:noWrap w:val="0"/>
                  <w:vAlign w:val="center"/>
                </w:tcPr>
                <w:p w14:paraId="2CCBB529">
                  <w:pPr>
                    <w:widowControl/>
                    <w:kinsoku w:val="0"/>
                    <w:autoSpaceDE w:val="0"/>
                    <w:autoSpaceDN w:val="0"/>
                    <w:adjustRightInd w:val="0"/>
                    <w:snapToGrid w:val="0"/>
                    <w:spacing w:line="360" w:lineRule="exact"/>
                    <w:textAlignment w:val="baseline"/>
                    <w:rPr>
                      <w:rFonts w:cs="CESI仿宋-GB2312"/>
                      <w:spacing w:val="-1"/>
                      <w:szCs w:val="21"/>
                    </w:rPr>
                  </w:pPr>
                  <w:r>
                    <w:rPr>
                      <w:rFonts w:hint="eastAsia" w:cs="CESI仿宋-GB2312"/>
                      <w:spacing w:val="-1"/>
                      <w:szCs w:val="21"/>
                    </w:rPr>
                    <w:t>序号</w:t>
                  </w:r>
                </w:p>
              </w:tc>
              <w:tc>
                <w:tcPr>
                  <w:tcW w:w="1081" w:type="dxa"/>
                  <w:tcBorders>
                    <w:top w:val="single" w:color="000000" w:sz="2" w:space="0"/>
                    <w:left w:val="single" w:color="000000" w:sz="2" w:space="0"/>
                    <w:bottom w:val="single" w:color="000000" w:sz="2" w:space="0"/>
                    <w:right w:val="single" w:color="000000" w:sz="2" w:space="0"/>
                  </w:tcBorders>
                  <w:noWrap w:val="0"/>
                  <w:vAlign w:val="center"/>
                </w:tcPr>
                <w:p w14:paraId="03B4F942">
                  <w:pPr>
                    <w:widowControl/>
                    <w:kinsoku w:val="0"/>
                    <w:autoSpaceDE w:val="0"/>
                    <w:autoSpaceDN w:val="0"/>
                    <w:adjustRightInd w:val="0"/>
                    <w:snapToGrid w:val="0"/>
                    <w:spacing w:line="360" w:lineRule="exact"/>
                    <w:textAlignment w:val="baseline"/>
                    <w:rPr>
                      <w:rFonts w:cs="CESI仿宋-GB2312"/>
                      <w:spacing w:val="-1"/>
                      <w:szCs w:val="21"/>
                    </w:rPr>
                  </w:pPr>
                  <w:r>
                    <w:rPr>
                      <w:rFonts w:hint="eastAsia" w:cs="CESI仿宋-GB2312"/>
                      <w:spacing w:val="-1"/>
                      <w:szCs w:val="21"/>
                    </w:rPr>
                    <w:t>服务内容</w:t>
                  </w: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24D48E9F">
                  <w:pPr>
                    <w:widowControl/>
                    <w:kinsoku w:val="0"/>
                    <w:autoSpaceDE w:val="0"/>
                    <w:autoSpaceDN w:val="0"/>
                    <w:adjustRightInd w:val="0"/>
                    <w:snapToGrid w:val="0"/>
                    <w:spacing w:line="360" w:lineRule="exact"/>
                    <w:ind w:firstLine="416" w:firstLineChars="200"/>
                    <w:jc w:val="center"/>
                    <w:textAlignment w:val="baseline"/>
                    <w:rPr>
                      <w:rFonts w:cs="CESI仿宋-GB2312"/>
                      <w:spacing w:val="-1"/>
                      <w:szCs w:val="21"/>
                    </w:rPr>
                  </w:pPr>
                  <w:r>
                    <w:rPr>
                      <w:rFonts w:hint="eastAsia" w:cs="CESI仿宋-GB2312"/>
                      <w:spacing w:val="-1"/>
                      <w:szCs w:val="21"/>
                    </w:rPr>
                    <w:t>服务标准</w:t>
                  </w:r>
                </w:p>
              </w:tc>
            </w:tr>
            <w:tr w14:paraId="1BB1E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6" w:hRule="atLeast"/>
              </w:trPr>
              <w:tc>
                <w:tcPr>
                  <w:tcW w:w="731" w:type="dxa"/>
                  <w:vMerge w:val="restart"/>
                  <w:tcBorders>
                    <w:top w:val="single" w:color="000000" w:sz="2" w:space="0"/>
                    <w:left w:val="single" w:color="000000" w:sz="2" w:space="0"/>
                    <w:bottom w:val="single" w:color="000000" w:sz="2" w:space="0"/>
                    <w:right w:val="single" w:color="000000" w:sz="2" w:space="0"/>
                  </w:tcBorders>
                  <w:noWrap w:val="0"/>
                  <w:vAlign w:val="center"/>
                </w:tcPr>
                <w:p w14:paraId="02155401">
                  <w:pPr>
                    <w:widowControl/>
                    <w:kinsoku w:val="0"/>
                    <w:autoSpaceDE w:val="0"/>
                    <w:autoSpaceDN w:val="0"/>
                    <w:adjustRightInd w:val="0"/>
                    <w:snapToGrid w:val="0"/>
                    <w:spacing w:line="360" w:lineRule="exact"/>
                    <w:ind w:firstLine="416" w:firstLineChars="200"/>
                    <w:jc w:val="center"/>
                    <w:textAlignment w:val="baseline"/>
                    <w:rPr>
                      <w:rFonts w:cs="CESI仿宋-GB2312"/>
                      <w:spacing w:val="-1"/>
                      <w:szCs w:val="21"/>
                    </w:rPr>
                  </w:pPr>
                  <w:r>
                    <w:rPr>
                      <w:rFonts w:hint="eastAsia" w:cs="CESI仿宋-GB2312"/>
                      <w:spacing w:val="-1"/>
                      <w:szCs w:val="21"/>
                    </w:rPr>
                    <w:t>1</w:t>
                  </w:r>
                </w:p>
              </w:tc>
              <w:tc>
                <w:tcPr>
                  <w:tcW w:w="1081" w:type="dxa"/>
                  <w:vMerge w:val="restart"/>
                  <w:tcBorders>
                    <w:top w:val="single" w:color="000000" w:sz="2" w:space="0"/>
                    <w:left w:val="single" w:color="000000" w:sz="2" w:space="0"/>
                    <w:bottom w:val="single" w:color="000000" w:sz="2" w:space="0"/>
                    <w:right w:val="single" w:color="000000" w:sz="2" w:space="0"/>
                  </w:tcBorders>
                  <w:noWrap w:val="0"/>
                  <w:vAlign w:val="center"/>
                </w:tcPr>
                <w:p w14:paraId="04921BDF">
                  <w:pPr>
                    <w:widowControl/>
                    <w:kinsoku w:val="0"/>
                    <w:autoSpaceDE w:val="0"/>
                    <w:autoSpaceDN w:val="0"/>
                    <w:adjustRightInd w:val="0"/>
                    <w:snapToGrid w:val="0"/>
                    <w:spacing w:line="360" w:lineRule="exact"/>
                    <w:textAlignment w:val="baseline"/>
                    <w:rPr>
                      <w:rFonts w:cs="CESI仿宋-GB2312"/>
                      <w:color w:val="auto"/>
                      <w:spacing w:val="-1"/>
                      <w:szCs w:val="21"/>
                    </w:rPr>
                  </w:pPr>
                  <w:r>
                    <w:rPr>
                      <w:rFonts w:hint="eastAsia" w:cs="CESI仿宋-GB2312"/>
                      <w:color w:val="auto"/>
                      <w:spacing w:val="-1"/>
                      <w:szCs w:val="21"/>
                    </w:rPr>
                    <w:t>基本要求</w:t>
                  </w: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1C8230D0">
                  <w:pPr>
                    <w:widowControl/>
                    <w:kinsoku w:val="0"/>
                    <w:autoSpaceDE w:val="0"/>
                    <w:autoSpaceDN w:val="0"/>
                    <w:adjustRightInd w:val="0"/>
                    <w:snapToGrid w:val="0"/>
                    <w:spacing w:line="360" w:lineRule="exact"/>
                    <w:ind w:firstLine="416" w:firstLineChars="200"/>
                    <w:textAlignment w:val="baseline"/>
                    <w:rPr>
                      <w:rFonts w:cs="CESI仿宋-GB2312"/>
                      <w:color w:val="auto"/>
                      <w:spacing w:val="-1"/>
                      <w:szCs w:val="21"/>
                    </w:rPr>
                  </w:pPr>
                  <w:r>
                    <w:rPr>
                      <w:rFonts w:hint="eastAsia" w:cs="CESI仿宋-GB2312"/>
                      <w:color w:val="auto"/>
                      <w:spacing w:val="-1"/>
                      <w:szCs w:val="21"/>
                    </w:rPr>
                    <w:t>（1）建立保安服务相关制度，并按照执行。定期组织安保人员开展有关法律知识和治安保卫业务、技能以及相关物业知识的培训。每年进行</w:t>
                  </w:r>
                  <w:r>
                    <w:rPr>
                      <w:rFonts w:hint="eastAsia" w:cs="CESI仿宋-GB2312"/>
                      <w:color w:val="auto"/>
                      <w:spacing w:val="-1"/>
                      <w:szCs w:val="21"/>
                      <w:lang w:val="en-US" w:eastAsia="zh-CN"/>
                    </w:rPr>
                    <w:t>1次</w:t>
                  </w:r>
                  <w:r>
                    <w:rPr>
                      <w:rFonts w:hint="eastAsia" w:cs="CESI仿宋-GB2312"/>
                      <w:color w:val="auto"/>
                      <w:spacing w:val="-1"/>
                      <w:szCs w:val="21"/>
                    </w:rPr>
                    <w:t>全员培训。</w:t>
                  </w:r>
                </w:p>
              </w:tc>
            </w:tr>
            <w:tr w14:paraId="244EA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9" w:hRule="atLeast"/>
              </w:trPr>
              <w:tc>
                <w:tcPr>
                  <w:tcW w:w="731" w:type="dxa"/>
                  <w:vMerge w:val="continue"/>
                  <w:tcBorders>
                    <w:top w:val="single" w:color="000000" w:sz="2" w:space="0"/>
                    <w:left w:val="single" w:color="000000" w:sz="2" w:space="0"/>
                    <w:bottom w:val="single" w:color="000000" w:sz="2" w:space="0"/>
                    <w:right w:val="single" w:color="000000" w:sz="2" w:space="0"/>
                  </w:tcBorders>
                  <w:noWrap w:val="0"/>
                  <w:vAlign w:val="center"/>
                </w:tcPr>
                <w:p w14:paraId="44EEA2E0">
                  <w:pPr>
                    <w:widowControl/>
                    <w:spacing w:line="360" w:lineRule="exact"/>
                    <w:ind w:firstLine="416" w:firstLineChars="200"/>
                    <w:jc w:val="center"/>
                    <w:rPr>
                      <w:rFonts w:cs="CESI仿宋-GB2312"/>
                      <w:spacing w:val="-1"/>
                      <w:szCs w:val="21"/>
                    </w:rPr>
                  </w:pPr>
                </w:p>
              </w:tc>
              <w:tc>
                <w:tcPr>
                  <w:tcW w:w="10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6A32E5D7">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auto" w:sz="4" w:space="0"/>
                    <w:right w:val="single" w:color="000000" w:sz="2" w:space="0"/>
                  </w:tcBorders>
                  <w:noWrap w:val="0"/>
                  <w:vAlign w:val="center"/>
                </w:tcPr>
                <w:p w14:paraId="7A822A5D">
                  <w:pPr>
                    <w:widowControl/>
                    <w:spacing w:line="360" w:lineRule="exact"/>
                    <w:ind w:firstLine="416" w:firstLineChars="200"/>
                    <w:textAlignment w:val="center"/>
                    <w:rPr>
                      <w:rFonts w:cs="CESI仿宋-GB2312"/>
                      <w:spacing w:val="-1"/>
                      <w:szCs w:val="21"/>
                    </w:rPr>
                  </w:pPr>
                  <w:r>
                    <w:rPr>
                      <w:rFonts w:hint="eastAsia" w:cs="CESI仿宋-GB2312"/>
                      <w:spacing w:val="-1"/>
                      <w:szCs w:val="21"/>
                    </w:rPr>
                    <w:t>（2）配备保安服务必要的器材。对讲机、电棍、头盔、钢叉、强光手电筒等。</w:t>
                  </w:r>
                </w:p>
              </w:tc>
            </w:tr>
            <w:tr w14:paraId="7769E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50" w:hRule="atLeast"/>
              </w:trPr>
              <w:tc>
                <w:tcPr>
                  <w:tcW w:w="731" w:type="dxa"/>
                  <w:vMerge w:val="continue"/>
                  <w:tcBorders>
                    <w:top w:val="single" w:color="000000" w:sz="2" w:space="0"/>
                    <w:left w:val="single" w:color="000000" w:sz="2" w:space="0"/>
                    <w:bottom w:val="single" w:color="000000" w:sz="2" w:space="0"/>
                    <w:right w:val="single" w:color="000000" w:sz="2" w:space="0"/>
                  </w:tcBorders>
                  <w:noWrap w:val="0"/>
                  <w:vAlign w:val="center"/>
                </w:tcPr>
                <w:p w14:paraId="43838659">
                  <w:pPr>
                    <w:widowControl/>
                    <w:spacing w:line="360" w:lineRule="exact"/>
                    <w:ind w:firstLine="416" w:firstLineChars="200"/>
                    <w:jc w:val="center"/>
                    <w:rPr>
                      <w:rFonts w:cs="CESI仿宋-GB2312"/>
                      <w:spacing w:val="-1"/>
                      <w:szCs w:val="21"/>
                    </w:rPr>
                  </w:pPr>
                </w:p>
              </w:tc>
              <w:tc>
                <w:tcPr>
                  <w:tcW w:w="10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146367F1">
                  <w:pPr>
                    <w:widowControl/>
                    <w:spacing w:line="360" w:lineRule="exact"/>
                    <w:ind w:firstLine="416" w:firstLineChars="200"/>
                    <w:jc w:val="left"/>
                    <w:rPr>
                      <w:rFonts w:cs="CESI仿宋-GB2312"/>
                      <w:spacing w:val="-1"/>
                      <w:szCs w:val="21"/>
                    </w:rPr>
                  </w:pPr>
                </w:p>
              </w:tc>
              <w:tc>
                <w:tcPr>
                  <w:tcW w:w="4923" w:type="dxa"/>
                  <w:tcBorders>
                    <w:top w:val="single" w:color="auto" w:sz="4" w:space="0"/>
                    <w:left w:val="single" w:color="000000" w:sz="2" w:space="0"/>
                    <w:bottom w:val="single" w:color="auto" w:sz="4" w:space="0"/>
                    <w:right w:val="single" w:color="000000" w:sz="2" w:space="0"/>
                  </w:tcBorders>
                  <w:noWrap w:val="0"/>
                  <w:vAlign w:val="center"/>
                </w:tcPr>
                <w:p w14:paraId="39FE0C0F">
                  <w:pPr>
                    <w:widowControl/>
                    <w:spacing w:line="360" w:lineRule="exact"/>
                    <w:ind w:firstLine="416" w:firstLineChars="200"/>
                    <w:textAlignment w:val="center"/>
                    <w:rPr>
                      <w:rFonts w:cs="CESI仿宋-GB2312"/>
                      <w:spacing w:val="-1"/>
                      <w:szCs w:val="21"/>
                    </w:rPr>
                  </w:pPr>
                  <w:r>
                    <w:rPr>
                      <w:rFonts w:hint="eastAsia" w:cs="CESI仿宋-GB2312"/>
                      <w:spacing w:val="-1"/>
                      <w:szCs w:val="21"/>
                    </w:rPr>
                    <w:t>（3）安保人员仪表须洁净端正，不得留怪异发型，不得染发、纹身。按配发制服统一着装和佩戴，制服须保持洁净、平整，各项配置标志齐全规范。安保人员上岗时须精神饱满，精力集中，行为举止须自然端正，严禁将不良情绪带到工作岗位，使用要求的礼貌用语。</w:t>
                  </w:r>
                </w:p>
              </w:tc>
            </w:tr>
            <w:tr w14:paraId="6E81F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0" w:hRule="atLeast"/>
              </w:trPr>
              <w:tc>
                <w:tcPr>
                  <w:tcW w:w="731" w:type="dxa"/>
                  <w:vMerge w:val="continue"/>
                  <w:tcBorders>
                    <w:top w:val="single" w:color="000000" w:sz="2" w:space="0"/>
                    <w:left w:val="single" w:color="000000" w:sz="2" w:space="0"/>
                    <w:bottom w:val="single" w:color="000000" w:sz="2" w:space="0"/>
                    <w:right w:val="single" w:color="000000" w:sz="2" w:space="0"/>
                  </w:tcBorders>
                  <w:noWrap w:val="0"/>
                  <w:vAlign w:val="center"/>
                </w:tcPr>
                <w:p w14:paraId="4A575D3E">
                  <w:pPr>
                    <w:widowControl/>
                    <w:spacing w:line="360" w:lineRule="exact"/>
                    <w:ind w:firstLine="416" w:firstLineChars="200"/>
                    <w:jc w:val="center"/>
                    <w:rPr>
                      <w:rFonts w:cs="CESI仿宋-GB2312"/>
                      <w:spacing w:val="-1"/>
                      <w:szCs w:val="21"/>
                    </w:rPr>
                  </w:pPr>
                </w:p>
              </w:tc>
              <w:tc>
                <w:tcPr>
                  <w:tcW w:w="10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3D62E0BB">
                  <w:pPr>
                    <w:widowControl/>
                    <w:spacing w:line="360" w:lineRule="exact"/>
                    <w:ind w:firstLine="416" w:firstLineChars="200"/>
                    <w:jc w:val="left"/>
                    <w:rPr>
                      <w:rFonts w:cs="CESI仿宋-GB2312"/>
                      <w:spacing w:val="-1"/>
                      <w:szCs w:val="21"/>
                    </w:rPr>
                  </w:pPr>
                </w:p>
              </w:tc>
              <w:tc>
                <w:tcPr>
                  <w:tcW w:w="4923" w:type="dxa"/>
                  <w:tcBorders>
                    <w:top w:val="single" w:color="auto" w:sz="4" w:space="0"/>
                    <w:left w:val="single" w:color="000000" w:sz="2" w:space="0"/>
                    <w:bottom w:val="single" w:color="000000" w:sz="2" w:space="0"/>
                    <w:right w:val="single" w:color="000000" w:sz="2" w:space="0"/>
                  </w:tcBorders>
                  <w:noWrap w:val="0"/>
                  <w:vAlign w:val="center"/>
                </w:tcPr>
                <w:p w14:paraId="7889183C">
                  <w:pPr>
                    <w:widowControl/>
                    <w:spacing w:line="360" w:lineRule="exact"/>
                    <w:ind w:firstLine="416" w:firstLineChars="200"/>
                    <w:textAlignment w:val="center"/>
                    <w:rPr>
                      <w:rFonts w:cs="CESI仿宋-GB2312"/>
                      <w:spacing w:val="-1"/>
                      <w:szCs w:val="21"/>
                    </w:rPr>
                  </w:pPr>
                  <w:r>
                    <w:rPr>
                      <w:rFonts w:hint="eastAsia" w:cs="CESI仿宋-GB2312"/>
                      <w:spacing w:val="-1"/>
                      <w:szCs w:val="21"/>
                    </w:rPr>
                    <w:t>（4）按规定时间进行交接班，提前10分钟上岗，做好签到，交接清楚需要继续注意或处理的问题、安保相关器材。</w:t>
                  </w:r>
                </w:p>
              </w:tc>
            </w:tr>
            <w:tr w14:paraId="0BC76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70" w:hRule="atLeast"/>
              </w:trPr>
              <w:tc>
                <w:tcPr>
                  <w:tcW w:w="731" w:type="dxa"/>
                  <w:vMerge w:val="continue"/>
                  <w:tcBorders>
                    <w:top w:val="single" w:color="000000" w:sz="2" w:space="0"/>
                    <w:left w:val="single" w:color="000000" w:sz="2" w:space="0"/>
                    <w:bottom w:val="single" w:color="000000" w:sz="2" w:space="0"/>
                    <w:right w:val="single" w:color="000000" w:sz="2" w:space="0"/>
                  </w:tcBorders>
                  <w:noWrap w:val="0"/>
                  <w:vAlign w:val="center"/>
                </w:tcPr>
                <w:p w14:paraId="061D5D22">
                  <w:pPr>
                    <w:widowControl/>
                    <w:spacing w:line="360" w:lineRule="exact"/>
                    <w:ind w:firstLine="416" w:firstLineChars="200"/>
                    <w:jc w:val="center"/>
                    <w:rPr>
                      <w:rFonts w:cs="CESI仿宋-GB2312"/>
                      <w:spacing w:val="-1"/>
                      <w:szCs w:val="21"/>
                    </w:rPr>
                  </w:pPr>
                </w:p>
              </w:tc>
              <w:tc>
                <w:tcPr>
                  <w:tcW w:w="10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03C8D545">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auto" w:sz="4" w:space="0"/>
                    <w:right w:val="single" w:color="000000" w:sz="2" w:space="0"/>
                  </w:tcBorders>
                  <w:noWrap w:val="0"/>
                  <w:vAlign w:val="center"/>
                </w:tcPr>
                <w:p w14:paraId="0C18F489">
                  <w:pPr>
                    <w:widowControl/>
                    <w:spacing w:line="360" w:lineRule="exact"/>
                    <w:ind w:firstLine="416" w:firstLineChars="200"/>
                    <w:textAlignment w:val="center"/>
                    <w:rPr>
                      <w:rFonts w:cs="CESI仿宋-GB2312"/>
                      <w:spacing w:val="-1"/>
                      <w:szCs w:val="21"/>
                    </w:rPr>
                  </w:pPr>
                  <w:r>
                    <w:rPr>
                      <w:rFonts w:hint="eastAsia" w:cs="CESI仿宋-GB2312"/>
                      <w:spacing w:val="-1"/>
                      <w:szCs w:val="21"/>
                    </w:rPr>
                    <w:t>（5）安保人员对巡查、值守及异常情况等做好相关记录，填写规范，保存完好。</w:t>
                  </w:r>
                </w:p>
              </w:tc>
            </w:tr>
            <w:tr w14:paraId="39FC4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66" w:hRule="atLeast"/>
              </w:trPr>
              <w:tc>
                <w:tcPr>
                  <w:tcW w:w="731" w:type="dxa"/>
                  <w:vMerge w:val="continue"/>
                  <w:tcBorders>
                    <w:top w:val="single" w:color="000000" w:sz="2" w:space="0"/>
                    <w:left w:val="single" w:color="000000" w:sz="2" w:space="0"/>
                    <w:bottom w:val="single" w:color="000000" w:sz="2" w:space="0"/>
                    <w:right w:val="single" w:color="000000" w:sz="2" w:space="0"/>
                  </w:tcBorders>
                  <w:noWrap w:val="0"/>
                  <w:vAlign w:val="center"/>
                </w:tcPr>
                <w:p w14:paraId="74B045F9">
                  <w:pPr>
                    <w:widowControl/>
                    <w:spacing w:line="360" w:lineRule="exact"/>
                    <w:ind w:firstLine="416" w:firstLineChars="200"/>
                    <w:jc w:val="center"/>
                    <w:rPr>
                      <w:rFonts w:cs="CESI仿宋-GB2312"/>
                      <w:spacing w:val="-1"/>
                      <w:szCs w:val="21"/>
                    </w:rPr>
                  </w:pPr>
                </w:p>
              </w:tc>
              <w:tc>
                <w:tcPr>
                  <w:tcW w:w="10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6E33AB9B">
                  <w:pPr>
                    <w:widowControl/>
                    <w:spacing w:line="360" w:lineRule="exact"/>
                    <w:ind w:firstLine="416" w:firstLineChars="200"/>
                    <w:jc w:val="left"/>
                    <w:rPr>
                      <w:rFonts w:cs="CESI仿宋-GB2312"/>
                      <w:spacing w:val="-1"/>
                      <w:szCs w:val="21"/>
                    </w:rPr>
                  </w:pPr>
                </w:p>
              </w:tc>
              <w:tc>
                <w:tcPr>
                  <w:tcW w:w="4923" w:type="dxa"/>
                  <w:tcBorders>
                    <w:top w:val="single" w:color="auto" w:sz="4" w:space="0"/>
                    <w:left w:val="single" w:color="000000" w:sz="2" w:space="0"/>
                    <w:bottom w:val="single" w:color="auto" w:sz="4" w:space="0"/>
                    <w:right w:val="single" w:color="000000" w:sz="2" w:space="0"/>
                  </w:tcBorders>
                  <w:noWrap w:val="0"/>
                  <w:vAlign w:val="center"/>
                </w:tcPr>
                <w:p w14:paraId="75962695">
                  <w:pPr>
                    <w:widowControl/>
                    <w:spacing w:line="360" w:lineRule="exact"/>
                    <w:ind w:firstLine="416" w:firstLineChars="200"/>
                    <w:textAlignment w:val="center"/>
                    <w:rPr>
                      <w:rFonts w:cs="CESI仿宋-GB2312"/>
                      <w:spacing w:val="-1"/>
                      <w:szCs w:val="21"/>
                    </w:rPr>
                  </w:pPr>
                  <w:r>
                    <w:rPr>
                      <w:rFonts w:hint="eastAsia" w:cs="CESI仿宋-GB2312"/>
                      <w:spacing w:val="-1"/>
                      <w:szCs w:val="21"/>
                    </w:rPr>
                    <w:t>（6）协助做好维稳工作，报告、调解、制止群体性上访事件，参与采购人重大节日及重大活动的维稳工作。</w:t>
                  </w:r>
                </w:p>
              </w:tc>
            </w:tr>
            <w:tr w14:paraId="1009E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8" w:hRule="atLeast"/>
              </w:trPr>
              <w:tc>
                <w:tcPr>
                  <w:tcW w:w="731" w:type="dxa"/>
                  <w:vMerge w:val="continue"/>
                  <w:tcBorders>
                    <w:top w:val="single" w:color="000000" w:sz="2" w:space="0"/>
                    <w:left w:val="single" w:color="000000" w:sz="2" w:space="0"/>
                    <w:bottom w:val="single" w:color="000000" w:sz="2" w:space="0"/>
                    <w:right w:val="single" w:color="000000" w:sz="2" w:space="0"/>
                  </w:tcBorders>
                  <w:noWrap w:val="0"/>
                  <w:vAlign w:val="center"/>
                </w:tcPr>
                <w:p w14:paraId="66263843">
                  <w:pPr>
                    <w:widowControl/>
                    <w:spacing w:line="360" w:lineRule="exact"/>
                    <w:ind w:firstLine="416" w:firstLineChars="200"/>
                    <w:jc w:val="center"/>
                    <w:rPr>
                      <w:rFonts w:cs="CESI仿宋-GB2312"/>
                      <w:spacing w:val="-1"/>
                      <w:szCs w:val="21"/>
                    </w:rPr>
                  </w:pPr>
                </w:p>
              </w:tc>
              <w:tc>
                <w:tcPr>
                  <w:tcW w:w="10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2CDFF593">
                  <w:pPr>
                    <w:widowControl/>
                    <w:spacing w:line="360" w:lineRule="exact"/>
                    <w:ind w:firstLine="416" w:firstLineChars="200"/>
                    <w:jc w:val="left"/>
                    <w:rPr>
                      <w:rFonts w:cs="CESI仿宋-GB2312"/>
                      <w:spacing w:val="-1"/>
                      <w:szCs w:val="21"/>
                    </w:rPr>
                  </w:pPr>
                </w:p>
              </w:tc>
              <w:tc>
                <w:tcPr>
                  <w:tcW w:w="4923" w:type="dxa"/>
                  <w:tcBorders>
                    <w:top w:val="single" w:color="auto" w:sz="4" w:space="0"/>
                    <w:left w:val="single" w:color="000000" w:sz="2" w:space="0"/>
                    <w:bottom w:val="single" w:color="auto" w:sz="4" w:space="0"/>
                    <w:right w:val="single" w:color="000000" w:sz="2" w:space="0"/>
                  </w:tcBorders>
                  <w:noWrap w:val="0"/>
                  <w:vAlign w:val="center"/>
                </w:tcPr>
                <w:p w14:paraId="47557DF8">
                  <w:pPr>
                    <w:widowControl/>
                    <w:spacing w:line="360" w:lineRule="exact"/>
                    <w:ind w:firstLine="416" w:firstLineChars="200"/>
                    <w:textAlignment w:val="center"/>
                    <w:rPr>
                      <w:rFonts w:cs="CESI仿宋-GB2312"/>
                      <w:spacing w:val="-1"/>
                      <w:szCs w:val="21"/>
                    </w:rPr>
                  </w:pPr>
                  <w:r>
                    <w:rPr>
                      <w:rFonts w:hint="eastAsia" w:cs="CESI仿宋-GB2312"/>
                      <w:spacing w:val="-1"/>
                      <w:szCs w:val="21"/>
                    </w:rPr>
                    <w:t>（7）负责服务区安全保卫和社会治安综合治理管理工作。协助辖区派出所处理治安案件。协助完成辖区政府安排的各项社会治安综合治理工作。</w:t>
                  </w:r>
                </w:p>
              </w:tc>
            </w:tr>
            <w:tr w14:paraId="4B4C7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731" w:type="dxa"/>
                  <w:vMerge w:val="continue"/>
                  <w:tcBorders>
                    <w:top w:val="single" w:color="000000" w:sz="2" w:space="0"/>
                    <w:left w:val="single" w:color="000000" w:sz="2" w:space="0"/>
                    <w:bottom w:val="single" w:color="000000" w:sz="2" w:space="0"/>
                    <w:right w:val="single" w:color="000000" w:sz="2" w:space="0"/>
                  </w:tcBorders>
                  <w:noWrap w:val="0"/>
                  <w:vAlign w:val="center"/>
                </w:tcPr>
                <w:p w14:paraId="6320E736">
                  <w:pPr>
                    <w:widowControl/>
                    <w:spacing w:line="360" w:lineRule="exact"/>
                    <w:ind w:firstLine="416" w:firstLineChars="200"/>
                    <w:jc w:val="center"/>
                    <w:rPr>
                      <w:rFonts w:cs="CESI仿宋-GB2312"/>
                      <w:spacing w:val="-1"/>
                      <w:szCs w:val="21"/>
                    </w:rPr>
                  </w:pPr>
                </w:p>
              </w:tc>
              <w:tc>
                <w:tcPr>
                  <w:tcW w:w="10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2813FB2D">
                  <w:pPr>
                    <w:widowControl/>
                    <w:spacing w:line="360" w:lineRule="exact"/>
                    <w:ind w:firstLine="416" w:firstLineChars="200"/>
                    <w:jc w:val="left"/>
                    <w:rPr>
                      <w:rFonts w:cs="CESI仿宋-GB2312"/>
                      <w:spacing w:val="-1"/>
                      <w:szCs w:val="21"/>
                    </w:rPr>
                  </w:pPr>
                </w:p>
              </w:tc>
              <w:tc>
                <w:tcPr>
                  <w:tcW w:w="4923" w:type="dxa"/>
                  <w:tcBorders>
                    <w:top w:val="single" w:color="auto" w:sz="4" w:space="0"/>
                    <w:left w:val="single" w:color="000000" w:sz="2" w:space="0"/>
                    <w:bottom w:val="single" w:color="auto" w:sz="4" w:space="0"/>
                    <w:right w:val="single" w:color="000000" w:sz="2" w:space="0"/>
                  </w:tcBorders>
                  <w:noWrap w:val="0"/>
                  <w:vAlign w:val="center"/>
                </w:tcPr>
                <w:p w14:paraId="4F49497A">
                  <w:pPr>
                    <w:widowControl/>
                    <w:spacing w:line="360" w:lineRule="exact"/>
                    <w:ind w:firstLine="416" w:firstLineChars="200"/>
                    <w:textAlignment w:val="center"/>
                    <w:rPr>
                      <w:rFonts w:cs="CESI仿宋-GB2312"/>
                      <w:spacing w:val="-1"/>
                      <w:szCs w:val="21"/>
                    </w:rPr>
                  </w:pPr>
                  <w:r>
                    <w:rPr>
                      <w:rFonts w:hint="eastAsia" w:cs="CESI仿宋-GB2312"/>
                      <w:spacing w:val="-1"/>
                      <w:szCs w:val="21"/>
                    </w:rPr>
                    <w:t>（8）参与采购人组织的安全、消防检查活动，并要求安保人员能正确熟练掌握各种消防、物防、技防等设备的使用方法。</w:t>
                  </w:r>
                </w:p>
              </w:tc>
            </w:tr>
            <w:tr w14:paraId="0A1EA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6" w:hRule="atLeast"/>
              </w:trPr>
              <w:tc>
                <w:tcPr>
                  <w:tcW w:w="731" w:type="dxa"/>
                  <w:vMerge w:val="continue"/>
                  <w:tcBorders>
                    <w:top w:val="single" w:color="000000" w:sz="2" w:space="0"/>
                    <w:left w:val="single" w:color="000000" w:sz="2" w:space="0"/>
                    <w:bottom w:val="single" w:color="000000" w:sz="2" w:space="0"/>
                    <w:right w:val="single" w:color="000000" w:sz="2" w:space="0"/>
                  </w:tcBorders>
                  <w:noWrap w:val="0"/>
                  <w:vAlign w:val="center"/>
                </w:tcPr>
                <w:p w14:paraId="1D738310">
                  <w:pPr>
                    <w:widowControl/>
                    <w:spacing w:line="360" w:lineRule="exact"/>
                    <w:ind w:firstLine="416" w:firstLineChars="200"/>
                    <w:jc w:val="center"/>
                    <w:rPr>
                      <w:rFonts w:cs="CESI仿宋-GB2312"/>
                      <w:spacing w:val="-1"/>
                      <w:szCs w:val="21"/>
                    </w:rPr>
                  </w:pPr>
                </w:p>
              </w:tc>
              <w:tc>
                <w:tcPr>
                  <w:tcW w:w="10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2EA1D2FF">
                  <w:pPr>
                    <w:widowControl/>
                    <w:spacing w:line="360" w:lineRule="exact"/>
                    <w:ind w:firstLine="416" w:firstLineChars="200"/>
                    <w:jc w:val="left"/>
                    <w:rPr>
                      <w:rFonts w:cs="CESI仿宋-GB2312"/>
                      <w:spacing w:val="-1"/>
                      <w:szCs w:val="21"/>
                    </w:rPr>
                  </w:pPr>
                </w:p>
              </w:tc>
              <w:tc>
                <w:tcPr>
                  <w:tcW w:w="4923" w:type="dxa"/>
                  <w:tcBorders>
                    <w:top w:val="single" w:color="auto" w:sz="4" w:space="0"/>
                    <w:left w:val="single" w:color="000000" w:sz="2" w:space="0"/>
                    <w:bottom w:val="single" w:color="auto" w:sz="4" w:space="0"/>
                    <w:right w:val="single" w:color="000000" w:sz="2" w:space="0"/>
                  </w:tcBorders>
                  <w:noWrap w:val="0"/>
                  <w:vAlign w:val="center"/>
                </w:tcPr>
                <w:p w14:paraId="0C400C96">
                  <w:pPr>
                    <w:widowControl/>
                    <w:spacing w:line="360" w:lineRule="exact"/>
                    <w:ind w:firstLine="416" w:firstLineChars="200"/>
                    <w:textAlignment w:val="center"/>
                    <w:rPr>
                      <w:rFonts w:cs="CESI仿宋-GB2312"/>
                      <w:spacing w:val="-1"/>
                      <w:szCs w:val="21"/>
                    </w:rPr>
                  </w:pPr>
                  <w:r>
                    <w:rPr>
                      <w:rFonts w:hint="eastAsia" w:cs="CESI仿宋-GB2312"/>
                      <w:spacing w:val="-1"/>
                      <w:szCs w:val="21"/>
                    </w:rPr>
                    <w:t>（9）协助做好安防设施、电器设备的安全运行、维护保养及电梯解困处理工作。</w:t>
                  </w:r>
                </w:p>
              </w:tc>
            </w:tr>
            <w:tr w14:paraId="0A8A5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16" w:hRule="atLeast"/>
              </w:trPr>
              <w:tc>
                <w:tcPr>
                  <w:tcW w:w="731" w:type="dxa"/>
                  <w:vMerge w:val="continue"/>
                  <w:tcBorders>
                    <w:top w:val="single" w:color="000000" w:sz="2" w:space="0"/>
                    <w:left w:val="single" w:color="000000" w:sz="2" w:space="0"/>
                    <w:bottom w:val="single" w:color="000000" w:sz="2" w:space="0"/>
                    <w:right w:val="single" w:color="000000" w:sz="2" w:space="0"/>
                  </w:tcBorders>
                  <w:noWrap w:val="0"/>
                  <w:vAlign w:val="center"/>
                </w:tcPr>
                <w:p w14:paraId="31078BC5">
                  <w:pPr>
                    <w:widowControl/>
                    <w:spacing w:line="360" w:lineRule="exact"/>
                    <w:ind w:firstLine="416" w:firstLineChars="200"/>
                    <w:jc w:val="center"/>
                    <w:rPr>
                      <w:rFonts w:cs="CESI仿宋-GB2312"/>
                      <w:spacing w:val="-1"/>
                      <w:szCs w:val="21"/>
                    </w:rPr>
                  </w:pPr>
                </w:p>
              </w:tc>
              <w:tc>
                <w:tcPr>
                  <w:tcW w:w="10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0DAEF603">
                  <w:pPr>
                    <w:widowControl/>
                    <w:spacing w:line="360" w:lineRule="exact"/>
                    <w:ind w:firstLine="416" w:firstLineChars="200"/>
                    <w:jc w:val="left"/>
                    <w:rPr>
                      <w:rFonts w:cs="CESI仿宋-GB2312"/>
                      <w:spacing w:val="-1"/>
                      <w:szCs w:val="21"/>
                    </w:rPr>
                  </w:pPr>
                </w:p>
              </w:tc>
              <w:tc>
                <w:tcPr>
                  <w:tcW w:w="4923" w:type="dxa"/>
                  <w:tcBorders>
                    <w:top w:val="single" w:color="auto" w:sz="4" w:space="0"/>
                    <w:left w:val="single" w:color="000000" w:sz="2" w:space="0"/>
                    <w:bottom w:val="single" w:color="000000" w:sz="2" w:space="0"/>
                    <w:right w:val="single" w:color="000000" w:sz="2" w:space="0"/>
                  </w:tcBorders>
                  <w:noWrap w:val="0"/>
                  <w:vAlign w:val="center"/>
                </w:tcPr>
                <w:p w14:paraId="4829A1FC">
                  <w:pPr>
                    <w:widowControl/>
                    <w:spacing w:line="360" w:lineRule="exact"/>
                    <w:ind w:firstLine="416" w:firstLineChars="200"/>
                    <w:textAlignment w:val="center"/>
                    <w:rPr>
                      <w:rFonts w:cs="CESI仿宋-GB2312"/>
                      <w:spacing w:val="-1"/>
                      <w:szCs w:val="21"/>
                    </w:rPr>
                  </w:pPr>
                  <w:r>
                    <w:rPr>
                      <w:rFonts w:hint="eastAsia" w:cs="CESI仿宋-GB2312"/>
                      <w:spacing w:val="-1"/>
                      <w:szCs w:val="21"/>
                    </w:rPr>
                    <w:t>（10）协助处理突发事件果断及时；门卫值班按章办事、把关严格、准确无误；监控、巡逻责任心强，发现问题及时上报处置；参与重大安保事务无差错；安全生产、车辆维护井然有序。</w:t>
                  </w:r>
                </w:p>
              </w:tc>
            </w:tr>
            <w:tr w14:paraId="6FE13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6" w:hRule="atLeast"/>
              </w:trPr>
              <w:tc>
                <w:tcPr>
                  <w:tcW w:w="731" w:type="dxa"/>
                  <w:vMerge w:val="restart"/>
                  <w:tcBorders>
                    <w:top w:val="single" w:color="000000" w:sz="2" w:space="0"/>
                    <w:left w:val="single" w:color="000000" w:sz="2" w:space="0"/>
                    <w:bottom w:val="single" w:color="auto" w:sz="4" w:space="0"/>
                    <w:right w:val="single" w:color="000000" w:sz="2" w:space="0"/>
                  </w:tcBorders>
                  <w:noWrap w:val="0"/>
                  <w:vAlign w:val="center"/>
                </w:tcPr>
                <w:p w14:paraId="20EF5818">
                  <w:pPr>
                    <w:widowControl/>
                    <w:kinsoku w:val="0"/>
                    <w:autoSpaceDE w:val="0"/>
                    <w:autoSpaceDN w:val="0"/>
                    <w:adjustRightInd w:val="0"/>
                    <w:snapToGrid w:val="0"/>
                    <w:spacing w:line="360" w:lineRule="exact"/>
                    <w:ind w:firstLine="416" w:firstLineChars="200"/>
                    <w:jc w:val="center"/>
                    <w:textAlignment w:val="baseline"/>
                    <w:rPr>
                      <w:rFonts w:cs="CESI仿宋-GB2312"/>
                      <w:spacing w:val="-1"/>
                      <w:szCs w:val="21"/>
                    </w:rPr>
                  </w:pPr>
                  <w:r>
                    <w:rPr>
                      <w:rFonts w:hint="eastAsia" w:cs="CESI仿宋-GB2312"/>
                      <w:spacing w:val="-1"/>
                      <w:szCs w:val="21"/>
                    </w:rPr>
                    <w:t>2</w:t>
                  </w:r>
                </w:p>
              </w:tc>
              <w:tc>
                <w:tcPr>
                  <w:tcW w:w="1081" w:type="dxa"/>
                  <w:vMerge w:val="restart"/>
                  <w:tcBorders>
                    <w:top w:val="single" w:color="000000" w:sz="2" w:space="0"/>
                    <w:left w:val="single" w:color="000000" w:sz="2" w:space="0"/>
                    <w:bottom w:val="single" w:color="auto" w:sz="4" w:space="0"/>
                    <w:right w:val="single" w:color="000000" w:sz="2" w:space="0"/>
                  </w:tcBorders>
                  <w:noWrap w:val="0"/>
                  <w:vAlign w:val="center"/>
                </w:tcPr>
                <w:p w14:paraId="270A7A42">
                  <w:pPr>
                    <w:widowControl/>
                    <w:kinsoku w:val="0"/>
                    <w:autoSpaceDE w:val="0"/>
                    <w:autoSpaceDN w:val="0"/>
                    <w:adjustRightInd w:val="0"/>
                    <w:snapToGrid w:val="0"/>
                    <w:spacing w:line="360" w:lineRule="exact"/>
                    <w:textAlignment w:val="baseline"/>
                    <w:rPr>
                      <w:rFonts w:cs="CESI仿宋-GB2312"/>
                      <w:spacing w:val="-1"/>
                      <w:szCs w:val="21"/>
                    </w:rPr>
                  </w:pPr>
                  <w:r>
                    <w:rPr>
                      <w:rFonts w:hint="eastAsia" w:cs="CESI仿宋-GB2312"/>
                      <w:spacing w:val="-1"/>
                      <w:szCs w:val="21"/>
                    </w:rPr>
                    <w:t>出入管理</w:t>
                  </w: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7DBB7319">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（1）办公区主要出入口实行24小时无缝衔接值班制，设置门岗，保障进出区域的安全。</w:t>
                  </w:r>
                </w:p>
              </w:tc>
            </w:tr>
            <w:tr w14:paraId="023AB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2" w:hRule="atLeast"/>
              </w:trPr>
              <w:tc>
                <w:tcPr>
                  <w:tcW w:w="731" w:type="dxa"/>
                  <w:vMerge w:val="continue"/>
                  <w:tcBorders>
                    <w:top w:val="single" w:color="000000" w:sz="2" w:space="0"/>
                    <w:left w:val="single" w:color="000000" w:sz="2" w:space="0"/>
                    <w:bottom w:val="single" w:color="auto" w:sz="4" w:space="0"/>
                    <w:right w:val="single" w:color="000000" w:sz="2" w:space="0"/>
                  </w:tcBorders>
                  <w:noWrap w:val="0"/>
                  <w:vAlign w:val="center"/>
                </w:tcPr>
                <w:p w14:paraId="14C326AC">
                  <w:pPr>
                    <w:widowControl/>
                    <w:spacing w:line="360" w:lineRule="exact"/>
                    <w:ind w:firstLine="416" w:firstLineChars="200"/>
                    <w:jc w:val="center"/>
                    <w:rPr>
                      <w:rFonts w:cs="CESI仿宋-GB2312"/>
                      <w:spacing w:val="-1"/>
                      <w:szCs w:val="21"/>
                    </w:rPr>
                  </w:pPr>
                </w:p>
              </w:tc>
              <w:tc>
                <w:tcPr>
                  <w:tcW w:w="1081" w:type="dxa"/>
                  <w:vMerge w:val="continue"/>
                  <w:tcBorders>
                    <w:top w:val="single" w:color="000000" w:sz="2" w:space="0"/>
                    <w:left w:val="single" w:color="000000" w:sz="2" w:space="0"/>
                    <w:bottom w:val="single" w:color="auto" w:sz="4" w:space="0"/>
                    <w:right w:val="single" w:color="000000" w:sz="2" w:space="0"/>
                  </w:tcBorders>
                  <w:noWrap w:val="0"/>
                  <w:vAlign w:val="center"/>
                </w:tcPr>
                <w:p w14:paraId="01573AF9">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6948F7C0">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2）在办公区出入口对外来人员及其携带大件物品、外来车辆逐一进行询问和记录，并与相关部门取得联系，同意后方可进入。防止未经授权的人员、物品和车辆进入办公区域。严防违禁品（包括毒品、军火弹药、管制刀具、易燃易爆品等）、限带品（包括动物、任何未经授权的专业摄影设备、无人机等）进入。</w:t>
                  </w:r>
                </w:p>
              </w:tc>
            </w:tr>
            <w:tr w14:paraId="63D60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0" w:hRule="atLeast"/>
              </w:trPr>
              <w:tc>
                <w:tcPr>
                  <w:tcW w:w="731" w:type="dxa"/>
                  <w:vMerge w:val="continue"/>
                  <w:tcBorders>
                    <w:top w:val="single" w:color="000000" w:sz="2" w:space="0"/>
                    <w:left w:val="single" w:color="000000" w:sz="2" w:space="0"/>
                    <w:bottom w:val="single" w:color="auto" w:sz="4" w:space="0"/>
                    <w:right w:val="single" w:color="000000" w:sz="2" w:space="0"/>
                  </w:tcBorders>
                  <w:noWrap w:val="0"/>
                  <w:vAlign w:val="center"/>
                </w:tcPr>
                <w:p w14:paraId="42088495">
                  <w:pPr>
                    <w:widowControl/>
                    <w:spacing w:line="360" w:lineRule="exact"/>
                    <w:ind w:firstLine="416" w:firstLineChars="200"/>
                    <w:jc w:val="center"/>
                    <w:rPr>
                      <w:rFonts w:cs="CESI仿宋-GB2312"/>
                      <w:spacing w:val="-1"/>
                      <w:szCs w:val="21"/>
                    </w:rPr>
                  </w:pPr>
                </w:p>
              </w:tc>
              <w:tc>
                <w:tcPr>
                  <w:tcW w:w="1081" w:type="dxa"/>
                  <w:vMerge w:val="continue"/>
                  <w:tcBorders>
                    <w:top w:val="single" w:color="000000" w:sz="2" w:space="0"/>
                    <w:left w:val="single" w:color="000000" w:sz="2" w:space="0"/>
                    <w:bottom w:val="single" w:color="auto" w:sz="4" w:space="0"/>
                    <w:right w:val="single" w:color="000000" w:sz="2" w:space="0"/>
                  </w:tcBorders>
                  <w:noWrap w:val="0"/>
                  <w:vAlign w:val="center"/>
                </w:tcPr>
                <w:p w14:paraId="3B7E1060">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5F41516F">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（3）大件物品搬出有相关部门开具的证明和清单，经核实后放行。</w:t>
                  </w:r>
                </w:p>
              </w:tc>
            </w:tr>
            <w:tr w14:paraId="4744A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6" w:hRule="atLeast"/>
              </w:trPr>
              <w:tc>
                <w:tcPr>
                  <w:tcW w:w="731" w:type="dxa"/>
                  <w:vMerge w:val="continue"/>
                  <w:tcBorders>
                    <w:top w:val="single" w:color="000000" w:sz="2" w:space="0"/>
                    <w:left w:val="single" w:color="000000" w:sz="2" w:space="0"/>
                    <w:bottom w:val="single" w:color="auto" w:sz="4" w:space="0"/>
                    <w:right w:val="single" w:color="000000" w:sz="2" w:space="0"/>
                  </w:tcBorders>
                  <w:noWrap w:val="0"/>
                  <w:vAlign w:val="center"/>
                </w:tcPr>
                <w:p w14:paraId="7DD6C5C3">
                  <w:pPr>
                    <w:widowControl/>
                    <w:spacing w:line="360" w:lineRule="exact"/>
                    <w:ind w:firstLine="416" w:firstLineChars="200"/>
                    <w:jc w:val="center"/>
                    <w:rPr>
                      <w:rFonts w:cs="CESI仿宋-GB2312"/>
                      <w:spacing w:val="-1"/>
                      <w:szCs w:val="21"/>
                    </w:rPr>
                  </w:pPr>
                </w:p>
              </w:tc>
              <w:tc>
                <w:tcPr>
                  <w:tcW w:w="1081" w:type="dxa"/>
                  <w:vMerge w:val="continue"/>
                  <w:tcBorders>
                    <w:top w:val="single" w:color="000000" w:sz="2" w:space="0"/>
                    <w:left w:val="single" w:color="000000" w:sz="2" w:space="0"/>
                    <w:bottom w:val="single" w:color="auto" w:sz="4" w:space="0"/>
                    <w:right w:val="single" w:color="000000" w:sz="2" w:space="0"/>
                  </w:tcBorders>
                  <w:noWrap w:val="0"/>
                  <w:vAlign w:val="center"/>
                </w:tcPr>
                <w:p w14:paraId="34415889">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5D7D835E">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（4）排查可疑人员，对于不出示证件、不按规定登记、不听劝阻而强行闯入者，及时劝离，必要时通知公安机关进行处理。</w:t>
                  </w:r>
                </w:p>
              </w:tc>
            </w:tr>
            <w:tr w14:paraId="2041D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0" w:hRule="atLeast"/>
              </w:trPr>
              <w:tc>
                <w:tcPr>
                  <w:tcW w:w="731" w:type="dxa"/>
                  <w:vMerge w:val="continue"/>
                  <w:tcBorders>
                    <w:top w:val="single" w:color="000000" w:sz="2" w:space="0"/>
                    <w:left w:val="single" w:color="000000" w:sz="2" w:space="0"/>
                    <w:bottom w:val="single" w:color="auto" w:sz="4" w:space="0"/>
                    <w:right w:val="single" w:color="000000" w:sz="2" w:space="0"/>
                  </w:tcBorders>
                  <w:noWrap w:val="0"/>
                  <w:vAlign w:val="center"/>
                </w:tcPr>
                <w:p w14:paraId="3077F6CD">
                  <w:pPr>
                    <w:widowControl/>
                    <w:spacing w:line="360" w:lineRule="exact"/>
                    <w:ind w:firstLine="416" w:firstLineChars="200"/>
                    <w:jc w:val="center"/>
                    <w:rPr>
                      <w:rFonts w:cs="CESI仿宋-GB2312"/>
                      <w:spacing w:val="-1"/>
                      <w:szCs w:val="21"/>
                    </w:rPr>
                  </w:pPr>
                </w:p>
              </w:tc>
              <w:tc>
                <w:tcPr>
                  <w:tcW w:w="1081" w:type="dxa"/>
                  <w:vMerge w:val="continue"/>
                  <w:tcBorders>
                    <w:top w:val="single" w:color="000000" w:sz="2" w:space="0"/>
                    <w:left w:val="single" w:color="000000" w:sz="2" w:space="0"/>
                    <w:bottom w:val="single" w:color="auto" w:sz="4" w:space="0"/>
                    <w:right w:val="single" w:color="000000" w:sz="2" w:space="0"/>
                  </w:tcBorders>
                  <w:noWrap w:val="0"/>
                  <w:vAlign w:val="center"/>
                </w:tcPr>
                <w:p w14:paraId="2FE8D522">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5D5B810F">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（5）配合相关部门积极疏导上访人员，有效疏导，如出入口人群集聚、车辆拥堵、货物堵塞道路等情况。</w:t>
                  </w:r>
                </w:p>
              </w:tc>
            </w:tr>
            <w:tr w14:paraId="05CB7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0" w:hRule="atLeast"/>
              </w:trPr>
              <w:tc>
                <w:tcPr>
                  <w:tcW w:w="731" w:type="dxa"/>
                  <w:vMerge w:val="continue"/>
                  <w:tcBorders>
                    <w:top w:val="single" w:color="000000" w:sz="2" w:space="0"/>
                    <w:left w:val="single" w:color="000000" w:sz="2" w:space="0"/>
                    <w:bottom w:val="single" w:color="auto" w:sz="4" w:space="0"/>
                    <w:right w:val="single" w:color="000000" w:sz="2" w:space="0"/>
                  </w:tcBorders>
                  <w:noWrap w:val="0"/>
                  <w:vAlign w:val="center"/>
                </w:tcPr>
                <w:p w14:paraId="62696C67">
                  <w:pPr>
                    <w:widowControl/>
                    <w:spacing w:line="360" w:lineRule="exact"/>
                    <w:ind w:firstLine="416" w:firstLineChars="200"/>
                    <w:jc w:val="center"/>
                    <w:rPr>
                      <w:rFonts w:cs="CESI仿宋-GB2312"/>
                      <w:spacing w:val="-1"/>
                      <w:szCs w:val="21"/>
                    </w:rPr>
                  </w:pPr>
                </w:p>
              </w:tc>
              <w:tc>
                <w:tcPr>
                  <w:tcW w:w="1081" w:type="dxa"/>
                  <w:vMerge w:val="continue"/>
                  <w:tcBorders>
                    <w:top w:val="single" w:color="000000" w:sz="2" w:space="0"/>
                    <w:left w:val="single" w:color="000000" w:sz="2" w:space="0"/>
                    <w:bottom w:val="single" w:color="auto" w:sz="4" w:space="0"/>
                    <w:right w:val="single" w:color="000000" w:sz="2" w:space="0"/>
                  </w:tcBorders>
                  <w:noWrap w:val="0"/>
                  <w:vAlign w:val="center"/>
                </w:tcPr>
                <w:p w14:paraId="39BA0EF1">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4699FBFC">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（6）工作日下班后或周末，办公区大门自动门在无人进出时要关闭，防止可疑人员进出。</w:t>
                  </w:r>
                </w:p>
              </w:tc>
            </w:tr>
            <w:tr w14:paraId="71C0F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28" w:hRule="atLeast"/>
              </w:trPr>
              <w:tc>
                <w:tcPr>
                  <w:tcW w:w="731" w:type="dxa"/>
                  <w:vMerge w:val="continue"/>
                  <w:tcBorders>
                    <w:top w:val="single" w:color="000000" w:sz="2" w:space="0"/>
                    <w:left w:val="single" w:color="000000" w:sz="2" w:space="0"/>
                    <w:bottom w:val="single" w:color="auto" w:sz="4" w:space="0"/>
                    <w:right w:val="single" w:color="000000" w:sz="2" w:space="0"/>
                  </w:tcBorders>
                  <w:noWrap w:val="0"/>
                  <w:vAlign w:val="center"/>
                </w:tcPr>
                <w:p w14:paraId="513F2892">
                  <w:pPr>
                    <w:widowControl/>
                    <w:spacing w:line="360" w:lineRule="exact"/>
                    <w:ind w:firstLine="416" w:firstLineChars="200"/>
                    <w:jc w:val="center"/>
                    <w:rPr>
                      <w:rFonts w:cs="CESI仿宋-GB2312"/>
                      <w:spacing w:val="-1"/>
                      <w:szCs w:val="21"/>
                    </w:rPr>
                  </w:pPr>
                </w:p>
              </w:tc>
              <w:tc>
                <w:tcPr>
                  <w:tcW w:w="1081" w:type="dxa"/>
                  <w:vMerge w:val="continue"/>
                  <w:tcBorders>
                    <w:top w:val="single" w:color="000000" w:sz="2" w:space="0"/>
                    <w:left w:val="single" w:color="000000" w:sz="2" w:space="0"/>
                    <w:bottom w:val="single" w:color="auto" w:sz="4" w:space="0"/>
                    <w:right w:val="single" w:color="000000" w:sz="2" w:space="0"/>
                  </w:tcBorders>
                  <w:noWrap w:val="0"/>
                  <w:vAlign w:val="center"/>
                </w:tcPr>
                <w:p w14:paraId="3E5B4F8F">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6367741F">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（7）在本项目遇到紧急重大事务、临时工作等需要增援的情况时，物业服务提供方能快速、大量的调动附近项目的专业人员及设备来增援本项目。</w:t>
                  </w:r>
                </w:p>
              </w:tc>
            </w:tr>
            <w:tr w14:paraId="0FD30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5" w:hRule="atLeast"/>
              </w:trPr>
              <w:tc>
                <w:tcPr>
                  <w:tcW w:w="731" w:type="dxa"/>
                  <w:vMerge w:val="continue"/>
                  <w:tcBorders>
                    <w:top w:val="single" w:color="000000" w:sz="2" w:space="0"/>
                    <w:left w:val="single" w:color="000000" w:sz="2" w:space="0"/>
                    <w:bottom w:val="single" w:color="auto" w:sz="4" w:space="0"/>
                    <w:right w:val="single" w:color="000000" w:sz="2" w:space="0"/>
                  </w:tcBorders>
                  <w:noWrap w:val="0"/>
                  <w:vAlign w:val="center"/>
                </w:tcPr>
                <w:p w14:paraId="25BE2664">
                  <w:pPr>
                    <w:widowControl/>
                    <w:spacing w:line="360" w:lineRule="exact"/>
                    <w:ind w:firstLine="416" w:firstLineChars="200"/>
                    <w:jc w:val="center"/>
                    <w:rPr>
                      <w:rFonts w:cs="CESI仿宋-GB2312"/>
                      <w:spacing w:val="-1"/>
                      <w:szCs w:val="21"/>
                    </w:rPr>
                  </w:pPr>
                </w:p>
              </w:tc>
              <w:tc>
                <w:tcPr>
                  <w:tcW w:w="1081" w:type="dxa"/>
                  <w:vMerge w:val="continue"/>
                  <w:tcBorders>
                    <w:top w:val="single" w:color="000000" w:sz="2" w:space="0"/>
                    <w:left w:val="single" w:color="000000" w:sz="2" w:space="0"/>
                    <w:bottom w:val="single" w:color="auto" w:sz="4" w:space="0"/>
                    <w:right w:val="single" w:color="000000" w:sz="2" w:space="0"/>
                  </w:tcBorders>
                  <w:noWrap w:val="0"/>
                  <w:vAlign w:val="center"/>
                </w:tcPr>
                <w:p w14:paraId="27E693B2">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2C99979C">
                  <w:pPr>
                    <w:widowControl/>
                    <w:kinsoku w:val="0"/>
                    <w:autoSpaceDE w:val="0"/>
                    <w:autoSpaceDN w:val="0"/>
                    <w:adjustRightInd w:val="0"/>
                    <w:snapToGrid w:val="0"/>
                    <w:spacing w:line="360" w:lineRule="exact"/>
                    <w:ind w:firstLine="416" w:firstLineChars="200"/>
                    <w:textAlignment w:val="baseline"/>
                    <w:rPr>
                      <w:rFonts w:cs="CESI仿宋-GB2312"/>
                      <w:color w:val="auto"/>
                      <w:spacing w:val="-1"/>
                      <w:szCs w:val="21"/>
                    </w:rPr>
                  </w:pPr>
                  <w:r>
                    <w:rPr>
                      <w:rFonts w:hint="eastAsia" w:cs="CESI仿宋-GB2312"/>
                      <w:color w:val="auto"/>
                      <w:spacing w:val="-1"/>
                      <w:szCs w:val="21"/>
                    </w:rPr>
                    <w:t>（8）提供办公区来访接待服务：</w:t>
                  </w:r>
                </w:p>
                <w:p w14:paraId="00BE621C">
                  <w:pPr>
                    <w:widowControl/>
                    <w:kinsoku w:val="0"/>
                    <w:autoSpaceDE w:val="0"/>
                    <w:autoSpaceDN w:val="0"/>
                    <w:adjustRightInd w:val="0"/>
                    <w:snapToGrid w:val="0"/>
                    <w:spacing w:line="360" w:lineRule="exact"/>
                    <w:ind w:firstLine="416" w:firstLineChars="200"/>
                    <w:textAlignment w:val="baseline"/>
                    <w:rPr>
                      <w:rFonts w:cs="CESI仿宋-GB2312"/>
                      <w:color w:val="auto"/>
                      <w:spacing w:val="-1"/>
                      <w:szCs w:val="21"/>
                    </w:rPr>
                  </w:pPr>
                  <w:r>
                    <w:rPr>
                      <w:rFonts w:hint="eastAsia" w:cs="CESI仿宋-GB2312"/>
                      <w:color w:val="auto"/>
                      <w:spacing w:val="-1"/>
                      <w:szCs w:val="21"/>
                    </w:rPr>
                    <w:t>①言语文明，做好来访人员、车辆进出证件登记，及时通报相关单位。</w:t>
                  </w:r>
                </w:p>
                <w:p w14:paraId="1253D148">
                  <w:pPr>
                    <w:widowControl/>
                    <w:kinsoku w:val="0"/>
                    <w:autoSpaceDE w:val="0"/>
                    <w:autoSpaceDN w:val="0"/>
                    <w:adjustRightInd w:val="0"/>
                    <w:snapToGrid w:val="0"/>
                    <w:spacing w:line="360" w:lineRule="exact"/>
                    <w:ind w:firstLine="416" w:firstLineChars="200"/>
                    <w:textAlignment w:val="baseline"/>
                    <w:rPr>
                      <w:rFonts w:cs="CESI仿宋-GB2312"/>
                      <w:color w:val="auto"/>
                      <w:spacing w:val="-1"/>
                      <w:szCs w:val="21"/>
                    </w:rPr>
                  </w:pPr>
                  <w:r>
                    <w:rPr>
                      <w:rFonts w:hint="eastAsia" w:cs="CESI仿宋-GB2312"/>
                      <w:color w:val="auto"/>
                      <w:spacing w:val="-1"/>
                      <w:szCs w:val="21"/>
                    </w:rPr>
                    <w:t>②严禁无关人员、可疑人员和危险物品进入办公区、（楼）内。</w:t>
                  </w:r>
                </w:p>
                <w:p w14:paraId="0F6AA403">
                  <w:pPr>
                    <w:widowControl/>
                    <w:kinsoku w:val="0"/>
                    <w:autoSpaceDE w:val="0"/>
                    <w:autoSpaceDN w:val="0"/>
                    <w:adjustRightInd w:val="0"/>
                    <w:snapToGrid w:val="0"/>
                    <w:spacing w:line="360" w:lineRule="exact"/>
                    <w:ind w:firstLine="416" w:firstLineChars="200"/>
                    <w:textAlignment w:val="baseline"/>
                    <w:rPr>
                      <w:rFonts w:cs="CESI仿宋-GB2312"/>
                      <w:color w:val="auto"/>
                      <w:spacing w:val="-1"/>
                      <w:szCs w:val="21"/>
                    </w:rPr>
                  </w:pPr>
                  <w:r>
                    <w:rPr>
                      <w:rFonts w:hint="eastAsia" w:cs="CESI仿宋-GB2312"/>
                      <w:color w:val="auto"/>
                      <w:spacing w:val="-1"/>
                      <w:szCs w:val="21"/>
                    </w:rPr>
                    <w:t>③现场办理等待时间不超过5分钟，等待较长时间应当及时与来访人员沟通。</w:t>
                  </w:r>
                </w:p>
                <w:p w14:paraId="30B49170">
                  <w:pPr>
                    <w:widowControl/>
                    <w:kinsoku w:val="0"/>
                    <w:autoSpaceDE w:val="0"/>
                    <w:autoSpaceDN w:val="0"/>
                    <w:adjustRightInd w:val="0"/>
                    <w:snapToGrid w:val="0"/>
                    <w:spacing w:line="360" w:lineRule="exact"/>
                    <w:ind w:firstLine="416" w:firstLineChars="200"/>
                    <w:textAlignment w:val="baseline"/>
                    <w:rPr>
                      <w:rFonts w:cs="CESI仿宋-GB2312"/>
                      <w:color w:val="auto"/>
                      <w:spacing w:val="-1"/>
                      <w:szCs w:val="21"/>
                    </w:rPr>
                  </w:pPr>
                  <w:r>
                    <w:rPr>
                      <w:rFonts w:hint="eastAsia" w:cs="CESI仿宋-GB2312"/>
                      <w:color w:val="auto"/>
                      <w:spacing w:val="-1"/>
                      <w:szCs w:val="21"/>
                    </w:rPr>
                    <w:t>④对来访人员咨询答复率100%。</w:t>
                  </w:r>
                </w:p>
                <w:p w14:paraId="69A27B3B">
                  <w:pPr>
                    <w:widowControl/>
                    <w:kinsoku w:val="0"/>
                    <w:autoSpaceDE w:val="0"/>
                    <w:autoSpaceDN w:val="0"/>
                    <w:adjustRightInd w:val="0"/>
                    <w:snapToGrid w:val="0"/>
                    <w:spacing w:line="360" w:lineRule="exact"/>
                    <w:ind w:firstLine="416" w:firstLineChars="200"/>
                    <w:textAlignment w:val="baseline"/>
                    <w:rPr>
                      <w:rFonts w:hint="eastAsia" w:eastAsia="宋体" w:cs="CESI仿宋-GB2312"/>
                      <w:spacing w:val="-1"/>
                      <w:szCs w:val="21"/>
                      <w:lang w:eastAsia="zh-CN"/>
                    </w:rPr>
                  </w:pPr>
                  <w:r>
                    <w:rPr>
                      <w:rFonts w:hint="eastAsia" w:cs="CESI仿宋-GB2312"/>
                      <w:color w:val="auto"/>
                      <w:spacing w:val="-1"/>
                      <w:szCs w:val="21"/>
                    </w:rPr>
                    <w:t>⑤来访接待服务工作时间（行政工作日08：00-12：00，15：00-18：00）</w:t>
                  </w:r>
                  <w:r>
                    <w:rPr>
                      <w:rFonts w:hint="eastAsia" w:cs="CESI仿宋-GB2312"/>
                      <w:color w:val="auto"/>
                      <w:spacing w:val="-1"/>
                      <w:szCs w:val="21"/>
                      <w:lang w:eastAsia="zh-CN"/>
                    </w:rPr>
                    <w:t>。</w:t>
                  </w:r>
                </w:p>
              </w:tc>
            </w:tr>
            <w:tr w14:paraId="654A0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6" w:hRule="atLeast"/>
              </w:trPr>
              <w:tc>
                <w:tcPr>
                  <w:tcW w:w="731" w:type="dxa"/>
                  <w:vMerge w:val="restart"/>
                  <w:tcBorders>
                    <w:top w:val="single" w:color="auto" w:sz="4" w:space="0"/>
                    <w:left w:val="single" w:color="000000" w:sz="2" w:space="0"/>
                    <w:bottom w:val="single" w:color="000000" w:sz="2" w:space="0"/>
                    <w:right w:val="single" w:color="000000" w:sz="2" w:space="0"/>
                  </w:tcBorders>
                  <w:noWrap w:val="0"/>
                  <w:vAlign w:val="center"/>
                </w:tcPr>
                <w:p w14:paraId="34457F9B">
                  <w:pPr>
                    <w:widowControl/>
                    <w:kinsoku w:val="0"/>
                    <w:autoSpaceDE w:val="0"/>
                    <w:autoSpaceDN w:val="0"/>
                    <w:adjustRightInd w:val="0"/>
                    <w:snapToGrid w:val="0"/>
                    <w:spacing w:line="360" w:lineRule="exact"/>
                    <w:ind w:firstLine="416" w:firstLineChars="200"/>
                    <w:jc w:val="center"/>
                    <w:textAlignment w:val="baseline"/>
                    <w:rPr>
                      <w:rFonts w:cs="CESI仿宋-GB2312"/>
                      <w:spacing w:val="-1"/>
                      <w:szCs w:val="21"/>
                    </w:rPr>
                  </w:pPr>
                  <w:r>
                    <w:rPr>
                      <w:rFonts w:hint="eastAsia" w:cs="CESI仿宋-GB2312"/>
                      <w:spacing w:val="-1"/>
                      <w:szCs w:val="21"/>
                    </w:rPr>
                    <w:t>3</w:t>
                  </w:r>
                </w:p>
              </w:tc>
              <w:tc>
                <w:tcPr>
                  <w:tcW w:w="1081" w:type="dxa"/>
                  <w:vMerge w:val="restart"/>
                  <w:tcBorders>
                    <w:top w:val="single" w:color="auto" w:sz="4" w:space="0"/>
                    <w:left w:val="single" w:color="000000" w:sz="2" w:space="0"/>
                    <w:bottom w:val="single" w:color="000000" w:sz="2" w:space="0"/>
                    <w:right w:val="single" w:color="000000" w:sz="2" w:space="0"/>
                  </w:tcBorders>
                  <w:noWrap w:val="0"/>
                  <w:vAlign w:val="center"/>
                </w:tcPr>
                <w:p w14:paraId="5C91AF63">
                  <w:pPr>
                    <w:widowControl/>
                    <w:kinsoku w:val="0"/>
                    <w:autoSpaceDE w:val="0"/>
                    <w:autoSpaceDN w:val="0"/>
                    <w:adjustRightInd w:val="0"/>
                    <w:snapToGrid w:val="0"/>
                    <w:spacing w:line="360" w:lineRule="exact"/>
                    <w:textAlignment w:val="baseline"/>
                    <w:rPr>
                      <w:rFonts w:cs="CESI仿宋-GB2312"/>
                      <w:spacing w:val="-1"/>
                      <w:szCs w:val="21"/>
                    </w:rPr>
                  </w:pPr>
                  <w:r>
                    <w:rPr>
                      <w:rFonts w:hint="eastAsia" w:cs="CESI仿宋-GB2312"/>
                      <w:spacing w:val="-1"/>
                      <w:szCs w:val="21"/>
                    </w:rPr>
                    <w:t>值班巡查</w:t>
                  </w: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6F04F257">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（1）建立办公区域24小时无缝衔接值班巡查制度，确保大院内不发生盗窃、破坏及刑事案件的发生。确保安保区域的安全保障。</w:t>
                  </w:r>
                </w:p>
              </w:tc>
            </w:tr>
            <w:tr w14:paraId="0D6C2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0" w:hRule="atLeast"/>
              </w:trPr>
              <w:tc>
                <w:tcPr>
                  <w:tcW w:w="731" w:type="dxa"/>
                  <w:vMerge w:val="continue"/>
                  <w:tcBorders>
                    <w:top w:val="single" w:color="auto" w:sz="4" w:space="0"/>
                    <w:left w:val="single" w:color="000000" w:sz="2" w:space="0"/>
                    <w:bottom w:val="single" w:color="000000" w:sz="2" w:space="0"/>
                    <w:right w:val="single" w:color="000000" w:sz="2" w:space="0"/>
                  </w:tcBorders>
                  <w:noWrap w:val="0"/>
                  <w:vAlign w:val="center"/>
                </w:tcPr>
                <w:p w14:paraId="5CA1105F">
                  <w:pPr>
                    <w:widowControl/>
                    <w:spacing w:line="360" w:lineRule="exact"/>
                    <w:ind w:firstLine="416" w:firstLineChars="200"/>
                    <w:jc w:val="center"/>
                    <w:rPr>
                      <w:rFonts w:cs="CESI仿宋-GB2312"/>
                      <w:spacing w:val="-1"/>
                      <w:szCs w:val="21"/>
                    </w:rPr>
                  </w:pPr>
                </w:p>
              </w:tc>
              <w:tc>
                <w:tcPr>
                  <w:tcW w:w="1081" w:type="dxa"/>
                  <w:vMerge w:val="continue"/>
                  <w:tcBorders>
                    <w:top w:val="single" w:color="auto" w:sz="4" w:space="0"/>
                    <w:left w:val="single" w:color="000000" w:sz="2" w:space="0"/>
                    <w:bottom w:val="single" w:color="000000" w:sz="2" w:space="0"/>
                    <w:right w:val="single" w:color="000000" w:sz="2" w:space="0"/>
                  </w:tcBorders>
                  <w:noWrap w:val="0"/>
                  <w:vAlign w:val="center"/>
                </w:tcPr>
                <w:p w14:paraId="29A66B86">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150C8E5C">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2）制定巡查路线，按照指定时间和路线执行，对单位下班后办公楼公共区域的门窗、水电进行检查。加强对重点区域、重点部位及装修区域的巡查，确保巡查路线的有效覆盖。如遇特殊情况，需采取应急措施处理，并及时上报采购人。</w:t>
                  </w:r>
                </w:p>
              </w:tc>
            </w:tr>
            <w:tr w14:paraId="4886A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0" w:hRule="atLeast"/>
              </w:trPr>
              <w:tc>
                <w:tcPr>
                  <w:tcW w:w="731" w:type="dxa"/>
                  <w:vMerge w:val="continue"/>
                  <w:tcBorders>
                    <w:top w:val="single" w:color="auto" w:sz="4" w:space="0"/>
                    <w:left w:val="single" w:color="000000" w:sz="2" w:space="0"/>
                    <w:bottom w:val="single" w:color="000000" w:sz="2" w:space="0"/>
                    <w:right w:val="single" w:color="000000" w:sz="2" w:space="0"/>
                  </w:tcBorders>
                  <w:noWrap w:val="0"/>
                  <w:vAlign w:val="center"/>
                </w:tcPr>
                <w:p w14:paraId="0580935E">
                  <w:pPr>
                    <w:widowControl/>
                    <w:spacing w:line="360" w:lineRule="exact"/>
                    <w:ind w:firstLine="416" w:firstLineChars="200"/>
                    <w:jc w:val="center"/>
                    <w:rPr>
                      <w:rFonts w:cs="CESI仿宋-GB2312"/>
                      <w:spacing w:val="-1"/>
                      <w:szCs w:val="21"/>
                    </w:rPr>
                  </w:pPr>
                </w:p>
              </w:tc>
              <w:tc>
                <w:tcPr>
                  <w:tcW w:w="1081" w:type="dxa"/>
                  <w:vMerge w:val="continue"/>
                  <w:tcBorders>
                    <w:top w:val="single" w:color="auto" w:sz="4" w:space="0"/>
                    <w:left w:val="single" w:color="000000" w:sz="2" w:space="0"/>
                    <w:bottom w:val="single" w:color="000000" w:sz="2" w:space="0"/>
                    <w:right w:val="single" w:color="000000" w:sz="2" w:space="0"/>
                  </w:tcBorders>
                  <w:noWrap w:val="0"/>
                  <w:vAlign w:val="center"/>
                </w:tcPr>
                <w:p w14:paraId="1F6865F5">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5257BEEB">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（3）巡查期间保持通信设施设备畅通，发现违规行为应及时制止，遇到异常情况应立即上报相关部门并在现场采取相应措施。</w:t>
                  </w:r>
                </w:p>
              </w:tc>
            </w:tr>
            <w:tr w14:paraId="06075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7" w:hRule="atLeast"/>
              </w:trPr>
              <w:tc>
                <w:tcPr>
                  <w:tcW w:w="731" w:type="dxa"/>
                  <w:vMerge w:val="continue"/>
                  <w:tcBorders>
                    <w:top w:val="single" w:color="auto" w:sz="4" w:space="0"/>
                    <w:left w:val="single" w:color="000000" w:sz="2" w:space="0"/>
                    <w:bottom w:val="single" w:color="000000" w:sz="2" w:space="0"/>
                    <w:right w:val="single" w:color="000000" w:sz="2" w:space="0"/>
                  </w:tcBorders>
                  <w:noWrap w:val="0"/>
                  <w:vAlign w:val="center"/>
                </w:tcPr>
                <w:p w14:paraId="07C207A6">
                  <w:pPr>
                    <w:widowControl/>
                    <w:spacing w:line="360" w:lineRule="exact"/>
                    <w:ind w:firstLine="416" w:firstLineChars="200"/>
                    <w:jc w:val="center"/>
                    <w:rPr>
                      <w:rFonts w:cs="CESI仿宋-GB2312"/>
                      <w:spacing w:val="-1"/>
                      <w:szCs w:val="21"/>
                    </w:rPr>
                  </w:pPr>
                </w:p>
              </w:tc>
              <w:tc>
                <w:tcPr>
                  <w:tcW w:w="1081" w:type="dxa"/>
                  <w:vMerge w:val="continue"/>
                  <w:tcBorders>
                    <w:top w:val="single" w:color="auto" w:sz="4" w:space="0"/>
                    <w:left w:val="single" w:color="000000" w:sz="2" w:space="0"/>
                    <w:bottom w:val="single" w:color="000000" w:sz="2" w:space="0"/>
                    <w:right w:val="single" w:color="000000" w:sz="2" w:space="0"/>
                  </w:tcBorders>
                  <w:noWrap w:val="0"/>
                  <w:vAlign w:val="center"/>
                </w:tcPr>
                <w:p w14:paraId="39E7C02A">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auto" w:sz="4" w:space="0"/>
                    <w:right w:val="single" w:color="000000" w:sz="2" w:space="0"/>
                  </w:tcBorders>
                  <w:noWrap w:val="0"/>
                  <w:vAlign w:val="center"/>
                </w:tcPr>
                <w:p w14:paraId="222830D4">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（4）收到机关后勤部门通知或监控室指令后，巡查人员应及时到达指定地点并迅速采取相应措施。</w:t>
                  </w:r>
                </w:p>
              </w:tc>
            </w:tr>
            <w:tr w14:paraId="2E9D1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5" w:hRule="atLeast"/>
              </w:trPr>
              <w:tc>
                <w:tcPr>
                  <w:tcW w:w="731" w:type="dxa"/>
                  <w:vMerge w:val="continue"/>
                  <w:tcBorders>
                    <w:top w:val="single" w:color="auto" w:sz="4" w:space="0"/>
                    <w:left w:val="single" w:color="000000" w:sz="2" w:space="0"/>
                    <w:bottom w:val="single" w:color="000000" w:sz="2" w:space="0"/>
                    <w:right w:val="single" w:color="000000" w:sz="2" w:space="0"/>
                  </w:tcBorders>
                  <w:noWrap w:val="0"/>
                  <w:vAlign w:val="center"/>
                </w:tcPr>
                <w:p w14:paraId="0C08059A">
                  <w:pPr>
                    <w:widowControl/>
                    <w:spacing w:line="360" w:lineRule="exact"/>
                    <w:ind w:firstLine="416" w:firstLineChars="200"/>
                    <w:jc w:val="center"/>
                    <w:rPr>
                      <w:rFonts w:cs="CESI仿宋-GB2312"/>
                      <w:spacing w:val="-1"/>
                      <w:szCs w:val="21"/>
                    </w:rPr>
                  </w:pPr>
                </w:p>
              </w:tc>
              <w:tc>
                <w:tcPr>
                  <w:tcW w:w="1081" w:type="dxa"/>
                  <w:vMerge w:val="continue"/>
                  <w:tcBorders>
                    <w:top w:val="single" w:color="auto" w:sz="4" w:space="0"/>
                    <w:left w:val="single" w:color="000000" w:sz="2" w:space="0"/>
                    <w:bottom w:val="single" w:color="000000" w:sz="2" w:space="0"/>
                    <w:right w:val="single" w:color="000000" w:sz="2" w:space="0"/>
                  </w:tcBorders>
                  <w:noWrap w:val="0"/>
                  <w:vAlign w:val="center"/>
                </w:tcPr>
                <w:p w14:paraId="59085C92">
                  <w:pPr>
                    <w:widowControl/>
                    <w:spacing w:line="360" w:lineRule="exact"/>
                    <w:ind w:firstLine="416" w:firstLineChars="200"/>
                    <w:jc w:val="left"/>
                    <w:rPr>
                      <w:rFonts w:cs="CESI仿宋-GB2312"/>
                      <w:spacing w:val="-1"/>
                      <w:szCs w:val="21"/>
                    </w:rPr>
                  </w:pPr>
                </w:p>
              </w:tc>
              <w:tc>
                <w:tcPr>
                  <w:tcW w:w="4923" w:type="dxa"/>
                  <w:tcBorders>
                    <w:top w:val="single" w:color="auto" w:sz="4" w:space="0"/>
                    <w:left w:val="single" w:color="000000" w:sz="2" w:space="0"/>
                    <w:bottom w:val="single" w:color="000000" w:sz="2" w:space="0"/>
                    <w:right w:val="single" w:color="000000" w:sz="2" w:space="0"/>
                  </w:tcBorders>
                  <w:noWrap w:val="0"/>
                  <w:vAlign w:val="center"/>
                </w:tcPr>
                <w:p w14:paraId="1B2C53BB">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（5）发现消火栓、安全警示标志等公共安全设施设备损坏、缺失或不能正常使用等情况，应及时记录、报告，由维保人员进行处理。</w:t>
                  </w:r>
                </w:p>
              </w:tc>
            </w:tr>
            <w:tr w14:paraId="0F1AD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0" w:hRule="atLeast"/>
              </w:trPr>
              <w:tc>
                <w:tcPr>
                  <w:tcW w:w="731" w:type="dxa"/>
                  <w:vMerge w:val="restart"/>
                  <w:tcBorders>
                    <w:top w:val="single" w:color="000000" w:sz="2" w:space="0"/>
                    <w:left w:val="single" w:color="000000" w:sz="2" w:space="0"/>
                    <w:bottom w:val="single" w:color="auto" w:sz="4" w:space="0"/>
                    <w:right w:val="single" w:color="000000" w:sz="2" w:space="0"/>
                  </w:tcBorders>
                  <w:noWrap w:val="0"/>
                  <w:vAlign w:val="center"/>
                </w:tcPr>
                <w:p w14:paraId="401AAAEA">
                  <w:pPr>
                    <w:widowControl/>
                    <w:kinsoku w:val="0"/>
                    <w:autoSpaceDE w:val="0"/>
                    <w:autoSpaceDN w:val="0"/>
                    <w:adjustRightInd w:val="0"/>
                    <w:snapToGrid w:val="0"/>
                    <w:spacing w:line="360" w:lineRule="exact"/>
                    <w:ind w:firstLine="416" w:firstLineChars="200"/>
                    <w:jc w:val="center"/>
                    <w:textAlignment w:val="baseline"/>
                    <w:rPr>
                      <w:rFonts w:cs="CESI仿宋-GB2312"/>
                      <w:spacing w:val="-1"/>
                      <w:szCs w:val="21"/>
                    </w:rPr>
                  </w:pPr>
                  <w:r>
                    <w:rPr>
                      <w:rFonts w:hint="eastAsia" w:cs="CESI仿宋-GB2312"/>
                      <w:spacing w:val="-1"/>
                      <w:szCs w:val="21"/>
                    </w:rPr>
                    <w:t>4</w:t>
                  </w:r>
                </w:p>
              </w:tc>
              <w:tc>
                <w:tcPr>
                  <w:tcW w:w="1081" w:type="dxa"/>
                  <w:vMerge w:val="restart"/>
                  <w:tcBorders>
                    <w:top w:val="single" w:color="000000" w:sz="2" w:space="0"/>
                    <w:left w:val="single" w:color="000000" w:sz="2" w:space="0"/>
                    <w:bottom w:val="single" w:color="auto" w:sz="4" w:space="0"/>
                    <w:right w:val="single" w:color="000000" w:sz="2" w:space="0"/>
                  </w:tcBorders>
                  <w:noWrap w:val="0"/>
                  <w:vAlign w:val="center"/>
                </w:tcPr>
                <w:p w14:paraId="4C8FD3BC">
                  <w:pPr>
                    <w:widowControl/>
                    <w:kinsoku w:val="0"/>
                    <w:autoSpaceDE w:val="0"/>
                    <w:autoSpaceDN w:val="0"/>
                    <w:adjustRightInd w:val="0"/>
                    <w:snapToGrid w:val="0"/>
                    <w:spacing w:line="360" w:lineRule="exact"/>
                    <w:textAlignment w:val="baseline"/>
                    <w:rPr>
                      <w:rFonts w:cs="CESI仿宋-GB2312"/>
                      <w:spacing w:val="-1"/>
                      <w:szCs w:val="21"/>
                    </w:rPr>
                  </w:pPr>
                  <w:r>
                    <w:rPr>
                      <w:rFonts w:hint="eastAsia" w:cs="CESI仿宋-GB2312"/>
                      <w:spacing w:val="-1"/>
                      <w:szCs w:val="21"/>
                    </w:rPr>
                    <w:t>监控值守</w:t>
                  </w: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01D0B124">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（1）监控室环境符合系统设备运行要求，定期进行检查和检测，确保系统功能正常。值班电话应畅通，接听及时。</w:t>
                  </w:r>
                </w:p>
              </w:tc>
            </w:tr>
            <w:tr w14:paraId="17D67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77" w:hRule="atLeast"/>
              </w:trPr>
              <w:tc>
                <w:tcPr>
                  <w:tcW w:w="731" w:type="dxa"/>
                  <w:vMerge w:val="continue"/>
                  <w:tcBorders>
                    <w:top w:val="single" w:color="000000" w:sz="2" w:space="0"/>
                    <w:left w:val="single" w:color="000000" w:sz="2" w:space="0"/>
                    <w:bottom w:val="single" w:color="auto" w:sz="4" w:space="0"/>
                    <w:right w:val="single" w:color="000000" w:sz="2" w:space="0"/>
                  </w:tcBorders>
                  <w:noWrap w:val="0"/>
                  <w:vAlign w:val="center"/>
                </w:tcPr>
                <w:p w14:paraId="16E4C152">
                  <w:pPr>
                    <w:widowControl/>
                    <w:spacing w:line="360" w:lineRule="exact"/>
                    <w:ind w:firstLine="416" w:firstLineChars="200"/>
                    <w:jc w:val="center"/>
                    <w:rPr>
                      <w:rFonts w:cs="CESI仿宋-GB2312"/>
                      <w:spacing w:val="-1"/>
                      <w:szCs w:val="21"/>
                    </w:rPr>
                  </w:pPr>
                </w:p>
              </w:tc>
              <w:tc>
                <w:tcPr>
                  <w:tcW w:w="1081" w:type="dxa"/>
                  <w:vMerge w:val="continue"/>
                  <w:tcBorders>
                    <w:top w:val="single" w:color="000000" w:sz="2" w:space="0"/>
                    <w:left w:val="single" w:color="000000" w:sz="2" w:space="0"/>
                    <w:bottom w:val="single" w:color="auto" w:sz="4" w:space="0"/>
                    <w:right w:val="single" w:color="000000" w:sz="2" w:space="0"/>
                  </w:tcBorders>
                  <w:noWrap w:val="0"/>
                  <w:vAlign w:val="center"/>
                </w:tcPr>
                <w:p w14:paraId="6C27FC8E">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5E1213CA">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（2）监控设备24小时正常运行，监控室实行专人24小时无缝衔接值班制度，及时响应和处理异常情况。负责各办公区门卫登记及24小时值班，办公区24小时巡逻。</w:t>
                  </w:r>
                </w:p>
              </w:tc>
            </w:tr>
            <w:tr w14:paraId="1E4A6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6" w:hRule="atLeast"/>
              </w:trPr>
              <w:tc>
                <w:tcPr>
                  <w:tcW w:w="731" w:type="dxa"/>
                  <w:vMerge w:val="continue"/>
                  <w:tcBorders>
                    <w:top w:val="single" w:color="000000" w:sz="2" w:space="0"/>
                    <w:left w:val="single" w:color="000000" w:sz="2" w:space="0"/>
                    <w:bottom w:val="single" w:color="auto" w:sz="4" w:space="0"/>
                    <w:right w:val="single" w:color="000000" w:sz="2" w:space="0"/>
                  </w:tcBorders>
                  <w:noWrap w:val="0"/>
                  <w:vAlign w:val="center"/>
                </w:tcPr>
                <w:p w14:paraId="7002B7C3">
                  <w:pPr>
                    <w:widowControl/>
                    <w:spacing w:line="360" w:lineRule="exact"/>
                    <w:ind w:firstLine="416" w:firstLineChars="200"/>
                    <w:jc w:val="center"/>
                    <w:rPr>
                      <w:rFonts w:cs="CESI仿宋-GB2312"/>
                      <w:spacing w:val="-1"/>
                      <w:szCs w:val="21"/>
                    </w:rPr>
                  </w:pPr>
                </w:p>
              </w:tc>
              <w:tc>
                <w:tcPr>
                  <w:tcW w:w="1081" w:type="dxa"/>
                  <w:vMerge w:val="continue"/>
                  <w:tcBorders>
                    <w:top w:val="single" w:color="000000" w:sz="2" w:space="0"/>
                    <w:left w:val="single" w:color="000000" w:sz="2" w:space="0"/>
                    <w:bottom w:val="single" w:color="auto" w:sz="4" w:space="0"/>
                    <w:right w:val="single" w:color="000000" w:sz="2" w:space="0"/>
                  </w:tcBorders>
                  <w:noWrap w:val="0"/>
                  <w:vAlign w:val="center"/>
                </w:tcPr>
                <w:p w14:paraId="3E573EDE">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6CF401F9">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（3）监控记录画面清晰，确保安全出入口和内部重要部位的视频监控无死角、无盲区。</w:t>
                  </w:r>
                </w:p>
              </w:tc>
            </w:tr>
            <w:tr w14:paraId="4B013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6" w:hRule="atLeast"/>
              </w:trPr>
              <w:tc>
                <w:tcPr>
                  <w:tcW w:w="731" w:type="dxa"/>
                  <w:vMerge w:val="continue"/>
                  <w:tcBorders>
                    <w:top w:val="single" w:color="000000" w:sz="2" w:space="0"/>
                    <w:left w:val="single" w:color="000000" w:sz="2" w:space="0"/>
                    <w:bottom w:val="single" w:color="auto" w:sz="4" w:space="0"/>
                    <w:right w:val="single" w:color="000000" w:sz="2" w:space="0"/>
                  </w:tcBorders>
                  <w:noWrap w:val="0"/>
                  <w:vAlign w:val="center"/>
                </w:tcPr>
                <w:p w14:paraId="417670A8">
                  <w:pPr>
                    <w:widowControl/>
                    <w:spacing w:line="360" w:lineRule="exact"/>
                    <w:ind w:firstLine="416" w:firstLineChars="200"/>
                    <w:jc w:val="center"/>
                    <w:rPr>
                      <w:rFonts w:cs="CESI仿宋-GB2312"/>
                      <w:spacing w:val="-1"/>
                      <w:szCs w:val="21"/>
                    </w:rPr>
                  </w:pPr>
                </w:p>
              </w:tc>
              <w:tc>
                <w:tcPr>
                  <w:tcW w:w="1081" w:type="dxa"/>
                  <w:vMerge w:val="continue"/>
                  <w:tcBorders>
                    <w:top w:val="single" w:color="000000" w:sz="2" w:space="0"/>
                    <w:left w:val="single" w:color="000000" w:sz="2" w:space="0"/>
                    <w:bottom w:val="single" w:color="auto" w:sz="4" w:space="0"/>
                    <w:right w:val="single" w:color="000000" w:sz="2" w:space="0"/>
                  </w:tcBorders>
                  <w:noWrap w:val="0"/>
                  <w:vAlign w:val="center"/>
                </w:tcPr>
                <w:p w14:paraId="5D553F28">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7B3B42CF">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（4）值班期间遵守操作规程和保密制度，做好监控记录的保存工作。</w:t>
                  </w:r>
                </w:p>
              </w:tc>
            </w:tr>
            <w:tr w14:paraId="6988C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6" w:hRule="atLeast"/>
              </w:trPr>
              <w:tc>
                <w:tcPr>
                  <w:tcW w:w="731" w:type="dxa"/>
                  <w:vMerge w:val="continue"/>
                  <w:tcBorders>
                    <w:top w:val="single" w:color="000000" w:sz="2" w:space="0"/>
                    <w:left w:val="single" w:color="000000" w:sz="2" w:space="0"/>
                    <w:bottom w:val="single" w:color="auto" w:sz="4" w:space="0"/>
                    <w:right w:val="single" w:color="000000" w:sz="2" w:space="0"/>
                  </w:tcBorders>
                  <w:noWrap w:val="0"/>
                  <w:vAlign w:val="center"/>
                </w:tcPr>
                <w:p w14:paraId="62D3A079">
                  <w:pPr>
                    <w:widowControl/>
                    <w:spacing w:line="360" w:lineRule="exact"/>
                    <w:ind w:firstLine="416" w:firstLineChars="200"/>
                    <w:jc w:val="center"/>
                    <w:rPr>
                      <w:rFonts w:cs="CESI仿宋-GB2312"/>
                      <w:spacing w:val="-1"/>
                      <w:szCs w:val="21"/>
                    </w:rPr>
                  </w:pPr>
                </w:p>
              </w:tc>
              <w:tc>
                <w:tcPr>
                  <w:tcW w:w="1081" w:type="dxa"/>
                  <w:vMerge w:val="continue"/>
                  <w:tcBorders>
                    <w:top w:val="single" w:color="000000" w:sz="2" w:space="0"/>
                    <w:left w:val="single" w:color="000000" w:sz="2" w:space="0"/>
                    <w:bottom w:val="single" w:color="auto" w:sz="4" w:space="0"/>
                    <w:right w:val="single" w:color="000000" w:sz="2" w:space="0"/>
                  </w:tcBorders>
                  <w:noWrap w:val="0"/>
                  <w:vAlign w:val="center"/>
                </w:tcPr>
                <w:p w14:paraId="1DA23876">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6135A227">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color w:val="auto"/>
                      <w:spacing w:val="-1"/>
                      <w:szCs w:val="21"/>
                    </w:rPr>
                    <w:t>（5）监控记录保持完整，保存时间不应少于30天。</w:t>
                  </w:r>
                </w:p>
              </w:tc>
            </w:tr>
            <w:tr w14:paraId="7BCC5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0" w:hRule="atLeast"/>
              </w:trPr>
              <w:tc>
                <w:tcPr>
                  <w:tcW w:w="731" w:type="dxa"/>
                  <w:vMerge w:val="continue"/>
                  <w:tcBorders>
                    <w:top w:val="single" w:color="000000" w:sz="2" w:space="0"/>
                    <w:left w:val="single" w:color="000000" w:sz="2" w:space="0"/>
                    <w:bottom w:val="single" w:color="auto" w:sz="4" w:space="0"/>
                    <w:right w:val="single" w:color="000000" w:sz="2" w:space="0"/>
                  </w:tcBorders>
                  <w:noWrap w:val="0"/>
                  <w:vAlign w:val="center"/>
                </w:tcPr>
                <w:p w14:paraId="39A6B753">
                  <w:pPr>
                    <w:widowControl/>
                    <w:spacing w:line="360" w:lineRule="exact"/>
                    <w:ind w:firstLine="416" w:firstLineChars="200"/>
                    <w:jc w:val="center"/>
                    <w:rPr>
                      <w:rFonts w:cs="CESI仿宋-GB2312"/>
                      <w:spacing w:val="-1"/>
                      <w:szCs w:val="21"/>
                    </w:rPr>
                  </w:pPr>
                </w:p>
              </w:tc>
              <w:tc>
                <w:tcPr>
                  <w:tcW w:w="1081" w:type="dxa"/>
                  <w:vMerge w:val="continue"/>
                  <w:tcBorders>
                    <w:top w:val="single" w:color="000000" w:sz="2" w:space="0"/>
                    <w:left w:val="single" w:color="000000" w:sz="2" w:space="0"/>
                    <w:bottom w:val="single" w:color="auto" w:sz="4" w:space="0"/>
                    <w:right w:val="single" w:color="000000" w:sz="2" w:space="0"/>
                  </w:tcBorders>
                  <w:noWrap w:val="0"/>
                  <w:vAlign w:val="center"/>
                </w:tcPr>
                <w:p w14:paraId="7CF5372F">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5D5AA38A">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（6）无关人员不得进入监控室或查阅监控记录。</w:t>
                  </w:r>
                </w:p>
              </w:tc>
            </w:tr>
            <w:tr w14:paraId="2768C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1" w:hRule="atLeast"/>
              </w:trPr>
              <w:tc>
                <w:tcPr>
                  <w:tcW w:w="731" w:type="dxa"/>
                  <w:vMerge w:val="continue"/>
                  <w:tcBorders>
                    <w:top w:val="single" w:color="000000" w:sz="2" w:space="0"/>
                    <w:left w:val="single" w:color="000000" w:sz="2" w:space="0"/>
                    <w:bottom w:val="single" w:color="auto" w:sz="4" w:space="0"/>
                    <w:right w:val="single" w:color="000000" w:sz="2" w:space="0"/>
                  </w:tcBorders>
                  <w:noWrap w:val="0"/>
                  <w:vAlign w:val="center"/>
                </w:tcPr>
                <w:p w14:paraId="14D2F1C0">
                  <w:pPr>
                    <w:widowControl/>
                    <w:spacing w:line="360" w:lineRule="exact"/>
                    <w:ind w:firstLine="416" w:firstLineChars="200"/>
                    <w:jc w:val="center"/>
                    <w:rPr>
                      <w:rFonts w:cs="CESI仿宋-GB2312"/>
                      <w:spacing w:val="-1"/>
                      <w:szCs w:val="21"/>
                    </w:rPr>
                  </w:pPr>
                </w:p>
              </w:tc>
              <w:tc>
                <w:tcPr>
                  <w:tcW w:w="1081" w:type="dxa"/>
                  <w:vMerge w:val="continue"/>
                  <w:tcBorders>
                    <w:top w:val="single" w:color="000000" w:sz="2" w:space="0"/>
                    <w:left w:val="single" w:color="000000" w:sz="2" w:space="0"/>
                    <w:bottom w:val="single" w:color="auto" w:sz="4" w:space="0"/>
                    <w:right w:val="single" w:color="000000" w:sz="2" w:space="0"/>
                  </w:tcBorders>
                  <w:noWrap w:val="0"/>
                  <w:vAlign w:val="center"/>
                </w:tcPr>
                <w:p w14:paraId="384FA35D">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70ED9587">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（7）监控室收到险情、火情等报警信号及其他异常情况信号后，应及时报警并安排其他安保人员携带处置装备前往现场进行处理。</w:t>
                  </w:r>
                </w:p>
              </w:tc>
            </w:tr>
            <w:tr w14:paraId="781D4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6" w:hRule="atLeast"/>
              </w:trPr>
              <w:tc>
                <w:tcPr>
                  <w:tcW w:w="731" w:type="dxa"/>
                  <w:vMerge w:val="restart"/>
                  <w:tcBorders>
                    <w:top w:val="single" w:color="auto" w:sz="4" w:space="0"/>
                    <w:left w:val="single" w:color="000000" w:sz="2" w:space="0"/>
                    <w:bottom w:val="single" w:color="auto" w:sz="4" w:space="0"/>
                    <w:right w:val="single" w:color="000000" w:sz="2" w:space="0"/>
                  </w:tcBorders>
                  <w:noWrap w:val="0"/>
                  <w:vAlign w:val="center"/>
                </w:tcPr>
                <w:p w14:paraId="587F12A5">
                  <w:pPr>
                    <w:widowControl/>
                    <w:kinsoku w:val="0"/>
                    <w:autoSpaceDE w:val="0"/>
                    <w:autoSpaceDN w:val="0"/>
                    <w:adjustRightInd w:val="0"/>
                    <w:snapToGrid w:val="0"/>
                    <w:spacing w:line="360" w:lineRule="exact"/>
                    <w:ind w:firstLine="416" w:firstLineChars="200"/>
                    <w:jc w:val="center"/>
                    <w:textAlignment w:val="baseline"/>
                    <w:rPr>
                      <w:rFonts w:cs="CESI仿宋-GB2312"/>
                      <w:spacing w:val="-1"/>
                      <w:szCs w:val="21"/>
                    </w:rPr>
                  </w:pPr>
                  <w:r>
                    <w:rPr>
                      <w:rFonts w:hint="eastAsia" w:cs="CESI仿宋-GB2312"/>
                      <w:spacing w:val="-1"/>
                      <w:szCs w:val="21"/>
                    </w:rPr>
                    <w:t>5</w:t>
                  </w:r>
                </w:p>
              </w:tc>
              <w:tc>
                <w:tcPr>
                  <w:tcW w:w="1081" w:type="dxa"/>
                  <w:vMerge w:val="restart"/>
                  <w:tcBorders>
                    <w:top w:val="single" w:color="auto" w:sz="4" w:space="0"/>
                    <w:left w:val="single" w:color="000000" w:sz="2" w:space="0"/>
                    <w:bottom w:val="single" w:color="auto" w:sz="4" w:space="0"/>
                    <w:right w:val="single" w:color="000000" w:sz="2" w:space="0"/>
                  </w:tcBorders>
                  <w:noWrap w:val="0"/>
                  <w:vAlign w:val="center"/>
                </w:tcPr>
                <w:p w14:paraId="35FF843B">
                  <w:pPr>
                    <w:widowControl/>
                    <w:kinsoku w:val="0"/>
                    <w:autoSpaceDE w:val="0"/>
                    <w:autoSpaceDN w:val="0"/>
                    <w:adjustRightInd w:val="0"/>
                    <w:snapToGrid w:val="0"/>
                    <w:spacing w:line="360" w:lineRule="exact"/>
                    <w:textAlignment w:val="baseline"/>
                    <w:rPr>
                      <w:rFonts w:cs="CESI仿宋-GB2312"/>
                      <w:spacing w:val="-1"/>
                      <w:szCs w:val="21"/>
                    </w:rPr>
                  </w:pPr>
                  <w:r>
                    <w:rPr>
                      <w:rFonts w:hint="eastAsia" w:cs="CESI仿宋-GB2312"/>
                      <w:spacing w:val="-1"/>
                      <w:szCs w:val="21"/>
                    </w:rPr>
                    <w:t>车辆停放</w:t>
                  </w: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30A87B89">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（1）车辆行驶路线设置合理、规范，导向标志完整、清晰，保证车辆有序通行。</w:t>
                  </w:r>
                </w:p>
              </w:tc>
            </w:tr>
            <w:tr w14:paraId="09C26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0" w:hRule="atLeast"/>
              </w:trPr>
              <w:tc>
                <w:tcPr>
                  <w:tcW w:w="731" w:type="dxa"/>
                  <w:vMerge w:val="continue"/>
                  <w:tcBorders>
                    <w:top w:val="single" w:color="auto" w:sz="4" w:space="0"/>
                    <w:left w:val="single" w:color="000000" w:sz="2" w:space="0"/>
                    <w:bottom w:val="single" w:color="auto" w:sz="4" w:space="0"/>
                    <w:right w:val="single" w:color="000000" w:sz="2" w:space="0"/>
                  </w:tcBorders>
                  <w:noWrap w:val="0"/>
                  <w:vAlign w:val="center"/>
                </w:tcPr>
                <w:p w14:paraId="439A0EC7">
                  <w:pPr>
                    <w:widowControl/>
                    <w:spacing w:line="360" w:lineRule="exact"/>
                    <w:ind w:firstLine="416" w:firstLineChars="200"/>
                    <w:jc w:val="center"/>
                    <w:rPr>
                      <w:rFonts w:cs="CESI仿宋-GB2312"/>
                      <w:spacing w:val="-1"/>
                      <w:szCs w:val="21"/>
                    </w:rPr>
                  </w:pPr>
                </w:p>
              </w:tc>
              <w:tc>
                <w:tcPr>
                  <w:tcW w:w="1081" w:type="dxa"/>
                  <w:vMerge w:val="continue"/>
                  <w:tcBorders>
                    <w:top w:val="single" w:color="auto" w:sz="4" w:space="0"/>
                    <w:left w:val="single" w:color="000000" w:sz="2" w:space="0"/>
                    <w:bottom w:val="single" w:color="auto" w:sz="4" w:space="0"/>
                    <w:right w:val="single" w:color="000000" w:sz="2" w:space="0"/>
                  </w:tcBorders>
                  <w:noWrap w:val="0"/>
                  <w:vAlign w:val="center"/>
                </w:tcPr>
                <w:p w14:paraId="26182488">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27B2F999">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（2）合理规划车辆停放区域，张贴车辆引导标识，对车辆及停放区域实行规范管理，发现乱停车现象应当及时予以制止或处理。</w:t>
                  </w:r>
                </w:p>
              </w:tc>
            </w:tr>
            <w:tr w14:paraId="7AF94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0" w:hRule="atLeast"/>
              </w:trPr>
              <w:tc>
                <w:tcPr>
                  <w:tcW w:w="731" w:type="dxa"/>
                  <w:vMerge w:val="continue"/>
                  <w:tcBorders>
                    <w:top w:val="single" w:color="auto" w:sz="4" w:space="0"/>
                    <w:left w:val="single" w:color="000000" w:sz="2" w:space="0"/>
                    <w:bottom w:val="single" w:color="auto" w:sz="4" w:space="0"/>
                    <w:right w:val="single" w:color="000000" w:sz="2" w:space="0"/>
                  </w:tcBorders>
                  <w:noWrap w:val="0"/>
                  <w:vAlign w:val="center"/>
                </w:tcPr>
                <w:p w14:paraId="0BBF45C3">
                  <w:pPr>
                    <w:widowControl/>
                    <w:spacing w:line="360" w:lineRule="exact"/>
                    <w:ind w:firstLine="416" w:firstLineChars="200"/>
                    <w:jc w:val="center"/>
                    <w:rPr>
                      <w:rFonts w:cs="CESI仿宋-GB2312"/>
                      <w:spacing w:val="-1"/>
                      <w:szCs w:val="21"/>
                    </w:rPr>
                  </w:pPr>
                </w:p>
              </w:tc>
              <w:tc>
                <w:tcPr>
                  <w:tcW w:w="1081" w:type="dxa"/>
                  <w:vMerge w:val="continue"/>
                  <w:tcBorders>
                    <w:top w:val="single" w:color="auto" w:sz="4" w:space="0"/>
                    <w:left w:val="single" w:color="000000" w:sz="2" w:space="0"/>
                    <w:bottom w:val="single" w:color="auto" w:sz="4" w:space="0"/>
                    <w:right w:val="single" w:color="000000" w:sz="2" w:space="0"/>
                  </w:tcBorders>
                  <w:noWrap w:val="0"/>
                  <w:vAlign w:val="center"/>
                </w:tcPr>
                <w:p w14:paraId="6E25FC3B">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43E04F55">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（3）严禁在办公楼的公用走道、楼梯间、安全出口处等公共区域停放车辆或充电。</w:t>
                  </w:r>
                </w:p>
              </w:tc>
            </w:tr>
            <w:tr w14:paraId="28140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8" w:hRule="atLeast"/>
              </w:trPr>
              <w:tc>
                <w:tcPr>
                  <w:tcW w:w="731" w:type="dxa"/>
                  <w:vMerge w:val="continue"/>
                  <w:tcBorders>
                    <w:top w:val="single" w:color="auto" w:sz="4" w:space="0"/>
                    <w:left w:val="single" w:color="000000" w:sz="2" w:space="0"/>
                    <w:bottom w:val="single" w:color="auto" w:sz="4" w:space="0"/>
                    <w:right w:val="single" w:color="000000" w:sz="2" w:space="0"/>
                  </w:tcBorders>
                  <w:noWrap w:val="0"/>
                  <w:vAlign w:val="center"/>
                </w:tcPr>
                <w:p w14:paraId="0EB8BDB1">
                  <w:pPr>
                    <w:widowControl/>
                    <w:spacing w:line="360" w:lineRule="exact"/>
                    <w:ind w:firstLine="416" w:firstLineChars="200"/>
                    <w:jc w:val="center"/>
                    <w:rPr>
                      <w:rFonts w:cs="CESI仿宋-GB2312"/>
                      <w:spacing w:val="-1"/>
                      <w:szCs w:val="21"/>
                    </w:rPr>
                  </w:pPr>
                </w:p>
              </w:tc>
              <w:tc>
                <w:tcPr>
                  <w:tcW w:w="1081" w:type="dxa"/>
                  <w:vMerge w:val="continue"/>
                  <w:tcBorders>
                    <w:top w:val="single" w:color="auto" w:sz="4" w:space="0"/>
                    <w:left w:val="single" w:color="000000" w:sz="2" w:space="0"/>
                    <w:bottom w:val="single" w:color="auto" w:sz="4" w:space="0"/>
                    <w:right w:val="single" w:color="000000" w:sz="2" w:space="0"/>
                  </w:tcBorders>
                  <w:noWrap w:val="0"/>
                  <w:vAlign w:val="center"/>
                </w:tcPr>
                <w:p w14:paraId="41264474">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746499B7">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（4）非机动车定点有序停放。加强电动自行车场、地下停车场管理。</w:t>
                  </w:r>
                </w:p>
              </w:tc>
            </w:tr>
            <w:tr w14:paraId="097C3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8" w:hRule="atLeast"/>
              </w:trPr>
              <w:tc>
                <w:tcPr>
                  <w:tcW w:w="731" w:type="dxa"/>
                  <w:vMerge w:val="continue"/>
                  <w:tcBorders>
                    <w:top w:val="single" w:color="auto" w:sz="4" w:space="0"/>
                    <w:left w:val="single" w:color="000000" w:sz="2" w:space="0"/>
                    <w:bottom w:val="single" w:color="auto" w:sz="4" w:space="0"/>
                    <w:right w:val="single" w:color="000000" w:sz="2" w:space="0"/>
                  </w:tcBorders>
                  <w:noWrap w:val="0"/>
                  <w:vAlign w:val="center"/>
                </w:tcPr>
                <w:p w14:paraId="7F94AADA">
                  <w:pPr>
                    <w:widowControl/>
                    <w:spacing w:line="360" w:lineRule="exact"/>
                    <w:ind w:firstLine="416" w:firstLineChars="200"/>
                    <w:jc w:val="center"/>
                    <w:rPr>
                      <w:rFonts w:cs="CESI仿宋-GB2312"/>
                      <w:spacing w:val="-1"/>
                      <w:szCs w:val="21"/>
                    </w:rPr>
                  </w:pPr>
                </w:p>
              </w:tc>
              <w:tc>
                <w:tcPr>
                  <w:tcW w:w="1081" w:type="dxa"/>
                  <w:vMerge w:val="continue"/>
                  <w:tcBorders>
                    <w:top w:val="single" w:color="auto" w:sz="4" w:space="0"/>
                    <w:left w:val="single" w:color="000000" w:sz="2" w:space="0"/>
                    <w:bottom w:val="single" w:color="auto" w:sz="4" w:space="0"/>
                    <w:right w:val="single" w:color="000000" w:sz="2" w:space="0"/>
                  </w:tcBorders>
                  <w:noWrap w:val="0"/>
                  <w:vAlign w:val="center"/>
                </w:tcPr>
                <w:p w14:paraId="31051F09">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auto" w:sz="4" w:space="0"/>
                    <w:right w:val="single" w:color="000000" w:sz="2" w:space="0"/>
                  </w:tcBorders>
                  <w:noWrap w:val="0"/>
                  <w:vAlign w:val="center"/>
                </w:tcPr>
                <w:p w14:paraId="22598D02">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（5）发现车辆异常情况及时通知车主，并做好登记；发生交通事故、自然灾害等意外事故时及时赶赴现场疏导和协助处理，响应时间不超过3分钟。</w:t>
                  </w:r>
                </w:p>
              </w:tc>
            </w:tr>
            <w:tr w14:paraId="4C20F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8" w:hRule="atLeast"/>
              </w:trPr>
              <w:tc>
                <w:tcPr>
                  <w:tcW w:w="731" w:type="dxa"/>
                  <w:vMerge w:val="continue"/>
                  <w:tcBorders>
                    <w:top w:val="single" w:color="auto" w:sz="4" w:space="0"/>
                    <w:left w:val="single" w:color="000000" w:sz="2" w:space="0"/>
                    <w:bottom w:val="single" w:color="auto" w:sz="4" w:space="0"/>
                    <w:right w:val="single" w:color="000000" w:sz="2" w:space="0"/>
                  </w:tcBorders>
                  <w:noWrap w:val="0"/>
                  <w:vAlign w:val="center"/>
                </w:tcPr>
                <w:p w14:paraId="336AC247">
                  <w:pPr>
                    <w:widowControl/>
                    <w:spacing w:line="360" w:lineRule="exact"/>
                    <w:ind w:firstLine="416" w:firstLineChars="200"/>
                    <w:jc w:val="center"/>
                    <w:rPr>
                      <w:rFonts w:cs="CESI仿宋-GB2312"/>
                      <w:spacing w:val="-1"/>
                      <w:szCs w:val="21"/>
                    </w:rPr>
                  </w:pPr>
                </w:p>
              </w:tc>
              <w:tc>
                <w:tcPr>
                  <w:tcW w:w="1081" w:type="dxa"/>
                  <w:vMerge w:val="continue"/>
                  <w:tcBorders>
                    <w:top w:val="single" w:color="auto" w:sz="4" w:space="0"/>
                    <w:left w:val="single" w:color="000000" w:sz="2" w:space="0"/>
                    <w:bottom w:val="single" w:color="auto" w:sz="4" w:space="0"/>
                    <w:right w:val="single" w:color="000000" w:sz="2" w:space="0"/>
                  </w:tcBorders>
                  <w:noWrap w:val="0"/>
                  <w:vAlign w:val="center"/>
                </w:tcPr>
                <w:p w14:paraId="36E64FAC">
                  <w:pPr>
                    <w:widowControl/>
                    <w:spacing w:line="360" w:lineRule="exact"/>
                    <w:ind w:firstLine="416" w:firstLineChars="200"/>
                    <w:jc w:val="left"/>
                    <w:rPr>
                      <w:rFonts w:cs="CESI仿宋-GB2312"/>
                      <w:spacing w:val="-1"/>
                      <w:szCs w:val="21"/>
                    </w:rPr>
                  </w:pPr>
                </w:p>
              </w:tc>
              <w:tc>
                <w:tcPr>
                  <w:tcW w:w="4923" w:type="dxa"/>
                  <w:tcBorders>
                    <w:top w:val="single" w:color="auto" w:sz="4" w:space="0"/>
                    <w:left w:val="single" w:color="000000" w:sz="2" w:space="0"/>
                    <w:bottom w:val="single" w:color="000000" w:sz="2" w:space="0"/>
                    <w:right w:val="single" w:color="000000" w:sz="2" w:space="0"/>
                  </w:tcBorders>
                  <w:noWrap w:val="0"/>
                  <w:vAlign w:val="center"/>
                </w:tcPr>
                <w:p w14:paraId="29D644A9">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（6）重要会议召开期间、上下班高峰期等时段设专人指挥车辆行驶、停放。</w:t>
                  </w:r>
                </w:p>
              </w:tc>
            </w:tr>
            <w:tr w14:paraId="0A1F2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6" w:hRule="atLeast"/>
              </w:trPr>
              <w:tc>
                <w:tcPr>
                  <w:tcW w:w="731" w:type="dxa"/>
                  <w:vMerge w:val="restart"/>
                  <w:tcBorders>
                    <w:top w:val="single" w:color="auto" w:sz="4" w:space="0"/>
                    <w:left w:val="single" w:color="000000" w:sz="2" w:space="0"/>
                    <w:bottom w:val="single" w:color="auto" w:sz="4" w:space="0"/>
                    <w:right w:val="single" w:color="000000" w:sz="2" w:space="0"/>
                  </w:tcBorders>
                  <w:noWrap w:val="0"/>
                  <w:vAlign w:val="center"/>
                </w:tcPr>
                <w:p w14:paraId="4FC88ADD">
                  <w:pPr>
                    <w:widowControl/>
                    <w:kinsoku w:val="0"/>
                    <w:autoSpaceDE w:val="0"/>
                    <w:autoSpaceDN w:val="0"/>
                    <w:adjustRightInd w:val="0"/>
                    <w:snapToGrid w:val="0"/>
                    <w:spacing w:line="360" w:lineRule="exact"/>
                    <w:ind w:firstLine="416" w:firstLineChars="200"/>
                    <w:jc w:val="center"/>
                    <w:textAlignment w:val="baseline"/>
                    <w:rPr>
                      <w:rFonts w:cs="CESI仿宋-GB2312"/>
                      <w:spacing w:val="-1"/>
                      <w:szCs w:val="21"/>
                    </w:rPr>
                  </w:pPr>
                  <w:r>
                    <w:rPr>
                      <w:rFonts w:hint="eastAsia" w:cs="CESI仿宋-GB2312"/>
                      <w:spacing w:val="-1"/>
                      <w:szCs w:val="21"/>
                    </w:rPr>
                    <w:t>6</w:t>
                  </w:r>
                </w:p>
              </w:tc>
              <w:tc>
                <w:tcPr>
                  <w:tcW w:w="1081" w:type="dxa"/>
                  <w:vMerge w:val="restart"/>
                  <w:tcBorders>
                    <w:top w:val="single" w:color="auto" w:sz="4" w:space="0"/>
                    <w:left w:val="single" w:color="000000" w:sz="2" w:space="0"/>
                    <w:bottom w:val="single" w:color="auto" w:sz="4" w:space="0"/>
                    <w:right w:val="single" w:color="000000" w:sz="2" w:space="0"/>
                  </w:tcBorders>
                  <w:noWrap w:val="0"/>
                  <w:vAlign w:val="center"/>
                </w:tcPr>
                <w:p w14:paraId="1C62EA07">
                  <w:pPr>
                    <w:widowControl/>
                    <w:kinsoku w:val="0"/>
                    <w:autoSpaceDE w:val="0"/>
                    <w:autoSpaceDN w:val="0"/>
                    <w:adjustRightInd w:val="0"/>
                    <w:snapToGrid w:val="0"/>
                    <w:spacing w:line="360" w:lineRule="exact"/>
                    <w:textAlignment w:val="baseline"/>
                    <w:rPr>
                      <w:rFonts w:cs="CESI仿宋-GB2312"/>
                      <w:spacing w:val="-1"/>
                      <w:szCs w:val="21"/>
                    </w:rPr>
                  </w:pPr>
                  <w:r>
                    <w:rPr>
                      <w:rFonts w:hint="eastAsia" w:cs="CESI仿宋-GB2312"/>
                      <w:spacing w:val="-1"/>
                      <w:szCs w:val="21"/>
                    </w:rPr>
                    <w:t>消防安全管理</w:t>
                  </w: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60BB470B">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（1）建立消防安全责任制，确定各级消防安全责任人及其职责。</w:t>
                  </w:r>
                </w:p>
              </w:tc>
            </w:tr>
            <w:tr w14:paraId="3F213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0" w:hRule="atLeast"/>
              </w:trPr>
              <w:tc>
                <w:tcPr>
                  <w:tcW w:w="731" w:type="dxa"/>
                  <w:vMerge w:val="continue"/>
                  <w:tcBorders>
                    <w:top w:val="single" w:color="auto" w:sz="4" w:space="0"/>
                    <w:left w:val="single" w:color="000000" w:sz="2" w:space="0"/>
                    <w:bottom w:val="single" w:color="auto" w:sz="4" w:space="0"/>
                    <w:right w:val="single" w:color="000000" w:sz="2" w:space="0"/>
                  </w:tcBorders>
                  <w:noWrap w:val="0"/>
                  <w:vAlign w:val="center"/>
                </w:tcPr>
                <w:p w14:paraId="0A1BABA8">
                  <w:pPr>
                    <w:widowControl/>
                    <w:spacing w:line="360" w:lineRule="exact"/>
                    <w:ind w:firstLine="416" w:firstLineChars="200"/>
                    <w:jc w:val="center"/>
                    <w:rPr>
                      <w:rFonts w:cs="CESI仿宋-GB2312"/>
                      <w:spacing w:val="-1"/>
                      <w:szCs w:val="21"/>
                    </w:rPr>
                  </w:pPr>
                </w:p>
              </w:tc>
              <w:tc>
                <w:tcPr>
                  <w:tcW w:w="1081" w:type="dxa"/>
                  <w:vMerge w:val="continue"/>
                  <w:tcBorders>
                    <w:top w:val="single" w:color="auto" w:sz="4" w:space="0"/>
                    <w:left w:val="single" w:color="000000" w:sz="2" w:space="0"/>
                    <w:bottom w:val="single" w:color="auto" w:sz="4" w:space="0"/>
                    <w:right w:val="single" w:color="000000" w:sz="2" w:space="0"/>
                  </w:tcBorders>
                  <w:noWrap w:val="0"/>
                  <w:vAlign w:val="center"/>
                </w:tcPr>
                <w:p w14:paraId="036D399F">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414B6B2F">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w:t>
                  </w:r>
                  <w:r>
                    <w:rPr>
                      <w:rFonts w:hint="eastAsia" w:cs="CESI仿宋-GB2312"/>
                      <w:spacing w:val="-1"/>
                      <w:szCs w:val="21"/>
                      <w:lang w:val="en-US" w:eastAsia="zh-CN"/>
                    </w:rPr>
                    <w:t>2</w:t>
                  </w:r>
                  <w:r>
                    <w:rPr>
                      <w:rFonts w:hint="eastAsia" w:cs="CESI仿宋-GB2312"/>
                      <w:spacing w:val="-1"/>
                      <w:szCs w:val="21"/>
                    </w:rPr>
                    <w:t>）消火栓、应急照明、应急物资、消防及人员逃生通道、消防车通道可随时正常使用。</w:t>
                  </w:r>
                </w:p>
              </w:tc>
            </w:tr>
            <w:tr w14:paraId="50047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6" w:hRule="atLeast"/>
              </w:trPr>
              <w:tc>
                <w:tcPr>
                  <w:tcW w:w="731" w:type="dxa"/>
                  <w:vMerge w:val="continue"/>
                  <w:tcBorders>
                    <w:top w:val="single" w:color="auto" w:sz="4" w:space="0"/>
                    <w:left w:val="single" w:color="000000" w:sz="2" w:space="0"/>
                    <w:bottom w:val="single" w:color="auto" w:sz="4" w:space="0"/>
                    <w:right w:val="single" w:color="000000" w:sz="2" w:space="0"/>
                  </w:tcBorders>
                  <w:noWrap w:val="0"/>
                  <w:vAlign w:val="center"/>
                </w:tcPr>
                <w:p w14:paraId="2920DA5A">
                  <w:pPr>
                    <w:widowControl/>
                    <w:spacing w:line="360" w:lineRule="exact"/>
                    <w:ind w:firstLine="416" w:firstLineChars="200"/>
                    <w:jc w:val="center"/>
                    <w:rPr>
                      <w:rFonts w:cs="CESI仿宋-GB2312"/>
                      <w:spacing w:val="-1"/>
                      <w:szCs w:val="21"/>
                    </w:rPr>
                  </w:pPr>
                </w:p>
              </w:tc>
              <w:tc>
                <w:tcPr>
                  <w:tcW w:w="1081" w:type="dxa"/>
                  <w:vMerge w:val="continue"/>
                  <w:tcBorders>
                    <w:top w:val="single" w:color="auto" w:sz="4" w:space="0"/>
                    <w:left w:val="single" w:color="000000" w:sz="2" w:space="0"/>
                    <w:bottom w:val="single" w:color="auto" w:sz="4" w:space="0"/>
                    <w:right w:val="single" w:color="000000" w:sz="2" w:space="0"/>
                  </w:tcBorders>
                  <w:noWrap w:val="0"/>
                  <w:vAlign w:val="center"/>
                </w:tcPr>
                <w:p w14:paraId="4BEC6B53">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02A68F6C">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w:t>
                  </w:r>
                  <w:r>
                    <w:rPr>
                      <w:rFonts w:hint="eastAsia" w:cs="CESI仿宋-GB2312"/>
                      <w:spacing w:val="-1"/>
                      <w:szCs w:val="21"/>
                      <w:lang w:val="en-US" w:eastAsia="zh-CN"/>
                    </w:rPr>
                    <w:t>3</w:t>
                  </w:r>
                  <w:r>
                    <w:rPr>
                      <w:rFonts w:hint="eastAsia" w:cs="CESI仿宋-GB2312"/>
                      <w:spacing w:val="-1"/>
                      <w:szCs w:val="21"/>
                    </w:rPr>
                    <w:t>）易燃易爆品设专区专人管理，做好相关记录。</w:t>
                  </w:r>
                </w:p>
              </w:tc>
            </w:tr>
            <w:tr w14:paraId="750EA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2" w:hRule="atLeast"/>
              </w:trPr>
              <w:tc>
                <w:tcPr>
                  <w:tcW w:w="731" w:type="dxa"/>
                  <w:vMerge w:val="continue"/>
                  <w:tcBorders>
                    <w:top w:val="single" w:color="auto" w:sz="4" w:space="0"/>
                    <w:left w:val="single" w:color="000000" w:sz="2" w:space="0"/>
                    <w:bottom w:val="single" w:color="auto" w:sz="4" w:space="0"/>
                    <w:right w:val="single" w:color="000000" w:sz="2" w:space="0"/>
                  </w:tcBorders>
                  <w:noWrap w:val="0"/>
                  <w:vAlign w:val="center"/>
                </w:tcPr>
                <w:p w14:paraId="2A778E1A">
                  <w:pPr>
                    <w:widowControl/>
                    <w:spacing w:line="360" w:lineRule="exact"/>
                    <w:ind w:firstLine="416" w:firstLineChars="200"/>
                    <w:jc w:val="center"/>
                    <w:rPr>
                      <w:rFonts w:cs="CESI仿宋-GB2312"/>
                      <w:spacing w:val="-1"/>
                      <w:szCs w:val="21"/>
                    </w:rPr>
                  </w:pPr>
                </w:p>
              </w:tc>
              <w:tc>
                <w:tcPr>
                  <w:tcW w:w="1081" w:type="dxa"/>
                  <w:vMerge w:val="continue"/>
                  <w:tcBorders>
                    <w:top w:val="single" w:color="auto" w:sz="4" w:space="0"/>
                    <w:left w:val="single" w:color="000000" w:sz="2" w:space="0"/>
                    <w:bottom w:val="single" w:color="auto" w:sz="4" w:space="0"/>
                    <w:right w:val="single" w:color="000000" w:sz="2" w:space="0"/>
                  </w:tcBorders>
                  <w:noWrap w:val="0"/>
                  <w:vAlign w:val="center"/>
                </w:tcPr>
                <w:p w14:paraId="54AD2C92">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auto" w:sz="4" w:space="0"/>
                    <w:right w:val="single" w:color="000000" w:sz="2" w:space="0"/>
                  </w:tcBorders>
                  <w:noWrap w:val="0"/>
                  <w:vAlign w:val="center"/>
                </w:tcPr>
                <w:p w14:paraId="5A3817F3">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w:t>
                  </w:r>
                  <w:r>
                    <w:rPr>
                      <w:rFonts w:hint="eastAsia" w:cs="CESI仿宋-GB2312"/>
                      <w:spacing w:val="-1"/>
                      <w:szCs w:val="21"/>
                      <w:lang w:val="en-US" w:eastAsia="zh-CN"/>
                    </w:rPr>
                    <w:t>4</w:t>
                  </w:r>
                  <w:r>
                    <w:rPr>
                      <w:rFonts w:hint="eastAsia" w:cs="CESI仿宋-GB2312"/>
                      <w:spacing w:val="-1"/>
                      <w:szCs w:val="21"/>
                    </w:rPr>
                    <w:t>）定期组织消防安全宣传，每半年开展1次消防演练，确保员工能够熟练掌握消防安全知识和技能，在演练结束后，及时总结经验教训，对演练过程中发现的问题进行整改和完善。</w:t>
                  </w:r>
                </w:p>
              </w:tc>
            </w:tr>
            <w:tr w14:paraId="223DD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47" w:hRule="atLeast"/>
              </w:trPr>
              <w:tc>
                <w:tcPr>
                  <w:tcW w:w="731" w:type="dxa"/>
                  <w:vMerge w:val="continue"/>
                  <w:tcBorders>
                    <w:top w:val="single" w:color="auto" w:sz="4" w:space="0"/>
                    <w:left w:val="single" w:color="000000" w:sz="2" w:space="0"/>
                    <w:bottom w:val="single" w:color="auto" w:sz="4" w:space="0"/>
                    <w:right w:val="single" w:color="000000" w:sz="2" w:space="0"/>
                  </w:tcBorders>
                  <w:noWrap w:val="0"/>
                  <w:vAlign w:val="center"/>
                </w:tcPr>
                <w:p w14:paraId="160EB823">
                  <w:pPr>
                    <w:widowControl/>
                    <w:spacing w:line="360" w:lineRule="exact"/>
                    <w:ind w:firstLine="416" w:firstLineChars="200"/>
                    <w:jc w:val="center"/>
                    <w:rPr>
                      <w:rFonts w:cs="CESI仿宋-GB2312"/>
                      <w:spacing w:val="-1"/>
                      <w:szCs w:val="21"/>
                    </w:rPr>
                  </w:pPr>
                </w:p>
              </w:tc>
              <w:tc>
                <w:tcPr>
                  <w:tcW w:w="1081" w:type="dxa"/>
                  <w:vMerge w:val="continue"/>
                  <w:tcBorders>
                    <w:top w:val="single" w:color="auto" w:sz="4" w:space="0"/>
                    <w:left w:val="single" w:color="000000" w:sz="2" w:space="0"/>
                    <w:bottom w:val="single" w:color="auto" w:sz="4" w:space="0"/>
                    <w:right w:val="single" w:color="000000" w:sz="2" w:space="0"/>
                  </w:tcBorders>
                  <w:noWrap w:val="0"/>
                  <w:vAlign w:val="center"/>
                </w:tcPr>
                <w:p w14:paraId="28000E2E">
                  <w:pPr>
                    <w:widowControl/>
                    <w:spacing w:line="360" w:lineRule="exact"/>
                    <w:ind w:firstLine="416" w:firstLineChars="200"/>
                    <w:jc w:val="left"/>
                    <w:rPr>
                      <w:rFonts w:cs="CESI仿宋-GB2312"/>
                      <w:spacing w:val="-1"/>
                      <w:szCs w:val="21"/>
                    </w:rPr>
                  </w:pPr>
                </w:p>
              </w:tc>
              <w:tc>
                <w:tcPr>
                  <w:tcW w:w="4923" w:type="dxa"/>
                  <w:tcBorders>
                    <w:top w:val="single" w:color="auto" w:sz="4" w:space="0"/>
                    <w:left w:val="single" w:color="000000" w:sz="2" w:space="0"/>
                    <w:bottom w:val="single" w:color="000000" w:sz="2" w:space="0"/>
                    <w:right w:val="single" w:color="000000" w:sz="2" w:space="0"/>
                  </w:tcBorders>
                  <w:noWrap w:val="0"/>
                  <w:vAlign w:val="center"/>
                </w:tcPr>
                <w:p w14:paraId="030EBFAA">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w:t>
                  </w:r>
                  <w:r>
                    <w:rPr>
                      <w:rFonts w:hint="eastAsia" w:cs="CESI仿宋-GB2312"/>
                      <w:spacing w:val="-1"/>
                      <w:szCs w:val="21"/>
                      <w:lang w:val="en-US" w:eastAsia="zh-CN"/>
                    </w:rPr>
                    <w:t>5</w:t>
                  </w:r>
                  <w:r>
                    <w:rPr>
                      <w:rFonts w:hint="eastAsia" w:cs="CESI仿宋-GB2312"/>
                      <w:spacing w:val="-1"/>
                      <w:szCs w:val="21"/>
                    </w:rPr>
                    <w:t>）每日不少于2次对充电桩、电动自行车场、地下车库等设施设备进行防火检查、巡查，及时消除火灾隐患。</w:t>
                  </w:r>
                </w:p>
              </w:tc>
            </w:tr>
            <w:tr w14:paraId="0A8CA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0" w:hRule="atLeast"/>
              </w:trPr>
              <w:tc>
                <w:tcPr>
                  <w:tcW w:w="731" w:type="dxa"/>
                  <w:vMerge w:val="restart"/>
                  <w:tcBorders>
                    <w:top w:val="single" w:color="auto" w:sz="4" w:space="0"/>
                    <w:left w:val="single" w:color="000000" w:sz="2" w:space="0"/>
                    <w:bottom w:val="single" w:color="auto" w:sz="4" w:space="0"/>
                    <w:right w:val="single" w:color="000000" w:sz="2" w:space="0"/>
                  </w:tcBorders>
                  <w:noWrap w:val="0"/>
                  <w:vAlign w:val="center"/>
                </w:tcPr>
                <w:p w14:paraId="0ACE41D5">
                  <w:pPr>
                    <w:widowControl/>
                    <w:kinsoku w:val="0"/>
                    <w:autoSpaceDE w:val="0"/>
                    <w:autoSpaceDN w:val="0"/>
                    <w:adjustRightInd w:val="0"/>
                    <w:snapToGrid w:val="0"/>
                    <w:spacing w:line="360" w:lineRule="exact"/>
                    <w:ind w:firstLine="416" w:firstLineChars="200"/>
                    <w:jc w:val="center"/>
                    <w:textAlignment w:val="baseline"/>
                    <w:rPr>
                      <w:rFonts w:cs="CESI仿宋-GB2312"/>
                      <w:spacing w:val="-1"/>
                      <w:szCs w:val="21"/>
                    </w:rPr>
                  </w:pPr>
                  <w:r>
                    <w:rPr>
                      <w:rFonts w:hint="eastAsia" w:cs="CESI仿宋-GB2312"/>
                      <w:spacing w:val="-1"/>
                      <w:szCs w:val="21"/>
                    </w:rPr>
                    <w:t>7</w:t>
                  </w:r>
                </w:p>
              </w:tc>
              <w:tc>
                <w:tcPr>
                  <w:tcW w:w="1081" w:type="dxa"/>
                  <w:vMerge w:val="restart"/>
                  <w:tcBorders>
                    <w:top w:val="single" w:color="auto" w:sz="4" w:space="0"/>
                    <w:left w:val="single" w:color="000000" w:sz="2" w:space="0"/>
                    <w:bottom w:val="single" w:color="auto" w:sz="4" w:space="0"/>
                    <w:right w:val="single" w:color="000000" w:sz="2" w:space="0"/>
                  </w:tcBorders>
                  <w:noWrap w:val="0"/>
                  <w:vAlign w:val="center"/>
                </w:tcPr>
                <w:p w14:paraId="5DAC8F0A">
                  <w:pPr>
                    <w:widowControl/>
                    <w:kinsoku w:val="0"/>
                    <w:autoSpaceDE w:val="0"/>
                    <w:autoSpaceDN w:val="0"/>
                    <w:adjustRightInd w:val="0"/>
                    <w:snapToGrid w:val="0"/>
                    <w:spacing w:line="360" w:lineRule="exact"/>
                    <w:textAlignment w:val="baseline"/>
                    <w:rPr>
                      <w:rFonts w:cs="CESI仿宋-GB2312"/>
                      <w:spacing w:val="-1"/>
                      <w:szCs w:val="21"/>
                    </w:rPr>
                  </w:pPr>
                  <w:r>
                    <w:rPr>
                      <w:rFonts w:hint="eastAsia" w:cs="CESI仿宋-GB2312"/>
                      <w:spacing w:val="-1"/>
                      <w:szCs w:val="21"/>
                    </w:rPr>
                    <w:t>突发事件处理</w:t>
                  </w: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1BF29175">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（1）制定突发事件安全责任书，明确突发事件责任人及应承担的安全责任。</w:t>
                  </w:r>
                </w:p>
              </w:tc>
            </w:tr>
            <w:tr w14:paraId="7115D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6" w:hRule="atLeast"/>
              </w:trPr>
              <w:tc>
                <w:tcPr>
                  <w:tcW w:w="731" w:type="dxa"/>
                  <w:vMerge w:val="continue"/>
                  <w:tcBorders>
                    <w:top w:val="single" w:color="auto" w:sz="4" w:space="0"/>
                    <w:left w:val="single" w:color="000000" w:sz="2" w:space="0"/>
                    <w:bottom w:val="single" w:color="auto" w:sz="4" w:space="0"/>
                    <w:right w:val="single" w:color="000000" w:sz="2" w:space="0"/>
                  </w:tcBorders>
                  <w:noWrap w:val="0"/>
                  <w:vAlign w:val="center"/>
                </w:tcPr>
                <w:p w14:paraId="4901A71F">
                  <w:pPr>
                    <w:widowControl/>
                    <w:spacing w:line="360" w:lineRule="exact"/>
                    <w:ind w:firstLine="416" w:firstLineChars="200"/>
                    <w:jc w:val="center"/>
                    <w:rPr>
                      <w:rFonts w:cs="CESI仿宋-GB2312"/>
                      <w:spacing w:val="-1"/>
                      <w:szCs w:val="21"/>
                    </w:rPr>
                  </w:pPr>
                </w:p>
              </w:tc>
              <w:tc>
                <w:tcPr>
                  <w:tcW w:w="1081" w:type="dxa"/>
                  <w:vMerge w:val="continue"/>
                  <w:tcBorders>
                    <w:top w:val="single" w:color="auto" w:sz="4" w:space="0"/>
                    <w:left w:val="single" w:color="000000" w:sz="2" w:space="0"/>
                    <w:bottom w:val="single" w:color="auto" w:sz="4" w:space="0"/>
                    <w:right w:val="single" w:color="000000" w:sz="2" w:space="0"/>
                  </w:tcBorders>
                  <w:noWrap w:val="0"/>
                  <w:vAlign w:val="center"/>
                </w:tcPr>
                <w:p w14:paraId="7376D6A3">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0D20566A">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（2）应针对自然灾害、突发事件、设施设备故障等制定相应的应急预案，包括但不限于恐怖事件、暴力冲突、群体事件、火灾、风灾、水灾、爆炸、地震、安全疏散及电梯应急等。</w:t>
                  </w:r>
                </w:p>
              </w:tc>
            </w:tr>
            <w:tr w14:paraId="2842C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5" w:hRule="atLeast"/>
              </w:trPr>
              <w:tc>
                <w:tcPr>
                  <w:tcW w:w="731" w:type="dxa"/>
                  <w:vMerge w:val="continue"/>
                  <w:tcBorders>
                    <w:top w:val="single" w:color="auto" w:sz="4" w:space="0"/>
                    <w:left w:val="single" w:color="000000" w:sz="2" w:space="0"/>
                    <w:bottom w:val="single" w:color="auto" w:sz="4" w:space="0"/>
                    <w:right w:val="single" w:color="000000" w:sz="2" w:space="0"/>
                  </w:tcBorders>
                  <w:noWrap w:val="0"/>
                  <w:vAlign w:val="center"/>
                </w:tcPr>
                <w:p w14:paraId="51513F64">
                  <w:pPr>
                    <w:widowControl/>
                    <w:spacing w:line="360" w:lineRule="exact"/>
                    <w:ind w:firstLine="416" w:firstLineChars="200"/>
                    <w:jc w:val="center"/>
                    <w:rPr>
                      <w:rFonts w:cs="CESI仿宋-GB2312"/>
                      <w:spacing w:val="-1"/>
                      <w:szCs w:val="21"/>
                    </w:rPr>
                  </w:pPr>
                </w:p>
              </w:tc>
              <w:tc>
                <w:tcPr>
                  <w:tcW w:w="1081" w:type="dxa"/>
                  <w:vMerge w:val="continue"/>
                  <w:tcBorders>
                    <w:top w:val="single" w:color="auto" w:sz="4" w:space="0"/>
                    <w:left w:val="single" w:color="000000" w:sz="2" w:space="0"/>
                    <w:bottom w:val="single" w:color="auto" w:sz="4" w:space="0"/>
                    <w:right w:val="single" w:color="000000" w:sz="2" w:space="0"/>
                  </w:tcBorders>
                  <w:noWrap w:val="0"/>
                  <w:vAlign w:val="center"/>
                </w:tcPr>
                <w:p w14:paraId="1F2C0040">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auto" w:sz="4" w:space="0"/>
                    <w:right w:val="single" w:color="000000" w:sz="2" w:space="0"/>
                  </w:tcBorders>
                  <w:noWrap w:val="0"/>
                  <w:vAlign w:val="center"/>
                </w:tcPr>
                <w:p w14:paraId="501685D7">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（3）建立应急突发事件处置队伍，明确各自的职责。熟悉应急物资使用方法，熟记应急电话和有关人员联系方式。</w:t>
                  </w:r>
                </w:p>
              </w:tc>
            </w:tr>
            <w:tr w14:paraId="1A4DC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77" w:hRule="atLeast"/>
              </w:trPr>
              <w:tc>
                <w:tcPr>
                  <w:tcW w:w="731" w:type="dxa"/>
                  <w:vMerge w:val="continue"/>
                  <w:tcBorders>
                    <w:top w:val="single" w:color="auto" w:sz="4" w:space="0"/>
                    <w:left w:val="single" w:color="000000" w:sz="2" w:space="0"/>
                    <w:bottom w:val="single" w:color="auto" w:sz="4" w:space="0"/>
                    <w:right w:val="single" w:color="000000" w:sz="2" w:space="0"/>
                  </w:tcBorders>
                  <w:noWrap w:val="0"/>
                  <w:vAlign w:val="center"/>
                </w:tcPr>
                <w:p w14:paraId="65308303">
                  <w:pPr>
                    <w:widowControl/>
                    <w:spacing w:line="360" w:lineRule="exact"/>
                    <w:ind w:firstLine="416" w:firstLineChars="200"/>
                    <w:jc w:val="center"/>
                    <w:rPr>
                      <w:rFonts w:cs="CESI仿宋-GB2312"/>
                      <w:spacing w:val="-1"/>
                      <w:szCs w:val="21"/>
                    </w:rPr>
                  </w:pPr>
                </w:p>
              </w:tc>
              <w:tc>
                <w:tcPr>
                  <w:tcW w:w="1081" w:type="dxa"/>
                  <w:vMerge w:val="continue"/>
                  <w:tcBorders>
                    <w:top w:val="single" w:color="auto" w:sz="4" w:space="0"/>
                    <w:left w:val="single" w:color="000000" w:sz="2" w:space="0"/>
                    <w:bottom w:val="single" w:color="auto" w:sz="4" w:space="0"/>
                    <w:right w:val="single" w:color="000000" w:sz="2" w:space="0"/>
                  </w:tcBorders>
                  <w:noWrap w:val="0"/>
                  <w:vAlign w:val="center"/>
                </w:tcPr>
                <w:p w14:paraId="74C05ACD">
                  <w:pPr>
                    <w:widowControl/>
                    <w:spacing w:line="360" w:lineRule="exact"/>
                    <w:ind w:firstLine="416" w:firstLineChars="200"/>
                    <w:jc w:val="left"/>
                    <w:rPr>
                      <w:rFonts w:cs="CESI仿宋-GB2312"/>
                      <w:spacing w:val="-1"/>
                      <w:szCs w:val="21"/>
                    </w:rPr>
                  </w:pPr>
                </w:p>
              </w:tc>
              <w:tc>
                <w:tcPr>
                  <w:tcW w:w="4923" w:type="dxa"/>
                  <w:tcBorders>
                    <w:top w:val="single" w:color="auto" w:sz="4" w:space="0"/>
                    <w:left w:val="single" w:color="000000" w:sz="2" w:space="0"/>
                    <w:bottom w:val="single" w:color="000000" w:sz="2" w:space="0"/>
                    <w:right w:val="single" w:color="000000" w:sz="2" w:space="0"/>
                  </w:tcBorders>
                  <w:noWrap w:val="0"/>
                  <w:vAlign w:val="center"/>
                </w:tcPr>
                <w:p w14:paraId="6B9D9A59">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（4）配置应急物资，并建立应急物资管理制度，有存放地点和使用记录。每月至少对应急物资进行1次维护及检查，做好相应记录。</w:t>
                  </w:r>
                </w:p>
              </w:tc>
            </w:tr>
            <w:tr w14:paraId="42790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6" w:hRule="atLeast"/>
              </w:trPr>
              <w:tc>
                <w:tcPr>
                  <w:tcW w:w="731" w:type="dxa"/>
                  <w:vMerge w:val="continue"/>
                  <w:tcBorders>
                    <w:top w:val="single" w:color="auto" w:sz="4" w:space="0"/>
                    <w:left w:val="single" w:color="000000" w:sz="2" w:space="0"/>
                    <w:bottom w:val="single" w:color="auto" w:sz="4" w:space="0"/>
                    <w:right w:val="single" w:color="000000" w:sz="2" w:space="0"/>
                  </w:tcBorders>
                  <w:noWrap w:val="0"/>
                  <w:vAlign w:val="center"/>
                </w:tcPr>
                <w:p w14:paraId="4BE54D7C">
                  <w:pPr>
                    <w:widowControl/>
                    <w:spacing w:line="360" w:lineRule="exact"/>
                    <w:ind w:firstLine="416" w:firstLineChars="200"/>
                    <w:jc w:val="center"/>
                    <w:rPr>
                      <w:rFonts w:cs="CESI仿宋-GB2312"/>
                      <w:spacing w:val="-1"/>
                      <w:szCs w:val="21"/>
                    </w:rPr>
                  </w:pPr>
                </w:p>
              </w:tc>
              <w:tc>
                <w:tcPr>
                  <w:tcW w:w="1081" w:type="dxa"/>
                  <w:vMerge w:val="continue"/>
                  <w:tcBorders>
                    <w:top w:val="single" w:color="auto" w:sz="4" w:space="0"/>
                    <w:left w:val="single" w:color="000000" w:sz="2" w:space="0"/>
                    <w:bottom w:val="single" w:color="auto" w:sz="4" w:space="0"/>
                    <w:right w:val="single" w:color="000000" w:sz="2" w:space="0"/>
                  </w:tcBorders>
                  <w:noWrap w:val="0"/>
                  <w:vAlign w:val="center"/>
                </w:tcPr>
                <w:p w14:paraId="56E24E1A">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4E893E42">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（5）每半年开展1次突发事件应急演练，并有相应记录保存演练过程和评估结果。</w:t>
                  </w:r>
                </w:p>
              </w:tc>
            </w:tr>
            <w:tr w14:paraId="50B29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0" w:hRule="atLeast"/>
              </w:trPr>
              <w:tc>
                <w:tcPr>
                  <w:tcW w:w="731" w:type="dxa"/>
                  <w:vMerge w:val="continue"/>
                  <w:tcBorders>
                    <w:top w:val="single" w:color="auto" w:sz="4" w:space="0"/>
                    <w:left w:val="single" w:color="000000" w:sz="2" w:space="0"/>
                    <w:bottom w:val="single" w:color="auto" w:sz="4" w:space="0"/>
                    <w:right w:val="single" w:color="000000" w:sz="2" w:space="0"/>
                  </w:tcBorders>
                  <w:noWrap w:val="0"/>
                  <w:vAlign w:val="center"/>
                </w:tcPr>
                <w:p w14:paraId="4F40420D">
                  <w:pPr>
                    <w:widowControl/>
                    <w:spacing w:line="360" w:lineRule="exact"/>
                    <w:ind w:firstLine="416" w:firstLineChars="200"/>
                    <w:jc w:val="center"/>
                    <w:rPr>
                      <w:rFonts w:cs="CESI仿宋-GB2312"/>
                      <w:spacing w:val="-1"/>
                      <w:szCs w:val="21"/>
                    </w:rPr>
                  </w:pPr>
                </w:p>
              </w:tc>
              <w:tc>
                <w:tcPr>
                  <w:tcW w:w="1081" w:type="dxa"/>
                  <w:vMerge w:val="continue"/>
                  <w:tcBorders>
                    <w:top w:val="single" w:color="auto" w:sz="4" w:space="0"/>
                    <w:left w:val="single" w:color="000000" w:sz="2" w:space="0"/>
                    <w:bottom w:val="single" w:color="auto" w:sz="4" w:space="0"/>
                    <w:right w:val="single" w:color="000000" w:sz="2" w:space="0"/>
                  </w:tcBorders>
                  <w:noWrap w:val="0"/>
                  <w:vAlign w:val="center"/>
                </w:tcPr>
                <w:p w14:paraId="54146DD2">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2EA1CB79">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6）发生突发事件时，应根据事件性质、损害程度和发展态势，第一时间报告或报警，并启动应急预案，协同相关部门迅速展开指挥协调、信息报告、紧急处置、秩序维护、抢险救援、后勤保障等工作，维护办公区域物业服务正常进行，保护人身财产安全。</w:t>
                  </w:r>
                </w:p>
              </w:tc>
            </w:tr>
            <w:tr w14:paraId="74803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28" w:hRule="atLeast"/>
              </w:trPr>
              <w:tc>
                <w:tcPr>
                  <w:tcW w:w="731" w:type="dxa"/>
                  <w:vMerge w:val="continue"/>
                  <w:tcBorders>
                    <w:top w:val="single" w:color="auto" w:sz="4" w:space="0"/>
                    <w:left w:val="single" w:color="000000" w:sz="2" w:space="0"/>
                    <w:bottom w:val="single" w:color="auto" w:sz="4" w:space="0"/>
                    <w:right w:val="single" w:color="000000" w:sz="2" w:space="0"/>
                  </w:tcBorders>
                  <w:noWrap w:val="0"/>
                  <w:vAlign w:val="center"/>
                </w:tcPr>
                <w:p w14:paraId="047A168A">
                  <w:pPr>
                    <w:widowControl/>
                    <w:spacing w:line="360" w:lineRule="exact"/>
                    <w:ind w:firstLine="416" w:firstLineChars="200"/>
                    <w:jc w:val="center"/>
                    <w:rPr>
                      <w:rFonts w:cs="CESI仿宋-GB2312"/>
                      <w:spacing w:val="-1"/>
                      <w:szCs w:val="21"/>
                    </w:rPr>
                  </w:pPr>
                </w:p>
              </w:tc>
              <w:tc>
                <w:tcPr>
                  <w:tcW w:w="1081" w:type="dxa"/>
                  <w:vMerge w:val="continue"/>
                  <w:tcBorders>
                    <w:top w:val="single" w:color="auto" w:sz="4" w:space="0"/>
                    <w:left w:val="single" w:color="000000" w:sz="2" w:space="0"/>
                    <w:bottom w:val="single" w:color="auto" w:sz="4" w:space="0"/>
                    <w:right w:val="single" w:color="000000" w:sz="2" w:space="0"/>
                  </w:tcBorders>
                  <w:noWrap w:val="0"/>
                  <w:vAlign w:val="center"/>
                </w:tcPr>
                <w:p w14:paraId="27DC3757">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228E391C">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（7）办公区域物业服务应急预案终止实施后，积极采取措施，在尽可能短的时间内，消除事故带来 的不良影响，妥善安置和慰问受害及受影响的人员和部门。</w:t>
                  </w:r>
                </w:p>
              </w:tc>
            </w:tr>
            <w:tr w14:paraId="1D650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0" w:hRule="atLeast"/>
              </w:trPr>
              <w:tc>
                <w:tcPr>
                  <w:tcW w:w="731" w:type="dxa"/>
                  <w:vMerge w:val="continue"/>
                  <w:tcBorders>
                    <w:top w:val="single" w:color="auto" w:sz="4" w:space="0"/>
                    <w:left w:val="single" w:color="000000" w:sz="2" w:space="0"/>
                    <w:bottom w:val="single" w:color="auto" w:sz="4" w:space="0"/>
                    <w:right w:val="single" w:color="000000" w:sz="2" w:space="0"/>
                  </w:tcBorders>
                  <w:noWrap w:val="0"/>
                  <w:vAlign w:val="center"/>
                </w:tcPr>
                <w:p w14:paraId="6729892B">
                  <w:pPr>
                    <w:widowControl/>
                    <w:spacing w:line="360" w:lineRule="exact"/>
                    <w:ind w:firstLine="416" w:firstLineChars="200"/>
                    <w:jc w:val="center"/>
                    <w:rPr>
                      <w:rFonts w:cs="CESI仿宋-GB2312"/>
                      <w:spacing w:val="-1"/>
                      <w:szCs w:val="21"/>
                    </w:rPr>
                  </w:pPr>
                </w:p>
              </w:tc>
              <w:tc>
                <w:tcPr>
                  <w:tcW w:w="1081" w:type="dxa"/>
                  <w:vMerge w:val="continue"/>
                  <w:tcBorders>
                    <w:top w:val="single" w:color="auto" w:sz="4" w:space="0"/>
                    <w:left w:val="single" w:color="000000" w:sz="2" w:space="0"/>
                    <w:bottom w:val="single" w:color="auto" w:sz="4" w:space="0"/>
                    <w:right w:val="single" w:color="000000" w:sz="2" w:space="0"/>
                  </w:tcBorders>
                  <w:noWrap w:val="0"/>
                  <w:vAlign w:val="center"/>
                </w:tcPr>
                <w:p w14:paraId="651A3F46">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3EA349DF">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（8）事故处理后，及时形成事故应急总结报告，完善应急救援工作方案。</w:t>
                  </w:r>
                </w:p>
              </w:tc>
            </w:tr>
            <w:tr w14:paraId="3F9E2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0" w:hRule="atLeast"/>
              </w:trPr>
              <w:tc>
                <w:tcPr>
                  <w:tcW w:w="731" w:type="dxa"/>
                  <w:vMerge w:val="restart"/>
                  <w:tcBorders>
                    <w:top w:val="single" w:color="auto" w:sz="4" w:space="0"/>
                    <w:left w:val="single" w:color="000000" w:sz="2" w:space="0"/>
                    <w:bottom w:val="single" w:color="auto" w:sz="4" w:space="0"/>
                    <w:right w:val="single" w:color="000000" w:sz="2" w:space="0"/>
                  </w:tcBorders>
                  <w:noWrap w:val="0"/>
                  <w:vAlign w:val="center"/>
                </w:tcPr>
                <w:p w14:paraId="079F6B6D">
                  <w:pPr>
                    <w:widowControl/>
                    <w:kinsoku w:val="0"/>
                    <w:autoSpaceDE w:val="0"/>
                    <w:autoSpaceDN w:val="0"/>
                    <w:adjustRightInd w:val="0"/>
                    <w:snapToGrid w:val="0"/>
                    <w:spacing w:line="360" w:lineRule="exact"/>
                    <w:ind w:firstLine="416" w:firstLineChars="200"/>
                    <w:jc w:val="center"/>
                    <w:textAlignment w:val="baseline"/>
                    <w:rPr>
                      <w:rFonts w:cs="CESI仿宋-GB2312"/>
                      <w:spacing w:val="-1"/>
                      <w:szCs w:val="21"/>
                    </w:rPr>
                  </w:pPr>
                  <w:r>
                    <w:rPr>
                      <w:rFonts w:hint="eastAsia" w:cs="CESI仿宋-GB2312"/>
                      <w:spacing w:val="-1"/>
                      <w:szCs w:val="21"/>
                    </w:rPr>
                    <w:t>8</w:t>
                  </w:r>
                </w:p>
              </w:tc>
              <w:tc>
                <w:tcPr>
                  <w:tcW w:w="1081" w:type="dxa"/>
                  <w:vMerge w:val="restart"/>
                  <w:tcBorders>
                    <w:top w:val="single" w:color="auto" w:sz="4" w:space="0"/>
                    <w:left w:val="single" w:color="000000" w:sz="2" w:space="0"/>
                    <w:bottom w:val="single" w:color="auto" w:sz="4" w:space="0"/>
                    <w:right w:val="single" w:color="000000" w:sz="2" w:space="0"/>
                  </w:tcBorders>
                  <w:noWrap w:val="0"/>
                  <w:vAlign w:val="center"/>
                </w:tcPr>
                <w:p w14:paraId="3F7606F9">
                  <w:pPr>
                    <w:widowControl/>
                    <w:kinsoku w:val="0"/>
                    <w:autoSpaceDE w:val="0"/>
                    <w:autoSpaceDN w:val="0"/>
                    <w:adjustRightInd w:val="0"/>
                    <w:snapToGrid w:val="0"/>
                    <w:spacing w:line="360" w:lineRule="exact"/>
                    <w:textAlignment w:val="baseline"/>
                    <w:rPr>
                      <w:rFonts w:cs="CESI仿宋-GB2312"/>
                      <w:spacing w:val="-1"/>
                      <w:szCs w:val="21"/>
                    </w:rPr>
                  </w:pPr>
                  <w:r>
                    <w:rPr>
                      <w:rFonts w:hint="eastAsia" w:cs="CESI仿宋-GB2312"/>
                      <w:spacing w:val="-1"/>
                      <w:szCs w:val="21"/>
                    </w:rPr>
                    <w:t>大型活动秩序</w:t>
                  </w: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0EB16E78">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（1）制定相应的活动秩序维护方案，合理安排人员，并对场所的安全隐患进行排查。</w:t>
                  </w:r>
                </w:p>
              </w:tc>
            </w:tr>
            <w:tr w14:paraId="3DFA8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6" w:hRule="atLeast"/>
              </w:trPr>
              <w:tc>
                <w:tcPr>
                  <w:tcW w:w="731" w:type="dxa"/>
                  <w:vMerge w:val="continue"/>
                  <w:tcBorders>
                    <w:top w:val="single" w:color="auto" w:sz="4" w:space="0"/>
                    <w:left w:val="single" w:color="000000" w:sz="2" w:space="0"/>
                    <w:bottom w:val="single" w:color="auto" w:sz="4" w:space="0"/>
                    <w:right w:val="single" w:color="000000" w:sz="2" w:space="0"/>
                  </w:tcBorders>
                  <w:noWrap w:val="0"/>
                  <w:vAlign w:val="center"/>
                </w:tcPr>
                <w:p w14:paraId="7BDB6C53">
                  <w:pPr>
                    <w:widowControl/>
                    <w:spacing w:line="360" w:lineRule="exact"/>
                    <w:ind w:firstLine="416" w:firstLineChars="200"/>
                    <w:jc w:val="left"/>
                    <w:rPr>
                      <w:rFonts w:cs="CESI仿宋-GB2312"/>
                      <w:spacing w:val="-1"/>
                      <w:szCs w:val="21"/>
                    </w:rPr>
                  </w:pPr>
                </w:p>
              </w:tc>
              <w:tc>
                <w:tcPr>
                  <w:tcW w:w="1081" w:type="dxa"/>
                  <w:vMerge w:val="continue"/>
                  <w:tcBorders>
                    <w:top w:val="single" w:color="auto" w:sz="4" w:space="0"/>
                    <w:left w:val="single" w:color="000000" w:sz="2" w:space="0"/>
                    <w:bottom w:val="single" w:color="auto" w:sz="4" w:space="0"/>
                    <w:right w:val="single" w:color="000000" w:sz="2" w:space="0"/>
                  </w:tcBorders>
                  <w:noWrap w:val="0"/>
                  <w:vAlign w:val="center"/>
                </w:tcPr>
                <w:p w14:paraId="78274317">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7836DD0E">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（2）应保障通道、出入口、停车场等区域畅通。</w:t>
                  </w:r>
                </w:p>
              </w:tc>
            </w:tr>
            <w:tr w14:paraId="2502A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3" w:hRule="atLeast"/>
              </w:trPr>
              <w:tc>
                <w:tcPr>
                  <w:tcW w:w="731" w:type="dxa"/>
                  <w:vMerge w:val="continue"/>
                  <w:tcBorders>
                    <w:top w:val="single" w:color="auto" w:sz="4" w:space="0"/>
                    <w:left w:val="single" w:color="000000" w:sz="2" w:space="0"/>
                    <w:bottom w:val="single" w:color="auto" w:sz="4" w:space="0"/>
                    <w:right w:val="single" w:color="000000" w:sz="2" w:space="0"/>
                  </w:tcBorders>
                  <w:noWrap w:val="0"/>
                  <w:vAlign w:val="center"/>
                </w:tcPr>
                <w:p w14:paraId="687C0B31">
                  <w:pPr>
                    <w:widowControl/>
                    <w:spacing w:line="360" w:lineRule="exact"/>
                    <w:ind w:firstLine="416" w:firstLineChars="200"/>
                    <w:jc w:val="left"/>
                    <w:rPr>
                      <w:rFonts w:cs="CESI仿宋-GB2312"/>
                      <w:spacing w:val="-1"/>
                      <w:szCs w:val="21"/>
                    </w:rPr>
                  </w:pPr>
                </w:p>
              </w:tc>
              <w:tc>
                <w:tcPr>
                  <w:tcW w:w="1081" w:type="dxa"/>
                  <w:vMerge w:val="continue"/>
                  <w:tcBorders>
                    <w:top w:val="single" w:color="auto" w:sz="4" w:space="0"/>
                    <w:left w:val="single" w:color="000000" w:sz="2" w:space="0"/>
                    <w:bottom w:val="single" w:color="auto" w:sz="4" w:space="0"/>
                    <w:right w:val="single" w:color="000000" w:sz="2" w:space="0"/>
                  </w:tcBorders>
                  <w:noWrap w:val="0"/>
                  <w:vAlign w:val="center"/>
                </w:tcPr>
                <w:p w14:paraId="2F62AB8D">
                  <w:pPr>
                    <w:widowControl/>
                    <w:spacing w:line="360" w:lineRule="exact"/>
                    <w:ind w:firstLine="416" w:firstLineChars="200"/>
                    <w:jc w:val="left"/>
                    <w:rPr>
                      <w:rFonts w:cs="CESI仿宋-GB2312"/>
                      <w:spacing w:val="-1"/>
                      <w:szCs w:val="21"/>
                    </w:rPr>
                  </w:pPr>
                </w:p>
              </w:tc>
              <w:tc>
                <w:tcPr>
                  <w:tcW w:w="4923" w:type="dxa"/>
                  <w:tcBorders>
                    <w:top w:val="single" w:color="000000" w:sz="2" w:space="0"/>
                    <w:left w:val="single" w:color="000000" w:sz="2" w:space="0"/>
                    <w:bottom w:val="single" w:color="auto" w:sz="4" w:space="0"/>
                    <w:right w:val="single" w:color="000000" w:sz="2" w:space="0"/>
                  </w:tcBorders>
                  <w:noWrap w:val="0"/>
                  <w:vAlign w:val="center"/>
                </w:tcPr>
                <w:p w14:paraId="56BAEFCA">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 xml:space="preserve">（3）活动举办过程中，做好现场秩序的维护和突发事故的处置工作，确保活动正常进行。 </w:t>
                  </w:r>
                </w:p>
              </w:tc>
            </w:tr>
            <w:tr w14:paraId="298A3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46" w:hRule="atLeast"/>
              </w:trPr>
              <w:tc>
                <w:tcPr>
                  <w:tcW w:w="731" w:type="dxa"/>
                  <w:vMerge w:val="continue"/>
                  <w:tcBorders>
                    <w:top w:val="single" w:color="auto" w:sz="4" w:space="0"/>
                    <w:left w:val="single" w:color="000000" w:sz="2" w:space="0"/>
                    <w:bottom w:val="single" w:color="auto" w:sz="4" w:space="0"/>
                    <w:right w:val="single" w:color="000000" w:sz="2" w:space="0"/>
                  </w:tcBorders>
                  <w:noWrap w:val="0"/>
                  <w:vAlign w:val="center"/>
                </w:tcPr>
                <w:p w14:paraId="11E11033">
                  <w:pPr>
                    <w:widowControl/>
                    <w:spacing w:line="360" w:lineRule="exact"/>
                    <w:ind w:firstLine="416" w:firstLineChars="200"/>
                    <w:jc w:val="left"/>
                    <w:rPr>
                      <w:rFonts w:cs="CESI仿宋-GB2312"/>
                      <w:spacing w:val="-1"/>
                      <w:szCs w:val="21"/>
                    </w:rPr>
                  </w:pPr>
                </w:p>
              </w:tc>
              <w:tc>
                <w:tcPr>
                  <w:tcW w:w="1081" w:type="dxa"/>
                  <w:vMerge w:val="continue"/>
                  <w:tcBorders>
                    <w:top w:val="single" w:color="auto" w:sz="4" w:space="0"/>
                    <w:left w:val="single" w:color="000000" w:sz="2" w:space="0"/>
                    <w:bottom w:val="single" w:color="auto" w:sz="4" w:space="0"/>
                    <w:right w:val="single" w:color="000000" w:sz="2" w:space="0"/>
                  </w:tcBorders>
                  <w:noWrap w:val="0"/>
                  <w:vAlign w:val="center"/>
                </w:tcPr>
                <w:p w14:paraId="6DE2E56A">
                  <w:pPr>
                    <w:widowControl/>
                    <w:spacing w:line="360" w:lineRule="exact"/>
                    <w:ind w:firstLine="416" w:firstLineChars="200"/>
                    <w:jc w:val="left"/>
                    <w:rPr>
                      <w:rFonts w:cs="CESI仿宋-GB2312"/>
                      <w:spacing w:val="-1"/>
                      <w:szCs w:val="21"/>
                    </w:rPr>
                  </w:pPr>
                </w:p>
              </w:tc>
              <w:tc>
                <w:tcPr>
                  <w:tcW w:w="4923" w:type="dxa"/>
                  <w:tcBorders>
                    <w:top w:val="single" w:color="auto" w:sz="4" w:space="0"/>
                    <w:left w:val="single" w:color="000000" w:sz="2" w:space="0"/>
                    <w:bottom w:val="single" w:color="000000" w:sz="2" w:space="0"/>
                    <w:right w:val="single" w:color="000000" w:sz="2" w:space="0"/>
                  </w:tcBorders>
                  <w:noWrap w:val="0"/>
                  <w:vAlign w:val="center"/>
                </w:tcPr>
                <w:p w14:paraId="4C892497">
                  <w:pPr>
                    <w:widowControl/>
                    <w:kinsoku w:val="0"/>
                    <w:autoSpaceDE w:val="0"/>
                    <w:autoSpaceDN w:val="0"/>
                    <w:adjustRightInd w:val="0"/>
                    <w:snapToGrid w:val="0"/>
                    <w:spacing w:line="360" w:lineRule="exact"/>
                    <w:ind w:firstLine="416" w:firstLineChars="200"/>
                    <w:textAlignment w:val="baseline"/>
                    <w:rPr>
                      <w:rFonts w:cs="CESI仿宋-GB2312"/>
                      <w:spacing w:val="-1"/>
                      <w:szCs w:val="21"/>
                    </w:rPr>
                  </w:pPr>
                  <w:r>
                    <w:rPr>
                      <w:rFonts w:hint="eastAsia" w:cs="CESI仿宋-GB2312"/>
                      <w:spacing w:val="-1"/>
                      <w:szCs w:val="21"/>
                    </w:rPr>
                    <w:t>（4）重大活动、重要会议、突发事件须增加临时机动人员</w:t>
                  </w:r>
                  <w:r>
                    <w:rPr>
                      <w:rFonts w:hint="eastAsia" w:cs="CESI仿宋-GB2312"/>
                      <w:spacing w:val="-1"/>
                      <w:szCs w:val="21"/>
                      <w:lang w:val="en-US" w:eastAsia="zh-CN"/>
                    </w:rPr>
                    <w:t>进行协助</w:t>
                  </w:r>
                  <w:r>
                    <w:rPr>
                      <w:rFonts w:hint="eastAsia" w:cs="CESI仿宋-GB2312"/>
                      <w:spacing w:val="-1"/>
                      <w:szCs w:val="21"/>
                    </w:rPr>
                    <w:t>。</w:t>
                  </w:r>
                </w:p>
              </w:tc>
            </w:tr>
          </w:tbl>
          <w:p w14:paraId="290D0BB2">
            <w:pPr>
              <w:widowControl/>
              <w:kinsoku w:val="0"/>
              <w:autoSpaceDE w:val="0"/>
              <w:autoSpaceDN w:val="0"/>
              <w:adjustRightInd w:val="0"/>
              <w:snapToGrid w:val="0"/>
              <w:spacing w:line="500" w:lineRule="exact"/>
              <w:ind w:firstLine="418" w:firstLineChars="200"/>
              <w:textAlignment w:val="baseline"/>
              <w:rPr>
                <w:rFonts w:cs="CESI仿宋-GB2312"/>
                <w:b/>
                <w:bCs/>
                <w:color w:val="auto"/>
                <w:spacing w:val="-1"/>
                <w:szCs w:val="21"/>
                <w:highlight w:val="none"/>
              </w:rPr>
            </w:pPr>
            <w:bookmarkStart w:id="41" w:name="_Toc193963312"/>
            <w:r>
              <w:rPr>
                <w:rFonts w:cs="CESI仿宋-GB2312"/>
                <w:b/>
                <w:bCs/>
                <w:color w:val="auto"/>
                <w:spacing w:val="-1"/>
                <w:szCs w:val="21"/>
                <w:highlight w:val="none"/>
              </w:rPr>
              <w:t>2.</w:t>
            </w:r>
            <w:r>
              <w:rPr>
                <w:rFonts w:hint="eastAsia" w:cs="CESI仿宋-GB2312"/>
                <w:b/>
                <w:bCs/>
                <w:color w:val="auto"/>
                <w:spacing w:val="-1"/>
                <w:szCs w:val="21"/>
                <w:highlight w:val="none"/>
                <w:lang w:val="en-US" w:eastAsia="zh-CN"/>
              </w:rPr>
              <w:t>5绿化</w:t>
            </w:r>
            <w:r>
              <w:rPr>
                <w:rFonts w:hint="eastAsia" w:cs="CESI仿宋-GB2312"/>
                <w:b/>
                <w:bCs/>
                <w:color w:val="auto"/>
                <w:spacing w:val="-1"/>
                <w:szCs w:val="21"/>
                <w:highlight w:val="none"/>
              </w:rPr>
              <w:t>服务</w:t>
            </w:r>
          </w:p>
          <w:p w14:paraId="2476B0C0">
            <w:pPr>
              <w:widowControl/>
              <w:spacing w:line="500" w:lineRule="exact"/>
              <w:ind w:firstLine="416" w:firstLineChars="200"/>
              <w:rPr>
                <w:rFonts w:cs="CESI仿宋-GB2312"/>
                <w:color w:val="auto"/>
                <w:spacing w:val="-1"/>
                <w:szCs w:val="21"/>
                <w:highlight w:val="none"/>
              </w:rPr>
            </w:pPr>
            <w:r>
              <w:rPr>
                <w:rFonts w:hint="eastAsia" w:cs="CESI仿宋-GB2312"/>
                <w:color w:val="auto"/>
                <w:spacing w:val="-1"/>
                <w:szCs w:val="21"/>
                <w:highlight w:val="none"/>
              </w:rPr>
              <w:t>服务内容：</w:t>
            </w:r>
            <w:r>
              <w:rPr>
                <w:rFonts w:hint="eastAsia" w:cs="CESI仿宋-GB2312"/>
                <w:color w:val="auto"/>
                <w:spacing w:val="-1"/>
                <w:szCs w:val="21"/>
                <w:highlight w:val="none"/>
                <w:lang w:eastAsia="zh-CN"/>
              </w:rPr>
              <w:t>做好上林县县委县政府大院内绿化管护工作</w:t>
            </w:r>
            <w:r>
              <w:rPr>
                <w:rFonts w:hint="eastAsia" w:cs="CESI仿宋-GB2312"/>
                <w:color w:val="auto"/>
                <w:spacing w:val="-1"/>
                <w:szCs w:val="21"/>
                <w:highlight w:val="none"/>
              </w:rPr>
              <w:t>。</w:t>
            </w:r>
          </w:p>
          <w:tbl>
            <w:tblPr>
              <w:tblStyle w:val="19"/>
              <w:tblW w:w="0" w:type="auto"/>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740"/>
              <w:gridCol w:w="787"/>
              <w:gridCol w:w="3375"/>
            </w:tblGrid>
            <w:tr w14:paraId="0BF3D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6" w:hRule="atLeast"/>
              </w:trPr>
              <w:tc>
                <w:tcPr>
                  <w:tcW w:w="731" w:type="dxa"/>
                  <w:tcBorders>
                    <w:top w:val="single" w:color="000000" w:sz="2" w:space="0"/>
                    <w:left w:val="single" w:color="000000" w:sz="2" w:space="0"/>
                    <w:bottom w:val="single" w:color="000000" w:sz="2" w:space="0"/>
                    <w:right w:val="single" w:color="000000" w:sz="2" w:space="0"/>
                  </w:tcBorders>
                  <w:noWrap w:val="0"/>
                  <w:vAlign w:val="center"/>
                </w:tcPr>
                <w:p w14:paraId="6243A691">
                  <w:pPr>
                    <w:widowControl/>
                    <w:kinsoku w:val="0"/>
                    <w:autoSpaceDE w:val="0"/>
                    <w:autoSpaceDN w:val="0"/>
                    <w:adjustRightInd w:val="0"/>
                    <w:snapToGrid w:val="0"/>
                    <w:spacing w:line="360" w:lineRule="exact"/>
                    <w:textAlignment w:val="baseline"/>
                    <w:rPr>
                      <w:rFonts w:cs="CESI仿宋-GB2312"/>
                      <w:color w:val="auto"/>
                      <w:spacing w:val="-1"/>
                      <w:szCs w:val="21"/>
                      <w:highlight w:val="none"/>
                    </w:rPr>
                  </w:pPr>
                  <w:r>
                    <w:rPr>
                      <w:rFonts w:hint="eastAsia" w:cs="CESI仿宋-GB2312"/>
                      <w:color w:val="auto"/>
                      <w:spacing w:val="-1"/>
                      <w:szCs w:val="21"/>
                      <w:highlight w:val="none"/>
                    </w:rPr>
                    <w:t>序号</w:t>
                  </w:r>
                </w:p>
              </w:tc>
              <w:tc>
                <w:tcPr>
                  <w:tcW w:w="1081" w:type="dxa"/>
                  <w:tcBorders>
                    <w:top w:val="single" w:color="000000" w:sz="2" w:space="0"/>
                    <w:left w:val="single" w:color="000000" w:sz="2" w:space="0"/>
                    <w:bottom w:val="single" w:color="000000" w:sz="2" w:space="0"/>
                    <w:right w:val="single" w:color="000000" w:sz="2" w:space="0"/>
                  </w:tcBorders>
                  <w:noWrap w:val="0"/>
                  <w:vAlign w:val="center"/>
                </w:tcPr>
                <w:p w14:paraId="4631164C">
                  <w:pPr>
                    <w:widowControl/>
                    <w:kinsoku w:val="0"/>
                    <w:autoSpaceDE w:val="0"/>
                    <w:autoSpaceDN w:val="0"/>
                    <w:adjustRightInd w:val="0"/>
                    <w:snapToGrid w:val="0"/>
                    <w:spacing w:line="360" w:lineRule="exact"/>
                    <w:textAlignment w:val="baseline"/>
                    <w:rPr>
                      <w:rFonts w:cs="CESI仿宋-GB2312"/>
                      <w:color w:val="auto"/>
                      <w:spacing w:val="-1"/>
                      <w:szCs w:val="21"/>
                      <w:highlight w:val="none"/>
                    </w:rPr>
                  </w:pPr>
                  <w:r>
                    <w:rPr>
                      <w:rFonts w:hint="eastAsia" w:cs="CESI仿宋-GB2312"/>
                      <w:color w:val="auto"/>
                      <w:spacing w:val="-1"/>
                      <w:szCs w:val="21"/>
                      <w:highlight w:val="none"/>
                    </w:rPr>
                    <w:t>服务内容</w:t>
                  </w: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0E78D3CD">
                  <w:pPr>
                    <w:widowControl/>
                    <w:kinsoku w:val="0"/>
                    <w:autoSpaceDE w:val="0"/>
                    <w:autoSpaceDN w:val="0"/>
                    <w:adjustRightInd w:val="0"/>
                    <w:snapToGrid w:val="0"/>
                    <w:spacing w:line="360" w:lineRule="exact"/>
                    <w:ind w:firstLine="416" w:firstLineChars="200"/>
                    <w:jc w:val="center"/>
                    <w:textAlignment w:val="baseline"/>
                    <w:rPr>
                      <w:rFonts w:cs="CESI仿宋-GB2312"/>
                      <w:color w:val="auto"/>
                      <w:spacing w:val="-1"/>
                      <w:szCs w:val="21"/>
                      <w:highlight w:val="none"/>
                    </w:rPr>
                  </w:pPr>
                  <w:r>
                    <w:rPr>
                      <w:rFonts w:hint="eastAsia" w:cs="CESI仿宋-GB2312"/>
                      <w:color w:val="auto"/>
                      <w:spacing w:val="-1"/>
                      <w:szCs w:val="21"/>
                      <w:highlight w:val="none"/>
                    </w:rPr>
                    <w:t>服务标准</w:t>
                  </w:r>
                </w:p>
              </w:tc>
            </w:tr>
            <w:tr w14:paraId="79F30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6" w:hRule="atLeast"/>
              </w:trPr>
              <w:tc>
                <w:tcPr>
                  <w:tcW w:w="731" w:type="dxa"/>
                  <w:vMerge w:val="restart"/>
                  <w:tcBorders>
                    <w:top w:val="single" w:color="000000" w:sz="2" w:space="0"/>
                    <w:left w:val="single" w:color="000000" w:sz="2" w:space="0"/>
                    <w:bottom w:val="single" w:color="000000" w:sz="2" w:space="0"/>
                    <w:right w:val="single" w:color="000000" w:sz="2" w:space="0"/>
                  </w:tcBorders>
                  <w:noWrap w:val="0"/>
                  <w:vAlign w:val="center"/>
                </w:tcPr>
                <w:p w14:paraId="49A734D0">
                  <w:pPr>
                    <w:widowControl/>
                    <w:kinsoku w:val="0"/>
                    <w:autoSpaceDE w:val="0"/>
                    <w:autoSpaceDN w:val="0"/>
                    <w:adjustRightInd w:val="0"/>
                    <w:snapToGrid w:val="0"/>
                    <w:spacing w:line="360" w:lineRule="exact"/>
                    <w:ind w:firstLine="416" w:firstLineChars="200"/>
                    <w:jc w:val="center"/>
                    <w:textAlignment w:val="baseline"/>
                    <w:rPr>
                      <w:rFonts w:cs="CESI仿宋-GB2312"/>
                      <w:color w:val="auto"/>
                      <w:spacing w:val="-1"/>
                      <w:szCs w:val="21"/>
                      <w:highlight w:val="none"/>
                    </w:rPr>
                  </w:pPr>
                  <w:r>
                    <w:rPr>
                      <w:rFonts w:hint="eastAsia" w:cs="CESI仿宋-GB2312"/>
                      <w:color w:val="auto"/>
                      <w:spacing w:val="-1"/>
                      <w:szCs w:val="21"/>
                      <w:highlight w:val="none"/>
                    </w:rPr>
                    <w:t>1</w:t>
                  </w:r>
                </w:p>
              </w:tc>
              <w:tc>
                <w:tcPr>
                  <w:tcW w:w="1081" w:type="dxa"/>
                  <w:vMerge w:val="restart"/>
                  <w:tcBorders>
                    <w:top w:val="single" w:color="000000" w:sz="2" w:space="0"/>
                    <w:left w:val="single" w:color="000000" w:sz="2" w:space="0"/>
                    <w:bottom w:val="single" w:color="000000" w:sz="2" w:space="0"/>
                    <w:right w:val="single" w:color="000000" w:sz="2" w:space="0"/>
                  </w:tcBorders>
                  <w:noWrap w:val="0"/>
                  <w:vAlign w:val="center"/>
                </w:tcPr>
                <w:p w14:paraId="3CC34816">
                  <w:pPr>
                    <w:widowControl/>
                    <w:kinsoku w:val="0"/>
                    <w:autoSpaceDE w:val="0"/>
                    <w:autoSpaceDN w:val="0"/>
                    <w:adjustRightInd w:val="0"/>
                    <w:snapToGrid w:val="0"/>
                    <w:spacing w:line="360" w:lineRule="exact"/>
                    <w:textAlignment w:val="baseline"/>
                    <w:rPr>
                      <w:rFonts w:cs="CESI仿宋-GB2312"/>
                      <w:color w:val="auto"/>
                      <w:spacing w:val="-1"/>
                      <w:szCs w:val="21"/>
                      <w:highlight w:val="none"/>
                    </w:rPr>
                  </w:pPr>
                  <w:r>
                    <w:rPr>
                      <w:rFonts w:hint="eastAsia" w:cs="CESI仿宋-GB2312"/>
                      <w:color w:val="auto"/>
                      <w:spacing w:val="-1"/>
                      <w:szCs w:val="21"/>
                      <w:highlight w:val="none"/>
                    </w:rPr>
                    <w:t>基本要求</w:t>
                  </w: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21AC1E88">
                  <w:pPr>
                    <w:pStyle w:val="27"/>
                    <w:keepNext w:val="0"/>
                    <w:keepLines w:val="0"/>
                    <w:pageBreakBefore w:val="0"/>
                    <w:widowControl/>
                    <w:numPr>
                      <w:ilvl w:val="0"/>
                      <w:numId w:val="3"/>
                    </w:numPr>
                    <w:kinsoku w:val="0"/>
                    <w:wordWrap/>
                    <w:overflowPunct/>
                    <w:topLinePunct w:val="0"/>
                    <w:autoSpaceDE w:val="0"/>
                    <w:autoSpaceDN w:val="0"/>
                    <w:bidi w:val="0"/>
                    <w:adjustRightInd w:val="0"/>
                    <w:snapToGrid w:val="0"/>
                    <w:spacing w:before="170" w:line="240" w:lineRule="auto"/>
                    <w:ind w:left="116" w:leftChars="0" w:right="228" w:rightChars="0" w:firstLine="210" w:firstLineChars="0"/>
                    <w:jc w:val="left"/>
                    <w:textAlignment w:val="baseline"/>
                    <w:rPr>
                      <w:rFonts w:cs="CESI仿宋-GB2312"/>
                      <w:color w:val="auto"/>
                      <w:spacing w:val="-1"/>
                      <w:szCs w:val="21"/>
                      <w:highlight w:val="none"/>
                    </w:rPr>
                  </w:pPr>
                  <w:r>
                    <w:rPr>
                      <w:rFonts w:hint="eastAsia" w:ascii="宋体" w:hAnsi="宋体" w:eastAsia="宋体" w:cs="宋体"/>
                      <w:b w:val="0"/>
                      <w:bCs w:val="0"/>
                      <w:color w:val="auto"/>
                      <w:spacing w:val="-5"/>
                      <w:sz w:val="21"/>
                      <w:szCs w:val="21"/>
                      <w:highlight w:val="none"/>
                    </w:rPr>
                    <w:t>制定绿化服务的工作制度及工作计划，</w:t>
                  </w:r>
                  <w:r>
                    <w:rPr>
                      <w:rFonts w:hint="eastAsia" w:ascii="宋体" w:hAnsi="宋体" w:eastAsia="宋体" w:cs="宋体"/>
                      <w:b w:val="0"/>
                      <w:bCs w:val="0"/>
                      <w:color w:val="auto"/>
                      <w:spacing w:val="-3"/>
                      <w:sz w:val="21"/>
                      <w:szCs w:val="21"/>
                      <w:highlight w:val="none"/>
                    </w:rPr>
                    <w:t>并按照执行。</w:t>
                  </w:r>
                </w:p>
              </w:tc>
            </w:tr>
            <w:tr w14:paraId="3BEB4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9" w:hRule="atLeast"/>
              </w:trPr>
              <w:tc>
                <w:tcPr>
                  <w:tcW w:w="731" w:type="dxa"/>
                  <w:vMerge w:val="continue"/>
                  <w:tcBorders>
                    <w:top w:val="single" w:color="000000" w:sz="2" w:space="0"/>
                    <w:left w:val="single" w:color="000000" w:sz="2" w:space="0"/>
                    <w:bottom w:val="single" w:color="000000" w:sz="2" w:space="0"/>
                    <w:right w:val="single" w:color="000000" w:sz="2" w:space="0"/>
                  </w:tcBorders>
                  <w:noWrap w:val="0"/>
                  <w:vAlign w:val="center"/>
                </w:tcPr>
                <w:p w14:paraId="2C7D59F3">
                  <w:pPr>
                    <w:widowControl/>
                    <w:spacing w:line="360" w:lineRule="exact"/>
                    <w:ind w:firstLine="416" w:firstLineChars="200"/>
                    <w:jc w:val="left"/>
                    <w:rPr>
                      <w:rFonts w:cs="CESI仿宋-GB2312"/>
                      <w:color w:val="auto"/>
                      <w:spacing w:val="-1"/>
                      <w:szCs w:val="21"/>
                      <w:highlight w:val="none"/>
                    </w:rPr>
                  </w:pPr>
                </w:p>
              </w:tc>
              <w:tc>
                <w:tcPr>
                  <w:tcW w:w="10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4D9D27FE">
                  <w:pPr>
                    <w:widowControl/>
                    <w:spacing w:line="360" w:lineRule="exact"/>
                    <w:ind w:firstLine="416" w:firstLineChars="200"/>
                    <w:jc w:val="left"/>
                    <w:rPr>
                      <w:rFonts w:cs="CESI仿宋-GB2312"/>
                      <w:color w:val="auto"/>
                      <w:spacing w:val="-1"/>
                      <w:szCs w:val="21"/>
                      <w:highlight w:val="none"/>
                    </w:rPr>
                  </w:pPr>
                </w:p>
              </w:tc>
              <w:tc>
                <w:tcPr>
                  <w:tcW w:w="4923" w:type="dxa"/>
                  <w:tcBorders>
                    <w:top w:val="single" w:color="000000" w:sz="2" w:space="0"/>
                    <w:left w:val="single" w:color="000000" w:sz="2" w:space="0"/>
                    <w:bottom w:val="single" w:color="auto" w:sz="4" w:space="0"/>
                    <w:right w:val="single" w:color="000000" w:sz="2" w:space="0"/>
                  </w:tcBorders>
                  <w:noWrap w:val="0"/>
                  <w:vAlign w:val="center"/>
                </w:tcPr>
                <w:p w14:paraId="47474C99">
                  <w:pPr>
                    <w:widowControl/>
                    <w:spacing w:line="360" w:lineRule="exact"/>
                    <w:ind w:firstLine="416" w:firstLineChars="200"/>
                    <w:textAlignment w:val="center"/>
                    <w:rPr>
                      <w:rFonts w:cs="CESI仿宋-GB2312"/>
                      <w:color w:val="auto"/>
                      <w:spacing w:val="-1"/>
                      <w:szCs w:val="21"/>
                      <w:highlight w:val="none"/>
                    </w:rPr>
                  </w:pPr>
                  <w:r>
                    <w:rPr>
                      <w:rFonts w:hint="eastAsia" w:ascii="宋体" w:hAnsi="宋体" w:eastAsia="宋体" w:cs="宋体"/>
                      <w:b w:val="0"/>
                      <w:bCs w:val="0"/>
                      <w:color w:val="auto"/>
                      <w:spacing w:val="-1"/>
                      <w:sz w:val="21"/>
                      <w:szCs w:val="21"/>
                      <w:highlight w:val="none"/>
                      <w:lang w:eastAsia="zh-CN"/>
                    </w:rPr>
                    <w:t>（</w:t>
                  </w:r>
                  <w:r>
                    <w:rPr>
                      <w:rFonts w:hint="eastAsia" w:ascii="宋体" w:hAnsi="宋体" w:eastAsia="宋体" w:cs="宋体"/>
                      <w:b w:val="0"/>
                      <w:bCs w:val="0"/>
                      <w:color w:val="auto"/>
                      <w:spacing w:val="-1"/>
                      <w:sz w:val="21"/>
                      <w:szCs w:val="21"/>
                      <w:highlight w:val="none"/>
                      <w:lang w:val="en-US" w:eastAsia="zh-CN"/>
                    </w:rPr>
                    <w:t>2</w:t>
                  </w:r>
                  <w:r>
                    <w:rPr>
                      <w:rFonts w:hint="eastAsia" w:ascii="宋体" w:hAnsi="宋体" w:eastAsia="宋体" w:cs="宋体"/>
                      <w:b w:val="0"/>
                      <w:bCs w:val="0"/>
                      <w:color w:val="auto"/>
                      <w:spacing w:val="-1"/>
                      <w:sz w:val="21"/>
                      <w:szCs w:val="21"/>
                      <w:highlight w:val="none"/>
                      <w:lang w:eastAsia="zh-CN"/>
                    </w:rPr>
                    <w:t>）</w:t>
                  </w:r>
                  <w:r>
                    <w:rPr>
                      <w:rFonts w:hint="eastAsia" w:ascii="宋体" w:hAnsi="宋体" w:eastAsia="宋体" w:cs="宋体"/>
                      <w:b w:val="0"/>
                      <w:bCs w:val="0"/>
                      <w:color w:val="auto"/>
                      <w:spacing w:val="-1"/>
                      <w:sz w:val="21"/>
                      <w:szCs w:val="21"/>
                      <w:highlight w:val="none"/>
                    </w:rPr>
                    <w:t>做好绿化服务工作记录，填写规范。</w:t>
                  </w:r>
                </w:p>
              </w:tc>
            </w:tr>
            <w:tr w14:paraId="74693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50" w:hRule="atLeast"/>
              </w:trPr>
              <w:tc>
                <w:tcPr>
                  <w:tcW w:w="731" w:type="dxa"/>
                  <w:vMerge w:val="continue"/>
                  <w:tcBorders>
                    <w:top w:val="single" w:color="000000" w:sz="2" w:space="0"/>
                    <w:left w:val="single" w:color="000000" w:sz="2" w:space="0"/>
                    <w:bottom w:val="single" w:color="000000" w:sz="2" w:space="0"/>
                    <w:right w:val="single" w:color="000000" w:sz="2" w:space="0"/>
                  </w:tcBorders>
                  <w:noWrap w:val="0"/>
                  <w:vAlign w:val="center"/>
                </w:tcPr>
                <w:p w14:paraId="4F212F2E">
                  <w:pPr>
                    <w:widowControl/>
                    <w:spacing w:line="360" w:lineRule="exact"/>
                    <w:ind w:firstLine="416" w:firstLineChars="200"/>
                    <w:jc w:val="left"/>
                    <w:rPr>
                      <w:rFonts w:cs="CESI仿宋-GB2312"/>
                      <w:color w:val="auto"/>
                      <w:spacing w:val="-1"/>
                      <w:szCs w:val="21"/>
                      <w:highlight w:val="none"/>
                    </w:rPr>
                  </w:pPr>
                </w:p>
              </w:tc>
              <w:tc>
                <w:tcPr>
                  <w:tcW w:w="1081" w:type="dxa"/>
                  <w:vMerge w:val="continue"/>
                  <w:tcBorders>
                    <w:top w:val="single" w:color="000000" w:sz="2" w:space="0"/>
                    <w:left w:val="single" w:color="000000" w:sz="2" w:space="0"/>
                    <w:bottom w:val="single" w:color="000000" w:sz="2" w:space="0"/>
                    <w:right w:val="single" w:color="000000" w:sz="2" w:space="0"/>
                  </w:tcBorders>
                  <w:noWrap w:val="0"/>
                  <w:vAlign w:val="center"/>
                </w:tcPr>
                <w:p w14:paraId="3BD2D1EA">
                  <w:pPr>
                    <w:widowControl/>
                    <w:spacing w:line="360" w:lineRule="exact"/>
                    <w:ind w:firstLine="416" w:firstLineChars="200"/>
                    <w:jc w:val="left"/>
                    <w:rPr>
                      <w:rFonts w:cs="CESI仿宋-GB2312"/>
                      <w:color w:val="auto"/>
                      <w:spacing w:val="-1"/>
                      <w:szCs w:val="21"/>
                      <w:highlight w:val="none"/>
                    </w:rPr>
                  </w:pPr>
                </w:p>
              </w:tc>
              <w:tc>
                <w:tcPr>
                  <w:tcW w:w="4923" w:type="dxa"/>
                  <w:tcBorders>
                    <w:top w:val="single" w:color="auto" w:sz="4" w:space="0"/>
                    <w:left w:val="single" w:color="000000" w:sz="2" w:space="0"/>
                    <w:bottom w:val="single" w:color="auto" w:sz="4" w:space="0"/>
                    <w:right w:val="single" w:color="000000" w:sz="2" w:space="0"/>
                  </w:tcBorders>
                  <w:noWrap w:val="0"/>
                  <w:vAlign w:val="center"/>
                </w:tcPr>
                <w:p w14:paraId="02EB321F">
                  <w:pPr>
                    <w:pStyle w:val="27"/>
                    <w:keepNext w:val="0"/>
                    <w:keepLines w:val="0"/>
                    <w:pageBreakBefore w:val="0"/>
                    <w:widowControl/>
                    <w:numPr>
                      <w:ilvl w:val="0"/>
                      <w:numId w:val="0"/>
                    </w:numPr>
                    <w:kinsoku w:val="0"/>
                    <w:wordWrap/>
                    <w:overflowPunct/>
                    <w:topLinePunct w:val="0"/>
                    <w:autoSpaceDE w:val="0"/>
                    <w:autoSpaceDN w:val="0"/>
                    <w:bidi w:val="0"/>
                    <w:adjustRightInd w:val="0"/>
                    <w:snapToGrid w:val="0"/>
                    <w:spacing w:before="170" w:line="240" w:lineRule="auto"/>
                    <w:ind w:left="326" w:leftChars="0" w:right="228" w:rightChars="0"/>
                    <w:jc w:val="left"/>
                    <w:textAlignment w:val="baseline"/>
                    <w:rPr>
                      <w:rFonts w:cs="CESI仿宋-GB2312"/>
                      <w:color w:val="auto"/>
                      <w:spacing w:val="-1"/>
                      <w:szCs w:val="21"/>
                      <w:highlight w:val="none"/>
                    </w:rPr>
                  </w:pPr>
                  <w:r>
                    <w:rPr>
                      <w:rFonts w:hint="eastAsia" w:ascii="宋体" w:hAnsi="宋体" w:eastAsia="宋体" w:cs="宋体"/>
                      <w:b w:val="0"/>
                      <w:bCs w:val="0"/>
                      <w:color w:val="auto"/>
                      <w:spacing w:val="-1"/>
                      <w:sz w:val="21"/>
                      <w:szCs w:val="21"/>
                      <w:highlight w:val="none"/>
                    </w:rPr>
                    <w:t>（3）作业时采取安全防护措施，防止对作业</w:t>
                  </w:r>
                  <w:r>
                    <w:rPr>
                      <w:rFonts w:hint="eastAsia" w:ascii="宋体" w:hAnsi="宋体" w:eastAsia="宋体" w:cs="宋体"/>
                      <w:b w:val="0"/>
                      <w:bCs w:val="0"/>
                      <w:color w:val="auto"/>
                      <w:spacing w:val="-2"/>
                      <w:sz w:val="21"/>
                      <w:szCs w:val="21"/>
                      <w:highlight w:val="none"/>
                    </w:rPr>
                    <w:t>人员或他人造成伤害</w:t>
                  </w:r>
                  <w:r>
                    <w:rPr>
                      <w:rFonts w:hint="eastAsia" w:cs="宋体"/>
                      <w:b w:val="0"/>
                      <w:bCs w:val="0"/>
                      <w:color w:val="auto"/>
                      <w:spacing w:val="-2"/>
                      <w:sz w:val="21"/>
                      <w:szCs w:val="21"/>
                      <w:highlight w:val="none"/>
                      <w:lang w:eastAsia="zh-CN"/>
                    </w:rPr>
                    <w:t>。</w:t>
                  </w:r>
                </w:p>
              </w:tc>
            </w:tr>
            <w:tr w14:paraId="1CDBB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6" w:hRule="atLeast"/>
              </w:trPr>
              <w:tc>
                <w:tcPr>
                  <w:tcW w:w="731" w:type="dxa"/>
                  <w:vMerge w:val="restart"/>
                  <w:tcBorders>
                    <w:top w:val="single" w:color="000000" w:sz="2" w:space="0"/>
                    <w:left w:val="single" w:color="000000" w:sz="2" w:space="0"/>
                    <w:bottom w:val="single" w:color="auto" w:sz="4" w:space="0"/>
                    <w:right w:val="single" w:color="000000" w:sz="2" w:space="0"/>
                  </w:tcBorders>
                  <w:noWrap w:val="0"/>
                  <w:vAlign w:val="center"/>
                </w:tcPr>
                <w:p w14:paraId="05D221F1">
                  <w:pPr>
                    <w:widowControl/>
                    <w:kinsoku w:val="0"/>
                    <w:autoSpaceDE w:val="0"/>
                    <w:autoSpaceDN w:val="0"/>
                    <w:adjustRightInd w:val="0"/>
                    <w:snapToGrid w:val="0"/>
                    <w:spacing w:line="360" w:lineRule="exact"/>
                    <w:ind w:firstLine="416" w:firstLineChars="200"/>
                    <w:jc w:val="center"/>
                    <w:textAlignment w:val="baseline"/>
                    <w:rPr>
                      <w:rFonts w:cs="CESI仿宋-GB2312"/>
                      <w:color w:val="auto"/>
                      <w:spacing w:val="-1"/>
                      <w:szCs w:val="21"/>
                      <w:highlight w:val="none"/>
                    </w:rPr>
                  </w:pPr>
                  <w:r>
                    <w:rPr>
                      <w:rFonts w:hint="eastAsia" w:cs="CESI仿宋-GB2312"/>
                      <w:color w:val="auto"/>
                      <w:spacing w:val="-1"/>
                      <w:szCs w:val="21"/>
                      <w:highlight w:val="none"/>
                    </w:rPr>
                    <w:t>2</w:t>
                  </w:r>
                </w:p>
              </w:tc>
              <w:tc>
                <w:tcPr>
                  <w:tcW w:w="1081" w:type="dxa"/>
                  <w:vMerge w:val="restart"/>
                  <w:tcBorders>
                    <w:top w:val="single" w:color="000000" w:sz="2" w:space="0"/>
                    <w:left w:val="single" w:color="000000" w:sz="2" w:space="0"/>
                    <w:bottom w:val="single" w:color="auto" w:sz="4" w:space="0"/>
                    <w:right w:val="single" w:color="000000" w:sz="2" w:space="0"/>
                  </w:tcBorders>
                  <w:noWrap w:val="0"/>
                  <w:vAlign w:val="center"/>
                </w:tcPr>
                <w:p w14:paraId="6CF024B0">
                  <w:pPr>
                    <w:widowControl/>
                    <w:kinsoku w:val="0"/>
                    <w:autoSpaceDE w:val="0"/>
                    <w:autoSpaceDN w:val="0"/>
                    <w:adjustRightInd w:val="0"/>
                    <w:snapToGrid w:val="0"/>
                    <w:spacing w:line="360" w:lineRule="exact"/>
                    <w:textAlignment w:val="baseline"/>
                    <w:rPr>
                      <w:rFonts w:cs="CESI仿宋-GB2312"/>
                      <w:color w:val="auto"/>
                      <w:spacing w:val="-1"/>
                      <w:szCs w:val="21"/>
                      <w:highlight w:val="none"/>
                    </w:rPr>
                  </w:pPr>
                  <w:r>
                    <w:rPr>
                      <w:rFonts w:hint="eastAsia" w:ascii="宋体" w:hAnsi="宋体" w:eastAsia="宋体" w:cs="宋体"/>
                      <w:b w:val="0"/>
                      <w:bCs w:val="0"/>
                      <w:color w:val="auto"/>
                      <w:spacing w:val="-3"/>
                      <w:sz w:val="21"/>
                      <w:szCs w:val="21"/>
                      <w:highlight w:val="none"/>
                    </w:rPr>
                    <w:t>室外绿化养护</w:t>
                  </w: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42A69108">
                  <w:pPr>
                    <w:pStyle w:val="27"/>
                    <w:keepNext w:val="0"/>
                    <w:keepLines w:val="0"/>
                    <w:pageBreakBefore w:val="0"/>
                    <w:widowControl/>
                    <w:numPr>
                      <w:ilvl w:val="0"/>
                      <w:numId w:val="4"/>
                    </w:numPr>
                    <w:kinsoku w:val="0"/>
                    <w:wordWrap/>
                    <w:overflowPunct/>
                    <w:topLinePunct w:val="0"/>
                    <w:autoSpaceDE w:val="0"/>
                    <w:autoSpaceDN w:val="0"/>
                    <w:bidi w:val="0"/>
                    <w:adjustRightInd w:val="0"/>
                    <w:snapToGrid w:val="0"/>
                    <w:spacing w:before="173" w:line="240" w:lineRule="auto"/>
                    <w:ind w:left="112" w:leftChars="0" w:right="164" w:rightChars="0" w:firstLine="214" w:firstLineChars="0"/>
                    <w:jc w:val="left"/>
                    <w:textAlignment w:val="baseline"/>
                    <w:rPr>
                      <w:rFonts w:cs="CESI仿宋-GB2312"/>
                      <w:color w:val="auto"/>
                      <w:spacing w:val="-1"/>
                      <w:szCs w:val="21"/>
                      <w:highlight w:val="none"/>
                    </w:rPr>
                  </w:pPr>
                  <w:r>
                    <w:rPr>
                      <w:rFonts w:hint="eastAsia" w:ascii="宋体" w:hAnsi="宋体" w:eastAsia="宋体" w:cs="宋体"/>
                      <w:b w:val="0"/>
                      <w:bCs w:val="0"/>
                      <w:color w:val="auto"/>
                      <w:spacing w:val="-1"/>
                      <w:sz w:val="21"/>
                      <w:szCs w:val="21"/>
                      <w:highlight w:val="none"/>
                    </w:rPr>
                    <w:t>根据生长环境、植物特性进行除草、灌溉、施肥、整形修剪、防治病虫害等。</w:t>
                  </w:r>
                </w:p>
              </w:tc>
            </w:tr>
            <w:tr w14:paraId="5CC00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2" w:hRule="atLeast"/>
              </w:trPr>
              <w:tc>
                <w:tcPr>
                  <w:tcW w:w="731" w:type="dxa"/>
                  <w:vMerge w:val="continue"/>
                  <w:tcBorders>
                    <w:top w:val="single" w:color="000000" w:sz="2" w:space="0"/>
                    <w:left w:val="single" w:color="000000" w:sz="2" w:space="0"/>
                    <w:bottom w:val="single" w:color="auto" w:sz="4" w:space="0"/>
                    <w:right w:val="single" w:color="000000" w:sz="2" w:space="0"/>
                  </w:tcBorders>
                  <w:noWrap w:val="0"/>
                  <w:vAlign w:val="center"/>
                </w:tcPr>
                <w:p w14:paraId="6AB8525A">
                  <w:pPr>
                    <w:widowControl/>
                    <w:spacing w:line="360" w:lineRule="exact"/>
                    <w:ind w:firstLine="416" w:firstLineChars="200"/>
                    <w:jc w:val="left"/>
                    <w:rPr>
                      <w:rFonts w:cs="CESI仿宋-GB2312"/>
                      <w:color w:val="auto"/>
                      <w:spacing w:val="-1"/>
                      <w:szCs w:val="21"/>
                      <w:highlight w:val="none"/>
                    </w:rPr>
                  </w:pPr>
                </w:p>
              </w:tc>
              <w:tc>
                <w:tcPr>
                  <w:tcW w:w="1081" w:type="dxa"/>
                  <w:vMerge w:val="continue"/>
                  <w:tcBorders>
                    <w:top w:val="single" w:color="000000" w:sz="2" w:space="0"/>
                    <w:left w:val="single" w:color="000000" w:sz="2" w:space="0"/>
                    <w:bottom w:val="single" w:color="auto" w:sz="4" w:space="0"/>
                    <w:right w:val="single" w:color="000000" w:sz="2" w:space="0"/>
                  </w:tcBorders>
                  <w:noWrap w:val="0"/>
                  <w:vAlign w:val="center"/>
                </w:tcPr>
                <w:p w14:paraId="0411DD50">
                  <w:pPr>
                    <w:widowControl/>
                    <w:spacing w:line="360" w:lineRule="exact"/>
                    <w:ind w:firstLine="416" w:firstLineChars="200"/>
                    <w:jc w:val="left"/>
                    <w:rPr>
                      <w:rFonts w:cs="CESI仿宋-GB2312"/>
                      <w:color w:val="auto"/>
                      <w:spacing w:val="-1"/>
                      <w:szCs w:val="21"/>
                      <w:highlight w:val="none"/>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6D3E7533">
                  <w:pPr>
                    <w:pStyle w:val="27"/>
                    <w:keepNext w:val="0"/>
                    <w:keepLines w:val="0"/>
                    <w:pageBreakBefore w:val="0"/>
                    <w:widowControl/>
                    <w:numPr>
                      <w:ilvl w:val="0"/>
                      <w:numId w:val="4"/>
                    </w:numPr>
                    <w:kinsoku w:val="0"/>
                    <w:wordWrap/>
                    <w:overflowPunct/>
                    <w:topLinePunct w:val="0"/>
                    <w:autoSpaceDE w:val="0"/>
                    <w:autoSpaceDN w:val="0"/>
                    <w:bidi w:val="0"/>
                    <w:adjustRightInd w:val="0"/>
                    <w:snapToGrid w:val="0"/>
                    <w:spacing w:before="173" w:line="240" w:lineRule="auto"/>
                    <w:ind w:left="112" w:leftChars="0" w:right="164" w:rightChars="0" w:firstLine="214" w:firstLineChars="0"/>
                    <w:jc w:val="left"/>
                    <w:textAlignment w:val="baseline"/>
                    <w:rPr>
                      <w:rFonts w:cs="CESI仿宋-GB2312"/>
                      <w:color w:val="auto"/>
                      <w:spacing w:val="-1"/>
                      <w:szCs w:val="21"/>
                      <w:highlight w:val="none"/>
                    </w:rPr>
                  </w:pPr>
                  <w:r>
                    <w:rPr>
                      <w:rFonts w:hint="eastAsia" w:ascii="宋体" w:hAnsi="宋体" w:eastAsia="宋体" w:cs="宋体"/>
                      <w:b w:val="0"/>
                      <w:bCs w:val="0"/>
                      <w:color w:val="auto"/>
                      <w:spacing w:val="-1"/>
                      <w:sz w:val="21"/>
                      <w:szCs w:val="21"/>
                      <w:highlight w:val="none"/>
                    </w:rPr>
                    <w:t>定期修剪树木、花卉等，灌乔木生长正</w:t>
                  </w: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pacing w:val="-1"/>
                      <w:sz w:val="21"/>
                      <w:szCs w:val="21"/>
                      <w:highlight w:val="none"/>
                    </w:rPr>
                    <w:t>常、造型美观自然、花枝新鲜，无枯叶、无病</w:t>
                  </w:r>
                  <w:r>
                    <w:rPr>
                      <w:rFonts w:hint="eastAsia" w:ascii="宋体" w:hAnsi="宋体" w:eastAsia="宋体" w:cs="宋体"/>
                      <w:b w:val="0"/>
                      <w:bCs w:val="0"/>
                      <w:color w:val="auto"/>
                      <w:spacing w:val="-3"/>
                      <w:sz w:val="21"/>
                      <w:szCs w:val="21"/>
                      <w:highlight w:val="none"/>
                    </w:rPr>
                    <w:t>虫、无死树缺株。</w:t>
                  </w:r>
                </w:p>
              </w:tc>
            </w:tr>
            <w:tr w14:paraId="7ECA8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0" w:hRule="atLeast"/>
              </w:trPr>
              <w:tc>
                <w:tcPr>
                  <w:tcW w:w="731" w:type="dxa"/>
                  <w:vMerge w:val="continue"/>
                  <w:tcBorders>
                    <w:top w:val="single" w:color="000000" w:sz="2" w:space="0"/>
                    <w:left w:val="single" w:color="000000" w:sz="2" w:space="0"/>
                    <w:bottom w:val="single" w:color="auto" w:sz="4" w:space="0"/>
                    <w:right w:val="single" w:color="000000" w:sz="2" w:space="0"/>
                  </w:tcBorders>
                  <w:noWrap w:val="0"/>
                  <w:vAlign w:val="center"/>
                </w:tcPr>
                <w:p w14:paraId="4CB7F5E9">
                  <w:pPr>
                    <w:widowControl/>
                    <w:spacing w:line="360" w:lineRule="exact"/>
                    <w:ind w:firstLine="416" w:firstLineChars="200"/>
                    <w:jc w:val="left"/>
                    <w:rPr>
                      <w:rFonts w:cs="CESI仿宋-GB2312"/>
                      <w:color w:val="auto"/>
                      <w:spacing w:val="-1"/>
                      <w:szCs w:val="21"/>
                      <w:highlight w:val="none"/>
                    </w:rPr>
                  </w:pPr>
                </w:p>
              </w:tc>
              <w:tc>
                <w:tcPr>
                  <w:tcW w:w="1081" w:type="dxa"/>
                  <w:vMerge w:val="continue"/>
                  <w:tcBorders>
                    <w:top w:val="single" w:color="000000" w:sz="2" w:space="0"/>
                    <w:left w:val="single" w:color="000000" w:sz="2" w:space="0"/>
                    <w:bottom w:val="single" w:color="auto" w:sz="4" w:space="0"/>
                    <w:right w:val="single" w:color="000000" w:sz="2" w:space="0"/>
                  </w:tcBorders>
                  <w:noWrap w:val="0"/>
                  <w:vAlign w:val="center"/>
                </w:tcPr>
                <w:p w14:paraId="2566D66A">
                  <w:pPr>
                    <w:widowControl/>
                    <w:spacing w:line="360" w:lineRule="exact"/>
                    <w:ind w:firstLine="416" w:firstLineChars="200"/>
                    <w:jc w:val="left"/>
                    <w:rPr>
                      <w:rFonts w:cs="CESI仿宋-GB2312"/>
                      <w:color w:val="auto"/>
                      <w:spacing w:val="-1"/>
                      <w:szCs w:val="21"/>
                      <w:highlight w:val="none"/>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0670C876">
                  <w:pPr>
                    <w:pStyle w:val="27"/>
                    <w:keepNext w:val="0"/>
                    <w:keepLines w:val="0"/>
                    <w:pageBreakBefore w:val="0"/>
                    <w:widowControl/>
                    <w:numPr>
                      <w:ilvl w:val="0"/>
                      <w:numId w:val="4"/>
                    </w:numPr>
                    <w:kinsoku w:val="0"/>
                    <w:wordWrap/>
                    <w:overflowPunct/>
                    <w:topLinePunct w:val="0"/>
                    <w:autoSpaceDE w:val="0"/>
                    <w:autoSpaceDN w:val="0"/>
                    <w:bidi w:val="0"/>
                    <w:adjustRightInd w:val="0"/>
                    <w:snapToGrid w:val="0"/>
                    <w:spacing w:before="173" w:line="240" w:lineRule="auto"/>
                    <w:ind w:left="112" w:leftChars="0" w:right="164" w:rightChars="0" w:firstLine="214" w:firstLineChars="0"/>
                    <w:jc w:val="left"/>
                    <w:textAlignment w:val="baseline"/>
                    <w:rPr>
                      <w:rFonts w:cs="CESI仿宋-GB2312"/>
                      <w:color w:val="auto"/>
                      <w:spacing w:val="-1"/>
                      <w:szCs w:val="21"/>
                      <w:highlight w:val="none"/>
                    </w:rPr>
                  </w:pPr>
                  <w:r>
                    <w:rPr>
                      <w:rFonts w:hint="eastAsia" w:ascii="宋体" w:hAnsi="宋体" w:eastAsia="宋体" w:cs="宋体"/>
                      <w:b w:val="0"/>
                      <w:bCs w:val="0"/>
                      <w:color w:val="auto"/>
                      <w:spacing w:val="-1"/>
                      <w:sz w:val="21"/>
                      <w:szCs w:val="21"/>
                      <w:highlight w:val="none"/>
                    </w:rPr>
                    <w:t>绿篱生长造型正常，颜色正常，修剪及</w:t>
                  </w:r>
                  <w:r>
                    <w:rPr>
                      <w:rFonts w:hint="eastAsia" w:ascii="宋体" w:hAnsi="宋体" w:eastAsia="宋体" w:cs="宋体"/>
                      <w:b w:val="0"/>
                      <w:bCs w:val="0"/>
                      <w:color w:val="auto"/>
                      <w:spacing w:val="-14"/>
                      <w:sz w:val="21"/>
                      <w:szCs w:val="21"/>
                      <w:highlight w:val="none"/>
                    </w:rPr>
                    <w:t>时，基本无死株和干死株，有虫株率在</w:t>
                  </w:r>
                  <w:r>
                    <w:rPr>
                      <w:rFonts w:hint="eastAsia" w:ascii="宋体" w:hAnsi="宋体" w:eastAsia="宋体" w:cs="宋体"/>
                      <w:b w:val="0"/>
                      <w:bCs w:val="0"/>
                      <w:color w:val="auto"/>
                      <w:spacing w:val="-32"/>
                      <w:sz w:val="21"/>
                      <w:szCs w:val="21"/>
                      <w:highlight w:val="none"/>
                    </w:rPr>
                    <w:t xml:space="preserve"> </w:t>
                  </w:r>
                  <w:r>
                    <w:rPr>
                      <w:rFonts w:hint="eastAsia" w:ascii="宋体" w:hAnsi="宋体" w:eastAsia="宋体" w:cs="宋体"/>
                      <w:b w:val="0"/>
                      <w:bCs w:val="0"/>
                      <w:color w:val="auto"/>
                      <w:spacing w:val="-14"/>
                      <w:sz w:val="21"/>
                      <w:szCs w:val="21"/>
                      <w:highlight w:val="none"/>
                    </w:rPr>
                    <w:t>10%以下。</w:t>
                  </w:r>
                </w:p>
              </w:tc>
            </w:tr>
            <w:tr w14:paraId="1DA1F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6" w:hRule="atLeast"/>
              </w:trPr>
              <w:tc>
                <w:tcPr>
                  <w:tcW w:w="731" w:type="dxa"/>
                  <w:vMerge w:val="continue"/>
                  <w:tcBorders>
                    <w:top w:val="single" w:color="000000" w:sz="2" w:space="0"/>
                    <w:left w:val="single" w:color="000000" w:sz="2" w:space="0"/>
                    <w:bottom w:val="single" w:color="auto" w:sz="4" w:space="0"/>
                    <w:right w:val="single" w:color="000000" w:sz="2" w:space="0"/>
                  </w:tcBorders>
                  <w:noWrap w:val="0"/>
                  <w:vAlign w:val="center"/>
                </w:tcPr>
                <w:p w14:paraId="6CF499DA">
                  <w:pPr>
                    <w:widowControl/>
                    <w:spacing w:line="360" w:lineRule="exact"/>
                    <w:ind w:firstLine="416" w:firstLineChars="200"/>
                    <w:jc w:val="left"/>
                    <w:rPr>
                      <w:rFonts w:cs="CESI仿宋-GB2312"/>
                      <w:color w:val="auto"/>
                      <w:spacing w:val="-1"/>
                      <w:szCs w:val="21"/>
                      <w:highlight w:val="none"/>
                    </w:rPr>
                  </w:pPr>
                </w:p>
              </w:tc>
              <w:tc>
                <w:tcPr>
                  <w:tcW w:w="1081" w:type="dxa"/>
                  <w:vMerge w:val="continue"/>
                  <w:tcBorders>
                    <w:top w:val="single" w:color="000000" w:sz="2" w:space="0"/>
                    <w:left w:val="single" w:color="000000" w:sz="2" w:space="0"/>
                    <w:bottom w:val="single" w:color="auto" w:sz="4" w:space="0"/>
                    <w:right w:val="single" w:color="000000" w:sz="2" w:space="0"/>
                  </w:tcBorders>
                  <w:noWrap w:val="0"/>
                  <w:vAlign w:val="center"/>
                </w:tcPr>
                <w:p w14:paraId="5923B206">
                  <w:pPr>
                    <w:widowControl/>
                    <w:spacing w:line="360" w:lineRule="exact"/>
                    <w:ind w:firstLine="416" w:firstLineChars="200"/>
                    <w:jc w:val="left"/>
                    <w:rPr>
                      <w:rFonts w:cs="CESI仿宋-GB2312"/>
                      <w:color w:val="auto"/>
                      <w:spacing w:val="-1"/>
                      <w:szCs w:val="21"/>
                      <w:highlight w:val="none"/>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3011EA26">
                  <w:pPr>
                    <w:pStyle w:val="27"/>
                    <w:keepNext w:val="0"/>
                    <w:keepLines w:val="0"/>
                    <w:pageBreakBefore w:val="0"/>
                    <w:widowControl/>
                    <w:numPr>
                      <w:ilvl w:val="0"/>
                      <w:numId w:val="4"/>
                    </w:numPr>
                    <w:kinsoku w:val="0"/>
                    <w:wordWrap/>
                    <w:overflowPunct/>
                    <w:topLinePunct w:val="0"/>
                    <w:autoSpaceDE w:val="0"/>
                    <w:autoSpaceDN w:val="0"/>
                    <w:bidi w:val="0"/>
                    <w:adjustRightInd w:val="0"/>
                    <w:snapToGrid w:val="0"/>
                    <w:spacing w:before="173" w:line="240" w:lineRule="auto"/>
                    <w:ind w:left="112" w:leftChars="0" w:right="164" w:rightChars="0" w:firstLine="214" w:firstLineChars="0"/>
                    <w:jc w:val="left"/>
                    <w:textAlignment w:val="baseline"/>
                    <w:rPr>
                      <w:rFonts w:cs="CESI仿宋-GB2312"/>
                      <w:color w:val="auto"/>
                      <w:spacing w:val="-1"/>
                      <w:szCs w:val="21"/>
                      <w:highlight w:val="none"/>
                    </w:rPr>
                  </w:pPr>
                  <w:r>
                    <w:rPr>
                      <w:rFonts w:hint="eastAsia" w:ascii="宋体" w:hAnsi="宋体" w:eastAsia="宋体" w:cs="宋体"/>
                      <w:b w:val="0"/>
                      <w:bCs w:val="0"/>
                      <w:color w:val="auto"/>
                      <w:spacing w:val="-7"/>
                      <w:sz w:val="21"/>
                      <w:szCs w:val="21"/>
                      <w:highlight w:val="none"/>
                    </w:rPr>
                    <w:t>清除花坛和花景的花蒂、黄叶、杂</w:t>
                  </w: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pacing w:val="-2"/>
                      <w:sz w:val="21"/>
                      <w:szCs w:val="21"/>
                      <w:highlight w:val="none"/>
                    </w:rPr>
                    <w:t>草、垃圾，做好病虫害防治。</w:t>
                  </w:r>
                </w:p>
              </w:tc>
            </w:tr>
            <w:tr w14:paraId="23018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0" w:hRule="atLeast"/>
              </w:trPr>
              <w:tc>
                <w:tcPr>
                  <w:tcW w:w="731" w:type="dxa"/>
                  <w:vMerge w:val="continue"/>
                  <w:tcBorders>
                    <w:top w:val="single" w:color="000000" w:sz="2" w:space="0"/>
                    <w:left w:val="single" w:color="000000" w:sz="2" w:space="0"/>
                    <w:bottom w:val="single" w:color="auto" w:sz="4" w:space="0"/>
                    <w:right w:val="single" w:color="000000" w:sz="2" w:space="0"/>
                  </w:tcBorders>
                  <w:noWrap w:val="0"/>
                  <w:vAlign w:val="center"/>
                </w:tcPr>
                <w:p w14:paraId="12B348B7">
                  <w:pPr>
                    <w:widowControl/>
                    <w:spacing w:line="360" w:lineRule="exact"/>
                    <w:ind w:firstLine="416" w:firstLineChars="200"/>
                    <w:jc w:val="left"/>
                    <w:rPr>
                      <w:rFonts w:cs="CESI仿宋-GB2312"/>
                      <w:color w:val="auto"/>
                      <w:spacing w:val="-1"/>
                      <w:szCs w:val="21"/>
                      <w:highlight w:val="none"/>
                    </w:rPr>
                  </w:pPr>
                </w:p>
              </w:tc>
              <w:tc>
                <w:tcPr>
                  <w:tcW w:w="1081" w:type="dxa"/>
                  <w:vMerge w:val="continue"/>
                  <w:tcBorders>
                    <w:top w:val="single" w:color="000000" w:sz="2" w:space="0"/>
                    <w:left w:val="single" w:color="000000" w:sz="2" w:space="0"/>
                    <w:bottom w:val="single" w:color="auto" w:sz="4" w:space="0"/>
                    <w:right w:val="single" w:color="000000" w:sz="2" w:space="0"/>
                  </w:tcBorders>
                  <w:noWrap w:val="0"/>
                  <w:vAlign w:val="center"/>
                </w:tcPr>
                <w:p w14:paraId="0EF87C5A">
                  <w:pPr>
                    <w:widowControl/>
                    <w:spacing w:line="360" w:lineRule="exact"/>
                    <w:ind w:firstLine="416" w:firstLineChars="200"/>
                    <w:jc w:val="left"/>
                    <w:rPr>
                      <w:rFonts w:cs="CESI仿宋-GB2312"/>
                      <w:color w:val="auto"/>
                      <w:spacing w:val="-1"/>
                      <w:szCs w:val="21"/>
                      <w:highlight w:val="none"/>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04961E45">
                  <w:pPr>
                    <w:pStyle w:val="27"/>
                    <w:keepNext w:val="0"/>
                    <w:keepLines w:val="0"/>
                    <w:pageBreakBefore w:val="0"/>
                    <w:widowControl/>
                    <w:numPr>
                      <w:ilvl w:val="0"/>
                      <w:numId w:val="4"/>
                    </w:numPr>
                    <w:kinsoku w:val="0"/>
                    <w:wordWrap/>
                    <w:overflowPunct/>
                    <w:topLinePunct w:val="0"/>
                    <w:autoSpaceDE w:val="0"/>
                    <w:autoSpaceDN w:val="0"/>
                    <w:bidi w:val="0"/>
                    <w:adjustRightInd w:val="0"/>
                    <w:snapToGrid w:val="0"/>
                    <w:spacing w:before="173" w:line="240" w:lineRule="auto"/>
                    <w:ind w:left="112" w:leftChars="0" w:right="164" w:rightChars="0" w:firstLine="214" w:firstLineChars="0"/>
                    <w:jc w:val="left"/>
                    <w:textAlignment w:val="baseline"/>
                    <w:rPr>
                      <w:rFonts w:cs="CESI仿宋-GB2312"/>
                      <w:color w:val="auto"/>
                      <w:spacing w:val="-1"/>
                      <w:szCs w:val="21"/>
                      <w:highlight w:val="none"/>
                    </w:rPr>
                  </w:pPr>
                  <w:r>
                    <w:rPr>
                      <w:rFonts w:hint="eastAsia" w:ascii="宋体" w:hAnsi="宋体" w:eastAsia="宋体" w:cs="宋体"/>
                      <w:b w:val="0"/>
                      <w:bCs w:val="0"/>
                      <w:color w:val="auto"/>
                      <w:spacing w:val="-1"/>
                      <w:sz w:val="21"/>
                      <w:szCs w:val="21"/>
                      <w:highlight w:val="none"/>
                    </w:rPr>
                    <w:t>根据病虫害发生规律实施综合治理，通</w:t>
                  </w: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pacing w:val="-1"/>
                      <w:sz w:val="21"/>
                      <w:szCs w:val="21"/>
                      <w:highlight w:val="none"/>
                    </w:rPr>
                    <w:t>常在病虫率高时，以药剂杀死病虫，以确保植</w:t>
                  </w:r>
                  <w:r>
                    <w:rPr>
                      <w:rFonts w:hint="eastAsia" w:ascii="宋体" w:hAnsi="宋体" w:eastAsia="宋体" w:cs="宋体"/>
                      <w:b w:val="0"/>
                      <w:bCs w:val="0"/>
                      <w:color w:val="auto"/>
                      <w:spacing w:val="9"/>
                      <w:sz w:val="21"/>
                      <w:szCs w:val="21"/>
                      <w:highlight w:val="none"/>
                    </w:rPr>
                    <w:t xml:space="preserve"> </w:t>
                  </w:r>
                  <w:r>
                    <w:rPr>
                      <w:rFonts w:hint="eastAsia" w:ascii="宋体" w:hAnsi="宋体" w:eastAsia="宋体" w:cs="宋体"/>
                      <w:b w:val="0"/>
                      <w:bCs w:val="0"/>
                      <w:color w:val="auto"/>
                      <w:spacing w:val="-1"/>
                      <w:sz w:val="21"/>
                      <w:szCs w:val="21"/>
                      <w:highlight w:val="none"/>
                    </w:rPr>
                    <w:t>物良好生长。产生垃圾的主要区域和路段做到</w:t>
                  </w:r>
                  <w:r>
                    <w:rPr>
                      <w:rFonts w:hint="eastAsia" w:ascii="宋体" w:hAnsi="宋体" w:eastAsia="宋体" w:cs="宋体"/>
                      <w:b w:val="0"/>
                      <w:bCs w:val="0"/>
                      <w:color w:val="auto"/>
                      <w:spacing w:val="-2"/>
                      <w:sz w:val="21"/>
                      <w:szCs w:val="21"/>
                      <w:highlight w:val="none"/>
                    </w:rPr>
                    <w:t>日产日清。</w:t>
                  </w:r>
                </w:p>
              </w:tc>
            </w:tr>
            <w:tr w14:paraId="28BE2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0" w:hRule="atLeast"/>
              </w:trPr>
              <w:tc>
                <w:tcPr>
                  <w:tcW w:w="731" w:type="dxa"/>
                  <w:vMerge w:val="continue"/>
                  <w:tcBorders>
                    <w:top w:val="single" w:color="000000" w:sz="2" w:space="0"/>
                    <w:left w:val="single" w:color="000000" w:sz="2" w:space="0"/>
                    <w:bottom w:val="single" w:color="auto" w:sz="4" w:space="0"/>
                    <w:right w:val="single" w:color="000000" w:sz="2" w:space="0"/>
                  </w:tcBorders>
                  <w:noWrap w:val="0"/>
                  <w:vAlign w:val="center"/>
                </w:tcPr>
                <w:p w14:paraId="20AA50A6">
                  <w:pPr>
                    <w:widowControl/>
                    <w:spacing w:line="360" w:lineRule="exact"/>
                    <w:ind w:firstLine="416" w:firstLineChars="200"/>
                    <w:jc w:val="left"/>
                    <w:rPr>
                      <w:rFonts w:cs="CESI仿宋-GB2312"/>
                      <w:color w:val="auto"/>
                      <w:spacing w:val="-1"/>
                      <w:szCs w:val="21"/>
                      <w:highlight w:val="none"/>
                    </w:rPr>
                  </w:pPr>
                </w:p>
              </w:tc>
              <w:tc>
                <w:tcPr>
                  <w:tcW w:w="1081" w:type="dxa"/>
                  <w:vMerge w:val="continue"/>
                  <w:tcBorders>
                    <w:top w:val="single" w:color="000000" w:sz="2" w:space="0"/>
                    <w:left w:val="single" w:color="000000" w:sz="2" w:space="0"/>
                    <w:bottom w:val="single" w:color="auto" w:sz="4" w:space="0"/>
                    <w:right w:val="single" w:color="000000" w:sz="2" w:space="0"/>
                  </w:tcBorders>
                  <w:noWrap w:val="0"/>
                  <w:vAlign w:val="center"/>
                </w:tcPr>
                <w:p w14:paraId="7925FEE0">
                  <w:pPr>
                    <w:widowControl/>
                    <w:spacing w:line="360" w:lineRule="exact"/>
                    <w:ind w:firstLine="416" w:firstLineChars="200"/>
                    <w:jc w:val="left"/>
                    <w:rPr>
                      <w:rFonts w:cs="CESI仿宋-GB2312"/>
                      <w:color w:val="auto"/>
                      <w:spacing w:val="-1"/>
                      <w:szCs w:val="21"/>
                      <w:highlight w:val="none"/>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098B8CC6">
                  <w:pPr>
                    <w:pStyle w:val="27"/>
                    <w:keepNext w:val="0"/>
                    <w:keepLines w:val="0"/>
                    <w:pageBreakBefore w:val="0"/>
                    <w:widowControl/>
                    <w:numPr>
                      <w:ilvl w:val="0"/>
                      <w:numId w:val="4"/>
                    </w:numPr>
                    <w:kinsoku w:val="0"/>
                    <w:wordWrap/>
                    <w:overflowPunct/>
                    <w:topLinePunct w:val="0"/>
                    <w:autoSpaceDE w:val="0"/>
                    <w:autoSpaceDN w:val="0"/>
                    <w:bidi w:val="0"/>
                    <w:adjustRightInd w:val="0"/>
                    <w:snapToGrid w:val="0"/>
                    <w:spacing w:before="173" w:line="240" w:lineRule="auto"/>
                    <w:ind w:left="112" w:leftChars="0" w:right="164" w:rightChars="0" w:firstLine="214" w:firstLineChars="0"/>
                    <w:jc w:val="left"/>
                    <w:textAlignment w:val="baseline"/>
                    <w:rPr>
                      <w:rFonts w:cs="CESI仿宋-GB2312"/>
                      <w:color w:val="auto"/>
                      <w:spacing w:val="-1"/>
                      <w:szCs w:val="21"/>
                      <w:highlight w:val="none"/>
                    </w:rPr>
                  </w:pPr>
                  <w:r>
                    <w:rPr>
                      <w:rFonts w:hint="eastAsia" w:ascii="宋体" w:hAnsi="宋体" w:eastAsia="宋体" w:cs="宋体"/>
                      <w:b w:val="0"/>
                      <w:bCs w:val="0"/>
                      <w:color w:val="auto"/>
                      <w:spacing w:val="-1"/>
                      <w:sz w:val="21"/>
                      <w:szCs w:val="21"/>
                      <w:highlight w:val="none"/>
                    </w:rPr>
                    <w:t>雨</w:t>
                  </w:r>
                  <w:r>
                    <w:rPr>
                      <w:rFonts w:hint="eastAsia" w:cs="宋体"/>
                      <w:b w:val="0"/>
                      <w:bCs w:val="0"/>
                      <w:color w:val="auto"/>
                      <w:spacing w:val="-1"/>
                      <w:sz w:val="21"/>
                      <w:szCs w:val="21"/>
                      <w:highlight w:val="none"/>
                      <w:lang w:eastAsia="zh-CN"/>
                    </w:rPr>
                    <w:t>雨</w:t>
                  </w:r>
                  <w:r>
                    <w:rPr>
                      <w:rFonts w:hint="eastAsia" w:ascii="宋体" w:hAnsi="宋体" w:eastAsia="宋体" w:cs="宋体"/>
                      <w:b w:val="0"/>
                      <w:bCs w:val="0"/>
                      <w:color w:val="auto"/>
                      <w:spacing w:val="-1"/>
                      <w:sz w:val="21"/>
                      <w:szCs w:val="21"/>
                      <w:highlight w:val="none"/>
                    </w:rPr>
                    <w:t>、冰冻等恶劣天气来临前，专人巡查，对绿植做好预防措施，排除安全隐患。</w:t>
                  </w:r>
                </w:p>
              </w:tc>
            </w:tr>
            <w:tr w14:paraId="365F9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28" w:hRule="atLeast"/>
              </w:trPr>
              <w:tc>
                <w:tcPr>
                  <w:tcW w:w="731" w:type="dxa"/>
                  <w:vMerge w:val="continue"/>
                  <w:tcBorders>
                    <w:top w:val="single" w:color="000000" w:sz="2" w:space="0"/>
                    <w:left w:val="single" w:color="000000" w:sz="2" w:space="0"/>
                    <w:bottom w:val="single" w:color="auto" w:sz="4" w:space="0"/>
                    <w:right w:val="single" w:color="000000" w:sz="2" w:space="0"/>
                  </w:tcBorders>
                  <w:noWrap w:val="0"/>
                  <w:vAlign w:val="center"/>
                </w:tcPr>
                <w:p w14:paraId="706D0777">
                  <w:pPr>
                    <w:widowControl/>
                    <w:spacing w:line="360" w:lineRule="exact"/>
                    <w:ind w:firstLine="416" w:firstLineChars="200"/>
                    <w:jc w:val="left"/>
                    <w:rPr>
                      <w:rFonts w:cs="CESI仿宋-GB2312"/>
                      <w:color w:val="auto"/>
                      <w:spacing w:val="-1"/>
                      <w:szCs w:val="21"/>
                      <w:highlight w:val="none"/>
                    </w:rPr>
                  </w:pPr>
                </w:p>
              </w:tc>
              <w:tc>
                <w:tcPr>
                  <w:tcW w:w="1081" w:type="dxa"/>
                  <w:vMerge w:val="continue"/>
                  <w:tcBorders>
                    <w:top w:val="single" w:color="000000" w:sz="2" w:space="0"/>
                    <w:left w:val="single" w:color="000000" w:sz="2" w:space="0"/>
                    <w:bottom w:val="single" w:color="auto" w:sz="4" w:space="0"/>
                    <w:right w:val="single" w:color="000000" w:sz="2" w:space="0"/>
                  </w:tcBorders>
                  <w:noWrap w:val="0"/>
                  <w:vAlign w:val="center"/>
                </w:tcPr>
                <w:p w14:paraId="7CA6A0D7">
                  <w:pPr>
                    <w:widowControl/>
                    <w:spacing w:line="360" w:lineRule="exact"/>
                    <w:ind w:firstLine="416" w:firstLineChars="200"/>
                    <w:jc w:val="left"/>
                    <w:rPr>
                      <w:rFonts w:cs="CESI仿宋-GB2312"/>
                      <w:color w:val="auto"/>
                      <w:spacing w:val="-1"/>
                      <w:szCs w:val="21"/>
                      <w:highlight w:val="none"/>
                    </w:rPr>
                  </w:pPr>
                </w:p>
              </w:tc>
              <w:tc>
                <w:tcPr>
                  <w:tcW w:w="4923" w:type="dxa"/>
                  <w:tcBorders>
                    <w:top w:val="single" w:color="000000" w:sz="2" w:space="0"/>
                    <w:left w:val="single" w:color="000000" w:sz="2" w:space="0"/>
                    <w:bottom w:val="single" w:color="000000" w:sz="2" w:space="0"/>
                    <w:right w:val="single" w:color="000000" w:sz="2" w:space="0"/>
                  </w:tcBorders>
                  <w:noWrap w:val="0"/>
                  <w:vAlign w:val="center"/>
                </w:tcPr>
                <w:p w14:paraId="792C527F">
                  <w:pPr>
                    <w:widowControl/>
                    <w:kinsoku w:val="0"/>
                    <w:autoSpaceDE w:val="0"/>
                    <w:autoSpaceDN w:val="0"/>
                    <w:adjustRightInd w:val="0"/>
                    <w:snapToGrid w:val="0"/>
                    <w:spacing w:line="360" w:lineRule="exact"/>
                    <w:ind w:firstLine="416" w:firstLineChars="200"/>
                    <w:textAlignment w:val="baseline"/>
                    <w:rPr>
                      <w:rFonts w:cs="CESI仿宋-GB2312"/>
                      <w:color w:val="auto"/>
                      <w:spacing w:val="-1"/>
                      <w:szCs w:val="21"/>
                      <w:highlight w:val="none"/>
                    </w:rPr>
                  </w:pPr>
                  <w:r>
                    <w:rPr>
                      <w:rFonts w:hint="eastAsia" w:ascii="宋体" w:hAnsi="宋体" w:eastAsia="宋体" w:cs="宋体"/>
                      <w:b w:val="0"/>
                      <w:bCs w:val="0"/>
                      <w:color w:val="auto"/>
                      <w:spacing w:val="-1"/>
                      <w:sz w:val="21"/>
                      <w:szCs w:val="21"/>
                      <w:highlight w:val="none"/>
                      <w:lang w:eastAsia="zh-CN"/>
                    </w:rPr>
                    <w:t>（</w:t>
                  </w:r>
                  <w:r>
                    <w:rPr>
                      <w:rFonts w:hint="eastAsia" w:ascii="宋体" w:hAnsi="宋体" w:eastAsia="宋体" w:cs="宋体"/>
                      <w:b w:val="0"/>
                      <w:bCs w:val="0"/>
                      <w:color w:val="auto"/>
                      <w:spacing w:val="-1"/>
                      <w:sz w:val="21"/>
                      <w:szCs w:val="21"/>
                      <w:highlight w:val="none"/>
                      <w:lang w:val="en-US" w:eastAsia="zh-CN"/>
                    </w:rPr>
                    <w:t>7</w:t>
                  </w:r>
                  <w:r>
                    <w:rPr>
                      <w:rFonts w:hint="eastAsia" w:ascii="宋体" w:hAnsi="宋体" w:eastAsia="宋体" w:cs="宋体"/>
                      <w:b w:val="0"/>
                      <w:bCs w:val="0"/>
                      <w:color w:val="auto"/>
                      <w:spacing w:val="-1"/>
                      <w:sz w:val="21"/>
                      <w:szCs w:val="21"/>
                      <w:highlight w:val="none"/>
                      <w:lang w:eastAsia="zh-CN"/>
                    </w:rPr>
                    <w:t>）</w:t>
                  </w:r>
                  <w:r>
                    <w:rPr>
                      <w:rFonts w:hint="eastAsia" w:ascii="宋体" w:hAnsi="宋体" w:eastAsia="宋体" w:cs="宋体"/>
                      <w:b w:val="0"/>
                      <w:bCs w:val="0"/>
                      <w:color w:val="auto"/>
                      <w:spacing w:val="-1"/>
                      <w:sz w:val="21"/>
                      <w:szCs w:val="21"/>
                      <w:highlight w:val="none"/>
                    </w:rPr>
                    <w:t>恶劣天气后，及时清除倒树断枝，疏通</w:t>
                  </w: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pacing w:val="-1"/>
                      <w:sz w:val="21"/>
                      <w:szCs w:val="21"/>
                      <w:highlight w:val="none"/>
                    </w:rPr>
                    <w:t>道路，尽快恢复原状。</w:t>
                  </w:r>
                </w:p>
              </w:tc>
            </w:tr>
          </w:tbl>
          <w:p w14:paraId="6EA41074">
            <w:pPr>
              <w:widowControl/>
              <w:kinsoku w:val="0"/>
              <w:autoSpaceDE w:val="0"/>
              <w:autoSpaceDN w:val="0"/>
              <w:adjustRightInd w:val="0"/>
              <w:snapToGrid w:val="0"/>
              <w:spacing w:line="500" w:lineRule="exact"/>
              <w:ind w:firstLine="420" w:firstLineChars="200"/>
              <w:textAlignment w:val="baseline"/>
              <w:rPr>
                <w:rFonts w:cs="CESI仿宋-GB2312"/>
                <w:b/>
                <w:bCs/>
                <w:spacing w:val="-1"/>
                <w:szCs w:val="21"/>
              </w:rPr>
            </w:pPr>
            <w:r>
              <w:rPr>
                <w:rFonts w:hint="eastAsia" w:ascii="宋体" w:hAnsi="宋体" w:eastAsia="宋体" w:cs="Times New Roman"/>
                <w:color w:val="000000"/>
                <w:szCs w:val="21"/>
              </w:rPr>
              <w:t>▲</w:t>
            </w:r>
            <w:r>
              <w:rPr>
                <w:rFonts w:hint="eastAsia" w:cs="CESI仿宋-GB2312"/>
                <w:b/>
                <w:bCs/>
                <w:spacing w:val="-1"/>
                <w:szCs w:val="21"/>
              </w:rPr>
              <w:t>3</w:t>
            </w:r>
            <w:r>
              <w:rPr>
                <w:rFonts w:cs="CESI仿宋-GB2312"/>
                <w:b/>
                <w:bCs/>
                <w:spacing w:val="-1"/>
                <w:szCs w:val="21"/>
              </w:rPr>
              <w:t>.</w:t>
            </w:r>
            <w:r>
              <w:rPr>
                <w:rFonts w:hint="eastAsia" w:cs="CESI仿宋-GB2312"/>
                <w:b/>
                <w:bCs/>
                <w:spacing w:val="-1"/>
                <w:szCs w:val="21"/>
              </w:rPr>
              <w:t>物业管理服务人员需求</w:t>
            </w:r>
            <w:bookmarkEnd w:id="41"/>
          </w:p>
          <w:p w14:paraId="3FB5DD6D">
            <w:pPr>
              <w:widowControl/>
              <w:spacing w:line="500" w:lineRule="exact"/>
              <w:ind w:firstLine="416" w:firstLineChars="200"/>
              <w:jc w:val="left"/>
              <w:rPr>
                <w:rFonts w:hint="eastAsia" w:cs="CESI仿宋-GB2312"/>
                <w:spacing w:val="-1"/>
                <w:szCs w:val="21"/>
              </w:rPr>
            </w:pPr>
            <w:r>
              <w:rPr>
                <w:rFonts w:hint="eastAsia" w:cs="CESI仿宋-GB2312"/>
                <w:spacing w:val="-1"/>
                <w:szCs w:val="21"/>
              </w:rPr>
              <w:t>中标人聘用员工必须符合国家法律、政策的有关规定，对员工的疾病和人身安全负责。发生的劳资纠纷由中标人负责。本次采购按服务范围，服务内容、服务要求共配置人员不少于</w:t>
            </w:r>
            <w:r>
              <w:rPr>
                <w:rFonts w:hint="eastAsia" w:cs="CESI仿宋-GB2312"/>
                <w:spacing w:val="-1"/>
                <w:szCs w:val="21"/>
                <w:lang w:val="en-US" w:eastAsia="zh-CN"/>
              </w:rPr>
              <w:t>24</w:t>
            </w:r>
            <w:r>
              <w:rPr>
                <w:rFonts w:hint="eastAsia" w:cs="CESI仿宋-GB2312"/>
                <w:spacing w:val="-1"/>
                <w:szCs w:val="21"/>
              </w:rPr>
              <w:t>人，各岗位人员配置要求如下：</w:t>
            </w:r>
          </w:p>
          <w:p w14:paraId="3CF2B6D3">
            <w:pPr>
              <w:widowControl/>
              <w:spacing w:line="500" w:lineRule="exact"/>
              <w:ind w:firstLine="422" w:firstLineChars="200"/>
              <w:jc w:val="left"/>
              <w:rPr>
                <w:b/>
                <w:bCs/>
                <w:color w:val="auto"/>
              </w:rPr>
            </w:pPr>
            <w:r>
              <w:rPr>
                <w:rFonts w:hint="eastAsia"/>
                <w:b/>
                <w:bCs/>
                <w:color w:val="auto"/>
                <w:lang w:eastAsia="zh-CN"/>
              </w:rPr>
              <w:t>（</w:t>
            </w:r>
            <w:r>
              <w:rPr>
                <w:rFonts w:hint="eastAsia"/>
                <w:b/>
                <w:bCs/>
                <w:color w:val="auto"/>
                <w:lang w:val="en-US" w:eastAsia="zh-CN"/>
              </w:rPr>
              <w:t>1</w:t>
            </w:r>
            <w:r>
              <w:rPr>
                <w:rFonts w:hint="eastAsia"/>
                <w:b/>
                <w:bCs/>
                <w:color w:val="auto"/>
                <w:lang w:eastAsia="zh-CN"/>
              </w:rPr>
              <w:t>）</w:t>
            </w:r>
            <w:r>
              <w:rPr>
                <w:b/>
                <w:bCs/>
                <w:color w:val="auto"/>
              </w:rPr>
              <w:t>管理人员配置1</w:t>
            </w:r>
            <w:r>
              <w:rPr>
                <w:rFonts w:hint="eastAsia"/>
                <w:b/>
                <w:bCs/>
                <w:color w:val="auto"/>
                <w:lang w:val="en-US" w:eastAsia="zh-CN"/>
              </w:rPr>
              <w:t>名</w:t>
            </w:r>
          </w:p>
          <w:p w14:paraId="50C19EB2">
            <w:pPr>
              <w:widowControl/>
              <w:spacing w:line="500" w:lineRule="exact"/>
              <w:ind w:firstLine="422" w:firstLineChars="200"/>
              <w:jc w:val="left"/>
              <w:rPr>
                <w:rFonts w:hint="eastAsia"/>
                <w:b/>
                <w:bCs/>
                <w:color w:val="auto"/>
                <w:lang w:val="en-US" w:eastAsia="zh-CN"/>
              </w:rPr>
            </w:pPr>
            <w:r>
              <w:rPr>
                <w:rFonts w:hint="eastAsia"/>
                <w:b/>
                <w:bCs/>
                <w:color w:val="auto"/>
                <w:lang w:eastAsia="zh-CN"/>
              </w:rPr>
              <w:t>（</w:t>
            </w:r>
            <w:r>
              <w:rPr>
                <w:rFonts w:hint="eastAsia"/>
                <w:b/>
                <w:bCs/>
                <w:color w:val="auto"/>
                <w:lang w:val="en-US" w:eastAsia="zh-CN"/>
              </w:rPr>
              <w:t>2</w:t>
            </w:r>
            <w:r>
              <w:rPr>
                <w:rFonts w:hint="eastAsia"/>
                <w:b/>
                <w:bCs/>
                <w:color w:val="auto"/>
                <w:lang w:eastAsia="zh-CN"/>
              </w:rPr>
              <w:t>）</w:t>
            </w:r>
            <w:r>
              <w:rPr>
                <w:b/>
                <w:bCs/>
                <w:color w:val="auto"/>
              </w:rPr>
              <w:t>保安人员配置</w:t>
            </w:r>
            <w:r>
              <w:rPr>
                <w:rFonts w:hint="eastAsia"/>
                <w:b/>
                <w:bCs/>
                <w:color w:val="auto"/>
                <w:lang w:val="en-US" w:eastAsia="zh-CN"/>
              </w:rPr>
              <w:t>13名其中：1名兼消防安全员</w:t>
            </w:r>
          </w:p>
          <w:p w14:paraId="085459E4">
            <w:pPr>
              <w:widowControl/>
              <w:spacing w:line="500" w:lineRule="exact"/>
              <w:ind w:firstLine="632" w:firstLineChars="300"/>
              <w:jc w:val="left"/>
              <w:rPr>
                <w:rFonts w:hint="default"/>
                <w:b/>
                <w:bCs/>
                <w:color w:val="auto"/>
                <w:lang w:val="en-US" w:eastAsia="zh-CN"/>
              </w:rPr>
            </w:pPr>
            <w:r>
              <w:rPr>
                <w:rFonts w:hint="eastAsia"/>
                <w:b/>
                <w:bCs/>
                <w:color w:val="auto"/>
                <w:lang w:val="en-US" w:eastAsia="zh-CN"/>
              </w:rPr>
              <w:t>( 3)保洁员配备配备9名</w:t>
            </w:r>
          </w:p>
          <w:p w14:paraId="0F9B8C2F">
            <w:pPr>
              <w:widowControl/>
              <w:spacing w:line="500" w:lineRule="exact"/>
              <w:ind w:firstLine="630" w:firstLineChars="300"/>
              <w:jc w:val="left"/>
              <w:rPr>
                <w:rFonts w:hint="eastAsia"/>
                <w:color w:val="auto"/>
                <w:lang w:val="en-US" w:eastAsia="zh-CN"/>
              </w:rPr>
            </w:pPr>
            <w:r>
              <w:rPr>
                <w:rFonts w:hint="eastAsia"/>
                <w:color w:val="auto"/>
                <w:lang w:val="en-US" w:eastAsia="zh-CN"/>
              </w:rPr>
              <w:t>1）人民大会堂2名</w:t>
            </w:r>
          </w:p>
          <w:p w14:paraId="2EB5BE9A">
            <w:pPr>
              <w:widowControl/>
              <w:spacing w:line="500" w:lineRule="exact"/>
              <w:ind w:firstLine="630" w:firstLineChars="300"/>
              <w:jc w:val="left"/>
              <w:rPr>
                <w:rFonts w:hint="eastAsia"/>
                <w:color w:val="auto"/>
                <w:lang w:val="en-US" w:eastAsia="zh-CN"/>
              </w:rPr>
            </w:pPr>
            <w:r>
              <w:rPr>
                <w:rFonts w:hint="eastAsia"/>
                <w:color w:val="auto"/>
                <w:lang w:val="en-US" w:eastAsia="zh-CN"/>
              </w:rPr>
              <w:t>2）县委楼1名</w:t>
            </w:r>
          </w:p>
          <w:p w14:paraId="24D5AAF3">
            <w:pPr>
              <w:widowControl/>
              <w:spacing w:line="500" w:lineRule="exact"/>
              <w:ind w:firstLine="630" w:firstLineChars="300"/>
              <w:jc w:val="left"/>
              <w:rPr>
                <w:rFonts w:hint="eastAsia"/>
                <w:color w:val="auto"/>
                <w:lang w:val="en-US" w:eastAsia="zh-CN"/>
              </w:rPr>
            </w:pPr>
            <w:r>
              <w:rPr>
                <w:rFonts w:hint="eastAsia"/>
                <w:color w:val="auto"/>
                <w:lang w:val="en-US" w:eastAsia="zh-CN"/>
              </w:rPr>
              <w:t>3）县政府楼1名</w:t>
            </w:r>
          </w:p>
          <w:p w14:paraId="6BFAF79C">
            <w:pPr>
              <w:widowControl/>
              <w:spacing w:line="500" w:lineRule="exact"/>
              <w:ind w:firstLine="630" w:firstLineChars="300"/>
              <w:jc w:val="left"/>
              <w:rPr>
                <w:rFonts w:hint="eastAsia"/>
                <w:color w:val="auto"/>
                <w:lang w:val="en-US" w:eastAsia="zh-CN"/>
              </w:rPr>
            </w:pPr>
            <w:r>
              <w:rPr>
                <w:rFonts w:hint="eastAsia"/>
                <w:color w:val="auto"/>
                <w:lang w:val="en-US" w:eastAsia="zh-CN"/>
              </w:rPr>
              <w:t>4）县政协楼1名</w:t>
            </w:r>
          </w:p>
          <w:p w14:paraId="02CD8EB7">
            <w:pPr>
              <w:widowControl/>
              <w:spacing w:line="500" w:lineRule="exact"/>
              <w:ind w:firstLine="630" w:firstLineChars="300"/>
              <w:jc w:val="left"/>
              <w:rPr>
                <w:rFonts w:hint="eastAsia"/>
                <w:color w:val="auto"/>
                <w:lang w:val="en-US" w:eastAsia="zh-CN"/>
              </w:rPr>
            </w:pPr>
            <w:r>
              <w:rPr>
                <w:rFonts w:hint="eastAsia"/>
                <w:color w:val="auto"/>
                <w:lang w:val="en-US" w:eastAsia="zh-CN"/>
              </w:rPr>
              <w:t>5）大院地面公共区域4名</w:t>
            </w:r>
          </w:p>
          <w:p w14:paraId="5AFB6A9C">
            <w:pPr>
              <w:widowControl/>
              <w:spacing w:line="500" w:lineRule="exact"/>
              <w:ind w:firstLine="422" w:firstLineChars="200"/>
              <w:jc w:val="left"/>
              <w:rPr>
                <w:rFonts w:hint="default"/>
                <w:color w:val="FF0000"/>
                <w:lang w:val="en-US" w:eastAsia="zh-CN"/>
              </w:rPr>
            </w:pPr>
            <w:r>
              <w:rPr>
                <w:rFonts w:hint="eastAsia"/>
                <w:b/>
                <w:bCs/>
                <w:color w:val="auto"/>
                <w:lang w:val="en-US" w:eastAsia="zh-CN"/>
              </w:rPr>
              <w:t>（4）绿化人员配备1名</w:t>
            </w:r>
          </w:p>
          <w:tbl>
            <w:tblPr>
              <w:tblStyle w:val="19"/>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574"/>
              <w:gridCol w:w="1011"/>
              <w:gridCol w:w="3317"/>
            </w:tblGrid>
            <w:tr w14:paraId="52C82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647" w:type="dxa"/>
                  <w:tcBorders>
                    <w:top w:val="single" w:color="000000" w:sz="2" w:space="0"/>
                    <w:left w:val="single" w:color="000000" w:sz="2" w:space="0"/>
                    <w:bottom w:val="single" w:color="000000" w:sz="2" w:space="0"/>
                    <w:right w:val="single" w:color="000000" w:sz="2" w:space="0"/>
                  </w:tcBorders>
                  <w:noWrap w:val="0"/>
                  <w:vAlign w:val="center"/>
                </w:tcPr>
                <w:p w14:paraId="0F948013">
                  <w:pPr>
                    <w:widowControl/>
                    <w:kinsoku w:val="0"/>
                    <w:autoSpaceDE w:val="0"/>
                    <w:autoSpaceDN w:val="0"/>
                    <w:adjustRightInd w:val="0"/>
                    <w:snapToGrid w:val="0"/>
                    <w:spacing w:line="500" w:lineRule="exact"/>
                    <w:textAlignment w:val="baseline"/>
                    <w:rPr>
                      <w:rFonts w:cs="CESI仿宋-GB2312"/>
                      <w:b/>
                      <w:bCs/>
                      <w:color w:val="auto"/>
                      <w:spacing w:val="-1"/>
                      <w:szCs w:val="21"/>
                    </w:rPr>
                  </w:pPr>
                  <w:r>
                    <w:rPr>
                      <w:rFonts w:hint="eastAsia" w:cs="CESI仿宋-GB2312"/>
                      <w:b/>
                      <w:bCs/>
                      <w:color w:val="auto"/>
                      <w:spacing w:val="-1"/>
                      <w:szCs w:val="21"/>
                    </w:rPr>
                    <w:t>岗位</w:t>
                  </w:r>
                </w:p>
              </w:tc>
              <w:tc>
                <w:tcPr>
                  <w:tcW w:w="1095" w:type="dxa"/>
                  <w:tcBorders>
                    <w:top w:val="single" w:color="000000" w:sz="2" w:space="0"/>
                    <w:left w:val="single" w:color="000000" w:sz="2" w:space="0"/>
                    <w:bottom w:val="single" w:color="000000" w:sz="2" w:space="0"/>
                    <w:right w:val="single" w:color="000000" w:sz="2" w:space="0"/>
                  </w:tcBorders>
                  <w:noWrap w:val="0"/>
                  <w:vAlign w:val="center"/>
                </w:tcPr>
                <w:p w14:paraId="66FA62E5">
                  <w:pPr>
                    <w:widowControl/>
                    <w:kinsoku w:val="0"/>
                    <w:autoSpaceDE w:val="0"/>
                    <w:autoSpaceDN w:val="0"/>
                    <w:adjustRightInd w:val="0"/>
                    <w:snapToGrid w:val="0"/>
                    <w:spacing w:line="500" w:lineRule="exact"/>
                    <w:textAlignment w:val="baseline"/>
                    <w:rPr>
                      <w:rFonts w:cs="CESI仿宋-GB2312"/>
                      <w:b/>
                      <w:bCs/>
                      <w:color w:val="auto"/>
                      <w:spacing w:val="-1"/>
                      <w:szCs w:val="21"/>
                    </w:rPr>
                  </w:pPr>
                  <w:r>
                    <w:rPr>
                      <w:rFonts w:hint="eastAsia" w:cs="CESI仿宋-GB2312"/>
                      <w:b/>
                      <w:bCs/>
                      <w:color w:val="auto"/>
                      <w:spacing w:val="-1"/>
                      <w:szCs w:val="21"/>
                    </w:rPr>
                    <w:t>岗位所需总人数</w:t>
                  </w:r>
                </w:p>
              </w:tc>
              <w:tc>
                <w:tcPr>
                  <w:tcW w:w="4342" w:type="dxa"/>
                  <w:tcBorders>
                    <w:top w:val="single" w:color="000000" w:sz="2" w:space="0"/>
                    <w:left w:val="single" w:color="000000" w:sz="2" w:space="0"/>
                    <w:bottom w:val="single" w:color="000000" w:sz="2" w:space="0"/>
                    <w:right w:val="single" w:color="000000" w:sz="2" w:space="0"/>
                  </w:tcBorders>
                  <w:noWrap w:val="0"/>
                  <w:vAlign w:val="center"/>
                </w:tcPr>
                <w:p w14:paraId="286F54C4">
                  <w:pPr>
                    <w:widowControl/>
                    <w:kinsoku w:val="0"/>
                    <w:autoSpaceDE w:val="0"/>
                    <w:autoSpaceDN w:val="0"/>
                    <w:adjustRightInd w:val="0"/>
                    <w:snapToGrid w:val="0"/>
                    <w:spacing w:line="500" w:lineRule="exact"/>
                    <w:ind w:firstLine="418" w:firstLineChars="200"/>
                    <w:jc w:val="center"/>
                    <w:textAlignment w:val="baseline"/>
                    <w:rPr>
                      <w:rFonts w:cs="CESI仿宋-GB2312"/>
                      <w:b/>
                      <w:bCs/>
                      <w:color w:val="auto"/>
                      <w:spacing w:val="-1"/>
                      <w:szCs w:val="21"/>
                    </w:rPr>
                  </w:pPr>
                  <w:r>
                    <w:rPr>
                      <w:rFonts w:hint="eastAsia" w:cs="CESI仿宋-GB2312"/>
                      <w:b/>
                      <w:bCs/>
                      <w:color w:val="auto"/>
                      <w:spacing w:val="-1"/>
                      <w:szCs w:val="21"/>
                    </w:rPr>
                    <w:t>人员要求</w:t>
                  </w:r>
                </w:p>
              </w:tc>
            </w:tr>
            <w:tr w14:paraId="62A70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647" w:type="dxa"/>
                  <w:tcBorders>
                    <w:top w:val="single" w:color="000000" w:sz="2" w:space="0"/>
                    <w:left w:val="single" w:color="000000" w:sz="2" w:space="0"/>
                    <w:bottom w:val="single" w:color="000000" w:sz="2" w:space="0"/>
                    <w:right w:val="single" w:color="000000" w:sz="2" w:space="0"/>
                  </w:tcBorders>
                  <w:noWrap w:val="0"/>
                  <w:vAlign w:val="center"/>
                </w:tcPr>
                <w:p w14:paraId="3CD4931C">
                  <w:pPr>
                    <w:widowControl/>
                    <w:kinsoku w:val="0"/>
                    <w:autoSpaceDE w:val="0"/>
                    <w:autoSpaceDN w:val="0"/>
                    <w:adjustRightInd w:val="0"/>
                    <w:snapToGrid w:val="0"/>
                    <w:spacing w:line="500" w:lineRule="exact"/>
                    <w:textAlignment w:val="baseline"/>
                    <w:rPr>
                      <w:rFonts w:cs="CESI仿宋-GB2312"/>
                      <w:color w:val="auto"/>
                      <w:spacing w:val="-1"/>
                      <w:szCs w:val="21"/>
                    </w:rPr>
                  </w:pPr>
                  <w:r>
                    <w:rPr>
                      <w:rFonts w:hint="eastAsia" w:cs="CESI仿宋-GB2312"/>
                      <w:color w:val="auto"/>
                      <w:spacing w:val="-1"/>
                      <w:szCs w:val="21"/>
                    </w:rPr>
                    <w:t>项目经理</w:t>
                  </w:r>
                </w:p>
              </w:tc>
              <w:tc>
                <w:tcPr>
                  <w:tcW w:w="1095" w:type="dxa"/>
                  <w:tcBorders>
                    <w:top w:val="single" w:color="000000" w:sz="2" w:space="0"/>
                    <w:left w:val="single" w:color="000000" w:sz="2" w:space="0"/>
                    <w:bottom w:val="single" w:color="000000" w:sz="2" w:space="0"/>
                    <w:right w:val="single" w:color="000000" w:sz="2" w:space="0"/>
                  </w:tcBorders>
                  <w:noWrap w:val="0"/>
                  <w:vAlign w:val="center"/>
                </w:tcPr>
                <w:p w14:paraId="4B638E8F">
                  <w:pPr>
                    <w:widowControl/>
                    <w:kinsoku w:val="0"/>
                    <w:autoSpaceDE w:val="0"/>
                    <w:autoSpaceDN w:val="0"/>
                    <w:adjustRightInd w:val="0"/>
                    <w:snapToGrid w:val="0"/>
                    <w:spacing w:line="500" w:lineRule="exact"/>
                    <w:ind w:firstLine="416" w:firstLineChars="200"/>
                    <w:jc w:val="center"/>
                    <w:textAlignment w:val="baseline"/>
                    <w:rPr>
                      <w:rFonts w:cs="CESI仿宋-GB2312"/>
                      <w:color w:val="auto"/>
                      <w:spacing w:val="-1"/>
                      <w:szCs w:val="21"/>
                    </w:rPr>
                  </w:pPr>
                  <w:r>
                    <w:rPr>
                      <w:rFonts w:hint="eastAsia" w:cs="CESI仿宋-GB2312"/>
                      <w:color w:val="auto"/>
                      <w:spacing w:val="-1"/>
                      <w:szCs w:val="21"/>
                    </w:rPr>
                    <w:t>1</w:t>
                  </w:r>
                </w:p>
              </w:tc>
              <w:tc>
                <w:tcPr>
                  <w:tcW w:w="4342" w:type="dxa"/>
                  <w:tcBorders>
                    <w:top w:val="single" w:color="000000" w:sz="2" w:space="0"/>
                    <w:left w:val="single" w:color="000000" w:sz="2" w:space="0"/>
                    <w:bottom w:val="single" w:color="000000" w:sz="2" w:space="0"/>
                    <w:right w:val="single" w:color="000000" w:sz="2" w:space="0"/>
                  </w:tcBorders>
                  <w:noWrap w:val="0"/>
                  <w:vAlign w:val="top"/>
                </w:tcPr>
                <w:p w14:paraId="6718CABD">
                  <w:pPr>
                    <w:widowControl/>
                    <w:kinsoku w:val="0"/>
                    <w:autoSpaceDE w:val="0"/>
                    <w:autoSpaceDN w:val="0"/>
                    <w:adjustRightInd w:val="0"/>
                    <w:snapToGrid w:val="0"/>
                    <w:spacing w:line="500" w:lineRule="exact"/>
                    <w:ind w:firstLine="416" w:firstLineChars="200"/>
                    <w:textAlignment w:val="baseline"/>
                    <w:rPr>
                      <w:rFonts w:cs="CESI仿宋-GB2312"/>
                      <w:color w:val="auto"/>
                      <w:spacing w:val="-1"/>
                      <w:szCs w:val="21"/>
                    </w:rPr>
                  </w:pPr>
                  <w:r>
                    <w:rPr>
                      <w:rFonts w:hint="eastAsia" w:cs="CESI仿宋-GB2312"/>
                      <w:color w:val="auto"/>
                      <w:spacing w:val="-1"/>
                      <w:szCs w:val="21"/>
                    </w:rPr>
                    <w:t>8小时工作制；</w:t>
                  </w:r>
                  <w:r>
                    <w:rPr>
                      <w:rFonts w:hint="eastAsia" w:cs="CESI仿宋-GB2312"/>
                      <w:color w:val="auto"/>
                      <w:spacing w:val="-1"/>
                      <w:szCs w:val="21"/>
                      <w:lang w:val="en-US" w:eastAsia="zh-CN"/>
                    </w:rPr>
                    <w:t>60</w:t>
                  </w:r>
                  <w:r>
                    <w:rPr>
                      <w:rFonts w:hint="eastAsia" w:cs="CESI仿宋-GB2312"/>
                      <w:color w:val="auto"/>
                      <w:spacing w:val="-1"/>
                      <w:szCs w:val="21"/>
                    </w:rPr>
                    <w:t>岁以下，</w:t>
                  </w:r>
                  <w:r>
                    <w:rPr>
                      <w:rStyle w:val="21"/>
                      <w:rFonts w:ascii="宋体" w:hAnsi="宋体" w:eastAsia="宋体" w:cs="宋体"/>
                      <w:b/>
                      <w:bCs/>
                      <w:color w:val="000000"/>
                      <w:sz w:val="21"/>
                      <w:szCs w:val="21"/>
                    </w:rPr>
                    <w:t>具有国家承认的本科及以上学历</w:t>
                  </w:r>
                  <w:r>
                    <w:rPr>
                      <w:rStyle w:val="21"/>
                      <w:rFonts w:hint="eastAsia" w:ascii="宋体" w:hAnsi="宋体" w:cs="宋体"/>
                      <w:b/>
                      <w:bCs/>
                      <w:color w:val="000000"/>
                      <w:sz w:val="21"/>
                      <w:szCs w:val="21"/>
                      <w:lang w:eastAsia="zh-CN"/>
                    </w:rPr>
                    <w:t>，</w:t>
                  </w:r>
                  <w:r>
                    <w:rPr>
                      <w:rStyle w:val="21"/>
                      <w:rFonts w:ascii="宋体" w:hAnsi="宋体" w:eastAsia="宋体" w:cs="宋体"/>
                      <w:b/>
                      <w:bCs/>
                      <w:color w:val="000000"/>
                      <w:sz w:val="21"/>
                      <w:szCs w:val="21"/>
                    </w:rPr>
                    <w:t>且具有 5 年以上物业管理相关工作经验</w:t>
                  </w:r>
                  <w:r>
                    <w:rPr>
                      <w:rStyle w:val="21"/>
                      <w:rFonts w:hint="eastAsia" w:ascii="宋体" w:hAnsi="宋体" w:cs="宋体"/>
                      <w:b/>
                      <w:bCs/>
                      <w:color w:val="000000"/>
                      <w:sz w:val="21"/>
                      <w:szCs w:val="21"/>
                      <w:lang w:eastAsia="zh-CN"/>
                    </w:rPr>
                    <w:t>，</w:t>
                  </w:r>
                  <w:r>
                    <w:rPr>
                      <w:rFonts w:hint="eastAsia" w:ascii="宋体" w:hAnsi="宋体" w:cs="宋体"/>
                      <w:b/>
                      <w:bCs w:val="0"/>
                      <w:color w:val="auto"/>
                      <w:kern w:val="0"/>
                      <w:szCs w:val="21"/>
                      <w:lang w:val="en-US" w:eastAsia="zh-CN"/>
                    </w:rPr>
                    <w:t>持有</w:t>
                  </w:r>
                  <w:r>
                    <w:rPr>
                      <w:rFonts w:hint="eastAsia" w:cs="CESI仿宋-GB2312"/>
                      <w:b/>
                      <w:bCs/>
                      <w:color w:val="auto"/>
                      <w:spacing w:val="-1"/>
                      <w:szCs w:val="21"/>
                      <w:lang w:val="en-US" w:eastAsia="zh-CN"/>
                    </w:rPr>
                    <w:t>CPR+AED心肺复苏培训合格证书优先。</w:t>
                  </w:r>
                  <w:r>
                    <w:rPr>
                      <w:rFonts w:hint="eastAsia" w:cs="CESI仿宋-GB2312"/>
                      <w:color w:val="auto"/>
                      <w:spacing w:val="-1"/>
                      <w:szCs w:val="21"/>
                    </w:rPr>
                    <w:t>负责制定日常工作计划和方案，统筹安排各项日常工作，负责制订各项必要的应急预案并组织人员学习和演练。审核、制定年度工作计划、员工培训计划、批准季度、月、周工作计划，检查落实工作执行情况。发现问题及时处理，对工作质量和进度负总责。并负责与业主日常工作联系，对业主提出的建议和要求及时响应，并进行实施和改进。</w:t>
                  </w:r>
                </w:p>
              </w:tc>
            </w:tr>
            <w:tr w14:paraId="1FA40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647" w:type="dxa"/>
                  <w:tcBorders>
                    <w:top w:val="single" w:color="000000" w:sz="2" w:space="0"/>
                    <w:left w:val="single" w:color="000000" w:sz="2" w:space="0"/>
                    <w:bottom w:val="single" w:color="000000" w:sz="2" w:space="0"/>
                    <w:right w:val="single" w:color="000000" w:sz="2" w:space="0"/>
                  </w:tcBorders>
                  <w:noWrap w:val="0"/>
                  <w:vAlign w:val="center"/>
                </w:tcPr>
                <w:p w14:paraId="22AEE09B">
                  <w:pPr>
                    <w:widowControl/>
                    <w:kinsoku w:val="0"/>
                    <w:autoSpaceDE w:val="0"/>
                    <w:autoSpaceDN w:val="0"/>
                    <w:adjustRightInd w:val="0"/>
                    <w:snapToGrid w:val="0"/>
                    <w:spacing w:line="500" w:lineRule="exact"/>
                    <w:textAlignment w:val="baseline"/>
                    <w:rPr>
                      <w:rFonts w:cs="CESI仿宋-GB2312"/>
                      <w:color w:val="auto"/>
                      <w:spacing w:val="-1"/>
                      <w:szCs w:val="21"/>
                    </w:rPr>
                  </w:pPr>
                  <w:r>
                    <w:rPr>
                      <w:rFonts w:hint="eastAsia" w:cs="CESI仿宋-GB2312"/>
                      <w:color w:val="auto"/>
                      <w:spacing w:val="-1"/>
                      <w:szCs w:val="21"/>
                    </w:rPr>
                    <w:t>保洁班长</w:t>
                  </w:r>
                </w:p>
              </w:tc>
              <w:tc>
                <w:tcPr>
                  <w:tcW w:w="1095" w:type="dxa"/>
                  <w:tcBorders>
                    <w:top w:val="single" w:color="000000" w:sz="2" w:space="0"/>
                    <w:left w:val="single" w:color="000000" w:sz="2" w:space="0"/>
                    <w:bottom w:val="single" w:color="000000" w:sz="2" w:space="0"/>
                    <w:right w:val="single" w:color="000000" w:sz="2" w:space="0"/>
                  </w:tcBorders>
                  <w:noWrap w:val="0"/>
                  <w:vAlign w:val="center"/>
                </w:tcPr>
                <w:p w14:paraId="142453AA">
                  <w:pPr>
                    <w:widowControl/>
                    <w:kinsoku w:val="0"/>
                    <w:autoSpaceDE w:val="0"/>
                    <w:autoSpaceDN w:val="0"/>
                    <w:adjustRightInd w:val="0"/>
                    <w:snapToGrid w:val="0"/>
                    <w:spacing w:line="500" w:lineRule="exact"/>
                    <w:ind w:firstLine="416" w:firstLineChars="200"/>
                    <w:textAlignment w:val="baseline"/>
                    <w:rPr>
                      <w:rFonts w:hint="eastAsia" w:eastAsia="宋体" w:cs="CESI仿宋-GB2312"/>
                      <w:color w:val="auto"/>
                      <w:spacing w:val="-1"/>
                      <w:szCs w:val="21"/>
                      <w:lang w:eastAsia="zh-CN"/>
                    </w:rPr>
                  </w:pPr>
                  <w:r>
                    <w:rPr>
                      <w:rFonts w:hint="eastAsia" w:cs="CESI仿宋-GB2312"/>
                      <w:color w:val="auto"/>
                      <w:spacing w:val="-1"/>
                      <w:szCs w:val="21"/>
                      <w:lang w:val="en-US" w:eastAsia="zh-CN"/>
                    </w:rPr>
                    <w:t>1</w:t>
                  </w:r>
                </w:p>
              </w:tc>
              <w:tc>
                <w:tcPr>
                  <w:tcW w:w="4342" w:type="dxa"/>
                  <w:tcBorders>
                    <w:top w:val="single" w:color="000000" w:sz="2" w:space="0"/>
                    <w:left w:val="single" w:color="000000" w:sz="2" w:space="0"/>
                    <w:bottom w:val="single" w:color="000000" w:sz="2" w:space="0"/>
                    <w:right w:val="single" w:color="000000" w:sz="2" w:space="0"/>
                  </w:tcBorders>
                  <w:noWrap w:val="0"/>
                  <w:vAlign w:val="top"/>
                </w:tcPr>
                <w:p w14:paraId="3020A4AF">
                  <w:pPr>
                    <w:widowControl/>
                    <w:kinsoku w:val="0"/>
                    <w:autoSpaceDE w:val="0"/>
                    <w:autoSpaceDN w:val="0"/>
                    <w:adjustRightInd w:val="0"/>
                    <w:snapToGrid w:val="0"/>
                    <w:spacing w:line="500" w:lineRule="exact"/>
                    <w:ind w:firstLine="416" w:firstLineChars="200"/>
                    <w:textAlignment w:val="baseline"/>
                    <w:rPr>
                      <w:rFonts w:cs="CESI仿宋-GB2312"/>
                      <w:color w:val="auto"/>
                      <w:spacing w:val="-1"/>
                      <w:szCs w:val="21"/>
                    </w:rPr>
                  </w:pPr>
                  <w:r>
                    <w:rPr>
                      <w:rFonts w:hint="eastAsia" w:cs="CESI仿宋-GB2312"/>
                      <w:color w:val="auto"/>
                      <w:spacing w:val="-1"/>
                      <w:szCs w:val="21"/>
                    </w:rPr>
                    <w:t>8小时工作制；性别不限，</w:t>
                  </w:r>
                  <w:bookmarkStart w:id="42" w:name="OLE_LINK58"/>
                  <w:bookmarkStart w:id="43" w:name="OLE_LINK59"/>
                  <w:r>
                    <w:rPr>
                      <w:rFonts w:hint="eastAsia" w:cs="CESI仿宋-GB2312"/>
                      <w:color w:val="auto"/>
                      <w:spacing w:val="-1"/>
                      <w:szCs w:val="21"/>
                    </w:rPr>
                    <w:t>年龄在5</w:t>
                  </w:r>
                  <w:r>
                    <w:rPr>
                      <w:rFonts w:hint="eastAsia" w:cs="CESI仿宋-GB2312"/>
                      <w:color w:val="auto"/>
                      <w:spacing w:val="-1"/>
                      <w:szCs w:val="21"/>
                      <w:lang w:val="en-US" w:eastAsia="zh-CN"/>
                    </w:rPr>
                    <w:t>0</w:t>
                  </w:r>
                  <w:r>
                    <w:rPr>
                      <w:rFonts w:hint="eastAsia" w:cs="CESI仿宋-GB2312"/>
                      <w:color w:val="auto"/>
                      <w:spacing w:val="-1"/>
                      <w:szCs w:val="21"/>
                    </w:rPr>
                    <w:t>周岁以下</w:t>
                  </w:r>
                  <w:bookmarkEnd w:id="42"/>
                  <w:bookmarkEnd w:id="43"/>
                  <w:r>
                    <w:rPr>
                      <w:rFonts w:hint="eastAsia" w:cs="CESI仿宋-GB2312"/>
                      <w:color w:val="auto"/>
                      <w:spacing w:val="-1"/>
                      <w:szCs w:val="21"/>
                    </w:rPr>
                    <w:t>，身体健康、有3年以上保洁管理经验。工作细致，认真负责。</w:t>
                  </w:r>
                </w:p>
              </w:tc>
            </w:tr>
            <w:tr w14:paraId="7FE36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647" w:type="dxa"/>
                  <w:tcBorders>
                    <w:top w:val="single" w:color="000000" w:sz="2" w:space="0"/>
                    <w:left w:val="single" w:color="000000" w:sz="2" w:space="0"/>
                    <w:bottom w:val="single" w:color="000000" w:sz="2" w:space="0"/>
                    <w:right w:val="single" w:color="000000" w:sz="2" w:space="0"/>
                  </w:tcBorders>
                  <w:noWrap w:val="0"/>
                  <w:vAlign w:val="center"/>
                </w:tcPr>
                <w:p w14:paraId="0336B96C">
                  <w:pPr>
                    <w:widowControl/>
                    <w:kinsoku w:val="0"/>
                    <w:autoSpaceDE w:val="0"/>
                    <w:autoSpaceDN w:val="0"/>
                    <w:adjustRightInd w:val="0"/>
                    <w:snapToGrid w:val="0"/>
                    <w:spacing w:line="500" w:lineRule="exact"/>
                    <w:textAlignment w:val="baseline"/>
                    <w:rPr>
                      <w:rFonts w:cs="CESI仿宋-GB2312"/>
                      <w:color w:val="auto"/>
                      <w:spacing w:val="-1"/>
                      <w:szCs w:val="21"/>
                    </w:rPr>
                  </w:pPr>
                  <w:r>
                    <w:rPr>
                      <w:rFonts w:hint="eastAsia" w:cs="CESI仿宋-GB2312"/>
                      <w:color w:val="auto"/>
                      <w:spacing w:val="-1"/>
                      <w:szCs w:val="21"/>
                    </w:rPr>
                    <w:t>保洁员</w:t>
                  </w:r>
                </w:p>
              </w:tc>
              <w:tc>
                <w:tcPr>
                  <w:tcW w:w="1095" w:type="dxa"/>
                  <w:tcBorders>
                    <w:top w:val="single" w:color="000000" w:sz="2" w:space="0"/>
                    <w:left w:val="single" w:color="000000" w:sz="2" w:space="0"/>
                    <w:bottom w:val="single" w:color="000000" w:sz="2" w:space="0"/>
                    <w:right w:val="single" w:color="000000" w:sz="2" w:space="0"/>
                  </w:tcBorders>
                  <w:noWrap w:val="0"/>
                  <w:vAlign w:val="center"/>
                </w:tcPr>
                <w:p w14:paraId="11F2811F">
                  <w:pPr>
                    <w:widowControl/>
                    <w:kinsoku w:val="0"/>
                    <w:autoSpaceDE w:val="0"/>
                    <w:autoSpaceDN w:val="0"/>
                    <w:adjustRightInd w:val="0"/>
                    <w:snapToGrid w:val="0"/>
                    <w:spacing w:line="500" w:lineRule="exact"/>
                    <w:ind w:firstLine="312" w:firstLineChars="150"/>
                    <w:textAlignment w:val="baseline"/>
                    <w:rPr>
                      <w:rFonts w:hint="eastAsia" w:eastAsia="宋体" w:cs="CESI仿宋-GB2312"/>
                      <w:color w:val="auto"/>
                      <w:spacing w:val="-1"/>
                      <w:szCs w:val="21"/>
                      <w:lang w:eastAsia="zh-CN"/>
                    </w:rPr>
                  </w:pPr>
                  <w:r>
                    <w:rPr>
                      <w:rFonts w:hint="eastAsia" w:cs="CESI仿宋-GB2312"/>
                      <w:color w:val="auto"/>
                      <w:spacing w:val="-1"/>
                      <w:szCs w:val="21"/>
                      <w:lang w:val="en-US" w:eastAsia="zh-CN"/>
                    </w:rPr>
                    <w:t>8</w:t>
                  </w:r>
                </w:p>
              </w:tc>
              <w:tc>
                <w:tcPr>
                  <w:tcW w:w="4342" w:type="dxa"/>
                  <w:tcBorders>
                    <w:top w:val="single" w:color="000000" w:sz="2" w:space="0"/>
                    <w:left w:val="single" w:color="000000" w:sz="2" w:space="0"/>
                    <w:bottom w:val="single" w:color="000000" w:sz="2" w:space="0"/>
                    <w:right w:val="single" w:color="000000" w:sz="2" w:space="0"/>
                  </w:tcBorders>
                  <w:noWrap w:val="0"/>
                  <w:vAlign w:val="top"/>
                </w:tcPr>
                <w:p w14:paraId="42808E0C">
                  <w:pPr>
                    <w:widowControl/>
                    <w:kinsoku w:val="0"/>
                    <w:autoSpaceDE w:val="0"/>
                    <w:autoSpaceDN w:val="0"/>
                    <w:adjustRightInd w:val="0"/>
                    <w:snapToGrid w:val="0"/>
                    <w:spacing w:line="500" w:lineRule="exact"/>
                    <w:ind w:firstLine="416" w:firstLineChars="200"/>
                    <w:textAlignment w:val="baseline"/>
                    <w:rPr>
                      <w:rFonts w:cs="CESI仿宋-GB2312"/>
                      <w:color w:val="auto"/>
                      <w:spacing w:val="-1"/>
                      <w:szCs w:val="21"/>
                    </w:rPr>
                  </w:pPr>
                  <w:r>
                    <w:rPr>
                      <w:rFonts w:hint="eastAsia" w:cs="CESI仿宋-GB2312"/>
                      <w:color w:val="auto"/>
                      <w:spacing w:val="-1"/>
                      <w:szCs w:val="21"/>
                    </w:rPr>
                    <w:t>8小时工作制；身体健康，责任心强，具有物业管理清洁保洁工作经验，负责辖区内的环境清洁卫生、垃圾的分类收集、清运及化粪池、沟渠清理等清洁保洁服务，严格按照标准完成保洁作业。</w:t>
                  </w:r>
                </w:p>
              </w:tc>
            </w:tr>
            <w:tr w14:paraId="6B894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44" w:hRule="atLeast"/>
                <w:jc w:val="center"/>
              </w:trPr>
              <w:tc>
                <w:tcPr>
                  <w:tcW w:w="647" w:type="dxa"/>
                  <w:tcBorders>
                    <w:top w:val="single" w:color="000000" w:sz="2" w:space="0"/>
                    <w:left w:val="single" w:color="000000" w:sz="2" w:space="0"/>
                    <w:bottom w:val="single" w:color="auto" w:sz="4" w:space="0"/>
                    <w:right w:val="single" w:color="000000" w:sz="2" w:space="0"/>
                  </w:tcBorders>
                  <w:noWrap w:val="0"/>
                  <w:vAlign w:val="center"/>
                </w:tcPr>
                <w:p w14:paraId="60B16026">
                  <w:pPr>
                    <w:widowControl/>
                    <w:kinsoku w:val="0"/>
                    <w:autoSpaceDE w:val="0"/>
                    <w:autoSpaceDN w:val="0"/>
                    <w:adjustRightInd w:val="0"/>
                    <w:snapToGrid w:val="0"/>
                    <w:spacing w:line="500" w:lineRule="exact"/>
                    <w:textAlignment w:val="baseline"/>
                    <w:rPr>
                      <w:rFonts w:cs="CESI仿宋-GB2312"/>
                      <w:color w:val="auto"/>
                      <w:spacing w:val="-1"/>
                      <w:szCs w:val="21"/>
                    </w:rPr>
                  </w:pPr>
                  <w:r>
                    <w:rPr>
                      <w:rFonts w:hint="eastAsia" w:cs="CESI仿宋-GB2312"/>
                      <w:color w:val="auto"/>
                      <w:spacing w:val="-1"/>
                      <w:szCs w:val="21"/>
                      <w:lang w:val="en-US" w:eastAsia="zh-CN"/>
                    </w:rPr>
                    <w:t>保安</w:t>
                  </w:r>
                  <w:r>
                    <w:rPr>
                      <w:rFonts w:hint="eastAsia" w:cs="CESI仿宋-GB2312"/>
                      <w:color w:val="auto"/>
                      <w:spacing w:val="-1"/>
                      <w:szCs w:val="21"/>
                    </w:rPr>
                    <w:t>班长</w:t>
                  </w:r>
                </w:p>
              </w:tc>
              <w:tc>
                <w:tcPr>
                  <w:tcW w:w="1095" w:type="dxa"/>
                  <w:tcBorders>
                    <w:top w:val="single" w:color="000000" w:sz="2" w:space="0"/>
                    <w:left w:val="single" w:color="000000" w:sz="2" w:space="0"/>
                    <w:bottom w:val="single" w:color="auto" w:sz="4" w:space="0"/>
                    <w:right w:val="single" w:color="000000" w:sz="2" w:space="0"/>
                  </w:tcBorders>
                  <w:noWrap w:val="0"/>
                  <w:vAlign w:val="center"/>
                </w:tcPr>
                <w:p w14:paraId="4FA25463">
                  <w:pPr>
                    <w:widowControl/>
                    <w:kinsoku w:val="0"/>
                    <w:autoSpaceDE w:val="0"/>
                    <w:autoSpaceDN w:val="0"/>
                    <w:adjustRightInd w:val="0"/>
                    <w:snapToGrid w:val="0"/>
                    <w:spacing w:line="500" w:lineRule="exact"/>
                    <w:ind w:firstLine="416" w:firstLineChars="200"/>
                    <w:textAlignment w:val="baseline"/>
                    <w:rPr>
                      <w:rFonts w:hint="eastAsia" w:eastAsia="宋体" w:cs="CESI仿宋-GB2312"/>
                      <w:color w:val="auto"/>
                      <w:spacing w:val="-1"/>
                      <w:szCs w:val="21"/>
                      <w:lang w:eastAsia="zh-CN"/>
                    </w:rPr>
                  </w:pPr>
                  <w:r>
                    <w:rPr>
                      <w:rFonts w:hint="eastAsia" w:cs="CESI仿宋-GB2312"/>
                      <w:color w:val="auto"/>
                      <w:spacing w:val="-1"/>
                      <w:szCs w:val="21"/>
                      <w:lang w:val="en-US" w:eastAsia="zh-CN"/>
                    </w:rPr>
                    <w:t>1</w:t>
                  </w:r>
                </w:p>
              </w:tc>
              <w:tc>
                <w:tcPr>
                  <w:tcW w:w="4342" w:type="dxa"/>
                  <w:tcBorders>
                    <w:top w:val="single" w:color="000000" w:sz="2" w:space="0"/>
                    <w:left w:val="single" w:color="000000" w:sz="2" w:space="0"/>
                    <w:bottom w:val="single" w:color="auto" w:sz="4" w:space="0"/>
                    <w:right w:val="single" w:color="000000" w:sz="2" w:space="0"/>
                  </w:tcBorders>
                  <w:noWrap w:val="0"/>
                  <w:vAlign w:val="top"/>
                </w:tcPr>
                <w:p w14:paraId="1EF49EDB">
                  <w:pPr>
                    <w:widowControl/>
                    <w:kinsoku w:val="0"/>
                    <w:autoSpaceDE w:val="0"/>
                    <w:autoSpaceDN w:val="0"/>
                    <w:adjustRightInd w:val="0"/>
                    <w:snapToGrid w:val="0"/>
                    <w:spacing w:line="500" w:lineRule="exact"/>
                    <w:ind w:firstLine="416" w:firstLineChars="200"/>
                    <w:textAlignment w:val="baseline"/>
                    <w:rPr>
                      <w:rFonts w:cs="CESI仿宋-GB2312"/>
                      <w:color w:val="auto"/>
                      <w:spacing w:val="-1"/>
                      <w:szCs w:val="21"/>
                    </w:rPr>
                  </w:pPr>
                  <w:r>
                    <w:rPr>
                      <w:rFonts w:hint="eastAsia" w:cs="CESI仿宋-GB2312"/>
                      <w:color w:val="auto"/>
                      <w:spacing w:val="-1"/>
                      <w:szCs w:val="21"/>
                    </w:rPr>
                    <w:t>持保安员证，24小时值班，三班轮值；五官端正，身体健康。年龄</w:t>
                  </w:r>
                  <w:r>
                    <w:rPr>
                      <w:rFonts w:hint="eastAsia" w:cs="CESI仿宋-GB2312"/>
                      <w:color w:val="auto"/>
                      <w:spacing w:val="-1"/>
                      <w:szCs w:val="21"/>
                      <w:lang w:val="en-US" w:eastAsia="zh-CN"/>
                    </w:rPr>
                    <w:t>60</w:t>
                  </w:r>
                  <w:r>
                    <w:rPr>
                      <w:rFonts w:hint="eastAsia" w:cs="CESI仿宋-GB2312"/>
                      <w:color w:val="auto"/>
                      <w:spacing w:val="-1"/>
                      <w:szCs w:val="21"/>
                    </w:rPr>
                    <w:t>岁以下，身高1.70米以上、形象好、素质高（复退军人尤佳），具有一定的管理能力。</w:t>
                  </w:r>
                </w:p>
              </w:tc>
            </w:tr>
            <w:tr w14:paraId="0868B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647" w:type="dxa"/>
                  <w:tcBorders>
                    <w:top w:val="single" w:color="000000" w:sz="2" w:space="0"/>
                    <w:left w:val="single" w:color="000000" w:sz="2" w:space="0"/>
                    <w:bottom w:val="single" w:color="000000" w:sz="2" w:space="0"/>
                    <w:right w:val="single" w:color="000000" w:sz="2" w:space="0"/>
                  </w:tcBorders>
                  <w:noWrap w:val="0"/>
                  <w:vAlign w:val="center"/>
                </w:tcPr>
                <w:p w14:paraId="5579E53F">
                  <w:pPr>
                    <w:widowControl/>
                    <w:kinsoku w:val="0"/>
                    <w:autoSpaceDE w:val="0"/>
                    <w:autoSpaceDN w:val="0"/>
                    <w:adjustRightInd w:val="0"/>
                    <w:snapToGrid w:val="0"/>
                    <w:spacing w:line="500" w:lineRule="exact"/>
                    <w:textAlignment w:val="baseline"/>
                    <w:rPr>
                      <w:rFonts w:cs="CESI仿宋-GB2312"/>
                      <w:color w:val="auto"/>
                      <w:spacing w:val="-1"/>
                      <w:szCs w:val="21"/>
                    </w:rPr>
                  </w:pPr>
                  <w:r>
                    <w:rPr>
                      <w:rFonts w:hint="eastAsia" w:cs="CESI仿宋-GB2312"/>
                      <w:color w:val="auto"/>
                      <w:spacing w:val="-1"/>
                      <w:szCs w:val="21"/>
                      <w:lang w:val="en-US" w:eastAsia="zh-CN"/>
                    </w:rPr>
                    <w:t>保安兼</w:t>
                  </w:r>
                  <w:r>
                    <w:rPr>
                      <w:rFonts w:hint="eastAsia" w:cs="CESI仿宋-GB2312"/>
                      <w:color w:val="auto"/>
                      <w:spacing w:val="-1"/>
                      <w:szCs w:val="21"/>
                    </w:rPr>
                    <w:t>消防</w:t>
                  </w:r>
                  <w:r>
                    <w:rPr>
                      <w:rFonts w:hint="eastAsia" w:cs="CESI仿宋-GB2312"/>
                      <w:color w:val="auto"/>
                      <w:spacing w:val="-1"/>
                      <w:szCs w:val="21"/>
                      <w:lang w:val="en-US" w:eastAsia="zh-CN"/>
                    </w:rPr>
                    <w:t>安全</w:t>
                  </w:r>
                  <w:r>
                    <w:rPr>
                      <w:rFonts w:hint="eastAsia" w:cs="CESI仿宋-GB2312"/>
                      <w:color w:val="auto"/>
                      <w:spacing w:val="-1"/>
                      <w:szCs w:val="21"/>
                    </w:rPr>
                    <w:t>员</w:t>
                  </w:r>
                </w:p>
              </w:tc>
              <w:tc>
                <w:tcPr>
                  <w:tcW w:w="1095" w:type="dxa"/>
                  <w:tcBorders>
                    <w:top w:val="single" w:color="000000" w:sz="2" w:space="0"/>
                    <w:left w:val="single" w:color="000000" w:sz="2" w:space="0"/>
                    <w:bottom w:val="single" w:color="000000" w:sz="2" w:space="0"/>
                    <w:right w:val="single" w:color="000000" w:sz="2" w:space="0"/>
                  </w:tcBorders>
                  <w:noWrap w:val="0"/>
                  <w:vAlign w:val="center"/>
                </w:tcPr>
                <w:p w14:paraId="7D149781">
                  <w:pPr>
                    <w:widowControl/>
                    <w:kinsoku w:val="0"/>
                    <w:autoSpaceDE w:val="0"/>
                    <w:autoSpaceDN w:val="0"/>
                    <w:adjustRightInd w:val="0"/>
                    <w:snapToGrid w:val="0"/>
                    <w:spacing w:line="500" w:lineRule="exact"/>
                    <w:ind w:firstLine="416" w:firstLineChars="200"/>
                    <w:textAlignment w:val="baseline"/>
                    <w:rPr>
                      <w:rFonts w:hint="eastAsia" w:eastAsia="宋体" w:cs="CESI仿宋-GB2312"/>
                      <w:color w:val="auto"/>
                      <w:spacing w:val="-1"/>
                      <w:szCs w:val="21"/>
                      <w:lang w:eastAsia="zh-CN"/>
                    </w:rPr>
                  </w:pPr>
                  <w:r>
                    <w:rPr>
                      <w:rFonts w:hint="eastAsia" w:cs="CESI仿宋-GB2312"/>
                      <w:color w:val="auto"/>
                      <w:spacing w:val="-1"/>
                      <w:szCs w:val="21"/>
                      <w:lang w:val="en-US" w:eastAsia="zh-CN"/>
                    </w:rPr>
                    <w:t>1</w:t>
                  </w:r>
                </w:p>
              </w:tc>
              <w:tc>
                <w:tcPr>
                  <w:tcW w:w="4342" w:type="dxa"/>
                  <w:tcBorders>
                    <w:top w:val="single" w:color="000000" w:sz="2" w:space="0"/>
                    <w:left w:val="single" w:color="000000" w:sz="2" w:space="0"/>
                    <w:bottom w:val="single" w:color="000000" w:sz="2" w:space="0"/>
                    <w:right w:val="single" w:color="000000" w:sz="2" w:space="0"/>
                  </w:tcBorders>
                  <w:noWrap w:val="0"/>
                  <w:vAlign w:val="top"/>
                </w:tcPr>
                <w:p w14:paraId="33C626B8">
                  <w:pPr>
                    <w:widowControl/>
                    <w:spacing w:line="500" w:lineRule="exact"/>
                    <w:ind w:firstLine="416" w:firstLineChars="200"/>
                    <w:jc w:val="left"/>
                    <w:rPr>
                      <w:rFonts w:hint="default" w:eastAsia="宋体" w:cs="CESI仿宋-GB2312"/>
                      <w:color w:val="auto"/>
                      <w:spacing w:val="-1"/>
                      <w:szCs w:val="21"/>
                      <w:lang w:val="en-US" w:eastAsia="zh-CN"/>
                    </w:rPr>
                  </w:pPr>
                  <w:r>
                    <w:rPr>
                      <w:rFonts w:hint="eastAsia" w:cs="CESI仿宋-GB2312"/>
                      <w:color w:val="auto"/>
                      <w:spacing w:val="-1"/>
                      <w:szCs w:val="21"/>
                    </w:rPr>
                    <w:t>年龄</w:t>
                  </w:r>
                  <w:r>
                    <w:rPr>
                      <w:rFonts w:hint="eastAsia" w:cs="CESI仿宋-GB2312"/>
                      <w:color w:val="auto"/>
                      <w:spacing w:val="-1"/>
                      <w:szCs w:val="21"/>
                      <w:lang w:val="en-US" w:eastAsia="zh-CN"/>
                    </w:rPr>
                    <w:t>60</w:t>
                  </w:r>
                  <w:r>
                    <w:rPr>
                      <w:rFonts w:hint="eastAsia" w:cs="CESI仿宋-GB2312"/>
                      <w:color w:val="auto"/>
                      <w:spacing w:val="-1"/>
                      <w:szCs w:val="21"/>
                    </w:rPr>
                    <w:t>岁以下，身高1.</w:t>
                  </w:r>
                  <w:r>
                    <w:rPr>
                      <w:rFonts w:hint="eastAsia" w:cs="CESI仿宋-GB2312"/>
                      <w:color w:val="auto"/>
                      <w:spacing w:val="-1"/>
                      <w:szCs w:val="21"/>
                      <w:lang w:val="en-US" w:eastAsia="zh-CN"/>
                    </w:rPr>
                    <w:t>70</w:t>
                  </w:r>
                  <w:r>
                    <w:rPr>
                      <w:rFonts w:hint="eastAsia" w:cs="CESI仿宋-GB2312"/>
                      <w:color w:val="auto"/>
                      <w:spacing w:val="-1"/>
                      <w:szCs w:val="21"/>
                    </w:rPr>
                    <w:t>米以上、素质高（复退军人尤佳），能熟练操作监控录像系统、火灾自动报警系统等设备；应通过消防行业特有工种职业技能鉴定，持有</w:t>
                  </w:r>
                  <w:r>
                    <w:rPr>
                      <w:rFonts w:hint="eastAsia" w:cs="CESI仿宋-GB2312"/>
                      <w:color w:val="auto"/>
                      <w:spacing w:val="-1"/>
                      <w:szCs w:val="21"/>
                      <w:lang w:val="en-US" w:eastAsia="zh-CN"/>
                    </w:rPr>
                    <w:t>消防设施操作员证。</w:t>
                  </w:r>
                </w:p>
              </w:tc>
            </w:tr>
            <w:tr w14:paraId="63A5C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647" w:type="dxa"/>
                  <w:tcBorders>
                    <w:top w:val="single" w:color="000000" w:sz="2" w:space="0"/>
                    <w:left w:val="single" w:color="000000" w:sz="2" w:space="0"/>
                    <w:bottom w:val="single" w:color="000000" w:sz="2" w:space="0"/>
                    <w:right w:val="single" w:color="000000" w:sz="2" w:space="0"/>
                  </w:tcBorders>
                  <w:noWrap w:val="0"/>
                  <w:vAlign w:val="center"/>
                </w:tcPr>
                <w:p w14:paraId="44A12570">
                  <w:pPr>
                    <w:widowControl/>
                    <w:kinsoku w:val="0"/>
                    <w:autoSpaceDE w:val="0"/>
                    <w:autoSpaceDN w:val="0"/>
                    <w:adjustRightInd w:val="0"/>
                    <w:snapToGrid w:val="0"/>
                    <w:spacing w:line="500" w:lineRule="exact"/>
                    <w:textAlignment w:val="baseline"/>
                    <w:rPr>
                      <w:rFonts w:cs="CESI仿宋-GB2312"/>
                      <w:color w:val="auto"/>
                      <w:spacing w:val="-1"/>
                      <w:szCs w:val="21"/>
                    </w:rPr>
                  </w:pPr>
                  <w:r>
                    <w:rPr>
                      <w:rFonts w:hint="eastAsia" w:cs="CESI仿宋-GB2312"/>
                      <w:color w:val="auto"/>
                      <w:spacing w:val="-1"/>
                      <w:szCs w:val="21"/>
                    </w:rPr>
                    <w:t>保安员</w:t>
                  </w:r>
                </w:p>
              </w:tc>
              <w:tc>
                <w:tcPr>
                  <w:tcW w:w="1095" w:type="dxa"/>
                  <w:tcBorders>
                    <w:top w:val="single" w:color="000000" w:sz="2" w:space="0"/>
                    <w:left w:val="single" w:color="000000" w:sz="2" w:space="0"/>
                    <w:bottom w:val="single" w:color="000000" w:sz="2" w:space="0"/>
                    <w:right w:val="single" w:color="000000" w:sz="2" w:space="0"/>
                  </w:tcBorders>
                  <w:noWrap w:val="0"/>
                  <w:vAlign w:val="center"/>
                </w:tcPr>
                <w:p w14:paraId="66DDB09C">
                  <w:pPr>
                    <w:widowControl/>
                    <w:kinsoku w:val="0"/>
                    <w:autoSpaceDE w:val="0"/>
                    <w:autoSpaceDN w:val="0"/>
                    <w:adjustRightInd w:val="0"/>
                    <w:snapToGrid w:val="0"/>
                    <w:spacing w:line="500" w:lineRule="exact"/>
                    <w:ind w:firstLine="416" w:firstLineChars="200"/>
                    <w:textAlignment w:val="baseline"/>
                    <w:rPr>
                      <w:rFonts w:hint="default" w:eastAsia="宋体" w:cs="CESI仿宋-GB2312"/>
                      <w:color w:val="auto"/>
                      <w:spacing w:val="-1"/>
                      <w:szCs w:val="21"/>
                      <w:lang w:val="en-US" w:eastAsia="zh-CN"/>
                    </w:rPr>
                  </w:pPr>
                  <w:r>
                    <w:rPr>
                      <w:rFonts w:hint="eastAsia" w:cs="CESI仿宋-GB2312"/>
                      <w:color w:val="auto"/>
                      <w:spacing w:val="-1"/>
                      <w:szCs w:val="21"/>
                      <w:lang w:val="en-US" w:eastAsia="zh-CN"/>
                    </w:rPr>
                    <w:t>11</w:t>
                  </w:r>
                </w:p>
              </w:tc>
              <w:tc>
                <w:tcPr>
                  <w:tcW w:w="4342" w:type="dxa"/>
                  <w:tcBorders>
                    <w:top w:val="single" w:color="000000" w:sz="2" w:space="0"/>
                    <w:left w:val="single" w:color="000000" w:sz="2" w:space="0"/>
                    <w:bottom w:val="single" w:color="000000" w:sz="2" w:space="0"/>
                    <w:right w:val="single" w:color="000000" w:sz="2" w:space="0"/>
                  </w:tcBorders>
                  <w:noWrap w:val="0"/>
                  <w:vAlign w:val="top"/>
                </w:tcPr>
                <w:p w14:paraId="0CA3D3C8">
                  <w:pPr>
                    <w:widowControl/>
                    <w:kinsoku w:val="0"/>
                    <w:autoSpaceDE w:val="0"/>
                    <w:autoSpaceDN w:val="0"/>
                    <w:adjustRightInd w:val="0"/>
                    <w:snapToGrid w:val="0"/>
                    <w:spacing w:line="500" w:lineRule="exact"/>
                    <w:textAlignment w:val="baseline"/>
                    <w:rPr>
                      <w:rFonts w:hint="default" w:eastAsia="宋体" w:cs="CESI仿宋-GB2312"/>
                      <w:color w:val="auto"/>
                      <w:spacing w:val="-1"/>
                      <w:szCs w:val="21"/>
                      <w:lang w:val="en-US" w:eastAsia="zh-CN"/>
                    </w:rPr>
                  </w:pPr>
                  <w:r>
                    <w:rPr>
                      <w:rFonts w:hint="eastAsia" w:cs="CESI仿宋-GB2312"/>
                      <w:color w:val="auto"/>
                      <w:spacing w:val="-1"/>
                      <w:szCs w:val="21"/>
                    </w:rPr>
                    <w:t>持保安员证，24小时值班，三班轮值；身体素质佳，能吃苦耐劳，复退军人尤佳，具备良好的综合素质，上岗前必须经过岗位培训，岗中持续培训，具备一定沟通能力，责任心强，反应敏捷，精神面貌佳，能认真遵守各项规章制度，熟练掌握工作流程，实行半军事化管理；除正常值班人员外，必须确保24小时随时待命，以应对突发事件。</w:t>
                  </w:r>
                  <w:r>
                    <w:rPr>
                      <w:rFonts w:hint="eastAsia" w:cs="CESI仿宋-GB2312"/>
                      <w:color w:val="auto"/>
                      <w:spacing w:val="-1"/>
                      <w:szCs w:val="21"/>
                      <w:lang w:val="en-US" w:eastAsia="zh-CN"/>
                    </w:rPr>
                    <w:t>具</w:t>
                  </w:r>
                  <w:r>
                    <w:rPr>
                      <w:rFonts w:hint="eastAsia" w:cs="CESI仿宋-GB2312"/>
                      <w:b/>
                      <w:bCs/>
                      <w:color w:val="auto"/>
                      <w:spacing w:val="-1"/>
                      <w:szCs w:val="21"/>
                      <w:lang w:val="en-US" w:eastAsia="zh-CN"/>
                    </w:rPr>
                    <w:t>备CPR+AED心肺复苏培训合格证优先。</w:t>
                  </w:r>
                </w:p>
              </w:tc>
            </w:tr>
            <w:tr w14:paraId="746E0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647" w:type="dxa"/>
                  <w:tcBorders>
                    <w:top w:val="single" w:color="000000" w:sz="2" w:space="0"/>
                    <w:left w:val="single" w:color="000000" w:sz="2" w:space="0"/>
                    <w:bottom w:val="single" w:color="000000" w:sz="2" w:space="0"/>
                    <w:right w:val="single" w:color="000000" w:sz="2" w:space="0"/>
                  </w:tcBorders>
                  <w:noWrap w:val="0"/>
                  <w:vAlign w:val="center"/>
                </w:tcPr>
                <w:p w14:paraId="0FC95674">
                  <w:pPr>
                    <w:widowControl/>
                    <w:kinsoku w:val="0"/>
                    <w:autoSpaceDE w:val="0"/>
                    <w:autoSpaceDN w:val="0"/>
                    <w:adjustRightInd w:val="0"/>
                    <w:snapToGrid w:val="0"/>
                    <w:spacing w:line="500" w:lineRule="exact"/>
                    <w:textAlignment w:val="baseline"/>
                    <w:rPr>
                      <w:rFonts w:hint="default" w:eastAsia="宋体" w:cs="CESI仿宋-GB2312"/>
                      <w:color w:val="auto"/>
                      <w:spacing w:val="-1"/>
                      <w:szCs w:val="21"/>
                      <w:lang w:val="en-US" w:eastAsia="zh-CN"/>
                    </w:rPr>
                  </w:pPr>
                  <w:r>
                    <w:rPr>
                      <w:rFonts w:hint="eastAsia" w:cs="CESI仿宋-GB2312"/>
                      <w:color w:val="auto"/>
                      <w:spacing w:val="-1"/>
                      <w:szCs w:val="21"/>
                      <w:lang w:val="en-US" w:eastAsia="zh-CN"/>
                    </w:rPr>
                    <w:t>绿化员</w:t>
                  </w:r>
                </w:p>
              </w:tc>
              <w:tc>
                <w:tcPr>
                  <w:tcW w:w="1095" w:type="dxa"/>
                  <w:tcBorders>
                    <w:top w:val="single" w:color="000000" w:sz="2" w:space="0"/>
                    <w:left w:val="single" w:color="000000" w:sz="2" w:space="0"/>
                    <w:bottom w:val="single" w:color="000000" w:sz="2" w:space="0"/>
                    <w:right w:val="single" w:color="000000" w:sz="2" w:space="0"/>
                  </w:tcBorders>
                  <w:noWrap w:val="0"/>
                  <w:vAlign w:val="center"/>
                </w:tcPr>
                <w:p w14:paraId="44147878">
                  <w:pPr>
                    <w:widowControl/>
                    <w:kinsoku w:val="0"/>
                    <w:autoSpaceDE w:val="0"/>
                    <w:autoSpaceDN w:val="0"/>
                    <w:adjustRightInd w:val="0"/>
                    <w:snapToGrid w:val="0"/>
                    <w:spacing w:line="500" w:lineRule="exact"/>
                    <w:ind w:firstLine="416" w:firstLineChars="200"/>
                    <w:textAlignment w:val="baseline"/>
                    <w:rPr>
                      <w:rFonts w:hint="default" w:cs="CESI仿宋-GB2312"/>
                      <w:color w:val="auto"/>
                      <w:spacing w:val="-1"/>
                      <w:szCs w:val="21"/>
                      <w:lang w:val="en-US" w:eastAsia="zh-CN"/>
                    </w:rPr>
                  </w:pPr>
                  <w:r>
                    <w:rPr>
                      <w:rFonts w:hint="eastAsia" w:cs="CESI仿宋-GB2312"/>
                      <w:color w:val="auto"/>
                      <w:spacing w:val="-1"/>
                      <w:szCs w:val="21"/>
                      <w:lang w:val="en-US" w:eastAsia="zh-CN"/>
                    </w:rPr>
                    <w:t>1</w:t>
                  </w:r>
                </w:p>
              </w:tc>
              <w:tc>
                <w:tcPr>
                  <w:tcW w:w="4342" w:type="dxa"/>
                  <w:tcBorders>
                    <w:top w:val="single" w:color="000000" w:sz="2" w:space="0"/>
                    <w:left w:val="single" w:color="000000" w:sz="2" w:space="0"/>
                    <w:bottom w:val="single" w:color="000000" w:sz="2" w:space="0"/>
                    <w:right w:val="single" w:color="000000" w:sz="2" w:space="0"/>
                  </w:tcBorders>
                  <w:noWrap w:val="0"/>
                  <w:vAlign w:val="top"/>
                </w:tcPr>
                <w:p w14:paraId="5F5EB059">
                  <w:pPr>
                    <w:widowControl/>
                    <w:kinsoku w:val="0"/>
                    <w:autoSpaceDE w:val="0"/>
                    <w:autoSpaceDN w:val="0"/>
                    <w:adjustRightInd w:val="0"/>
                    <w:snapToGrid w:val="0"/>
                    <w:spacing w:line="500" w:lineRule="exact"/>
                    <w:textAlignment w:val="baseline"/>
                    <w:rPr>
                      <w:rFonts w:hint="default" w:eastAsia="宋体" w:cs="CESI仿宋-GB2312"/>
                      <w:color w:val="auto"/>
                      <w:spacing w:val="-1"/>
                      <w:szCs w:val="21"/>
                      <w:lang w:val="en-US" w:eastAsia="zh-CN"/>
                    </w:rPr>
                  </w:pPr>
                  <w:r>
                    <w:rPr>
                      <w:rFonts w:hint="eastAsia" w:cs="CESI仿宋-GB2312"/>
                      <w:color w:val="auto"/>
                      <w:spacing w:val="-1"/>
                      <w:szCs w:val="21"/>
                      <w:lang w:val="en-US" w:eastAsia="zh-CN"/>
                    </w:rPr>
                    <w:t>年龄48岁以下，具备3年以上绿化修剪、管理、养护等工作经验。</w:t>
                  </w:r>
                </w:p>
              </w:tc>
            </w:tr>
          </w:tbl>
          <w:p w14:paraId="2EF1A777">
            <w:pPr>
              <w:widowControl/>
              <w:spacing w:line="500" w:lineRule="exact"/>
              <w:ind w:firstLine="418" w:firstLineChars="200"/>
              <w:rPr>
                <w:rFonts w:cs="CESI仿宋-GB2312"/>
                <w:b/>
                <w:bCs/>
                <w:spacing w:val="-1"/>
                <w:szCs w:val="21"/>
              </w:rPr>
            </w:pPr>
            <w:r>
              <w:rPr>
                <w:rFonts w:hint="eastAsia" w:cs="CESI仿宋-GB2312"/>
                <w:b/>
                <w:bCs/>
                <w:spacing w:val="-1"/>
                <w:szCs w:val="21"/>
              </w:rPr>
              <w:t>4.物业公司负责配置耗品：</w:t>
            </w:r>
          </w:p>
          <w:p w14:paraId="46962E10">
            <w:pPr>
              <w:widowControl/>
              <w:spacing w:line="500" w:lineRule="exact"/>
              <w:ind w:firstLine="416" w:firstLineChars="200"/>
              <w:rPr>
                <w:rFonts w:cs="CESI仿宋-GB2312"/>
                <w:spacing w:val="-1"/>
                <w:szCs w:val="21"/>
              </w:rPr>
            </w:pPr>
            <w:r>
              <w:rPr>
                <w:rFonts w:hint="eastAsia" w:cs="CESI仿宋-GB2312"/>
                <w:spacing w:val="-1"/>
                <w:szCs w:val="21"/>
              </w:rPr>
              <w:t>4.1办公区安保工具、清洁保养工具、日常水电维护工具、通讯交通工具等物业工作人员日常开展工作所需要的工具。</w:t>
            </w:r>
          </w:p>
          <w:p w14:paraId="1AB102D2">
            <w:pPr>
              <w:widowControl/>
              <w:spacing w:line="500" w:lineRule="exact"/>
              <w:ind w:firstLine="418" w:firstLineChars="200"/>
              <w:rPr>
                <w:rFonts w:cs="CESI仿宋-GB2312"/>
                <w:b/>
                <w:bCs/>
                <w:spacing w:val="-1"/>
                <w:szCs w:val="21"/>
              </w:rPr>
            </w:pPr>
            <w:r>
              <w:rPr>
                <w:rFonts w:hint="eastAsia" w:cs="CESI仿宋-GB2312"/>
                <w:b/>
                <w:bCs/>
                <w:spacing w:val="-1"/>
                <w:szCs w:val="21"/>
              </w:rPr>
              <w:t>5</w:t>
            </w:r>
            <w:r>
              <w:rPr>
                <w:rFonts w:cs="CESI仿宋-GB2312"/>
                <w:b/>
                <w:bCs/>
                <w:spacing w:val="-1"/>
                <w:szCs w:val="21"/>
              </w:rPr>
              <w:t>.</w:t>
            </w:r>
            <w:r>
              <w:rPr>
                <w:rFonts w:hint="eastAsia" w:cs="CESI仿宋-GB2312"/>
                <w:b/>
                <w:bCs/>
                <w:spacing w:val="-1"/>
                <w:szCs w:val="21"/>
              </w:rPr>
              <w:t>其他要求：</w:t>
            </w:r>
          </w:p>
          <w:p w14:paraId="7FD69402">
            <w:pPr>
              <w:widowControl/>
              <w:spacing w:line="500" w:lineRule="exact"/>
              <w:ind w:firstLine="416" w:firstLineChars="200"/>
              <w:rPr>
                <w:rFonts w:cs="CESI仿宋-GB2312"/>
                <w:spacing w:val="-1"/>
                <w:szCs w:val="21"/>
              </w:rPr>
            </w:pPr>
            <w:r>
              <w:rPr>
                <w:rFonts w:hint="eastAsia" w:cs="CESI仿宋-GB2312"/>
                <w:spacing w:val="-1"/>
                <w:szCs w:val="21"/>
              </w:rPr>
              <w:t>（</w:t>
            </w:r>
            <w:r>
              <w:rPr>
                <w:rFonts w:cs="CESI仿宋-GB2312"/>
                <w:spacing w:val="-1"/>
                <w:szCs w:val="21"/>
              </w:rPr>
              <w:t>1</w:t>
            </w:r>
            <w:r>
              <w:rPr>
                <w:rFonts w:hint="eastAsia" w:cs="CESI仿宋-GB2312"/>
                <w:spacing w:val="-1"/>
                <w:szCs w:val="21"/>
              </w:rPr>
              <w:t>）投标人须提供单位简介</w:t>
            </w:r>
          </w:p>
          <w:p w14:paraId="6DC62115">
            <w:pPr>
              <w:widowControl/>
              <w:spacing w:line="500" w:lineRule="exact"/>
              <w:ind w:firstLine="416" w:firstLineChars="200"/>
              <w:rPr>
                <w:rFonts w:cs="CESI仿宋-GB2312"/>
                <w:spacing w:val="-1"/>
                <w:szCs w:val="21"/>
              </w:rPr>
            </w:pPr>
            <w:r>
              <w:rPr>
                <w:rFonts w:hint="eastAsia" w:cs="CESI仿宋-GB2312"/>
                <w:spacing w:val="-1"/>
                <w:szCs w:val="21"/>
              </w:rPr>
              <w:t>（</w:t>
            </w:r>
            <w:r>
              <w:rPr>
                <w:rFonts w:cs="CESI仿宋-GB2312"/>
                <w:spacing w:val="-1"/>
                <w:szCs w:val="21"/>
              </w:rPr>
              <w:t>2</w:t>
            </w:r>
            <w:r>
              <w:rPr>
                <w:rFonts w:hint="eastAsia" w:cs="CESI仿宋-GB2312"/>
                <w:spacing w:val="-1"/>
                <w:szCs w:val="21"/>
              </w:rPr>
              <w:t>）投标人物业管理方案、服务承诺须体现投标人对投标物业的总体管理目标即：</w:t>
            </w:r>
          </w:p>
          <w:p w14:paraId="597E4748">
            <w:pPr>
              <w:widowControl/>
              <w:spacing w:line="500" w:lineRule="exact"/>
              <w:ind w:firstLine="416" w:firstLineChars="200"/>
              <w:rPr>
                <w:rFonts w:cs="CESI仿宋-GB2312"/>
                <w:spacing w:val="-1"/>
                <w:szCs w:val="21"/>
              </w:rPr>
            </w:pPr>
            <w:r>
              <w:rPr>
                <w:rFonts w:hint="eastAsia" w:cs="CESI仿宋-GB2312"/>
                <w:spacing w:val="-1"/>
                <w:szCs w:val="21"/>
              </w:rPr>
              <w:t>①投标人拟采取的管理方式：管理架构、工作计划、工作制度、信息反馈处理机制，火灾、治安、公共卫生等突发事件应急预案。</w:t>
            </w:r>
          </w:p>
          <w:p w14:paraId="21873D96">
            <w:pPr>
              <w:widowControl/>
              <w:spacing w:line="500" w:lineRule="exact"/>
              <w:ind w:firstLine="416" w:firstLineChars="200"/>
              <w:rPr>
                <w:rFonts w:cs="CESI仿宋-GB2312"/>
                <w:spacing w:val="-1"/>
                <w:szCs w:val="21"/>
              </w:rPr>
            </w:pPr>
            <w:r>
              <w:rPr>
                <w:rFonts w:hint="eastAsia" w:cs="CESI仿宋-GB2312"/>
                <w:spacing w:val="-1"/>
                <w:szCs w:val="21"/>
              </w:rPr>
              <w:t>②管理人员及员工配置：岗位人员配备、人员编制、人员素质要求、人员培训计划。</w:t>
            </w:r>
          </w:p>
          <w:p w14:paraId="125D4C72">
            <w:pPr>
              <w:widowControl/>
              <w:spacing w:line="500" w:lineRule="exact"/>
              <w:ind w:firstLine="416" w:firstLineChars="200"/>
              <w:rPr>
                <w:rFonts w:cs="CESI仿宋-GB2312"/>
                <w:spacing w:val="-1"/>
                <w:szCs w:val="21"/>
              </w:rPr>
            </w:pPr>
            <w:r>
              <w:rPr>
                <w:rFonts w:hint="eastAsia" w:cs="CESI仿宋-GB2312"/>
                <w:spacing w:val="-1"/>
                <w:szCs w:val="21"/>
              </w:rPr>
              <w:t>③各岗位管理人员及员工待遇。所有人员配置需按劳动法等相关规定（如：购买社会劳动保险、合理安排作息时间等）执行，各岗位员工工资不低于</w:t>
            </w:r>
            <w:r>
              <w:rPr>
                <w:rFonts w:hint="eastAsia" w:cs="CESI仿宋-GB2312"/>
                <w:color w:val="auto"/>
                <w:spacing w:val="-1"/>
                <w:szCs w:val="21"/>
                <w:lang w:val="en-US" w:eastAsia="zh-CN"/>
              </w:rPr>
              <w:t>上林县</w:t>
            </w:r>
            <w:r>
              <w:rPr>
                <w:rFonts w:hint="eastAsia" w:cs="CESI仿宋-GB2312"/>
                <w:color w:val="auto"/>
                <w:spacing w:val="-1"/>
                <w:szCs w:val="21"/>
              </w:rPr>
              <w:t>最低人员工资标准。</w:t>
            </w:r>
          </w:p>
          <w:p w14:paraId="056D1ACF">
            <w:pPr>
              <w:widowControl/>
              <w:spacing w:line="500" w:lineRule="exact"/>
              <w:ind w:firstLine="416" w:firstLineChars="200"/>
              <w:rPr>
                <w:rFonts w:cs="CESI仿宋-GB2312"/>
                <w:spacing w:val="-1"/>
                <w:szCs w:val="21"/>
              </w:rPr>
            </w:pPr>
            <w:r>
              <w:rPr>
                <w:rFonts w:hint="eastAsia" w:cs="CESI仿宋-GB2312"/>
                <w:spacing w:val="-1"/>
                <w:szCs w:val="21"/>
              </w:rPr>
              <w:t>④管理工作必需的物资准备计划：机械及维修工具、通讯、运输工具、治安装备、保洁绿化工具和各类服务所需的耗品。</w:t>
            </w:r>
          </w:p>
          <w:p w14:paraId="262651B3">
            <w:pPr>
              <w:widowControl/>
              <w:spacing w:line="500" w:lineRule="exact"/>
              <w:ind w:firstLine="416" w:firstLineChars="200"/>
              <w:rPr>
                <w:rFonts w:cs="CESI仿宋-GB2312"/>
                <w:spacing w:val="-1"/>
                <w:szCs w:val="21"/>
              </w:rPr>
            </w:pPr>
            <w:r>
              <w:rPr>
                <w:rFonts w:hint="eastAsia" w:cs="CESI仿宋-GB2312"/>
                <w:spacing w:val="-1"/>
                <w:szCs w:val="21"/>
              </w:rPr>
              <w:t>（</w:t>
            </w:r>
            <w:r>
              <w:rPr>
                <w:rFonts w:cs="CESI仿宋-GB2312"/>
                <w:spacing w:val="-1"/>
                <w:szCs w:val="21"/>
              </w:rPr>
              <w:t>3</w:t>
            </w:r>
            <w:r>
              <w:rPr>
                <w:rFonts w:hint="eastAsia" w:cs="CESI仿宋-GB2312"/>
                <w:spacing w:val="-1"/>
                <w:szCs w:val="21"/>
              </w:rPr>
              <w:t>）中标人应加强保密教育，严格遵守保密规定。</w:t>
            </w:r>
          </w:p>
          <w:p w14:paraId="0D45070D">
            <w:pPr>
              <w:widowControl/>
              <w:spacing w:line="500" w:lineRule="exact"/>
              <w:ind w:firstLine="416" w:firstLineChars="200"/>
              <w:rPr>
                <w:rFonts w:cs="CESI仿宋-GB2312"/>
                <w:spacing w:val="-1"/>
                <w:szCs w:val="21"/>
              </w:rPr>
            </w:pPr>
            <w:r>
              <w:rPr>
                <w:rFonts w:hint="eastAsia" w:cs="CESI仿宋-GB2312"/>
                <w:spacing w:val="-1"/>
                <w:szCs w:val="21"/>
              </w:rPr>
              <w:t>（</w:t>
            </w:r>
            <w:r>
              <w:rPr>
                <w:rFonts w:cs="CESI仿宋-GB2312"/>
                <w:spacing w:val="-1"/>
                <w:szCs w:val="21"/>
              </w:rPr>
              <w:t>4</w:t>
            </w:r>
            <w:r>
              <w:rPr>
                <w:rFonts w:hint="eastAsia" w:cs="CESI仿宋-GB2312"/>
                <w:spacing w:val="-1"/>
                <w:szCs w:val="21"/>
              </w:rPr>
              <w:t>）各种物业管理资料和档案，合同期满全部移交业主单位。</w:t>
            </w:r>
          </w:p>
          <w:p w14:paraId="09E02569">
            <w:pPr>
              <w:widowControl/>
              <w:spacing w:line="500" w:lineRule="exact"/>
              <w:ind w:firstLine="416" w:firstLineChars="200"/>
              <w:rPr>
                <w:rFonts w:cs="CESI仿宋-GB2312"/>
                <w:spacing w:val="-1"/>
                <w:szCs w:val="21"/>
              </w:rPr>
            </w:pPr>
            <w:r>
              <w:rPr>
                <w:rFonts w:hint="eastAsia" w:cs="CESI仿宋-GB2312"/>
                <w:spacing w:val="-1"/>
                <w:szCs w:val="21"/>
              </w:rPr>
              <w:t>（</w:t>
            </w:r>
            <w:r>
              <w:rPr>
                <w:rFonts w:cs="CESI仿宋-GB2312"/>
                <w:spacing w:val="-1"/>
                <w:szCs w:val="21"/>
              </w:rPr>
              <w:t>5</w:t>
            </w:r>
            <w:r>
              <w:rPr>
                <w:rFonts w:hint="eastAsia" w:cs="CESI仿宋-GB2312"/>
                <w:spacing w:val="-1"/>
                <w:szCs w:val="21"/>
              </w:rPr>
              <w:t>）采购人须为中标人提供物业管理用房。</w:t>
            </w:r>
          </w:p>
          <w:p w14:paraId="0FD7D69A">
            <w:pPr>
              <w:widowControl/>
              <w:spacing w:line="500" w:lineRule="exact"/>
              <w:ind w:firstLine="416" w:firstLineChars="200"/>
              <w:rPr>
                <w:rFonts w:cs="CESI仿宋-GB2312"/>
                <w:spacing w:val="-1"/>
                <w:szCs w:val="21"/>
              </w:rPr>
            </w:pPr>
            <w:bookmarkStart w:id="44" w:name="OLE_LINK40"/>
            <w:bookmarkStart w:id="45" w:name="OLE_LINK39"/>
            <w:r>
              <w:rPr>
                <w:rFonts w:hint="eastAsia" w:cs="CESI仿宋-GB2312"/>
                <w:spacing w:val="-1"/>
                <w:szCs w:val="21"/>
              </w:rPr>
              <w:t>（</w:t>
            </w:r>
            <w:r>
              <w:rPr>
                <w:rFonts w:cs="CESI仿宋-GB2312"/>
                <w:spacing w:val="-1"/>
                <w:szCs w:val="21"/>
              </w:rPr>
              <w:t>6</w:t>
            </w:r>
            <w:r>
              <w:rPr>
                <w:rFonts w:hint="eastAsia" w:cs="CESI仿宋-GB2312"/>
                <w:spacing w:val="-1"/>
                <w:szCs w:val="21"/>
              </w:rPr>
              <w:t>）</w:t>
            </w:r>
            <w:bookmarkEnd w:id="44"/>
            <w:bookmarkEnd w:id="45"/>
            <w:r>
              <w:rPr>
                <w:rFonts w:hint="eastAsia" w:cs="CESI仿宋-GB2312"/>
                <w:spacing w:val="-1"/>
                <w:szCs w:val="21"/>
              </w:rPr>
              <w:t>中标人每季度书面向采购人汇报工作开展及人员使用情况，中标人在平时的工作中注意收集工作材料和照片，并相应做好台账，以供采购人不定期地抽查。</w:t>
            </w:r>
          </w:p>
          <w:p w14:paraId="2075DA06">
            <w:pPr>
              <w:widowControl/>
              <w:spacing w:line="500" w:lineRule="exact"/>
              <w:ind w:firstLine="416" w:firstLineChars="200"/>
              <w:rPr>
                <w:rFonts w:cs="CESI仿宋-GB2312"/>
                <w:color w:val="auto"/>
                <w:spacing w:val="-1"/>
                <w:szCs w:val="21"/>
              </w:rPr>
            </w:pPr>
            <w:r>
              <w:rPr>
                <w:rFonts w:hint="eastAsia" w:cs="CESI仿宋-GB2312"/>
                <w:color w:val="auto"/>
                <w:spacing w:val="-1"/>
                <w:szCs w:val="21"/>
              </w:rPr>
              <w:t>（7）中标人不得将整体管理责任及利益转让给其他单位和个人，也不能给第三者挂靠。</w:t>
            </w:r>
          </w:p>
          <w:p w14:paraId="0E196E2C">
            <w:pPr>
              <w:spacing w:line="260" w:lineRule="exact"/>
              <w:rPr>
                <w:rFonts w:hint="eastAsia" w:ascii="宋体" w:hAnsi="宋体"/>
                <w:szCs w:val="21"/>
              </w:rPr>
            </w:pPr>
            <w:r>
              <w:rPr>
                <w:rFonts w:hint="eastAsia" w:cs="CESI仿宋-GB2312"/>
                <w:spacing w:val="-1"/>
                <w:szCs w:val="21"/>
              </w:rPr>
              <w:t>注：中标人应当按国家相关法律法规，合理确定服务人员工资标准、工作时间等。中标人应当自行为服务人员办理必需的保险，有关人员伤亡及第三者责任险均应当考虑在报价因素中。</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6AFB63D">
            <w:pPr>
              <w:spacing w:line="260" w:lineRule="exact"/>
              <w:rPr>
                <w:rFonts w:hint="default" w:ascii="宋体" w:hAnsi="宋体" w:eastAsia="宋体"/>
                <w:szCs w:val="21"/>
                <w:lang w:val="en-US" w:eastAsia="zh-CN"/>
              </w:rPr>
            </w:pPr>
            <w:r>
              <w:rPr>
                <w:rFonts w:hint="eastAsia" w:ascii="宋体" w:hAnsi="宋体"/>
                <w:szCs w:val="21"/>
                <w:lang w:val="en-US" w:eastAsia="zh-CN"/>
              </w:rPr>
              <w:t>2460000</w:t>
            </w:r>
          </w:p>
        </w:tc>
      </w:tr>
      <w:tr w14:paraId="52EE9A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7F18E286">
            <w:pPr>
              <w:jc w:val="center"/>
              <w:rPr>
                <w:rFonts w:hint="eastAsia" w:ascii="宋体" w:hAnsi="宋体"/>
              </w:rPr>
            </w:pPr>
          </w:p>
          <w:p w14:paraId="56556C0E">
            <w:pPr>
              <w:jc w:val="center"/>
              <w:rPr>
                <w:rFonts w:hint="eastAsia" w:ascii="宋体" w:hAnsi="宋体"/>
              </w:rPr>
            </w:pPr>
          </w:p>
          <w:p w14:paraId="69A1F768">
            <w:pPr>
              <w:jc w:val="center"/>
              <w:rPr>
                <w:rFonts w:hint="eastAsia" w:ascii="宋体" w:hAnsi="宋体"/>
              </w:rPr>
            </w:pPr>
            <w:r>
              <w:rPr>
                <w:rFonts w:hint="eastAsia" w:ascii="宋体" w:hAnsi="宋体"/>
              </w:rPr>
              <w:t>商务条款</w:t>
            </w:r>
          </w:p>
        </w:tc>
        <w:tc>
          <w:tcPr>
            <w:tcW w:w="0" w:type="auto"/>
            <w:gridSpan w:val="6"/>
            <w:tcBorders>
              <w:top w:val="single" w:color="auto" w:sz="4" w:space="0"/>
              <w:left w:val="single" w:color="auto" w:sz="4" w:space="0"/>
              <w:bottom w:val="single" w:color="auto" w:sz="4" w:space="0"/>
              <w:right w:val="single" w:color="auto" w:sz="4" w:space="0"/>
            </w:tcBorders>
            <w:noWrap w:val="0"/>
            <w:vAlign w:val="top"/>
          </w:tcPr>
          <w:p w14:paraId="6660ECF4">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一、合同签订期：自中标通知书发出之日起7个工作日内</w:t>
            </w:r>
          </w:p>
          <w:p w14:paraId="6F9FDA96">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二、服务期限：自合同签订之日起</w:t>
            </w:r>
            <w:r>
              <w:rPr>
                <w:rFonts w:hint="eastAsia" w:ascii="宋体" w:hAnsi="宋体" w:eastAsia="宋体" w:cs="Times New Roman"/>
                <w:color w:val="000000"/>
                <w:szCs w:val="21"/>
                <w:lang w:val="en-US" w:eastAsia="zh-CN"/>
              </w:rPr>
              <w:t>叁</w:t>
            </w:r>
            <w:r>
              <w:rPr>
                <w:rFonts w:hint="eastAsia" w:ascii="宋体" w:hAnsi="宋体" w:eastAsia="宋体" w:cs="Times New Roman"/>
                <w:color w:val="000000"/>
                <w:szCs w:val="21"/>
              </w:rPr>
              <w:t>年。中标单位必须于签订合同10日内入驻服务范围内办公区，做好相关移交手续。</w:t>
            </w:r>
          </w:p>
          <w:p w14:paraId="7F48A406">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三、提交服务成果地点：</w:t>
            </w:r>
          </w:p>
          <w:p w14:paraId="15EAB368">
            <w:pPr>
              <w:spacing w:line="360" w:lineRule="auto"/>
              <w:ind w:firstLine="420" w:firstLineChars="200"/>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rPr>
              <w:t>1、</w:t>
            </w:r>
            <w:r>
              <w:rPr>
                <w:rFonts w:hint="eastAsia" w:ascii="宋体" w:hAnsi="宋体" w:eastAsia="宋体" w:cs="Times New Roman"/>
                <w:color w:val="000000"/>
                <w:szCs w:val="21"/>
                <w:lang w:val="en-US" w:eastAsia="zh-CN"/>
              </w:rPr>
              <w:t>上林县机关后勤服务中心</w:t>
            </w:r>
          </w:p>
          <w:p w14:paraId="278FFEB5">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四、售后服务要求：</w:t>
            </w:r>
          </w:p>
          <w:p w14:paraId="4322B3F0">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1、质保期：自合同签订后提供服务之日起至服务期满并验收合格之日止。</w:t>
            </w:r>
          </w:p>
          <w:p w14:paraId="72FF199A">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2、处理问题响应时间：接到采购人处理问题通知后30分钟内到达采购人指定现场。</w:t>
            </w:r>
          </w:p>
          <w:p w14:paraId="56580D50">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▲五、其他要求：</w:t>
            </w:r>
          </w:p>
          <w:p w14:paraId="2320E029">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1、报价必须含以下部分：</w:t>
            </w:r>
          </w:p>
          <w:p w14:paraId="083EA8BD">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（1）服务价格</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要求报每月单价及一年总报价，提供详细项目预算表（项目预算表格式自拟）。</w:t>
            </w:r>
          </w:p>
          <w:p w14:paraId="3E7FF836">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（2）各项费用包括：</w:t>
            </w:r>
          </w:p>
          <w:p w14:paraId="7E2DA337">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1）服务人员的工资和按规定提取的福利费、社会保险、节假日加班费及服装费等。</w:t>
            </w:r>
          </w:p>
          <w:p w14:paraId="14091A77">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2）安保管理费。</w:t>
            </w:r>
          </w:p>
          <w:p w14:paraId="5D004583">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3）公共清洁卫生管理费。</w:t>
            </w:r>
          </w:p>
          <w:p w14:paraId="39ECBB9C">
            <w:pPr>
              <w:spacing w:line="360" w:lineRule="auto"/>
              <w:ind w:firstLine="420" w:firstLineChars="200"/>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4）绿化管护费</w:t>
            </w:r>
          </w:p>
          <w:p w14:paraId="1F4E8F4E">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5</w:t>
            </w:r>
            <w:r>
              <w:rPr>
                <w:rFonts w:hint="eastAsia" w:ascii="宋体" w:hAnsi="宋体" w:eastAsia="宋体" w:cs="Times New Roman"/>
                <w:color w:val="000000"/>
                <w:szCs w:val="21"/>
              </w:rPr>
              <w:t>）企业管理费及税费。</w:t>
            </w:r>
          </w:p>
          <w:p w14:paraId="398CCECB">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（3）报价不含以下部分，包括：（以下项目费用由采购人另行支付，中标人配合完成）</w:t>
            </w:r>
          </w:p>
          <w:p w14:paraId="31FDF66E">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电梯、中央空调、变压设备、加压设备、消防设备、安防监控、防雷设备、（发）配电设施、高压水泵、避雷设施等公共设施设备及系统的运行维修费、维保费、年检费、检测费、设备保险费、更换改造费等；</w:t>
            </w:r>
          </w:p>
          <w:p w14:paraId="028F8155">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2）办公楼外墙清洗费、窗帘、地毯清洗费；</w:t>
            </w:r>
          </w:p>
          <w:p w14:paraId="31A7F917">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3）城市生活垃圾、废弃办公（生活）家具、修剪绿化树枝清运费、绿化苗木补种采购费、大树修剪费；</w:t>
            </w:r>
          </w:p>
          <w:p w14:paraId="4713671B">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4）公共设施设备的日常维修材料费、大、中、小修及更新改造费用；维修所产生的第三方费用及零配件采购费用。</w:t>
            </w:r>
          </w:p>
          <w:p w14:paraId="61EF4D53">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5）四害消杀费、水池清洗检测费；</w:t>
            </w:r>
          </w:p>
          <w:p w14:paraId="33545058">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6）电梯地毯、各处垃圾桶、各种指示标牌制作费。</w:t>
            </w:r>
          </w:p>
          <w:p w14:paraId="2101932D">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7）保洁易耗品（如不锈钢油、推尘油、洗洁精、消毒液、卫生间用纸、洗手液、檀香、垃圾袋等）、绿化养护工具及物料（如修割草机、高枝剪、化肥、杀虫药等）</w:t>
            </w:r>
            <w:r>
              <w:rPr>
                <w:rFonts w:hint="eastAsia" w:ascii="宋体" w:hAnsi="宋体" w:eastAsia="宋体" w:cs="Times New Roman"/>
                <w:color w:val="000000"/>
                <w:szCs w:val="21"/>
                <w:lang w:eastAsia="zh-CN"/>
              </w:rPr>
              <w:t>。</w:t>
            </w:r>
          </w:p>
          <w:p w14:paraId="4AD2028C">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说明：以上所需物料由中标人根据使用情况，向采购人提交书面领用申请，采购费用由采购人承担。中标人做好各方协助服务工作及设备的日常管理和巡检，发现问题及时联系专业单位进行处理并做好相关配合工作。</w:t>
            </w:r>
          </w:p>
          <w:p w14:paraId="3CCCC4E6">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2</w:t>
            </w:r>
            <w:r>
              <w:rPr>
                <w:rFonts w:hint="eastAsia" w:ascii="宋体" w:hAnsi="宋体" w:eastAsia="宋体" w:cs="Times New Roman"/>
                <w:color w:val="000000"/>
                <w:szCs w:val="21"/>
              </w:rPr>
              <w:t>、付款方式：本项目无预付款，中标单位所提交的服务成本经采购人书面验收合格后，按季度支付合同款。</w:t>
            </w:r>
          </w:p>
          <w:p w14:paraId="2DC8191D">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3</w:t>
            </w:r>
            <w:r>
              <w:rPr>
                <w:rFonts w:hint="eastAsia" w:ascii="宋体" w:hAnsi="宋体" w:eastAsia="宋体" w:cs="Times New Roman"/>
                <w:color w:val="000000"/>
                <w:szCs w:val="21"/>
              </w:rPr>
              <w:t>、乙方在申请支付合同款项时须向甲方提交金额有效合法的普通发票，否则，甲方有权顺延支付款项并不承担因此引起的责任包括但不限于延期付款责任等。</w:t>
            </w:r>
          </w:p>
          <w:p w14:paraId="6D938156">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4</w:t>
            </w:r>
            <w:r>
              <w:rPr>
                <w:rFonts w:hint="eastAsia" w:ascii="宋体" w:hAnsi="宋体" w:eastAsia="宋体" w:cs="Times New Roman"/>
                <w:color w:val="000000"/>
                <w:szCs w:val="21"/>
              </w:rPr>
              <w:t>、按物业管理考评得分情况支付管理费用（采购单位制定物业管理考评办法，按百分制对中标单位提交的服务成果进行评比打分，考评办法作为合同附件）。</w:t>
            </w:r>
          </w:p>
          <w:p w14:paraId="58A2A950">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①公共安全服务考评得分占60%。</w:t>
            </w:r>
          </w:p>
          <w:p w14:paraId="5D65F779">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②保洁服务考评得分占40%。</w:t>
            </w:r>
          </w:p>
          <w:p w14:paraId="5F936EDE">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5</w:t>
            </w:r>
            <w:r>
              <w:rPr>
                <w:rFonts w:hint="eastAsia" w:ascii="宋体" w:hAnsi="宋体" w:eastAsia="宋体" w:cs="Times New Roman"/>
                <w:color w:val="000000"/>
                <w:szCs w:val="21"/>
              </w:rPr>
              <w:t>、中标单位应按照采购单位要求，结合该物业实际情况，制定《物业管理服务制度》及管理岗位操作章程，并有权按采购单位委托对违反《管理制度》规定的行为进行处理。</w:t>
            </w:r>
          </w:p>
          <w:p w14:paraId="7407D24F">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6</w:t>
            </w:r>
            <w:r>
              <w:rPr>
                <w:rFonts w:hint="eastAsia" w:ascii="宋体" w:hAnsi="宋体" w:eastAsia="宋体" w:cs="Times New Roman"/>
                <w:color w:val="000000"/>
                <w:szCs w:val="21"/>
              </w:rPr>
              <w:t>、中标单位人员必须足额配置，如有调整需经过采购人同意方可调整。如中标方未按采购方要求配备配齐相关工作人员（因员工提出辞职后导致的缺员，人员补员期为10天），或因缺员影响物业管理工作的，采购人有权按所缺人员的数量及相关费用标准从物业管理费中扣除。员工补充期内不能影响采购方正常工作。</w:t>
            </w:r>
          </w:p>
          <w:p w14:paraId="3804A3B1">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7</w:t>
            </w:r>
            <w:r>
              <w:rPr>
                <w:rFonts w:hint="eastAsia" w:ascii="宋体" w:hAnsi="宋体" w:eastAsia="宋体" w:cs="Times New Roman"/>
                <w:color w:val="000000"/>
                <w:szCs w:val="21"/>
              </w:rPr>
              <w:t>、中标单位必须与员工签订劳动合同并依据国家、广西和南宁</w:t>
            </w:r>
            <w:r>
              <w:rPr>
                <w:rFonts w:hint="eastAsia" w:ascii="宋体" w:hAnsi="宋体" w:eastAsia="宋体" w:cs="Times New Roman"/>
                <w:color w:val="000000"/>
                <w:szCs w:val="21"/>
                <w:lang w:val="en-US" w:eastAsia="zh-CN"/>
              </w:rPr>
              <w:t>市上林县</w:t>
            </w:r>
            <w:r>
              <w:rPr>
                <w:rFonts w:hint="eastAsia" w:ascii="宋体" w:hAnsi="宋体" w:eastAsia="宋体" w:cs="Times New Roman"/>
                <w:color w:val="000000"/>
                <w:szCs w:val="21"/>
              </w:rPr>
              <w:t>有关最低工资标准的规定要求以及缴纳各种社会保险的规定要求向员工支付工资和缴纳社保及其他保险。</w:t>
            </w:r>
          </w:p>
          <w:p w14:paraId="4D75F077">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8</w:t>
            </w:r>
            <w:r>
              <w:rPr>
                <w:rFonts w:hint="eastAsia" w:ascii="宋体" w:hAnsi="宋体" w:eastAsia="宋体" w:cs="Times New Roman"/>
                <w:color w:val="000000"/>
                <w:szCs w:val="21"/>
              </w:rPr>
              <w:t>、中标单位不得将整体管理责任及利益转让给其他单位和个人。</w:t>
            </w:r>
          </w:p>
          <w:p w14:paraId="3B9E444F">
            <w:pPr>
              <w:spacing w:line="360" w:lineRule="auto"/>
              <w:ind w:firstLine="420" w:firstLineChars="200"/>
              <w:rPr>
                <w:rFonts w:hint="eastAsia" w:ascii="宋体" w:hAnsi="宋体" w:cs="宋体"/>
                <w:szCs w:val="21"/>
              </w:rPr>
            </w:pPr>
            <w:r>
              <w:rPr>
                <w:rFonts w:hint="eastAsia" w:ascii="宋体" w:hAnsi="宋体" w:eastAsia="宋体" w:cs="Times New Roman"/>
                <w:color w:val="000000"/>
                <w:szCs w:val="21"/>
                <w:lang w:val="en-US" w:eastAsia="zh-CN"/>
              </w:rPr>
              <w:t>9</w:t>
            </w:r>
            <w:r>
              <w:rPr>
                <w:rFonts w:hint="eastAsia" w:ascii="宋体" w:hAnsi="宋体" w:eastAsia="宋体" w:cs="Times New Roman"/>
                <w:color w:val="000000"/>
                <w:szCs w:val="21"/>
              </w:rPr>
              <w:t>、投标人可实地勘察，勘察费用自理。</w:t>
            </w:r>
          </w:p>
        </w:tc>
      </w:tr>
      <w:tr w14:paraId="578D0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4D7E783">
            <w:pPr>
              <w:jc w:val="center"/>
              <w:rPr>
                <w:rFonts w:hint="eastAsia" w:ascii="宋体" w:hAnsi="宋体"/>
              </w:rPr>
            </w:pPr>
            <w:r>
              <w:rPr>
                <w:rFonts w:hint="eastAsia" w:ascii="宋体" w:hAnsi="宋体"/>
              </w:rPr>
              <w:t>其他说明</w:t>
            </w:r>
          </w:p>
        </w:tc>
        <w:tc>
          <w:tcPr>
            <w:tcW w:w="0" w:type="auto"/>
            <w:gridSpan w:val="6"/>
            <w:tcBorders>
              <w:top w:val="single" w:color="auto" w:sz="4" w:space="0"/>
              <w:left w:val="single" w:color="auto" w:sz="4" w:space="0"/>
              <w:bottom w:val="single" w:color="auto" w:sz="4" w:space="0"/>
              <w:right w:val="single" w:color="auto" w:sz="4" w:space="0"/>
            </w:tcBorders>
            <w:noWrap w:val="0"/>
            <w:vAlign w:val="top"/>
          </w:tcPr>
          <w:p w14:paraId="63DD43D5">
            <w:pPr>
              <w:widowControl/>
              <w:shd w:val="clear" w:color="auto" w:fill="FFFFFF"/>
              <w:spacing w:line="360" w:lineRule="auto"/>
              <w:rPr>
                <w:rFonts w:hint="eastAsia" w:ascii="宋体" w:hAnsi="宋体"/>
              </w:rPr>
            </w:pPr>
            <w:r>
              <w:rPr>
                <w:rFonts w:hint="eastAsia" w:ascii="宋体" w:hAnsi="宋体"/>
              </w:rPr>
              <w:t>一、进口产品说明（根据项目实际情况选择）</w:t>
            </w:r>
          </w:p>
          <w:p w14:paraId="7F166A2F">
            <w:pPr>
              <w:spacing w:line="360" w:lineRule="auto"/>
              <w:ind w:firstLine="420" w:firstLineChars="200"/>
              <w:rPr>
                <w:rFonts w:hint="eastAsia" w:ascii="宋体" w:hAnsi="宋体"/>
                <w:color w:val="000000"/>
                <w:szCs w:val="21"/>
              </w:rPr>
            </w:pPr>
            <w:r>
              <w:rPr>
                <w:rFonts w:hint="eastAsia" w:ascii="宋体" w:hAnsi="宋体"/>
                <w:color w:val="000000"/>
                <w:szCs w:val="21"/>
              </w:rPr>
              <w:t>□本表的第</w:t>
            </w:r>
            <w:r>
              <w:rPr>
                <w:rFonts w:hint="eastAsia" w:ascii="宋体" w:hAnsi="宋体"/>
                <w:color w:val="000000"/>
                <w:szCs w:val="21"/>
                <w:u w:val="single"/>
              </w:rPr>
              <w:t xml:space="preserve">  </w:t>
            </w:r>
            <w:r>
              <w:rPr>
                <w:rFonts w:hint="eastAsia" w:ascii="宋体" w:hAnsi="宋体"/>
                <w:color w:val="000000"/>
                <w:szCs w:val="21"/>
              </w:rPr>
              <w:t>项服务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w:t>
            </w:r>
            <w:r>
              <w:rPr>
                <w:rFonts w:hint="eastAsia" w:ascii="宋体" w:hAnsi="宋体"/>
                <w:b/>
                <w:bCs/>
                <w:color w:val="000000"/>
                <w:szCs w:val="21"/>
              </w:rPr>
              <w:t>其他货物不接受进口产品参与投标</w:t>
            </w:r>
            <w:r>
              <w:rPr>
                <w:rFonts w:hint="eastAsia" w:ascii="宋体" w:hAnsi="宋体"/>
                <w:color w:val="000000"/>
                <w:szCs w:val="21"/>
              </w:rPr>
              <w:t>，</w:t>
            </w:r>
            <w:r>
              <w:rPr>
                <w:rFonts w:hint="eastAsia" w:ascii="宋体" w:hAnsi="宋体"/>
                <w:b/>
                <w:color w:val="000000"/>
                <w:szCs w:val="21"/>
              </w:rPr>
              <w:t>否则作无效标处理。</w:t>
            </w:r>
          </w:p>
          <w:p w14:paraId="76B69C35">
            <w:pPr>
              <w:tabs>
                <w:tab w:val="left" w:pos="180"/>
                <w:tab w:val="left" w:pos="1620"/>
              </w:tabs>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本分标服务所涉及的货物不接受进口产品（即通过中国海关报关验放进入中国境内且产自关境外的产品）参与投标，</w:t>
            </w:r>
            <w:r>
              <w:rPr>
                <w:rFonts w:hint="eastAsia" w:ascii="宋体" w:hAnsi="宋体"/>
                <w:b/>
                <w:color w:val="000000"/>
                <w:szCs w:val="21"/>
              </w:rPr>
              <w:t>如有进口产品参与投标的作无效标处理</w:t>
            </w:r>
            <w:r>
              <w:rPr>
                <w:rFonts w:hint="eastAsia" w:ascii="宋体" w:hAnsi="宋体"/>
                <w:color w:val="000000"/>
                <w:szCs w:val="21"/>
              </w:rPr>
              <w:t>。</w:t>
            </w:r>
          </w:p>
          <w:p w14:paraId="42A7CDA8">
            <w:pPr>
              <w:widowControl/>
              <w:shd w:val="clear" w:color="auto" w:fill="FFFFFF"/>
              <w:spacing w:line="360" w:lineRule="auto"/>
              <w:rPr>
                <w:rFonts w:hint="eastAsia" w:ascii="宋体" w:hAnsi="宋体"/>
              </w:rPr>
            </w:pPr>
            <w:r>
              <w:rPr>
                <w:rFonts w:hint="eastAsia" w:ascii="宋体" w:hAnsi="宋体"/>
              </w:rPr>
              <w:t>二、其他</w:t>
            </w:r>
          </w:p>
          <w:p w14:paraId="403D3F9C">
            <w:pPr>
              <w:widowControl/>
              <w:shd w:val="clear" w:color="auto" w:fill="FFFFFF"/>
              <w:spacing w:line="360" w:lineRule="auto"/>
              <w:rPr>
                <w:rFonts w:hint="eastAsia" w:ascii="宋体" w:hAnsi="宋体"/>
                <w:lang w:eastAsia="zh-CN"/>
              </w:rPr>
            </w:pPr>
            <w:bookmarkStart w:id="46" w:name="PO_3000001868_PM041"/>
            <w:r>
              <w:rPr>
                <w:rFonts w:hint="eastAsia" w:ascii="宋体" w:hAnsi="宋体"/>
              </w:rPr>
              <w:t>1、是否进行演示：</w:t>
            </w:r>
            <w:bookmarkEnd w:id="46"/>
            <w:r>
              <w:rPr>
                <w:rFonts w:hint="eastAsia" w:ascii="宋体" w:hAnsi="宋体"/>
                <w:lang w:eastAsia="zh-CN"/>
              </w:rPr>
              <w:t>否</w:t>
            </w:r>
          </w:p>
          <w:p w14:paraId="07A2E60A">
            <w:pPr>
              <w:widowControl/>
              <w:shd w:val="clear" w:color="auto" w:fill="FFFFFF"/>
              <w:spacing w:line="360" w:lineRule="auto"/>
              <w:rPr>
                <w:rFonts w:hint="eastAsia" w:ascii="宋体" w:hAnsi="宋体" w:eastAsia="宋体"/>
                <w:lang w:eastAsia="zh-CN"/>
              </w:rPr>
            </w:pPr>
            <w:r>
              <w:rPr>
                <w:rFonts w:hint="eastAsia" w:ascii="宋体" w:hAnsi="宋体"/>
              </w:rPr>
              <w:t>2、</w:t>
            </w:r>
            <w:bookmarkStart w:id="47" w:name="PO_3000001868_PM043"/>
            <w:r>
              <w:rPr>
                <w:rFonts w:hint="eastAsia" w:ascii="宋体" w:hAnsi="宋体"/>
              </w:rPr>
              <w:t>是否要求提供样品：</w:t>
            </w:r>
            <w:bookmarkEnd w:id="47"/>
            <w:r>
              <w:rPr>
                <w:rFonts w:hint="eastAsia" w:ascii="宋体" w:hAnsi="宋体"/>
                <w:lang w:eastAsia="zh-CN"/>
              </w:rPr>
              <w:t>否</w:t>
            </w:r>
          </w:p>
          <w:p w14:paraId="3B8B091D">
            <w:pPr>
              <w:widowControl/>
              <w:shd w:val="clear" w:color="auto" w:fill="FFFFFF"/>
              <w:spacing w:line="360" w:lineRule="auto"/>
              <w:rPr>
                <w:rFonts w:hint="eastAsia" w:ascii="宋体" w:hAnsi="宋体"/>
                <w:lang w:eastAsia="zh-CN"/>
              </w:rPr>
            </w:pPr>
            <w:r>
              <w:rPr>
                <w:rFonts w:hint="eastAsia" w:ascii="宋体" w:hAnsi="宋体"/>
              </w:rPr>
              <w:t>3、</w:t>
            </w:r>
            <w:bookmarkStart w:id="48" w:name="PO_3000001868_PM040"/>
            <w:r>
              <w:rPr>
                <w:rFonts w:hint="eastAsia" w:ascii="宋体" w:hAnsi="宋体"/>
              </w:rPr>
              <w:t>是否现场踏勘：</w:t>
            </w:r>
            <w:bookmarkEnd w:id="48"/>
            <w:r>
              <w:rPr>
                <w:rFonts w:hint="eastAsia" w:ascii="宋体" w:hAnsi="宋体"/>
                <w:lang w:eastAsia="zh-CN"/>
              </w:rPr>
              <w:t>是（</w:t>
            </w:r>
            <w:r>
              <w:rPr>
                <w:rFonts w:hint="eastAsia" w:ascii="宋体" w:hAnsi="宋体" w:eastAsia="宋体" w:cs="Times New Roman"/>
                <w:color w:val="000000"/>
                <w:szCs w:val="21"/>
              </w:rPr>
              <w:t>投标人可</w:t>
            </w:r>
            <w:r>
              <w:rPr>
                <w:rFonts w:hint="eastAsia" w:ascii="宋体" w:hAnsi="宋体" w:eastAsia="宋体" w:cs="Times New Roman"/>
                <w:color w:val="000000"/>
                <w:szCs w:val="21"/>
                <w:lang w:eastAsia="zh-CN"/>
              </w:rPr>
              <w:t>自行前往</w:t>
            </w:r>
            <w:r>
              <w:rPr>
                <w:rFonts w:hint="eastAsia" w:ascii="宋体" w:hAnsi="宋体" w:eastAsia="宋体" w:cs="Times New Roman"/>
                <w:color w:val="000000"/>
                <w:szCs w:val="21"/>
              </w:rPr>
              <w:t>实地勘察，勘察费用自理</w:t>
            </w:r>
            <w:r>
              <w:rPr>
                <w:rFonts w:hint="eastAsia" w:ascii="宋体" w:hAnsi="宋体"/>
                <w:lang w:eastAsia="zh-CN"/>
              </w:rPr>
              <w:t>）</w:t>
            </w:r>
          </w:p>
          <w:p w14:paraId="01C183E9">
            <w:pPr>
              <w:widowControl/>
              <w:shd w:val="clear" w:color="auto" w:fill="FFFFFF"/>
              <w:spacing w:line="360" w:lineRule="auto"/>
              <w:rPr>
                <w:rFonts w:hint="eastAsia" w:ascii="宋体" w:hAnsi="宋体"/>
              </w:rPr>
            </w:pPr>
            <w:r>
              <w:rPr>
                <w:rFonts w:hint="eastAsia" w:ascii="宋体" w:hAnsi="宋体"/>
              </w:rPr>
              <w:t>4、合同延续年限、条件和方式（如不续签此处填“本项目合同到期后不续签”）：</w:t>
            </w:r>
            <w:r>
              <w:rPr>
                <w:rFonts w:hint="eastAsia" w:ascii="宋体" w:hAnsi="宋体"/>
                <w:u w:val="single"/>
              </w:rPr>
              <w:t xml:space="preserve">   </w:t>
            </w:r>
            <w:r>
              <w:rPr>
                <w:rFonts w:hint="eastAsia" w:ascii="宋体" w:hAnsi="宋体"/>
              </w:rPr>
              <w:t>（提醒：根据《财政部关于推进和完善服务项目政府有关问题的通知》（财库〔2014〕37号）及《政府购买服务管理办法》（财政部令102号）等规定，政府购买服务履行期限一般不超过1年；在预算保障的前提下，对于购买内容相对固定、连续性强、经费来源稳定、价格变化幅度小的政府购买服务项目，可以签订履行期不超过3年的政府购买服务合同，且应当在采购文件中约定续签条件和方式、时限告知潜在供应商。）</w:t>
            </w:r>
          </w:p>
          <w:p w14:paraId="78FD352F">
            <w:pPr>
              <w:widowControl/>
              <w:shd w:val="clear" w:color="auto" w:fill="FFFFFF"/>
              <w:spacing w:line="360" w:lineRule="auto"/>
              <w:rPr>
                <w:rFonts w:hint="eastAsia" w:ascii="宋体" w:hAnsi="宋体"/>
              </w:rPr>
            </w:pPr>
            <w:r>
              <w:rPr>
                <w:rFonts w:hint="eastAsia" w:ascii="宋体" w:hAnsi="宋体"/>
              </w:rPr>
              <w:t>……</w:t>
            </w:r>
          </w:p>
        </w:tc>
      </w:tr>
    </w:tbl>
    <w:p w14:paraId="510E0BA6">
      <w:pPr>
        <w:spacing w:line="320" w:lineRule="exact"/>
        <w:rPr>
          <w:rFonts w:hint="eastAsia" w:ascii="宋体" w:hAnsi="宋体"/>
        </w:rPr>
      </w:pPr>
    </w:p>
    <w:p w14:paraId="6C81F9A0">
      <w:pPr>
        <w:widowControl/>
        <w:spacing w:line="360" w:lineRule="auto"/>
        <w:jc w:val="left"/>
        <w:rPr>
          <w:rFonts w:ascii="宋体" w:hAnsi="宋体" w:cs="宋体"/>
          <w:b/>
          <w:bCs/>
          <w:szCs w:val="21"/>
        </w:rPr>
        <w:sectPr>
          <w:footerReference r:id="rId5" w:type="default"/>
          <w:pgSz w:w="11910" w:h="16840"/>
          <w:pgMar w:top="1520" w:right="1500" w:bottom="280" w:left="1680" w:header="720" w:footer="720" w:gutter="0"/>
          <w:pgNumType w:fmt="decimal" w:start="1"/>
          <w:cols w:space="720" w:num="1"/>
        </w:sectPr>
      </w:pPr>
    </w:p>
    <w:p w14:paraId="2B7DE3A6">
      <w:pPr>
        <w:tabs>
          <w:tab w:val="left" w:pos="180"/>
          <w:tab w:val="left" w:pos="1620"/>
        </w:tabs>
        <w:spacing w:line="360" w:lineRule="auto"/>
        <w:ind w:firstLine="422" w:firstLineChars="200"/>
        <w:rPr>
          <w:rFonts w:hint="eastAsia" w:ascii="宋体" w:hAnsi="宋体" w:cs="宋体"/>
          <w:b/>
          <w:bCs/>
          <w:szCs w:val="21"/>
        </w:rPr>
      </w:pPr>
    </w:p>
    <w:p w14:paraId="162041D6">
      <w:pPr>
        <w:spacing w:line="428" w:lineRule="exact"/>
        <w:ind w:left="119"/>
        <w:rPr>
          <w:rFonts w:hint="eastAsia" w:ascii="Arial Unicode MS" w:hAnsi="Arial Unicode MS" w:eastAsia="Arial Unicode MS" w:cs="Arial Unicode MS"/>
          <w:sz w:val="17"/>
          <w:szCs w:val="17"/>
          <w:highlight w:val="none"/>
        </w:rPr>
      </w:pPr>
      <w:r>
        <w:rPr>
          <w:rFonts w:hint="eastAsia" w:ascii="微软雅黑" w:hAnsi="微软雅黑" w:eastAsia="微软雅黑" w:cs="微软雅黑"/>
          <w:sz w:val="32"/>
          <w:szCs w:val="32"/>
          <w:highlight w:val="none"/>
        </w:rPr>
        <w:t>附件</w:t>
      </w:r>
      <w:r>
        <w:rPr>
          <w:rFonts w:hint="eastAsia" w:ascii="微软雅黑" w:hAnsi="微软雅黑" w:eastAsia="微软雅黑" w:cs="微软雅黑"/>
          <w:sz w:val="32"/>
          <w:szCs w:val="32"/>
          <w:highlight w:val="none"/>
          <w:lang w:val="en-US" w:eastAsia="zh-CN"/>
        </w:rPr>
        <w:t>1</w:t>
      </w:r>
      <w:r>
        <w:rPr>
          <w:rFonts w:hint="eastAsia" w:ascii="微软雅黑" w:hAnsi="微软雅黑" w:eastAsia="微软雅黑" w:cs="微软雅黑"/>
          <w:sz w:val="32"/>
          <w:szCs w:val="32"/>
          <w:highlight w:val="none"/>
        </w:rPr>
        <w:t>：</w:t>
      </w:r>
    </w:p>
    <w:p w14:paraId="7D208B00">
      <w:pPr>
        <w:spacing w:line="528" w:lineRule="exact"/>
        <w:ind w:left="1871"/>
        <w:rPr>
          <w:rFonts w:ascii="Arial Unicode MS" w:hAnsi="Arial Unicode MS" w:eastAsia="Arial Unicode MS" w:cs="Arial Unicode MS"/>
          <w:sz w:val="40"/>
          <w:szCs w:val="40"/>
        </w:rPr>
      </w:pPr>
      <w:r>
        <w:rPr>
          <w:rFonts w:hint="eastAsia" w:ascii="微软雅黑" w:hAnsi="微软雅黑" w:eastAsia="微软雅黑" w:cs="微软雅黑"/>
          <w:sz w:val="40"/>
          <w:szCs w:val="40"/>
        </w:rPr>
        <w:t>节能产品政府采购品目清单</w:t>
      </w:r>
    </w:p>
    <w:tbl>
      <w:tblPr>
        <w:tblStyle w:val="19"/>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5489BDB1">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14:paraId="29C49A0E">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437158E0">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名称</w:t>
            </w:r>
          </w:p>
        </w:tc>
        <w:tc>
          <w:tcPr>
            <w:tcW w:w="4540" w:type="dxa"/>
            <w:tcBorders>
              <w:top w:val="single" w:color="000000" w:sz="8" w:space="0"/>
              <w:left w:val="nil"/>
              <w:bottom w:val="single" w:color="000000" w:sz="8" w:space="0"/>
              <w:right w:val="single" w:color="000000" w:sz="8" w:space="0"/>
            </w:tcBorders>
            <w:noWrap w:val="0"/>
            <w:vAlign w:val="center"/>
          </w:tcPr>
          <w:p w14:paraId="6F06BE1F">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依据的标准</w:t>
            </w:r>
          </w:p>
        </w:tc>
      </w:tr>
      <w:tr w14:paraId="03DAB8B6">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721C0D5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1BAF802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A020101计算机设备</w:t>
            </w:r>
          </w:p>
        </w:tc>
        <w:tc>
          <w:tcPr>
            <w:tcW w:w="1320" w:type="dxa"/>
            <w:tcBorders>
              <w:top w:val="nil"/>
              <w:left w:val="nil"/>
              <w:bottom w:val="single" w:color="000000" w:sz="8" w:space="0"/>
              <w:right w:val="single" w:color="000000" w:sz="8" w:space="0"/>
            </w:tcBorders>
            <w:noWrap w:val="0"/>
            <w:vAlign w:val="center"/>
          </w:tcPr>
          <w:p w14:paraId="6093B17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★A02010104台式计算机</w:t>
            </w:r>
          </w:p>
        </w:tc>
        <w:tc>
          <w:tcPr>
            <w:tcW w:w="1620" w:type="dxa"/>
            <w:tcBorders>
              <w:top w:val="nil"/>
              <w:left w:val="nil"/>
              <w:bottom w:val="single" w:color="000000" w:sz="8" w:space="0"/>
              <w:right w:val="single" w:color="000000" w:sz="8" w:space="0"/>
            </w:tcBorders>
            <w:noWrap w:val="0"/>
            <w:vAlign w:val="center"/>
          </w:tcPr>
          <w:p w14:paraId="7A88B0E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5B7DA83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14:paraId="17816BB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75DA2A7">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5929342">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363937A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★A02010105便携式计算机</w:t>
            </w:r>
          </w:p>
        </w:tc>
        <w:tc>
          <w:tcPr>
            <w:tcW w:w="1620" w:type="dxa"/>
            <w:tcBorders>
              <w:top w:val="nil"/>
              <w:left w:val="nil"/>
              <w:bottom w:val="single" w:color="000000" w:sz="8" w:space="0"/>
              <w:right w:val="single" w:color="000000" w:sz="8" w:space="0"/>
            </w:tcBorders>
            <w:noWrap w:val="0"/>
            <w:vAlign w:val="center"/>
          </w:tcPr>
          <w:p w14:paraId="7884EBA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7A9B3D25">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14:paraId="4F8CF1C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63C2706">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A1F222D">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3F6A266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★A02010107平板式微型计算机</w:t>
            </w:r>
          </w:p>
        </w:tc>
        <w:tc>
          <w:tcPr>
            <w:tcW w:w="1620" w:type="dxa"/>
            <w:tcBorders>
              <w:top w:val="nil"/>
              <w:left w:val="nil"/>
              <w:bottom w:val="single" w:color="000000" w:sz="8" w:space="0"/>
              <w:right w:val="single" w:color="000000" w:sz="8" w:space="0"/>
            </w:tcBorders>
            <w:noWrap w:val="0"/>
            <w:vAlign w:val="center"/>
          </w:tcPr>
          <w:p w14:paraId="33C1A95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44FCADFC">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14:paraId="53897156">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757AE85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782C24F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24FEF43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A02010601打印设备</w:t>
            </w:r>
          </w:p>
        </w:tc>
        <w:tc>
          <w:tcPr>
            <w:tcW w:w="1620" w:type="dxa"/>
            <w:tcBorders>
              <w:top w:val="nil"/>
              <w:left w:val="nil"/>
              <w:bottom w:val="single" w:color="000000" w:sz="8" w:space="0"/>
              <w:right w:val="single" w:color="000000" w:sz="8" w:space="0"/>
            </w:tcBorders>
            <w:noWrap w:val="0"/>
            <w:vAlign w:val="center"/>
          </w:tcPr>
          <w:p w14:paraId="13F7CBE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A0201060101喷墨打印机</w:t>
            </w:r>
          </w:p>
        </w:tc>
        <w:tc>
          <w:tcPr>
            <w:tcW w:w="4540" w:type="dxa"/>
            <w:tcBorders>
              <w:top w:val="nil"/>
              <w:left w:val="nil"/>
              <w:bottom w:val="single" w:color="000000" w:sz="8" w:space="0"/>
              <w:right w:val="single" w:color="000000" w:sz="8" w:space="0"/>
            </w:tcBorders>
            <w:noWrap w:val="0"/>
            <w:vAlign w:val="center"/>
          </w:tcPr>
          <w:p w14:paraId="6FE68806">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14:paraId="0B382E9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94E2D80">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4635E00">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745B96D">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584C6FD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★A0201060102激光打印机</w:t>
            </w:r>
          </w:p>
        </w:tc>
        <w:tc>
          <w:tcPr>
            <w:tcW w:w="4540" w:type="dxa"/>
            <w:tcBorders>
              <w:top w:val="nil"/>
              <w:left w:val="nil"/>
              <w:bottom w:val="single" w:color="000000" w:sz="8" w:space="0"/>
              <w:right w:val="single" w:color="000000" w:sz="8" w:space="0"/>
            </w:tcBorders>
            <w:noWrap w:val="0"/>
            <w:vAlign w:val="center"/>
          </w:tcPr>
          <w:p w14:paraId="5ED10F95">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14:paraId="794C698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3C65070">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452EB3D">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8DE33B2">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2706B30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★A0201060104针式打印机</w:t>
            </w:r>
          </w:p>
        </w:tc>
        <w:tc>
          <w:tcPr>
            <w:tcW w:w="4540" w:type="dxa"/>
            <w:tcBorders>
              <w:top w:val="nil"/>
              <w:left w:val="nil"/>
              <w:bottom w:val="single" w:color="000000" w:sz="8" w:space="0"/>
              <w:right w:val="single" w:color="000000" w:sz="8" w:space="0"/>
            </w:tcBorders>
            <w:noWrap w:val="0"/>
            <w:vAlign w:val="center"/>
          </w:tcPr>
          <w:p w14:paraId="6BE2C855">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14:paraId="1004B49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72C2804">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D76F883">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3F8197D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A02010604显示设备</w:t>
            </w:r>
          </w:p>
        </w:tc>
        <w:tc>
          <w:tcPr>
            <w:tcW w:w="1620" w:type="dxa"/>
            <w:tcBorders>
              <w:top w:val="nil"/>
              <w:left w:val="nil"/>
              <w:bottom w:val="single" w:color="000000" w:sz="8" w:space="0"/>
              <w:right w:val="single" w:color="000000" w:sz="8" w:space="0"/>
            </w:tcBorders>
            <w:noWrap w:val="0"/>
            <w:vAlign w:val="center"/>
          </w:tcPr>
          <w:p w14:paraId="76776FD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★A0201060401液晶显示器</w:t>
            </w:r>
          </w:p>
        </w:tc>
        <w:tc>
          <w:tcPr>
            <w:tcW w:w="4540" w:type="dxa"/>
            <w:tcBorders>
              <w:top w:val="nil"/>
              <w:left w:val="nil"/>
              <w:bottom w:val="single" w:color="000000" w:sz="8" w:space="0"/>
              <w:right w:val="single" w:color="000000" w:sz="8" w:space="0"/>
            </w:tcBorders>
            <w:noWrap w:val="0"/>
            <w:vAlign w:val="center"/>
          </w:tcPr>
          <w:p w14:paraId="06C65A95">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《计算机显示器能效限定值及能效等级》（GB21520）</w:t>
            </w:r>
          </w:p>
        </w:tc>
      </w:tr>
      <w:tr w14:paraId="3745FBC2">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3B8CC5C">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A9137B8">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4EC67B5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A02010609图形图像输入设备</w:t>
            </w:r>
          </w:p>
        </w:tc>
        <w:tc>
          <w:tcPr>
            <w:tcW w:w="1620" w:type="dxa"/>
            <w:tcBorders>
              <w:top w:val="nil"/>
              <w:left w:val="nil"/>
              <w:bottom w:val="single" w:color="000000" w:sz="8" w:space="0"/>
              <w:right w:val="single" w:color="000000" w:sz="8" w:space="0"/>
            </w:tcBorders>
            <w:noWrap w:val="0"/>
            <w:vAlign w:val="center"/>
          </w:tcPr>
          <w:p w14:paraId="12F569D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A0201060901扫描仪</w:t>
            </w:r>
          </w:p>
        </w:tc>
        <w:tc>
          <w:tcPr>
            <w:tcW w:w="4540" w:type="dxa"/>
            <w:tcBorders>
              <w:top w:val="nil"/>
              <w:left w:val="nil"/>
              <w:bottom w:val="single" w:color="000000" w:sz="8" w:space="0"/>
              <w:right w:val="single" w:color="000000" w:sz="8" w:space="0"/>
            </w:tcBorders>
            <w:noWrap w:val="0"/>
            <w:vAlign w:val="center"/>
          </w:tcPr>
          <w:p w14:paraId="6255B91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参照《复印机、打印机和传真机能效限定值及能效等级》（GB21521中打印速度为15页/分的针式打印机相关要求中打印速度为15页/分的针式打印机相关要求</w:t>
            </w:r>
          </w:p>
        </w:tc>
      </w:tr>
      <w:tr w14:paraId="157265D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523CA3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080" w:type="dxa"/>
            <w:tcBorders>
              <w:top w:val="nil"/>
              <w:left w:val="nil"/>
              <w:bottom w:val="single" w:color="000000" w:sz="8" w:space="0"/>
              <w:right w:val="single" w:color="000000" w:sz="8" w:space="0"/>
            </w:tcBorders>
            <w:noWrap w:val="0"/>
            <w:vAlign w:val="center"/>
          </w:tcPr>
          <w:p w14:paraId="7D8AD97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A020202投影仪</w:t>
            </w:r>
          </w:p>
        </w:tc>
        <w:tc>
          <w:tcPr>
            <w:tcW w:w="1320" w:type="dxa"/>
            <w:tcBorders>
              <w:top w:val="nil"/>
              <w:left w:val="nil"/>
              <w:bottom w:val="single" w:color="000000" w:sz="8" w:space="0"/>
              <w:right w:val="single" w:color="000000" w:sz="8" w:space="0"/>
            </w:tcBorders>
            <w:noWrap w:val="0"/>
            <w:vAlign w:val="center"/>
          </w:tcPr>
          <w:p w14:paraId="6772AF6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5C6659F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1D10B59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《投影机能效限定值及能效等级》（GB32028）</w:t>
            </w:r>
          </w:p>
        </w:tc>
      </w:tr>
      <w:tr w14:paraId="2A5BA25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305023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080" w:type="dxa"/>
            <w:tcBorders>
              <w:top w:val="nil"/>
              <w:left w:val="nil"/>
              <w:bottom w:val="single" w:color="000000" w:sz="8" w:space="0"/>
              <w:right w:val="single" w:color="000000" w:sz="8" w:space="0"/>
            </w:tcBorders>
            <w:noWrap w:val="0"/>
            <w:vAlign w:val="center"/>
          </w:tcPr>
          <w:p w14:paraId="2C246B0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A020204多功能一体机</w:t>
            </w:r>
          </w:p>
        </w:tc>
        <w:tc>
          <w:tcPr>
            <w:tcW w:w="1320" w:type="dxa"/>
            <w:tcBorders>
              <w:top w:val="nil"/>
              <w:left w:val="nil"/>
              <w:bottom w:val="single" w:color="000000" w:sz="8" w:space="0"/>
              <w:right w:val="single" w:color="000000" w:sz="8" w:space="0"/>
            </w:tcBorders>
            <w:noWrap w:val="0"/>
            <w:vAlign w:val="center"/>
          </w:tcPr>
          <w:p w14:paraId="2C6BF98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48B6522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3CAB6A7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14:paraId="045FD04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F4B2F2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080" w:type="dxa"/>
            <w:tcBorders>
              <w:top w:val="nil"/>
              <w:left w:val="nil"/>
              <w:bottom w:val="single" w:color="000000" w:sz="8" w:space="0"/>
              <w:right w:val="single" w:color="000000" w:sz="8" w:space="0"/>
            </w:tcBorders>
            <w:noWrap w:val="0"/>
            <w:vAlign w:val="center"/>
          </w:tcPr>
          <w:p w14:paraId="4A89D08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A020519泵</w:t>
            </w:r>
          </w:p>
        </w:tc>
        <w:tc>
          <w:tcPr>
            <w:tcW w:w="1320" w:type="dxa"/>
            <w:tcBorders>
              <w:top w:val="nil"/>
              <w:left w:val="nil"/>
              <w:bottom w:val="single" w:color="000000" w:sz="8" w:space="0"/>
              <w:right w:val="single" w:color="000000" w:sz="8" w:space="0"/>
            </w:tcBorders>
            <w:noWrap w:val="0"/>
            <w:vAlign w:val="center"/>
          </w:tcPr>
          <w:p w14:paraId="0DA6C57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A02051901离心泵</w:t>
            </w:r>
          </w:p>
        </w:tc>
        <w:tc>
          <w:tcPr>
            <w:tcW w:w="1620" w:type="dxa"/>
            <w:tcBorders>
              <w:top w:val="nil"/>
              <w:left w:val="nil"/>
              <w:bottom w:val="single" w:color="000000" w:sz="8" w:space="0"/>
              <w:right w:val="single" w:color="000000" w:sz="8" w:space="0"/>
            </w:tcBorders>
            <w:noWrap w:val="0"/>
            <w:vAlign w:val="center"/>
          </w:tcPr>
          <w:p w14:paraId="18F2293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50560477">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《清水离心泵能效限定值及节能评价值》（GB19762）</w:t>
            </w:r>
          </w:p>
        </w:tc>
      </w:tr>
      <w:tr w14:paraId="616CA544">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56EE6C0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0BF39F3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38245DA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★A02052301制冷压缩机</w:t>
            </w:r>
          </w:p>
        </w:tc>
        <w:tc>
          <w:tcPr>
            <w:tcW w:w="1620" w:type="dxa"/>
            <w:tcBorders>
              <w:top w:val="nil"/>
              <w:left w:val="nil"/>
              <w:bottom w:val="single" w:color="000000" w:sz="8" w:space="0"/>
              <w:right w:val="single" w:color="000000" w:sz="8" w:space="0"/>
            </w:tcBorders>
            <w:noWrap w:val="0"/>
            <w:vAlign w:val="center"/>
          </w:tcPr>
          <w:p w14:paraId="41A1234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冷水机组</w:t>
            </w:r>
          </w:p>
        </w:tc>
        <w:tc>
          <w:tcPr>
            <w:tcW w:w="4540" w:type="dxa"/>
            <w:tcBorders>
              <w:top w:val="nil"/>
              <w:left w:val="nil"/>
              <w:bottom w:val="single" w:color="000000" w:sz="8" w:space="0"/>
              <w:right w:val="single" w:color="000000" w:sz="8" w:space="0"/>
            </w:tcBorders>
            <w:noWrap w:val="0"/>
            <w:vAlign w:val="center"/>
          </w:tcPr>
          <w:p w14:paraId="3694D9EA">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《冷水机组能效限定值及能效等级》（GB19577），《低环境温度空气源热泵（冷水）机组能效限定值及能效等级》（GB37480）</w:t>
            </w:r>
          </w:p>
        </w:tc>
      </w:tr>
      <w:tr w14:paraId="445F1F2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F4768BE">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E58154B">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77F9BCA">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25A7A6B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水源热泵机组</w:t>
            </w:r>
          </w:p>
        </w:tc>
        <w:tc>
          <w:tcPr>
            <w:tcW w:w="4540" w:type="dxa"/>
            <w:tcBorders>
              <w:top w:val="nil"/>
              <w:left w:val="nil"/>
              <w:bottom w:val="single" w:color="000000" w:sz="8" w:space="0"/>
              <w:right w:val="single" w:color="000000" w:sz="8" w:space="0"/>
            </w:tcBorders>
            <w:noWrap w:val="0"/>
            <w:vAlign w:val="center"/>
          </w:tcPr>
          <w:p w14:paraId="2DAA09AD">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《水（地）源热泵机组能效限定值及能效等级》（GB30721）</w:t>
            </w:r>
          </w:p>
        </w:tc>
      </w:tr>
      <w:tr w14:paraId="37B6D33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6E905F2">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B87BC84">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E1294AF">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4B12FD5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溴化锂吸收式冷水机组</w:t>
            </w:r>
          </w:p>
        </w:tc>
        <w:tc>
          <w:tcPr>
            <w:tcW w:w="4540" w:type="dxa"/>
            <w:tcBorders>
              <w:top w:val="nil"/>
              <w:left w:val="nil"/>
              <w:bottom w:val="single" w:color="000000" w:sz="8" w:space="0"/>
              <w:right w:val="single" w:color="000000" w:sz="8" w:space="0"/>
            </w:tcBorders>
            <w:noWrap w:val="0"/>
            <w:vAlign w:val="center"/>
          </w:tcPr>
          <w:p w14:paraId="628C5873">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《溴化锂吸收式冷水机组能效限定值及能效等级》（GB29540）</w:t>
            </w:r>
          </w:p>
        </w:tc>
      </w:tr>
      <w:tr w14:paraId="0E590BA3">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FAA3950">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0F37D62">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4A87E12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★A02052305空调机组</w:t>
            </w:r>
          </w:p>
        </w:tc>
        <w:tc>
          <w:tcPr>
            <w:tcW w:w="1620" w:type="dxa"/>
            <w:tcBorders>
              <w:top w:val="nil"/>
              <w:left w:val="nil"/>
              <w:bottom w:val="single" w:color="000000" w:sz="8" w:space="0"/>
              <w:right w:val="single" w:color="000000" w:sz="8" w:space="0"/>
            </w:tcBorders>
            <w:noWrap w:val="0"/>
            <w:vAlign w:val="center"/>
          </w:tcPr>
          <w:p w14:paraId="4E67125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5C550E9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14:paraId="288773A3">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2D73FBB">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8620BAE">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14DE4E0">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1D8D7C1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040A2312">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《单元式空气调节机能效限定值及能效等级》（GB19576）《风管送风式空调机组能效限定值及能效等级》（GB37479）</w:t>
            </w:r>
          </w:p>
        </w:tc>
      </w:tr>
      <w:tr w14:paraId="00F478D5">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89722E9">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F567E9F">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70D75C7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★A02052309专用制冷、空调设备</w:t>
            </w:r>
          </w:p>
        </w:tc>
        <w:tc>
          <w:tcPr>
            <w:tcW w:w="1620" w:type="dxa"/>
            <w:tcBorders>
              <w:top w:val="nil"/>
              <w:left w:val="nil"/>
              <w:bottom w:val="single" w:color="000000" w:sz="8" w:space="0"/>
              <w:right w:val="single" w:color="000000" w:sz="8" w:space="0"/>
            </w:tcBorders>
            <w:noWrap w:val="0"/>
            <w:vAlign w:val="center"/>
          </w:tcPr>
          <w:p w14:paraId="46022C1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机房空调</w:t>
            </w:r>
          </w:p>
        </w:tc>
        <w:tc>
          <w:tcPr>
            <w:tcW w:w="4540" w:type="dxa"/>
            <w:tcBorders>
              <w:top w:val="nil"/>
              <w:left w:val="nil"/>
              <w:bottom w:val="single" w:color="000000" w:sz="8" w:space="0"/>
              <w:right w:val="single" w:color="000000" w:sz="8" w:space="0"/>
            </w:tcBorders>
            <w:noWrap w:val="0"/>
            <w:vAlign w:val="center"/>
          </w:tcPr>
          <w:p w14:paraId="618F05D6">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w:t>
            </w:r>
          </w:p>
        </w:tc>
      </w:tr>
      <w:tr w14:paraId="66FC8ECA">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717582F">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316CFC0">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376975B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A02052399其他制冷空调设备</w:t>
            </w:r>
          </w:p>
        </w:tc>
        <w:tc>
          <w:tcPr>
            <w:tcW w:w="1620" w:type="dxa"/>
            <w:tcBorders>
              <w:top w:val="nil"/>
              <w:left w:val="nil"/>
              <w:bottom w:val="single" w:color="000000" w:sz="8" w:space="0"/>
              <w:right w:val="single" w:color="000000" w:sz="8" w:space="0"/>
            </w:tcBorders>
            <w:noWrap w:val="0"/>
            <w:vAlign w:val="center"/>
          </w:tcPr>
          <w:p w14:paraId="4C2768D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冷却塔</w:t>
            </w:r>
          </w:p>
        </w:tc>
        <w:tc>
          <w:tcPr>
            <w:tcW w:w="4540" w:type="dxa"/>
            <w:tcBorders>
              <w:top w:val="nil"/>
              <w:left w:val="nil"/>
              <w:bottom w:val="single" w:color="000000" w:sz="8" w:space="0"/>
              <w:right w:val="single" w:color="000000" w:sz="8" w:space="0"/>
            </w:tcBorders>
            <w:noWrap w:val="0"/>
            <w:vAlign w:val="center"/>
          </w:tcPr>
          <w:p w14:paraId="33729A2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《机械通风冷却塔第1部分：中小型开式冷却塔》（GB/T7190.1）；《机械通风冷却塔第2部分：大型开式冷却塔》（GB/T7190.2）</w:t>
            </w:r>
          </w:p>
        </w:tc>
      </w:tr>
      <w:tr w14:paraId="63D66A1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0676C6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w:t>
            </w:r>
          </w:p>
        </w:tc>
        <w:tc>
          <w:tcPr>
            <w:tcW w:w="1080" w:type="dxa"/>
            <w:tcBorders>
              <w:top w:val="nil"/>
              <w:left w:val="nil"/>
              <w:bottom w:val="single" w:color="000000" w:sz="8" w:space="0"/>
              <w:right w:val="single" w:color="000000" w:sz="8" w:space="0"/>
            </w:tcBorders>
            <w:noWrap w:val="0"/>
            <w:vAlign w:val="center"/>
          </w:tcPr>
          <w:p w14:paraId="4F945EA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A020601电机</w:t>
            </w:r>
          </w:p>
        </w:tc>
        <w:tc>
          <w:tcPr>
            <w:tcW w:w="1320" w:type="dxa"/>
            <w:tcBorders>
              <w:top w:val="nil"/>
              <w:left w:val="nil"/>
              <w:bottom w:val="single" w:color="000000" w:sz="8" w:space="0"/>
              <w:right w:val="single" w:color="000000" w:sz="8" w:space="0"/>
            </w:tcBorders>
            <w:noWrap w:val="0"/>
            <w:vAlign w:val="center"/>
          </w:tcPr>
          <w:p w14:paraId="39E390B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610617A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6D7019EC">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《中小型三相异步电动机能效限定值及能效等级》（GB18613）</w:t>
            </w:r>
          </w:p>
        </w:tc>
      </w:tr>
      <w:tr w14:paraId="3CA6DD6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A68ECC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1080" w:type="dxa"/>
            <w:tcBorders>
              <w:top w:val="nil"/>
              <w:left w:val="nil"/>
              <w:bottom w:val="single" w:color="000000" w:sz="8" w:space="0"/>
              <w:right w:val="single" w:color="000000" w:sz="8" w:space="0"/>
            </w:tcBorders>
            <w:noWrap w:val="0"/>
            <w:vAlign w:val="center"/>
          </w:tcPr>
          <w:p w14:paraId="774753A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A020602变压器</w:t>
            </w:r>
          </w:p>
        </w:tc>
        <w:tc>
          <w:tcPr>
            <w:tcW w:w="1320" w:type="dxa"/>
            <w:tcBorders>
              <w:top w:val="nil"/>
              <w:left w:val="nil"/>
              <w:bottom w:val="single" w:color="000000" w:sz="8" w:space="0"/>
              <w:right w:val="single" w:color="000000" w:sz="8" w:space="0"/>
            </w:tcBorders>
            <w:noWrap w:val="0"/>
            <w:vAlign w:val="center"/>
          </w:tcPr>
          <w:p w14:paraId="68F02CA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配电变压器</w:t>
            </w:r>
          </w:p>
        </w:tc>
        <w:tc>
          <w:tcPr>
            <w:tcW w:w="1620" w:type="dxa"/>
            <w:tcBorders>
              <w:top w:val="nil"/>
              <w:left w:val="nil"/>
              <w:bottom w:val="single" w:color="000000" w:sz="8" w:space="0"/>
              <w:right w:val="single" w:color="000000" w:sz="8" w:space="0"/>
            </w:tcBorders>
            <w:noWrap w:val="0"/>
            <w:vAlign w:val="center"/>
          </w:tcPr>
          <w:p w14:paraId="35B4199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3E9791BC">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《三相配电变压器能效限定值及能效等级》（GB20052）</w:t>
            </w:r>
          </w:p>
        </w:tc>
      </w:tr>
      <w:tr w14:paraId="39E884B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4A0272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w:t>
            </w:r>
          </w:p>
        </w:tc>
        <w:tc>
          <w:tcPr>
            <w:tcW w:w="1080" w:type="dxa"/>
            <w:tcBorders>
              <w:top w:val="nil"/>
              <w:left w:val="nil"/>
              <w:bottom w:val="single" w:color="000000" w:sz="8" w:space="0"/>
              <w:right w:val="single" w:color="000000" w:sz="8" w:space="0"/>
            </w:tcBorders>
            <w:noWrap w:val="0"/>
            <w:vAlign w:val="center"/>
          </w:tcPr>
          <w:p w14:paraId="4B03F8E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★A020609镇流器</w:t>
            </w:r>
          </w:p>
        </w:tc>
        <w:tc>
          <w:tcPr>
            <w:tcW w:w="1320" w:type="dxa"/>
            <w:tcBorders>
              <w:top w:val="nil"/>
              <w:left w:val="nil"/>
              <w:bottom w:val="single" w:color="000000" w:sz="8" w:space="0"/>
              <w:right w:val="single" w:color="000000" w:sz="8" w:space="0"/>
            </w:tcBorders>
            <w:noWrap w:val="0"/>
            <w:vAlign w:val="center"/>
          </w:tcPr>
          <w:p w14:paraId="123C0D9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管型荧光灯镇流器</w:t>
            </w:r>
          </w:p>
        </w:tc>
        <w:tc>
          <w:tcPr>
            <w:tcW w:w="1620" w:type="dxa"/>
            <w:tcBorders>
              <w:top w:val="nil"/>
              <w:left w:val="nil"/>
              <w:bottom w:val="single" w:color="000000" w:sz="8" w:space="0"/>
              <w:right w:val="single" w:color="000000" w:sz="8" w:space="0"/>
            </w:tcBorders>
            <w:noWrap w:val="0"/>
            <w:vAlign w:val="center"/>
          </w:tcPr>
          <w:p w14:paraId="220DB66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162421F5">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《管形荧光灯镇流器能效限定值及能效等级》（GB17896）</w:t>
            </w:r>
          </w:p>
        </w:tc>
      </w:tr>
      <w:tr w14:paraId="498BBE9A">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7F2E659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6962E16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A020618生活用电器</w:t>
            </w:r>
          </w:p>
        </w:tc>
        <w:tc>
          <w:tcPr>
            <w:tcW w:w="1320" w:type="dxa"/>
            <w:tcBorders>
              <w:top w:val="nil"/>
              <w:left w:val="nil"/>
              <w:bottom w:val="single" w:color="000000" w:sz="8" w:space="0"/>
              <w:right w:val="single" w:color="000000" w:sz="8" w:space="0"/>
            </w:tcBorders>
            <w:noWrap w:val="0"/>
            <w:vAlign w:val="center"/>
          </w:tcPr>
          <w:p w14:paraId="4ABE610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A0206180101电冰箱</w:t>
            </w:r>
          </w:p>
        </w:tc>
        <w:tc>
          <w:tcPr>
            <w:tcW w:w="1620" w:type="dxa"/>
            <w:tcBorders>
              <w:top w:val="nil"/>
              <w:left w:val="nil"/>
              <w:bottom w:val="single" w:color="000000" w:sz="8" w:space="0"/>
              <w:right w:val="single" w:color="000000" w:sz="8" w:space="0"/>
            </w:tcBorders>
            <w:noWrap w:val="0"/>
            <w:vAlign w:val="center"/>
          </w:tcPr>
          <w:p w14:paraId="04B3B4B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0D166E5D">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《家用电冰箱耗电量限定值及能效等级》（GB 12021.2）</w:t>
            </w:r>
          </w:p>
        </w:tc>
      </w:tr>
      <w:tr w14:paraId="6840D526">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CE55045">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A5AED0F">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4B87C00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★A0206180203空调机</w:t>
            </w:r>
          </w:p>
        </w:tc>
        <w:tc>
          <w:tcPr>
            <w:tcW w:w="1620" w:type="dxa"/>
            <w:tcBorders>
              <w:top w:val="nil"/>
              <w:left w:val="nil"/>
              <w:bottom w:val="single" w:color="000000" w:sz="8" w:space="0"/>
              <w:right w:val="single" w:color="000000" w:sz="8" w:space="0"/>
            </w:tcBorders>
            <w:noWrap w:val="0"/>
            <w:vAlign w:val="center"/>
          </w:tcPr>
          <w:p w14:paraId="23DAE2B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房间空气调节器</w:t>
            </w:r>
          </w:p>
        </w:tc>
        <w:tc>
          <w:tcPr>
            <w:tcW w:w="4540" w:type="dxa"/>
            <w:tcBorders>
              <w:top w:val="nil"/>
              <w:left w:val="nil"/>
              <w:bottom w:val="single" w:color="000000" w:sz="8" w:space="0"/>
              <w:right w:val="single" w:color="000000" w:sz="8" w:space="0"/>
            </w:tcBorders>
            <w:noWrap w:val="0"/>
            <w:vAlign w:val="center"/>
          </w:tcPr>
          <w:p w14:paraId="7DE85A0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《转速可控型房间空气调节器能效限定值及能效等级》（GB21455-2013），待2019年修订发布后，按《房间空气调节器能效限定值及能效等级》（GB21455-2019实施。</w:t>
            </w:r>
          </w:p>
        </w:tc>
      </w:tr>
      <w:tr w14:paraId="4A7D57F8">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6BB82DD">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1750069">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BAEFED0">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34EF02E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207D3CB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14:paraId="23733008">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9BEEEEE">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E60A56D">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D5EEF5D">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47E06D8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6EAAAD1F">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《单元式空气调节机能效限定值及能源效率等级》（GB19576）《风管送风式空调机组能效限定值及能效等级》（GB37479）</w:t>
            </w:r>
          </w:p>
        </w:tc>
      </w:tr>
      <w:tr w14:paraId="760E7413">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AB65045">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9EA5E73">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113DFA8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A0206180301洗衣机</w:t>
            </w:r>
          </w:p>
        </w:tc>
        <w:tc>
          <w:tcPr>
            <w:tcW w:w="1620" w:type="dxa"/>
            <w:tcBorders>
              <w:top w:val="nil"/>
              <w:left w:val="nil"/>
              <w:bottom w:val="single" w:color="000000" w:sz="8" w:space="0"/>
              <w:right w:val="single" w:color="000000" w:sz="8" w:space="0"/>
            </w:tcBorders>
            <w:noWrap w:val="0"/>
            <w:vAlign w:val="center"/>
          </w:tcPr>
          <w:p w14:paraId="45C7988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61A36A8A">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《电动洗衣机能效水效限定值及等级》（GB12021.4）</w:t>
            </w:r>
          </w:p>
        </w:tc>
      </w:tr>
      <w:tr w14:paraId="0610101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31D0011">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6A9834C">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57EE0F4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A02061808热水器</w:t>
            </w:r>
          </w:p>
        </w:tc>
        <w:tc>
          <w:tcPr>
            <w:tcW w:w="1620" w:type="dxa"/>
            <w:tcBorders>
              <w:top w:val="nil"/>
              <w:left w:val="nil"/>
              <w:bottom w:val="single" w:color="000000" w:sz="8" w:space="0"/>
              <w:right w:val="single" w:color="000000" w:sz="8" w:space="0"/>
            </w:tcBorders>
            <w:noWrap w:val="0"/>
            <w:vAlign w:val="center"/>
          </w:tcPr>
          <w:p w14:paraId="22FB03C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★电热水器</w:t>
            </w:r>
          </w:p>
        </w:tc>
        <w:tc>
          <w:tcPr>
            <w:tcW w:w="4540" w:type="dxa"/>
            <w:tcBorders>
              <w:top w:val="nil"/>
              <w:left w:val="nil"/>
              <w:bottom w:val="single" w:color="000000" w:sz="8" w:space="0"/>
              <w:right w:val="single" w:color="000000" w:sz="8" w:space="0"/>
            </w:tcBorders>
            <w:noWrap w:val="0"/>
            <w:vAlign w:val="center"/>
          </w:tcPr>
          <w:p w14:paraId="73119827">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《储水式电热水器能效限定值及能效等级》（GB21519）</w:t>
            </w:r>
          </w:p>
        </w:tc>
      </w:tr>
      <w:tr w14:paraId="3E934D2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BBEA56D">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F074E8A">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D39BA6B">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68018DB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燃气热水器</w:t>
            </w:r>
          </w:p>
        </w:tc>
        <w:tc>
          <w:tcPr>
            <w:tcW w:w="4540" w:type="dxa"/>
            <w:tcBorders>
              <w:top w:val="nil"/>
              <w:left w:val="nil"/>
              <w:bottom w:val="single" w:color="000000" w:sz="8" w:space="0"/>
              <w:right w:val="single" w:color="000000" w:sz="8" w:space="0"/>
            </w:tcBorders>
            <w:noWrap w:val="0"/>
            <w:vAlign w:val="center"/>
          </w:tcPr>
          <w:p w14:paraId="00E01655">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《家用燃气快速热水器和燃气采暖热水炉能效限定值及能效等级》（GB20665）</w:t>
            </w:r>
          </w:p>
        </w:tc>
      </w:tr>
      <w:tr w14:paraId="026459D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9C91DF0">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7F91832">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DF2F680">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4BFD351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热泵热水器</w:t>
            </w:r>
          </w:p>
        </w:tc>
        <w:tc>
          <w:tcPr>
            <w:tcW w:w="4540" w:type="dxa"/>
            <w:tcBorders>
              <w:top w:val="nil"/>
              <w:left w:val="nil"/>
              <w:bottom w:val="single" w:color="000000" w:sz="8" w:space="0"/>
              <w:right w:val="single" w:color="000000" w:sz="8" w:space="0"/>
            </w:tcBorders>
            <w:noWrap w:val="0"/>
            <w:vAlign w:val="center"/>
          </w:tcPr>
          <w:p w14:paraId="50C1A666">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《热泵热水机（器）能效限定值及能效等级》（GB29541）</w:t>
            </w:r>
          </w:p>
        </w:tc>
      </w:tr>
      <w:tr w14:paraId="7F8CE15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3B2B5E7">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E688AAE">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28BA75B">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5C06238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太阳能热水系统</w:t>
            </w:r>
          </w:p>
        </w:tc>
        <w:tc>
          <w:tcPr>
            <w:tcW w:w="4540" w:type="dxa"/>
            <w:tcBorders>
              <w:top w:val="nil"/>
              <w:left w:val="nil"/>
              <w:bottom w:val="single" w:color="000000" w:sz="8" w:space="0"/>
              <w:right w:val="single" w:color="000000" w:sz="8" w:space="0"/>
            </w:tcBorders>
            <w:noWrap w:val="0"/>
            <w:vAlign w:val="center"/>
          </w:tcPr>
          <w:p w14:paraId="02BB3265">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《家用太阳能热水系统能效限定值及能效等级》（GB26969）</w:t>
            </w:r>
          </w:p>
        </w:tc>
      </w:tr>
      <w:tr w14:paraId="0A36AB36">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7135CF4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768819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A020619照明设备</w:t>
            </w:r>
          </w:p>
        </w:tc>
        <w:tc>
          <w:tcPr>
            <w:tcW w:w="1320" w:type="dxa"/>
            <w:tcBorders>
              <w:top w:val="nil"/>
              <w:left w:val="nil"/>
              <w:bottom w:val="single" w:color="000000" w:sz="8" w:space="0"/>
              <w:right w:val="single" w:color="000000" w:sz="8" w:space="0"/>
            </w:tcBorders>
            <w:noWrap w:val="0"/>
            <w:vAlign w:val="center"/>
          </w:tcPr>
          <w:p w14:paraId="2A2363B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★普通照明用双端荧光灯</w:t>
            </w:r>
          </w:p>
        </w:tc>
        <w:tc>
          <w:tcPr>
            <w:tcW w:w="1620" w:type="dxa"/>
            <w:tcBorders>
              <w:top w:val="nil"/>
              <w:left w:val="nil"/>
              <w:bottom w:val="single" w:color="000000" w:sz="8" w:space="0"/>
              <w:right w:val="single" w:color="000000" w:sz="8" w:space="0"/>
            </w:tcBorders>
            <w:noWrap w:val="0"/>
            <w:vAlign w:val="center"/>
          </w:tcPr>
          <w:p w14:paraId="6E48EF0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3A82B2B0">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《普通照明用双端荧光灯能效限定值及能效等级》（GB19043）</w:t>
            </w:r>
          </w:p>
        </w:tc>
      </w:tr>
      <w:tr w14:paraId="36E0C55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B6ACEC3">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7BAB4E6">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2744610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LED道路/隧道照明产品</w:t>
            </w:r>
          </w:p>
        </w:tc>
        <w:tc>
          <w:tcPr>
            <w:tcW w:w="1620" w:type="dxa"/>
            <w:tcBorders>
              <w:top w:val="nil"/>
              <w:left w:val="nil"/>
              <w:bottom w:val="single" w:color="000000" w:sz="8" w:space="0"/>
              <w:right w:val="single" w:color="000000" w:sz="8" w:space="0"/>
            </w:tcBorders>
            <w:noWrap w:val="0"/>
            <w:vAlign w:val="center"/>
          </w:tcPr>
          <w:p w14:paraId="0FF176B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6C3040B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《道路和隧道照明用LED灯具能效限定值及能效等级》（GB37478）</w:t>
            </w:r>
          </w:p>
        </w:tc>
      </w:tr>
      <w:tr w14:paraId="3C8770F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39AFCA8">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CC2FF61">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0407514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LED筒灯</w:t>
            </w:r>
          </w:p>
        </w:tc>
        <w:tc>
          <w:tcPr>
            <w:tcW w:w="1620" w:type="dxa"/>
            <w:tcBorders>
              <w:top w:val="nil"/>
              <w:left w:val="nil"/>
              <w:bottom w:val="single" w:color="000000" w:sz="8" w:space="0"/>
              <w:right w:val="single" w:color="000000" w:sz="8" w:space="0"/>
            </w:tcBorders>
            <w:noWrap w:val="0"/>
            <w:vAlign w:val="center"/>
          </w:tcPr>
          <w:p w14:paraId="32EF89D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778FC1CC">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14:paraId="4DFC9415">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5126AE6">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387AAA9">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3F1FD5C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普通照明用非定向自镇流LED灯</w:t>
            </w:r>
          </w:p>
        </w:tc>
        <w:tc>
          <w:tcPr>
            <w:tcW w:w="1620" w:type="dxa"/>
            <w:tcBorders>
              <w:top w:val="nil"/>
              <w:left w:val="nil"/>
              <w:bottom w:val="single" w:color="000000" w:sz="8" w:space="0"/>
              <w:right w:val="single" w:color="000000" w:sz="8" w:space="0"/>
            </w:tcBorders>
            <w:noWrap w:val="0"/>
            <w:vAlign w:val="center"/>
          </w:tcPr>
          <w:p w14:paraId="5AC8733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45A58A4F">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14:paraId="3E46910A">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14:paraId="408AE4B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w:t>
            </w:r>
          </w:p>
        </w:tc>
        <w:tc>
          <w:tcPr>
            <w:tcW w:w="1080" w:type="dxa"/>
            <w:tcBorders>
              <w:top w:val="nil"/>
              <w:left w:val="nil"/>
              <w:bottom w:val="single" w:color="000000" w:sz="8" w:space="0"/>
              <w:right w:val="single" w:color="000000" w:sz="8" w:space="0"/>
            </w:tcBorders>
            <w:noWrap w:val="0"/>
            <w:vAlign w:val="center"/>
          </w:tcPr>
          <w:p w14:paraId="10A9C98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★A020910电视设备</w:t>
            </w:r>
          </w:p>
        </w:tc>
        <w:tc>
          <w:tcPr>
            <w:tcW w:w="1320" w:type="dxa"/>
            <w:tcBorders>
              <w:top w:val="nil"/>
              <w:left w:val="nil"/>
              <w:bottom w:val="single" w:color="000000" w:sz="8" w:space="0"/>
              <w:right w:val="single" w:color="000000" w:sz="8" w:space="0"/>
            </w:tcBorders>
            <w:noWrap w:val="0"/>
            <w:vAlign w:val="center"/>
          </w:tcPr>
          <w:p w14:paraId="7675733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A02091001普通电视设备（电视机）</w:t>
            </w:r>
          </w:p>
        </w:tc>
        <w:tc>
          <w:tcPr>
            <w:tcW w:w="1620" w:type="dxa"/>
            <w:tcBorders>
              <w:top w:val="nil"/>
              <w:left w:val="nil"/>
              <w:bottom w:val="single" w:color="000000" w:sz="8" w:space="0"/>
              <w:right w:val="single" w:color="000000" w:sz="8" w:space="0"/>
            </w:tcBorders>
            <w:noWrap w:val="0"/>
            <w:vAlign w:val="center"/>
          </w:tcPr>
          <w:p w14:paraId="5D483B1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74D5917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《平板电视能效限定值及能效等级》（GB24850）</w:t>
            </w:r>
          </w:p>
        </w:tc>
      </w:tr>
      <w:tr w14:paraId="154ECB72">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14:paraId="2866080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13</w:t>
            </w:r>
          </w:p>
        </w:tc>
        <w:tc>
          <w:tcPr>
            <w:tcW w:w="1080" w:type="dxa"/>
            <w:tcBorders>
              <w:top w:val="nil"/>
              <w:left w:val="nil"/>
              <w:bottom w:val="single" w:color="000000" w:sz="8" w:space="0"/>
              <w:right w:val="single" w:color="000000" w:sz="8" w:space="0"/>
            </w:tcBorders>
            <w:noWrap w:val="0"/>
            <w:vAlign w:val="center"/>
          </w:tcPr>
          <w:p w14:paraId="3AE4E55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★A020911视频设备</w:t>
            </w:r>
          </w:p>
        </w:tc>
        <w:tc>
          <w:tcPr>
            <w:tcW w:w="1320" w:type="dxa"/>
            <w:tcBorders>
              <w:top w:val="nil"/>
              <w:left w:val="nil"/>
              <w:bottom w:val="single" w:color="000000" w:sz="8" w:space="0"/>
              <w:right w:val="single" w:color="000000" w:sz="8" w:space="0"/>
            </w:tcBorders>
            <w:noWrap w:val="0"/>
            <w:vAlign w:val="center"/>
          </w:tcPr>
          <w:p w14:paraId="247C892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A02091107视频监控设备</w:t>
            </w:r>
          </w:p>
        </w:tc>
        <w:tc>
          <w:tcPr>
            <w:tcW w:w="1620" w:type="dxa"/>
            <w:tcBorders>
              <w:top w:val="nil"/>
              <w:left w:val="nil"/>
              <w:bottom w:val="single" w:color="000000" w:sz="8" w:space="0"/>
              <w:right w:val="single" w:color="000000" w:sz="8" w:space="0"/>
            </w:tcBorders>
            <w:noWrap w:val="0"/>
            <w:vAlign w:val="center"/>
          </w:tcPr>
          <w:p w14:paraId="1299DD4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监视器</w:t>
            </w:r>
          </w:p>
        </w:tc>
        <w:tc>
          <w:tcPr>
            <w:tcW w:w="4540" w:type="dxa"/>
            <w:tcBorders>
              <w:top w:val="nil"/>
              <w:left w:val="nil"/>
              <w:bottom w:val="single" w:color="000000" w:sz="8" w:space="0"/>
              <w:right w:val="single" w:color="000000" w:sz="8" w:space="0"/>
            </w:tcBorders>
            <w:noWrap w:val="0"/>
            <w:vAlign w:val="center"/>
          </w:tcPr>
          <w:p w14:paraId="3D0E2E72">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33756C2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BDDF63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14</w:t>
            </w:r>
          </w:p>
        </w:tc>
        <w:tc>
          <w:tcPr>
            <w:tcW w:w="1080" w:type="dxa"/>
            <w:tcBorders>
              <w:top w:val="nil"/>
              <w:left w:val="nil"/>
              <w:bottom w:val="single" w:color="000000" w:sz="8" w:space="0"/>
              <w:right w:val="single" w:color="000000" w:sz="8" w:space="0"/>
            </w:tcBorders>
            <w:noWrap w:val="0"/>
            <w:vAlign w:val="center"/>
          </w:tcPr>
          <w:p w14:paraId="5F6ED6A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A031210饮食炊事机械</w:t>
            </w:r>
          </w:p>
        </w:tc>
        <w:tc>
          <w:tcPr>
            <w:tcW w:w="1320" w:type="dxa"/>
            <w:tcBorders>
              <w:top w:val="nil"/>
              <w:left w:val="nil"/>
              <w:bottom w:val="single" w:color="000000" w:sz="8" w:space="0"/>
              <w:right w:val="single" w:color="000000" w:sz="8" w:space="0"/>
            </w:tcBorders>
            <w:noWrap w:val="0"/>
            <w:vAlign w:val="center"/>
          </w:tcPr>
          <w:p w14:paraId="3149969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商用燃气灶具</w:t>
            </w:r>
          </w:p>
        </w:tc>
        <w:tc>
          <w:tcPr>
            <w:tcW w:w="1620" w:type="dxa"/>
            <w:tcBorders>
              <w:top w:val="nil"/>
              <w:left w:val="nil"/>
              <w:bottom w:val="single" w:color="000000" w:sz="8" w:space="0"/>
              <w:right w:val="single" w:color="000000" w:sz="8" w:space="0"/>
            </w:tcBorders>
            <w:noWrap w:val="0"/>
            <w:vAlign w:val="center"/>
          </w:tcPr>
          <w:p w14:paraId="15A33B3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2CC2EE8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《商用燃气灶具能效限定值及能效等级》（GB30531）</w:t>
            </w:r>
          </w:p>
        </w:tc>
      </w:tr>
      <w:tr w14:paraId="29605FDE">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485CA4E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6065B86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★A060805便器</w:t>
            </w:r>
          </w:p>
        </w:tc>
        <w:tc>
          <w:tcPr>
            <w:tcW w:w="1320" w:type="dxa"/>
            <w:tcBorders>
              <w:top w:val="nil"/>
              <w:left w:val="nil"/>
              <w:bottom w:val="single" w:color="000000" w:sz="8" w:space="0"/>
              <w:right w:val="single" w:color="000000" w:sz="8" w:space="0"/>
            </w:tcBorders>
            <w:noWrap w:val="0"/>
            <w:vAlign w:val="center"/>
          </w:tcPr>
          <w:p w14:paraId="6FE9F9A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坐便器</w:t>
            </w:r>
          </w:p>
        </w:tc>
        <w:tc>
          <w:tcPr>
            <w:tcW w:w="1620" w:type="dxa"/>
            <w:tcBorders>
              <w:top w:val="nil"/>
              <w:left w:val="nil"/>
              <w:bottom w:val="single" w:color="000000" w:sz="8" w:space="0"/>
              <w:right w:val="single" w:color="000000" w:sz="8" w:space="0"/>
            </w:tcBorders>
            <w:noWrap w:val="0"/>
            <w:vAlign w:val="center"/>
          </w:tcPr>
          <w:p w14:paraId="607E310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47416548">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《坐便器水效限定值及水效等级》（GB25502）</w:t>
            </w:r>
          </w:p>
        </w:tc>
      </w:tr>
      <w:tr w14:paraId="268119B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5E55E6E">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9547BD8">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7DDBCFB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蹲便器</w:t>
            </w:r>
          </w:p>
        </w:tc>
        <w:tc>
          <w:tcPr>
            <w:tcW w:w="1620" w:type="dxa"/>
            <w:tcBorders>
              <w:top w:val="nil"/>
              <w:left w:val="nil"/>
              <w:bottom w:val="single" w:color="000000" w:sz="8" w:space="0"/>
              <w:right w:val="single" w:color="000000" w:sz="8" w:space="0"/>
            </w:tcBorders>
            <w:noWrap w:val="0"/>
            <w:vAlign w:val="center"/>
          </w:tcPr>
          <w:p w14:paraId="793D53B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1C4B0F99">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《蹲便器用水效率限定值及用水效率等级》（GB30717）</w:t>
            </w:r>
          </w:p>
        </w:tc>
      </w:tr>
      <w:tr w14:paraId="4EDBEAF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F29CE66">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F4D1376">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3837EB6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小便器</w:t>
            </w:r>
          </w:p>
        </w:tc>
        <w:tc>
          <w:tcPr>
            <w:tcW w:w="1620" w:type="dxa"/>
            <w:tcBorders>
              <w:top w:val="nil"/>
              <w:left w:val="nil"/>
              <w:bottom w:val="single" w:color="000000" w:sz="8" w:space="0"/>
              <w:right w:val="single" w:color="000000" w:sz="8" w:space="0"/>
            </w:tcBorders>
            <w:noWrap w:val="0"/>
            <w:vAlign w:val="center"/>
          </w:tcPr>
          <w:p w14:paraId="1440430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00B3120A">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《小便器用水效率限定值及用水效率等级》（GB28377）</w:t>
            </w:r>
          </w:p>
        </w:tc>
      </w:tr>
      <w:tr w14:paraId="60E34A3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41D02A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1080" w:type="dxa"/>
            <w:tcBorders>
              <w:top w:val="nil"/>
              <w:left w:val="nil"/>
              <w:bottom w:val="single" w:color="000000" w:sz="8" w:space="0"/>
              <w:right w:val="single" w:color="000000" w:sz="8" w:space="0"/>
            </w:tcBorders>
            <w:noWrap w:val="0"/>
            <w:vAlign w:val="center"/>
          </w:tcPr>
          <w:p w14:paraId="5497E47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★A060806水嘴</w:t>
            </w:r>
          </w:p>
        </w:tc>
        <w:tc>
          <w:tcPr>
            <w:tcW w:w="1320" w:type="dxa"/>
            <w:tcBorders>
              <w:top w:val="nil"/>
              <w:left w:val="nil"/>
              <w:bottom w:val="single" w:color="000000" w:sz="8" w:space="0"/>
              <w:right w:val="single" w:color="000000" w:sz="8" w:space="0"/>
            </w:tcBorders>
            <w:noWrap w:val="0"/>
            <w:vAlign w:val="center"/>
          </w:tcPr>
          <w:p w14:paraId="1AACF05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5A7FF0C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083BCA4F">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《水嘴用水效率限定值及用水效率等级》（GB 25501）</w:t>
            </w:r>
          </w:p>
        </w:tc>
      </w:tr>
      <w:tr w14:paraId="1A879E0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5E6CD0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17</w:t>
            </w:r>
          </w:p>
        </w:tc>
        <w:tc>
          <w:tcPr>
            <w:tcW w:w="1080" w:type="dxa"/>
            <w:tcBorders>
              <w:top w:val="nil"/>
              <w:left w:val="nil"/>
              <w:bottom w:val="single" w:color="000000" w:sz="8" w:space="0"/>
              <w:right w:val="single" w:color="000000" w:sz="8" w:space="0"/>
            </w:tcBorders>
            <w:noWrap w:val="0"/>
            <w:vAlign w:val="center"/>
          </w:tcPr>
          <w:p w14:paraId="5AAA034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A060807便器冲洗阀</w:t>
            </w:r>
          </w:p>
        </w:tc>
        <w:tc>
          <w:tcPr>
            <w:tcW w:w="1320" w:type="dxa"/>
            <w:tcBorders>
              <w:top w:val="nil"/>
              <w:left w:val="nil"/>
              <w:bottom w:val="single" w:color="000000" w:sz="8" w:space="0"/>
              <w:right w:val="single" w:color="000000" w:sz="8" w:space="0"/>
            </w:tcBorders>
            <w:noWrap w:val="0"/>
            <w:vAlign w:val="center"/>
          </w:tcPr>
          <w:p w14:paraId="4DA34F6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7CE20B2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2D03C508">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《便器冲洗阀用水效率限定值及用水效率等级》（GB28379）</w:t>
            </w:r>
          </w:p>
        </w:tc>
      </w:tr>
      <w:tr w14:paraId="001B138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0F4265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18</w:t>
            </w:r>
          </w:p>
        </w:tc>
        <w:tc>
          <w:tcPr>
            <w:tcW w:w="1080" w:type="dxa"/>
            <w:tcBorders>
              <w:top w:val="nil"/>
              <w:left w:val="nil"/>
              <w:bottom w:val="single" w:color="000000" w:sz="8" w:space="0"/>
              <w:right w:val="single" w:color="000000" w:sz="8" w:space="0"/>
            </w:tcBorders>
            <w:noWrap w:val="0"/>
            <w:vAlign w:val="center"/>
          </w:tcPr>
          <w:p w14:paraId="5891312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A060810淋浴器</w:t>
            </w:r>
          </w:p>
        </w:tc>
        <w:tc>
          <w:tcPr>
            <w:tcW w:w="1320" w:type="dxa"/>
            <w:tcBorders>
              <w:top w:val="nil"/>
              <w:left w:val="nil"/>
              <w:bottom w:val="single" w:color="000000" w:sz="8" w:space="0"/>
              <w:right w:val="single" w:color="000000" w:sz="8" w:space="0"/>
            </w:tcBorders>
            <w:noWrap w:val="0"/>
            <w:vAlign w:val="center"/>
          </w:tcPr>
          <w:p w14:paraId="611E36D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57F961A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45559BA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《淋浴器用水效率限定值及用水效率等级》（GB28378）</w:t>
            </w:r>
          </w:p>
        </w:tc>
      </w:tr>
    </w:tbl>
    <w:p w14:paraId="582A566F">
      <w:pPr>
        <w:pStyle w:val="9"/>
        <w:spacing w:line="360" w:lineRule="auto"/>
        <w:rPr>
          <w:rFonts w:hint="eastAsia" w:ascii="宋体" w:hAnsi="宋体"/>
          <w:szCs w:val="21"/>
        </w:rPr>
      </w:pPr>
      <w:r>
        <w:rPr>
          <w:rFonts w:hint="eastAsia"/>
          <w:spacing w:val="-3"/>
          <w:szCs w:val="21"/>
        </w:rPr>
        <w:t>注：</w:t>
      </w:r>
      <w:r>
        <w:rPr>
          <w:spacing w:val="-3"/>
          <w:szCs w:val="21"/>
        </w:rPr>
        <w:t>1.</w:t>
      </w:r>
      <w:r>
        <w:rPr>
          <w:rFonts w:hint="eastAsia"/>
          <w:spacing w:val="-3"/>
          <w:szCs w:val="21"/>
        </w:rPr>
        <w:t>节能产品认证应依据相关国家标准的最新版本，依据国家标准中二级能效（水效）</w:t>
      </w:r>
      <w:r>
        <w:rPr>
          <w:rFonts w:hint="eastAsia"/>
          <w:szCs w:val="21"/>
        </w:rPr>
        <w:t>指标。</w:t>
      </w:r>
    </w:p>
    <w:p w14:paraId="5E51FC55">
      <w:pPr>
        <w:pStyle w:val="13"/>
        <w:jc w:val="left"/>
        <w:rPr>
          <w:rFonts w:hint="eastAsia" w:ascii="Arial Unicode MS" w:hAnsi="Arial Unicode MS" w:eastAsia="Arial Unicode MS" w:cs="Arial Unicode MS"/>
          <w:sz w:val="32"/>
          <w:szCs w:val="32"/>
        </w:rPr>
      </w:pPr>
      <w:r>
        <w:rPr>
          <w:rFonts w:hint="eastAsia" w:hAnsi="宋体"/>
        </w:rPr>
        <w:t xml:space="preserve">    </w:t>
      </w:r>
      <w:r>
        <w:rPr>
          <w:rFonts w:hint="eastAsia"/>
        </w:rPr>
        <w:t>2.以</w:t>
      </w:r>
      <w:r>
        <w:t>“</w:t>
      </w:r>
      <w:r>
        <w:rPr>
          <w:rFonts w:hint="eastAsia"/>
        </w:rPr>
        <w:t>★</w:t>
      </w:r>
      <w:r>
        <w:t>”</w:t>
      </w:r>
      <w:r>
        <w:rPr>
          <w:rFonts w:hint="eastAsia"/>
        </w:rPr>
        <w:t>标注的为政府强制采购产品。</w:t>
      </w:r>
      <w:r>
        <w:rPr>
          <w:rFonts w:hint="eastAsia"/>
        </w:rPr>
        <w:br w:type="page"/>
      </w:r>
      <w:r>
        <w:rPr>
          <w:rFonts w:hint="eastAsia" w:ascii="微软雅黑" w:hAnsi="微软雅黑" w:eastAsia="微软雅黑" w:cs="微软雅黑"/>
          <w:sz w:val="32"/>
          <w:szCs w:val="32"/>
        </w:rPr>
        <w:t>附件</w:t>
      </w:r>
      <w:r>
        <w:rPr>
          <w:rFonts w:ascii="Arial Unicode MS" w:hAnsi="Arial Unicode MS" w:eastAsia="Arial Unicode MS" w:cs="Arial Unicode MS"/>
          <w:sz w:val="32"/>
          <w:szCs w:val="32"/>
        </w:rPr>
        <w:t>2</w:t>
      </w:r>
      <w:r>
        <w:rPr>
          <w:rFonts w:hint="eastAsia" w:ascii="微软雅黑" w:hAnsi="微软雅黑" w:eastAsia="微软雅黑" w:cs="微软雅黑"/>
          <w:sz w:val="32"/>
          <w:szCs w:val="32"/>
        </w:rPr>
        <w:t>：</w:t>
      </w:r>
    </w:p>
    <w:p w14:paraId="281D2D33">
      <w:pPr>
        <w:spacing w:line="528" w:lineRule="exact"/>
        <w:ind w:left="1871"/>
        <w:rPr>
          <w:rFonts w:ascii="Arial Unicode MS" w:hAnsi="Arial Unicode MS" w:eastAsia="Arial Unicode MS" w:cs="Arial Unicode MS"/>
          <w:sz w:val="40"/>
          <w:szCs w:val="40"/>
        </w:rPr>
      </w:pPr>
      <w:r>
        <w:rPr>
          <w:rFonts w:hint="eastAsia" w:ascii="微软雅黑" w:hAnsi="微软雅黑" w:eastAsia="微软雅黑" w:cs="微软雅黑"/>
          <w:sz w:val="40"/>
          <w:szCs w:val="40"/>
        </w:rPr>
        <w:t>中小微企业划型标准</w:t>
      </w:r>
    </w:p>
    <w:tbl>
      <w:tblPr>
        <w:tblStyle w:val="19"/>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34260CF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2C8CCE4B">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06071F42">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0DFCBEEF">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7C28C3A4">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45D19852">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32DBB1DC">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微型</w:t>
            </w:r>
          </w:p>
        </w:tc>
      </w:tr>
      <w:tr w14:paraId="33022D73">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07241E5">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74FE8E6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006AA4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999640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385A09A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34" w:type="dxa"/>
            <w:tcBorders>
              <w:top w:val="nil"/>
              <w:left w:val="nil"/>
              <w:bottom w:val="single" w:color="auto" w:sz="4" w:space="0"/>
              <w:right w:val="single" w:color="auto" w:sz="4" w:space="0"/>
            </w:tcBorders>
            <w:noWrap w:val="0"/>
            <w:vAlign w:val="center"/>
          </w:tcPr>
          <w:p w14:paraId="4746387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465FF13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2D0123">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14:paraId="04D0D52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2A7902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D78260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299D94F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6D8B0D0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3D40BF6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F7809AB">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5C14E8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53BBAA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E1039C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238DA21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34" w:type="dxa"/>
            <w:tcBorders>
              <w:top w:val="nil"/>
              <w:left w:val="nil"/>
              <w:bottom w:val="single" w:color="auto" w:sz="4" w:space="0"/>
              <w:right w:val="single" w:color="auto" w:sz="4" w:space="0"/>
            </w:tcBorders>
            <w:noWrap w:val="0"/>
            <w:vAlign w:val="center"/>
          </w:tcPr>
          <w:p w14:paraId="334CBB7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72F10FA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610E693">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5D225B1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5F6C1C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FDD78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5E4445A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34" w:type="dxa"/>
            <w:tcBorders>
              <w:top w:val="nil"/>
              <w:left w:val="nil"/>
              <w:bottom w:val="single" w:color="auto" w:sz="4" w:space="0"/>
              <w:right w:val="single" w:color="auto" w:sz="4" w:space="0"/>
            </w:tcBorders>
            <w:noWrap w:val="0"/>
            <w:vAlign w:val="center"/>
          </w:tcPr>
          <w:p w14:paraId="3ACF1A6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2DF8946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D149400">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EDED7D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12B75E2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4649FA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0A18F66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34" w:type="dxa"/>
            <w:tcBorders>
              <w:top w:val="nil"/>
              <w:left w:val="nil"/>
              <w:bottom w:val="single" w:color="auto" w:sz="4" w:space="0"/>
              <w:right w:val="single" w:color="auto" w:sz="4" w:space="0"/>
            </w:tcBorders>
            <w:noWrap w:val="0"/>
            <w:vAlign w:val="center"/>
          </w:tcPr>
          <w:p w14:paraId="3770896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4EBBFF4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6733AA8">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662EA38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E0E771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EE0E6E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14:paraId="115D7FE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34" w:type="dxa"/>
            <w:tcBorders>
              <w:top w:val="nil"/>
              <w:left w:val="nil"/>
              <w:bottom w:val="single" w:color="auto" w:sz="4" w:space="0"/>
              <w:right w:val="single" w:color="auto" w:sz="4" w:space="0"/>
            </w:tcBorders>
            <w:noWrap w:val="0"/>
            <w:vAlign w:val="center"/>
          </w:tcPr>
          <w:p w14:paraId="6BA1001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6973321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1D78986">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D8840A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99DBA2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587AA7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18617AC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34" w:type="dxa"/>
            <w:tcBorders>
              <w:top w:val="nil"/>
              <w:left w:val="nil"/>
              <w:bottom w:val="single" w:color="auto" w:sz="4" w:space="0"/>
              <w:right w:val="single" w:color="auto" w:sz="4" w:space="0"/>
            </w:tcBorders>
            <w:noWrap w:val="0"/>
            <w:vAlign w:val="center"/>
          </w:tcPr>
          <w:p w14:paraId="5950F70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7C60F0E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5A404B">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6F6459C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2D6039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B211AD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14:paraId="5F5655C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34" w:type="dxa"/>
            <w:tcBorders>
              <w:top w:val="nil"/>
              <w:left w:val="nil"/>
              <w:bottom w:val="single" w:color="auto" w:sz="4" w:space="0"/>
              <w:right w:val="single" w:color="auto" w:sz="4" w:space="0"/>
            </w:tcBorders>
            <w:noWrap w:val="0"/>
            <w:vAlign w:val="center"/>
          </w:tcPr>
          <w:p w14:paraId="6764FE7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49A8A00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631C132">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60EE94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3B248D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43FBAA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7EF06A2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34" w:type="dxa"/>
            <w:tcBorders>
              <w:top w:val="nil"/>
              <w:left w:val="nil"/>
              <w:bottom w:val="single" w:color="auto" w:sz="4" w:space="0"/>
              <w:right w:val="single" w:color="auto" w:sz="4" w:space="0"/>
            </w:tcBorders>
            <w:noWrap w:val="0"/>
            <w:vAlign w:val="center"/>
          </w:tcPr>
          <w:p w14:paraId="55F8D13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661278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1F63F38">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71E8EA1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FC914B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FA22F5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21C8D9E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37F4B16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70D48D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1CAAE2F">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86AC59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686DD7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653617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6B1CCF0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34" w:type="dxa"/>
            <w:tcBorders>
              <w:top w:val="nil"/>
              <w:left w:val="nil"/>
              <w:bottom w:val="single" w:color="auto" w:sz="4" w:space="0"/>
              <w:right w:val="single" w:color="auto" w:sz="4" w:space="0"/>
            </w:tcBorders>
            <w:noWrap w:val="0"/>
            <w:vAlign w:val="center"/>
          </w:tcPr>
          <w:p w14:paraId="32BC5C2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3E5E0B4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4874C05">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706C60B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557393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9D610B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2731097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34" w:type="dxa"/>
            <w:tcBorders>
              <w:top w:val="nil"/>
              <w:left w:val="nil"/>
              <w:bottom w:val="single" w:color="auto" w:sz="4" w:space="0"/>
              <w:right w:val="single" w:color="auto" w:sz="4" w:space="0"/>
            </w:tcBorders>
            <w:noWrap w:val="0"/>
            <w:vAlign w:val="center"/>
          </w:tcPr>
          <w:p w14:paraId="2FD6202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40B3A54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AFC29EB">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8817F2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CC5DC2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D7DAF9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6531FF7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2EF1878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49AA34F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7D45FA4">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2457A4F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965411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6A1653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661D599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3A53F11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2D4B85E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5230402">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F76EC2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06E517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C672F8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5A32221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5AA5DD5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B49313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27269D0">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792F372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9DC7C6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4B1C43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398D097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6437B29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3374047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AD36083">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DDBE28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86274C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B54684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55429B3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33A6C9B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D70677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F8D6E60">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0DA6C59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1EA4DA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8D5D9A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4DD574C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7950C69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6803B1D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29AFF20">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06FEAA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693A26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5291F9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107063A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7846144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33A7C4D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801363F">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03A4245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A77993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20926A5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58D4CB1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3A032B9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0D61A6D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433E808">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B0C3FA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45F3C3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0937EB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34DD570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4DCE4CD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3DF3522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11F30CF">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2FA7D1F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4E66EF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16700E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E18509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75BD32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5DBF6C6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60FF3B2">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A2425E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F9B878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901E73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7081178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34" w:type="dxa"/>
            <w:tcBorders>
              <w:top w:val="nil"/>
              <w:left w:val="nil"/>
              <w:bottom w:val="single" w:color="auto" w:sz="4" w:space="0"/>
              <w:right w:val="single" w:color="auto" w:sz="4" w:space="0"/>
            </w:tcBorders>
            <w:noWrap w:val="0"/>
            <w:vAlign w:val="center"/>
          </w:tcPr>
          <w:p w14:paraId="55B746D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4A7BD20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29FEA9B">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5C64FFC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4429CF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5D4790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0B5B075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34" w:type="dxa"/>
            <w:tcBorders>
              <w:top w:val="nil"/>
              <w:left w:val="nil"/>
              <w:bottom w:val="single" w:color="auto" w:sz="4" w:space="0"/>
              <w:right w:val="single" w:color="auto" w:sz="4" w:space="0"/>
            </w:tcBorders>
            <w:noWrap w:val="0"/>
            <w:vAlign w:val="center"/>
          </w:tcPr>
          <w:p w14:paraId="1F04FDC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1C04F49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6616563">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6B32F0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62F1607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813FED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3592B26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134" w:type="dxa"/>
            <w:tcBorders>
              <w:top w:val="nil"/>
              <w:left w:val="nil"/>
              <w:bottom w:val="single" w:color="auto" w:sz="4" w:space="0"/>
              <w:right w:val="single" w:color="auto" w:sz="4" w:space="0"/>
            </w:tcBorders>
            <w:noWrap w:val="0"/>
            <w:vAlign w:val="center"/>
          </w:tcPr>
          <w:p w14:paraId="184894B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5EE129E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385EAF">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440230F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7D8144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1C7D26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758DEB5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34" w:type="dxa"/>
            <w:tcBorders>
              <w:top w:val="nil"/>
              <w:left w:val="nil"/>
              <w:bottom w:val="single" w:color="auto" w:sz="4" w:space="0"/>
              <w:right w:val="single" w:color="auto" w:sz="4" w:space="0"/>
            </w:tcBorders>
            <w:noWrap w:val="0"/>
            <w:vAlign w:val="center"/>
          </w:tcPr>
          <w:p w14:paraId="4B9F1A1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2C58C2B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FD255A0">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1B89B9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0963B9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F0F734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2E48B3C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34" w:type="dxa"/>
            <w:tcBorders>
              <w:top w:val="nil"/>
              <w:left w:val="nil"/>
              <w:bottom w:val="single" w:color="auto" w:sz="4" w:space="0"/>
              <w:right w:val="single" w:color="auto" w:sz="4" w:space="0"/>
            </w:tcBorders>
            <w:noWrap w:val="0"/>
            <w:vAlign w:val="center"/>
          </w:tcPr>
          <w:p w14:paraId="6C45FDD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5D401CF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F25766F">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3871CE7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831E94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5E6B4B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11EAE69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3F078AB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0C42E9A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4350C6C">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D79554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69378E4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2B45CC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0BA3D0E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34" w:type="dxa"/>
            <w:tcBorders>
              <w:top w:val="nil"/>
              <w:left w:val="nil"/>
              <w:bottom w:val="single" w:color="auto" w:sz="4" w:space="0"/>
              <w:right w:val="single" w:color="auto" w:sz="4" w:space="0"/>
            </w:tcBorders>
            <w:noWrap w:val="0"/>
            <w:vAlign w:val="center"/>
          </w:tcPr>
          <w:p w14:paraId="52F2E16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A9CF18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C232C85">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789E73A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977DAB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22B92E2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3358C26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7938576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3E4D8089">
      <w:pPr>
        <w:spacing w:line="560" w:lineRule="exact"/>
        <w:ind w:firstLine="525" w:firstLineChars="250"/>
        <w:rPr>
          <w:rFonts w:hint="eastAsia" w:ascii="仿宋_GB2312" w:hAnsi="仿宋" w:eastAsia="仿宋_GB2312"/>
          <w:szCs w:val="21"/>
        </w:r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215608A">
      <w:pPr>
        <w:widowControl/>
        <w:jc w:val="left"/>
        <w:rPr>
          <w:rFonts w:ascii="宋体" w:hAnsi="宋体"/>
          <w:kern w:val="0"/>
          <w:sz w:val="20"/>
          <w:szCs w:val="21"/>
        </w:rPr>
        <w:sectPr>
          <w:pgSz w:w="11906" w:h="16838"/>
          <w:pgMar w:top="1134" w:right="1134" w:bottom="1134" w:left="1134" w:header="720" w:footer="720" w:gutter="0"/>
          <w:pgNumType w:fmt="decimal"/>
          <w:cols w:space="720" w:num="1"/>
          <w:docGrid w:type="lines" w:linePitch="331" w:charSpace="0"/>
        </w:sectPr>
      </w:pPr>
    </w:p>
    <w:p w14:paraId="5A2F6045">
      <w:pPr>
        <w:pStyle w:val="2"/>
        <w:jc w:val="center"/>
        <w:rPr>
          <w:rFonts w:hint="eastAsia"/>
        </w:rPr>
      </w:pPr>
      <w:bookmarkStart w:id="49" w:name="_Toc80886927"/>
      <w:r>
        <w:rPr>
          <w:rFonts w:hint="eastAsia" w:ascii="Cambria" w:hAnsi="Cambria"/>
          <w:bCs w:val="0"/>
          <w:sz w:val="32"/>
          <w:szCs w:val="32"/>
        </w:rPr>
        <w:t>第三章</w:t>
      </w:r>
      <w:r>
        <w:rPr>
          <w:rFonts w:ascii="Cambria" w:hAnsi="Cambria"/>
          <w:bCs w:val="0"/>
          <w:sz w:val="32"/>
          <w:szCs w:val="32"/>
        </w:rPr>
        <w:t xml:space="preserve"> </w:t>
      </w:r>
      <w:r>
        <w:rPr>
          <w:rFonts w:hint="eastAsia" w:ascii="Cambria" w:hAnsi="Cambria"/>
          <w:bCs w:val="0"/>
          <w:sz w:val="32"/>
          <w:szCs w:val="32"/>
        </w:rPr>
        <w:t>供应商须知</w:t>
      </w:r>
      <w:bookmarkEnd w:id="49"/>
    </w:p>
    <w:p w14:paraId="79F5386F">
      <w:pPr>
        <w:pStyle w:val="3"/>
        <w:jc w:val="center"/>
        <w:rPr>
          <w:rFonts w:ascii="宋体" w:hAnsi="宋体"/>
          <w:b w:val="0"/>
        </w:rPr>
      </w:pPr>
      <w:bookmarkStart w:id="50" w:name="_Toc80886928"/>
      <w:r>
        <w:rPr>
          <w:rFonts w:hint="eastAsia" w:ascii="宋体" w:hAnsi="宋体"/>
          <w:b w:val="0"/>
        </w:rPr>
        <w:t>第一节 供应商须知前附表</w:t>
      </w:r>
      <w:bookmarkEnd w:id="50"/>
    </w:p>
    <w:p w14:paraId="66EA6E29">
      <w:pPr>
        <w:spacing w:line="400" w:lineRule="exact"/>
        <w:jc w:val="center"/>
        <w:rPr>
          <w:rFonts w:hint="eastAsia" w:ascii="宋体" w:hAnsi="宋体"/>
          <w:b/>
          <w:sz w:val="32"/>
          <w:szCs w:val="32"/>
        </w:rPr>
      </w:pP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5"/>
        <w:gridCol w:w="1710"/>
        <w:gridCol w:w="6271"/>
      </w:tblGrid>
      <w:tr w14:paraId="347E0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5" w:type="dxa"/>
            <w:tcBorders>
              <w:top w:val="single" w:color="000000" w:sz="4" w:space="0"/>
              <w:left w:val="single" w:color="000000" w:sz="4" w:space="0"/>
              <w:bottom w:val="single" w:color="000000" w:sz="4" w:space="0"/>
              <w:right w:val="single" w:color="000000" w:sz="4" w:space="0"/>
            </w:tcBorders>
            <w:noWrap w:val="0"/>
            <w:vAlign w:val="center"/>
          </w:tcPr>
          <w:p w14:paraId="35CD075B">
            <w:pPr>
              <w:spacing w:line="360" w:lineRule="auto"/>
              <w:jc w:val="center"/>
              <w:rPr>
                <w:rFonts w:hint="eastAsia" w:ascii="宋体" w:hAnsi="宋体" w:cs="宋体"/>
                <w:b/>
                <w:szCs w:val="21"/>
              </w:rPr>
            </w:pPr>
            <w:r>
              <w:rPr>
                <w:rFonts w:hint="eastAsia" w:ascii="宋体" w:hAnsi="宋体" w:cs="宋体"/>
                <w:b/>
                <w:szCs w:val="21"/>
              </w:rPr>
              <w:t>条款号</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2B2F7E58">
            <w:pPr>
              <w:spacing w:line="360" w:lineRule="auto"/>
              <w:jc w:val="center"/>
              <w:rPr>
                <w:rFonts w:hint="eastAsia" w:ascii="宋体" w:hAnsi="宋体" w:cs="宋体"/>
                <w:b/>
                <w:szCs w:val="21"/>
              </w:rPr>
            </w:pPr>
            <w:r>
              <w:rPr>
                <w:rFonts w:hint="eastAsia" w:ascii="宋体" w:hAnsi="宋体" w:cs="宋体"/>
                <w:b/>
                <w:szCs w:val="21"/>
              </w:rPr>
              <w:t>条款内容</w:t>
            </w:r>
          </w:p>
        </w:tc>
        <w:tc>
          <w:tcPr>
            <w:tcW w:w="6271" w:type="dxa"/>
            <w:tcBorders>
              <w:top w:val="single" w:color="000000" w:sz="4" w:space="0"/>
              <w:left w:val="single" w:color="000000" w:sz="4" w:space="0"/>
              <w:bottom w:val="single" w:color="000000" w:sz="4" w:space="0"/>
              <w:right w:val="single" w:color="000000" w:sz="4" w:space="0"/>
            </w:tcBorders>
            <w:noWrap w:val="0"/>
            <w:vAlign w:val="top"/>
          </w:tcPr>
          <w:p w14:paraId="490BAA1D">
            <w:pPr>
              <w:spacing w:line="360" w:lineRule="auto"/>
              <w:jc w:val="center"/>
              <w:rPr>
                <w:rFonts w:hint="eastAsia" w:ascii="宋体" w:hAnsi="宋体" w:cs="宋体"/>
                <w:b/>
                <w:szCs w:val="21"/>
              </w:rPr>
            </w:pPr>
            <w:r>
              <w:rPr>
                <w:rFonts w:hint="eastAsia" w:ascii="宋体" w:hAnsi="宋体" w:cs="宋体"/>
                <w:b/>
                <w:szCs w:val="21"/>
              </w:rPr>
              <w:t>具体要求</w:t>
            </w:r>
          </w:p>
        </w:tc>
      </w:tr>
      <w:tr w14:paraId="13608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5" w:type="dxa"/>
            <w:tcBorders>
              <w:top w:val="single" w:color="000000" w:sz="4" w:space="0"/>
              <w:left w:val="single" w:color="000000" w:sz="4" w:space="0"/>
              <w:bottom w:val="single" w:color="000000" w:sz="4" w:space="0"/>
              <w:right w:val="single" w:color="000000" w:sz="4" w:space="0"/>
            </w:tcBorders>
            <w:noWrap w:val="0"/>
            <w:vAlign w:val="center"/>
          </w:tcPr>
          <w:p w14:paraId="5197F633">
            <w:pPr>
              <w:spacing w:line="360" w:lineRule="auto"/>
              <w:jc w:val="center"/>
              <w:rPr>
                <w:rFonts w:hint="eastAsia" w:ascii="宋体" w:hAnsi="宋体" w:cs="宋体"/>
                <w:szCs w:val="21"/>
              </w:rPr>
            </w:pPr>
            <w:r>
              <w:rPr>
                <w:rFonts w:hint="eastAsia" w:ascii="宋体" w:hAnsi="宋体" w:cs="宋体"/>
                <w:szCs w:val="21"/>
              </w:rPr>
              <w:t>3.1</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24B614B4">
            <w:pPr>
              <w:spacing w:line="360" w:lineRule="auto"/>
              <w:jc w:val="center"/>
              <w:rPr>
                <w:rFonts w:hint="eastAsia" w:ascii="宋体" w:hAnsi="宋体" w:cs="宋体"/>
                <w:szCs w:val="21"/>
              </w:rPr>
            </w:pPr>
            <w:r>
              <w:rPr>
                <w:rFonts w:hint="eastAsia" w:ascii="宋体" w:hAnsi="宋体" w:cs="宋体"/>
                <w:szCs w:val="21"/>
              </w:rPr>
              <w:t>供应商资格条件</w:t>
            </w:r>
          </w:p>
        </w:tc>
        <w:tc>
          <w:tcPr>
            <w:tcW w:w="6271" w:type="dxa"/>
            <w:tcBorders>
              <w:top w:val="single" w:color="000000" w:sz="4" w:space="0"/>
              <w:left w:val="single" w:color="000000" w:sz="4" w:space="0"/>
              <w:bottom w:val="single" w:color="000000" w:sz="4" w:space="0"/>
              <w:right w:val="single" w:color="000000" w:sz="4" w:space="0"/>
            </w:tcBorders>
            <w:noWrap w:val="0"/>
            <w:vAlign w:val="top"/>
          </w:tcPr>
          <w:p w14:paraId="1804CA81">
            <w:pPr>
              <w:spacing w:line="360" w:lineRule="auto"/>
              <w:rPr>
                <w:rFonts w:hint="eastAsia" w:ascii="宋体" w:hAnsi="宋体"/>
                <w:color w:val="000000"/>
                <w:szCs w:val="21"/>
              </w:rPr>
            </w:pPr>
            <w:r>
              <w:rPr>
                <w:rFonts w:hint="eastAsia" w:ascii="宋体" w:hAnsi="宋体"/>
                <w:szCs w:val="21"/>
              </w:rPr>
              <w:t>供应商资格条件要求详见公告。</w:t>
            </w:r>
          </w:p>
        </w:tc>
      </w:tr>
      <w:tr w14:paraId="601F0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5" w:type="dxa"/>
            <w:tcBorders>
              <w:top w:val="single" w:color="000000" w:sz="4" w:space="0"/>
              <w:left w:val="single" w:color="000000" w:sz="4" w:space="0"/>
              <w:bottom w:val="single" w:color="000000" w:sz="4" w:space="0"/>
              <w:right w:val="single" w:color="000000" w:sz="4" w:space="0"/>
            </w:tcBorders>
            <w:noWrap w:val="0"/>
            <w:vAlign w:val="center"/>
          </w:tcPr>
          <w:p w14:paraId="31C505F7">
            <w:pPr>
              <w:spacing w:line="360" w:lineRule="auto"/>
              <w:jc w:val="center"/>
              <w:rPr>
                <w:rFonts w:hint="eastAsia" w:ascii="宋体" w:hAnsi="宋体" w:cs="宋体"/>
                <w:szCs w:val="21"/>
              </w:rPr>
            </w:pPr>
            <w:r>
              <w:rPr>
                <w:rFonts w:hint="eastAsia" w:ascii="宋体" w:hAnsi="宋体" w:cs="宋体"/>
                <w:szCs w:val="21"/>
              </w:rPr>
              <w:t>5.1</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7142BF1">
            <w:pPr>
              <w:spacing w:line="360" w:lineRule="auto"/>
              <w:jc w:val="center"/>
              <w:rPr>
                <w:rFonts w:hint="eastAsia" w:ascii="宋体" w:hAnsi="宋体" w:cs="宋体"/>
                <w:szCs w:val="21"/>
              </w:rPr>
            </w:pPr>
            <w:r>
              <w:rPr>
                <w:rFonts w:hint="eastAsia" w:ascii="宋体" w:hAnsi="宋体" w:cs="宋体"/>
                <w:szCs w:val="21"/>
              </w:rPr>
              <w:t>是否接受联合体竞标</w:t>
            </w:r>
          </w:p>
        </w:tc>
        <w:tc>
          <w:tcPr>
            <w:tcW w:w="6271" w:type="dxa"/>
            <w:tcBorders>
              <w:top w:val="single" w:color="000000" w:sz="4" w:space="0"/>
              <w:left w:val="single" w:color="000000" w:sz="4" w:space="0"/>
              <w:bottom w:val="single" w:color="000000" w:sz="4" w:space="0"/>
              <w:right w:val="single" w:color="000000" w:sz="4" w:space="0"/>
            </w:tcBorders>
            <w:noWrap w:val="0"/>
            <w:vAlign w:val="center"/>
          </w:tcPr>
          <w:p w14:paraId="5A90D7B9">
            <w:pPr>
              <w:spacing w:line="360" w:lineRule="auto"/>
              <w:rPr>
                <w:rFonts w:hint="eastAsia" w:ascii="宋体" w:hAnsi="宋体" w:cs="宋体"/>
                <w:szCs w:val="21"/>
              </w:rPr>
            </w:pPr>
            <w:bookmarkStart w:id="51" w:name="PO_3000001866_PM007"/>
            <w:r>
              <w:rPr>
                <w:rFonts w:hint="eastAsia" w:ascii="宋体" w:hAnsi="宋体"/>
                <w:color w:val="000000"/>
                <w:szCs w:val="21"/>
                <w:lang w:val="en-US" w:eastAsia="zh-CN"/>
              </w:rPr>
              <w:t>本项目不允许联合体投标</w:t>
            </w:r>
            <w:bookmarkEnd w:id="51"/>
            <w:r>
              <w:rPr>
                <w:rFonts w:hint="eastAsia" w:ascii="宋体" w:hAnsi="宋体"/>
                <w:color w:val="000000"/>
                <w:szCs w:val="21"/>
                <w:lang w:val="en-US" w:eastAsia="zh-CN"/>
              </w:rPr>
              <w:t>。</w:t>
            </w:r>
          </w:p>
        </w:tc>
      </w:tr>
      <w:tr w14:paraId="5BE47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5" w:type="dxa"/>
            <w:tcBorders>
              <w:top w:val="single" w:color="000000" w:sz="4" w:space="0"/>
              <w:left w:val="single" w:color="000000" w:sz="4" w:space="0"/>
              <w:bottom w:val="single" w:color="000000" w:sz="4" w:space="0"/>
              <w:right w:val="single" w:color="000000" w:sz="4" w:space="0"/>
            </w:tcBorders>
            <w:noWrap w:val="0"/>
            <w:vAlign w:val="center"/>
          </w:tcPr>
          <w:p w14:paraId="48888462">
            <w:pPr>
              <w:spacing w:line="360" w:lineRule="auto"/>
              <w:jc w:val="center"/>
              <w:rPr>
                <w:rFonts w:hint="eastAsia" w:ascii="宋体" w:hAnsi="宋体" w:cs="宋体"/>
                <w:szCs w:val="21"/>
              </w:rPr>
            </w:pPr>
            <w:r>
              <w:rPr>
                <w:rFonts w:hint="eastAsia" w:ascii="宋体" w:hAnsi="宋体" w:cs="宋体"/>
                <w:szCs w:val="21"/>
              </w:rPr>
              <w:t>5.2</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96F55E9">
            <w:pPr>
              <w:spacing w:line="360" w:lineRule="auto"/>
              <w:jc w:val="center"/>
              <w:rPr>
                <w:rFonts w:hint="eastAsia" w:ascii="宋体" w:hAnsi="宋体" w:cs="宋体"/>
                <w:szCs w:val="21"/>
              </w:rPr>
            </w:pPr>
            <w:r>
              <w:rPr>
                <w:rFonts w:hint="eastAsia" w:ascii="宋体" w:hAnsi="宋体"/>
                <w:szCs w:val="21"/>
              </w:rPr>
              <w:t>联合体竞标要求</w:t>
            </w:r>
          </w:p>
        </w:tc>
        <w:tc>
          <w:tcPr>
            <w:tcW w:w="6271" w:type="dxa"/>
            <w:tcBorders>
              <w:top w:val="single" w:color="000000" w:sz="4" w:space="0"/>
              <w:left w:val="single" w:color="000000" w:sz="4" w:space="0"/>
              <w:bottom w:val="single" w:color="000000" w:sz="4" w:space="0"/>
              <w:right w:val="single" w:color="000000" w:sz="4" w:space="0"/>
            </w:tcBorders>
            <w:noWrap w:val="0"/>
            <w:vAlign w:val="center"/>
          </w:tcPr>
          <w:p w14:paraId="3AE09A79">
            <w:pPr>
              <w:pStyle w:val="7"/>
              <w:spacing w:line="380" w:lineRule="exact"/>
              <w:rPr>
                <w:rFonts w:hint="eastAsia" w:ascii="宋体" w:hAnsi="宋体" w:cs="宋体"/>
                <w:szCs w:val="21"/>
              </w:rPr>
            </w:pPr>
            <w:r>
              <w:rPr>
                <w:rFonts w:hint="eastAsia" w:ascii="宋体" w:hAnsi="宋体"/>
                <w:color w:val="auto"/>
                <w:szCs w:val="21"/>
                <w:lang w:val="en-US" w:eastAsia="zh-CN"/>
              </w:rPr>
              <w:t>本项目不接受联合体竞标。</w:t>
            </w:r>
          </w:p>
        </w:tc>
      </w:tr>
      <w:tr w14:paraId="51476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5" w:type="dxa"/>
            <w:tcBorders>
              <w:top w:val="single" w:color="000000" w:sz="4" w:space="0"/>
              <w:left w:val="single" w:color="000000" w:sz="4" w:space="0"/>
              <w:bottom w:val="single" w:color="000000" w:sz="4" w:space="0"/>
              <w:right w:val="single" w:color="000000" w:sz="4" w:space="0"/>
            </w:tcBorders>
            <w:noWrap w:val="0"/>
            <w:vAlign w:val="center"/>
          </w:tcPr>
          <w:p w14:paraId="07373B5B">
            <w:pPr>
              <w:spacing w:line="360" w:lineRule="auto"/>
              <w:jc w:val="center"/>
              <w:rPr>
                <w:rFonts w:hint="eastAsia" w:ascii="宋体" w:hAnsi="宋体" w:cs="宋体"/>
                <w:szCs w:val="21"/>
              </w:rPr>
            </w:pPr>
            <w:r>
              <w:rPr>
                <w:rFonts w:hint="eastAsia" w:ascii="宋体" w:hAnsi="宋体" w:cs="宋体"/>
                <w:szCs w:val="21"/>
              </w:rPr>
              <w:t>6.1</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FE81F18">
            <w:pPr>
              <w:spacing w:line="360" w:lineRule="auto"/>
              <w:jc w:val="center"/>
              <w:rPr>
                <w:rFonts w:hint="eastAsia" w:ascii="宋体" w:hAnsi="宋体" w:cs="宋体"/>
                <w:szCs w:val="21"/>
              </w:rPr>
            </w:pPr>
            <w:r>
              <w:rPr>
                <w:rFonts w:hint="eastAsia" w:ascii="宋体" w:hAnsi="宋体" w:cs="宋体"/>
                <w:szCs w:val="21"/>
              </w:rPr>
              <w:t>是否允许分包</w:t>
            </w:r>
          </w:p>
        </w:tc>
        <w:tc>
          <w:tcPr>
            <w:tcW w:w="6271" w:type="dxa"/>
            <w:tcBorders>
              <w:top w:val="single" w:color="000000" w:sz="4" w:space="0"/>
              <w:left w:val="single" w:color="000000" w:sz="4" w:space="0"/>
              <w:bottom w:val="single" w:color="000000" w:sz="4" w:space="0"/>
              <w:right w:val="single" w:color="000000" w:sz="4" w:space="0"/>
            </w:tcBorders>
            <w:noWrap w:val="0"/>
            <w:vAlign w:val="center"/>
          </w:tcPr>
          <w:p w14:paraId="5DA87F33">
            <w:pPr>
              <w:pStyle w:val="7"/>
              <w:spacing w:line="360" w:lineRule="auto"/>
              <w:rPr>
                <w:rFonts w:hint="eastAsia" w:ascii="宋体" w:hAnsi="宋体" w:cs="宋体"/>
                <w:szCs w:val="21"/>
                <w:lang w:val="en-US" w:eastAsia="zh-CN"/>
              </w:rPr>
            </w:pPr>
            <w:bookmarkStart w:id="52" w:name="PO_3000001866_PM044"/>
            <w:r>
              <w:rPr>
                <w:rFonts w:hint="eastAsia" w:ascii="宋体" w:hAnsi="宋体"/>
                <w:color w:val="000000"/>
                <w:szCs w:val="21"/>
                <w:lang w:val="en-US" w:eastAsia="zh-CN"/>
              </w:rPr>
              <w:t>本项目不允许转包/分包</w:t>
            </w:r>
            <w:bookmarkEnd w:id="52"/>
            <w:r>
              <w:rPr>
                <w:rFonts w:hint="eastAsia" w:ascii="宋体" w:hAnsi="宋体"/>
                <w:color w:val="000000"/>
                <w:szCs w:val="21"/>
                <w:lang w:val="en-US" w:eastAsia="zh-CN"/>
              </w:rPr>
              <w:t>。</w:t>
            </w:r>
          </w:p>
        </w:tc>
      </w:tr>
      <w:tr w14:paraId="37EDA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5" w:type="dxa"/>
            <w:tcBorders>
              <w:top w:val="single" w:color="000000" w:sz="4" w:space="0"/>
              <w:left w:val="single" w:color="000000" w:sz="4" w:space="0"/>
              <w:bottom w:val="single" w:color="000000" w:sz="4" w:space="0"/>
              <w:right w:val="single" w:color="000000" w:sz="4" w:space="0"/>
            </w:tcBorders>
            <w:noWrap w:val="0"/>
            <w:vAlign w:val="center"/>
          </w:tcPr>
          <w:p w14:paraId="0CEA00F5">
            <w:pPr>
              <w:spacing w:line="360" w:lineRule="auto"/>
              <w:jc w:val="center"/>
              <w:rPr>
                <w:rFonts w:hint="eastAsia" w:ascii="宋体" w:hAnsi="宋体" w:cs="宋体"/>
                <w:szCs w:val="21"/>
              </w:rPr>
            </w:pPr>
            <w:r>
              <w:rPr>
                <w:rFonts w:hint="eastAsia" w:ascii="宋体" w:hAnsi="宋体" w:cs="宋体"/>
                <w:szCs w:val="21"/>
              </w:rPr>
              <w:t>12.1.1</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7654D298">
            <w:pPr>
              <w:snapToGrid w:val="0"/>
              <w:spacing w:line="360" w:lineRule="auto"/>
              <w:jc w:val="center"/>
              <w:rPr>
                <w:rFonts w:hint="eastAsia" w:ascii="宋体" w:hAnsi="宋体" w:cs="宋体"/>
                <w:b/>
                <w:szCs w:val="21"/>
              </w:rPr>
            </w:pPr>
            <w:r>
              <w:rPr>
                <w:rFonts w:hint="eastAsia" w:ascii="宋体" w:hAnsi="宋体" w:cs="宋体"/>
                <w:b/>
                <w:szCs w:val="21"/>
              </w:rPr>
              <w:t>资格证明文件组成</w:t>
            </w:r>
          </w:p>
          <w:p w14:paraId="3CB19A7B">
            <w:pPr>
              <w:spacing w:line="360" w:lineRule="auto"/>
              <w:jc w:val="center"/>
              <w:rPr>
                <w:rFonts w:hint="eastAsia" w:ascii="宋体" w:hAnsi="宋体" w:cs="宋体"/>
                <w:szCs w:val="21"/>
              </w:rPr>
            </w:pPr>
          </w:p>
        </w:tc>
        <w:tc>
          <w:tcPr>
            <w:tcW w:w="6271" w:type="dxa"/>
            <w:tcBorders>
              <w:top w:val="single" w:color="000000" w:sz="4" w:space="0"/>
              <w:left w:val="single" w:color="000000" w:sz="4" w:space="0"/>
              <w:bottom w:val="single" w:color="000000" w:sz="4" w:space="0"/>
              <w:right w:val="single" w:color="000000" w:sz="4" w:space="0"/>
            </w:tcBorders>
            <w:noWrap w:val="0"/>
            <w:vAlign w:val="center"/>
          </w:tcPr>
          <w:p w14:paraId="34A04C07">
            <w:pPr>
              <w:pStyle w:val="7"/>
              <w:spacing w:line="360" w:lineRule="auto"/>
              <w:rPr>
                <w:rFonts w:hint="eastAsia" w:ascii="宋体" w:hAnsi="宋体"/>
                <w:szCs w:val="21"/>
                <w:lang w:val="en-US" w:eastAsia="zh-CN"/>
              </w:rPr>
            </w:pPr>
            <w:r>
              <w:rPr>
                <w:rFonts w:hint="eastAsia" w:ascii="宋体" w:hAnsi="宋体" w:cs="宋体"/>
                <w:szCs w:val="21"/>
                <w:lang w:val="en-US" w:eastAsia="zh-CN"/>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lang w:val="en-US" w:eastAsia="zh-CN"/>
              </w:rPr>
              <w:t>必须提供，否则响应文件按无效响应处理</w:t>
            </w:r>
            <w:r>
              <w:rPr>
                <w:rFonts w:hint="eastAsia" w:ascii="宋体" w:hAnsi="宋体" w:cs="宋体"/>
                <w:szCs w:val="21"/>
                <w:lang w:val="en-US" w:eastAsia="zh-CN"/>
              </w:rPr>
              <w:t>）</w:t>
            </w:r>
          </w:p>
          <w:p w14:paraId="3C8A5226">
            <w:pPr>
              <w:snapToGrid w:val="0"/>
              <w:spacing w:line="380" w:lineRule="exact"/>
              <w:jc w:val="left"/>
              <w:rPr>
                <w:rFonts w:hint="eastAsia" w:ascii="宋体" w:hAnsi="宋体"/>
                <w:color w:val="000000"/>
                <w:szCs w:val="21"/>
              </w:rPr>
            </w:pPr>
            <w:r>
              <w:rPr>
                <w:rFonts w:hint="eastAsia" w:ascii="宋体" w:hAnsi="宋体" w:cs="宋体"/>
                <w:color w:val="000000"/>
                <w:szCs w:val="21"/>
              </w:rPr>
              <w:t>2.供应商依法缴纳税收的相关材料：[</w:t>
            </w:r>
            <w:r>
              <w:rPr>
                <w:rFonts w:hint="eastAsia" w:ascii="宋体" w:hAnsi="宋体" w:cs="宋体"/>
                <w:color w:val="000000"/>
                <w:szCs w:val="21"/>
                <w:u w:val="single"/>
                <w:lang w:val="en-US" w:eastAsia="zh-CN"/>
              </w:rPr>
              <w:t>2025</w:t>
            </w:r>
            <w:r>
              <w:rPr>
                <w:rFonts w:hint="eastAsia" w:ascii="宋体" w:hAnsi="宋体" w:cs="宋体"/>
                <w:color w:val="000000"/>
                <w:szCs w:val="21"/>
              </w:rPr>
              <w:t>年</w:t>
            </w:r>
            <w:r>
              <w:rPr>
                <w:rFonts w:hint="eastAsia" w:ascii="宋体" w:hAnsi="宋体" w:cs="宋体"/>
                <w:color w:val="000000"/>
                <w:szCs w:val="21"/>
                <w:u w:val="single"/>
                <w:lang w:val="en-US" w:eastAsia="zh-CN"/>
              </w:rPr>
              <w:t>09</w:t>
            </w:r>
            <w:r>
              <w:rPr>
                <w:rFonts w:hint="eastAsia" w:ascii="宋体" w:hAnsi="宋体" w:cs="宋体"/>
                <w:color w:val="000000"/>
                <w:szCs w:val="21"/>
              </w:rPr>
              <w:t>月至</w:t>
            </w:r>
            <w:r>
              <w:rPr>
                <w:rFonts w:hint="eastAsia" w:ascii="宋体" w:hAnsi="宋体" w:cs="宋体"/>
                <w:color w:val="000000"/>
                <w:szCs w:val="21"/>
                <w:u w:val="single"/>
                <w:lang w:val="en-US" w:eastAsia="zh-CN"/>
              </w:rPr>
              <w:t>2026</w:t>
            </w:r>
            <w:r>
              <w:rPr>
                <w:rFonts w:hint="eastAsia" w:ascii="宋体" w:hAnsi="宋体" w:cs="宋体"/>
                <w:color w:val="000000"/>
                <w:szCs w:val="21"/>
              </w:rPr>
              <w:t>年</w:t>
            </w:r>
            <w:r>
              <w:rPr>
                <w:rFonts w:hint="eastAsia" w:ascii="宋体" w:hAnsi="宋体" w:cs="宋体"/>
                <w:color w:val="000000"/>
                <w:szCs w:val="21"/>
                <w:u w:val="single"/>
                <w:lang w:val="en-US" w:eastAsia="zh-CN"/>
              </w:rPr>
              <w:t>02</w:t>
            </w:r>
            <w:r>
              <w:rPr>
                <w:rFonts w:hint="eastAsia" w:ascii="宋体" w:hAnsi="宋体" w:cs="宋体"/>
                <w:color w:val="000000"/>
                <w:szCs w:val="21"/>
                <w:u w:val="single"/>
              </w:rPr>
              <w:t xml:space="preserve"> </w:t>
            </w:r>
            <w:r>
              <w:rPr>
                <w:rFonts w:hint="eastAsia" w:ascii="宋体" w:hAnsi="宋体" w:cs="宋体"/>
                <w:color w:val="000000"/>
                <w:szCs w:val="21"/>
              </w:rPr>
              <w:t>月]连续</w:t>
            </w:r>
            <w:r>
              <w:rPr>
                <w:rFonts w:hint="eastAsia" w:ascii="宋体" w:hAnsi="宋体" w:cs="宋体"/>
                <w:color w:val="000000"/>
                <w:szCs w:val="21"/>
                <w:u w:val="single"/>
                <w:lang w:val="en-US" w:eastAsia="zh-CN"/>
              </w:rPr>
              <w:t>3</w:t>
            </w:r>
            <w:r>
              <w:rPr>
                <w:rFonts w:hint="eastAsia" w:ascii="宋体" w:hAnsi="宋体" w:cs="宋体"/>
                <w:color w:val="000000"/>
                <w:szCs w:val="21"/>
                <w:u w:val="single"/>
              </w:rPr>
              <w:t>个</w:t>
            </w:r>
            <w:r>
              <w:rPr>
                <w:rFonts w:hint="eastAsia" w:ascii="宋体" w:hAnsi="宋体" w:cs="宋体"/>
                <w:color w:val="000000"/>
                <w:szCs w:val="21"/>
              </w:rPr>
              <w:t>月的依法缴纳税收的凭据复印件；依</w:t>
            </w:r>
            <w:r>
              <w:rPr>
                <w:rFonts w:hint="eastAsia" w:ascii="宋体" w:hAnsi="宋体"/>
                <w:color w:val="000000"/>
                <w:szCs w:val="21"/>
              </w:rPr>
              <w:t>法免税的供应商，必须提供相应文件证明其依法免税。</w:t>
            </w:r>
            <w:r>
              <w:rPr>
                <w:rFonts w:hint="eastAsia" w:ascii="宋体" w:hAnsi="宋体" w:cs="宋体"/>
                <w:color w:val="000000"/>
                <w:szCs w:val="21"/>
              </w:rPr>
              <w:t>从取得营业执照时间起到投标文件提交截止时间为止不足要求月数的，只需提供从取得营业执照起的依法缴纳税收</w:t>
            </w:r>
            <w:r>
              <w:rPr>
                <w:rFonts w:hint="eastAsia" w:ascii="宋体" w:hAnsi="宋体"/>
                <w:color w:val="000000"/>
                <w:szCs w:val="21"/>
              </w:rPr>
              <w:t>相应证明文件</w:t>
            </w:r>
            <w:r>
              <w:rPr>
                <w:rFonts w:hint="eastAsia" w:ascii="宋体" w:hAnsi="宋体" w:cs="宋体"/>
                <w:color w:val="000000"/>
                <w:szCs w:val="21"/>
              </w:rPr>
              <w:t>）</w:t>
            </w:r>
            <w:r>
              <w:rPr>
                <w:rFonts w:hint="eastAsia" w:ascii="宋体" w:hAnsi="宋体"/>
                <w:color w:val="000000"/>
                <w:szCs w:val="21"/>
              </w:rPr>
              <w:t>；（</w:t>
            </w:r>
            <w:r>
              <w:rPr>
                <w:rFonts w:hint="eastAsia" w:ascii="宋体" w:hAnsi="宋体"/>
                <w:b/>
                <w:color w:val="000000"/>
                <w:szCs w:val="21"/>
              </w:rPr>
              <w:t>必须提供，否则作无效竞标处理</w:t>
            </w:r>
            <w:r>
              <w:rPr>
                <w:rFonts w:hint="eastAsia" w:ascii="宋体" w:hAnsi="宋体"/>
                <w:color w:val="000000"/>
                <w:szCs w:val="21"/>
              </w:rPr>
              <w:t>）</w:t>
            </w:r>
          </w:p>
          <w:p w14:paraId="12F8A56A">
            <w:pPr>
              <w:snapToGrid w:val="0"/>
              <w:spacing w:line="380" w:lineRule="exact"/>
              <w:jc w:val="left"/>
              <w:rPr>
                <w:rFonts w:hint="eastAsia" w:ascii="宋体" w:hAnsi="宋体"/>
                <w:color w:val="000000"/>
                <w:szCs w:val="21"/>
              </w:rPr>
            </w:pPr>
            <w:r>
              <w:rPr>
                <w:rFonts w:hint="eastAsia" w:ascii="宋体" w:hAnsi="宋体" w:cs="宋体"/>
                <w:color w:val="000000"/>
                <w:szCs w:val="21"/>
              </w:rPr>
              <w:t>3.供应商依法缴纳社会保障资金的相关材料：[</w:t>
            </w:r>
            <w:r>
              <w:rPr>
                <w:rFonts w:hint="eastAsia" w:ascii="宋体" w:hAnsi="宋体" w:cs="宋体"/>
                <w:color w:val="000000"/>
                <w:szCs w:val="21"/>
                <w:u w:val="single"/>
                <w:lang w:val="en-US" w:eastAsia="zh-CN"/>
              </w:rPr>
              <w:t>2025</w:t>
            </w:r>
            <w:r>
              <w:rPr>
                <w:rFonts w:hint="eastAsia" w:ascii="宋体" w:hAnsi="宋体" w:cs="宋体"/>
                <w:color w:val="000000"/>
                <w:szCs w:val="21"/>
              </w:rPr>
              <w:t>年</w:t>
            </w:r>
            <w:r>
              <w:rPr>
                <w:rFonts w:hint="eastAsia" w:ascii="宋体" w:hAnsi="宋体" w:cs="宋体"/>
                <w:color w:val="000000"/>
                <w:szCs w:val="21"/>
                <w:u w:val="single"/>
                <w:lang w:val="en-US" w:eastAsia="zh-CN"/>
              </w:rPr>
              <w:t>09</w:t>
            </w:r>
            <w:r>
              <w:rPr>
                <w:rFonts w:hint="eastAsia" w:ascii="宋体" w:hAnsi="宋体" w:cs="宋体"/>
                <w:color w:val="000000"/>
                <w:szCs w:val="21"/>
              </w:rPr>
              <w:t>月至</w:t>
            </w:r>
            <w:r>
              <w:rPr>
                <w:rFonts w:hint="eastAsia" w:ascii="宋体" w:hAnsi="宋体" w:cs="宋体"/>
                <w:color w:val="000000"/>
                <w:szCs w:val="21"/>
                <w:u w:val="single"/>
                <w:lang w:val="en-US" w:eastAsia="zh-CN"/>
              </w:rPr>
              <w:t>2026</w:t>
            </w:r>
            <w:r>
              <w:rPr>
                <w:rFonts w:hint="eastAsia" w:ascii="宋体" w:hAnsi="宋体" w:cs="宋体"/>
                <w:color w:val="000000"/>
                <w:szCs w:val="21"/>
              </w:rPr>
              <w:t>年</w:t>
            </w:r>
            <w:r>
              <w:rPr>
                <w:rFonts w:hint="eastAsia" w:ascii="宋体" w:hAnsi="宋体" w:cs="宋体"/>
                <w:color w:val="000000"/>
                <w:szCs w:val="21"/>
                <w:u w:val="single"/>
                <w:lang w:val="en-US" w:eastAsia="zh-CN"/>
              </w:rPr>
              <w:t>02</w:t>
            </w:r>
            <w:r>
              <w:rPr>
                <w:rFonts w:hint="eastAsia" w:ascii="宋体" w:hAnsi="宋体" w:cs="宋体"/>
                <w:color w:val="000000"/>
                <w:szCs w:val="21"/>
                <w:u w:val="single"/>
              </w:rPr>
              <w:t xml:space="preserve"> </w:t>
            </w:r>
            <w:r>
              <w:rPr>
                <w:rFonts w:hint="eastAsia" w:ascii="宋体" w:hAnsi="宋体" w:cs="宋体"/>
                <w:color w:val="000000"/>
                <w:szCs w:val="21"/>
              </w:rPr>
              <w:t>月]连续</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3</w:t>
            </w:r>
            <w:r>
              <w:rPr>
                <w:rFonts w:hint="eastAsia" w:ascii="宋体" w:hAnsi="宋体" w:cs="宋体"/>
                <w:color w:val="000000"/>
                <w:szCs w:val="21"/>
              </w:rPr>
              <w:t>个月的依法缴纳社会保障资金的缴费凭证（专用收据或者社会保险缴纳清单）复印件；</w:t>
            </w:r>
            <w:r>
              <w:rPr>
                <w:rFonts w:hint="eastAsia" w:ascii="宋体" w:hAnsi="宋体"/>
                <w:color w:val="000000"/>
                <w:szCs w:val="21"/>
              </w:rPr>
              <w:t>依法不需要缴纳社会保障资金的供应商，必须提供相应文件证明不需要缴纳社会保障资金。</w:t>
            </w:r>
            <w:r>
              <w:rPr>
                <w:rFonts w:hint="eastAsia" w:ascii="宋体" w:hAnsi="宋体" w:cs="宋体"/>
                <w:color w:val="000000"/>
                <w:szCs w:val="21"/>
              </w:rPr>
              <w:t>从取得营业执照时间起到响应文件提交截止时间为止不足要求月数的只需提供从取得营业执照起的依法缴纳社会保障资金的</w:t>
            </w:r>
            <w:r>
              <w:rPr>
                <w:rFonts w:hint="eastAsia" w:ascii="宋体" w:hAnsi="宋体"/>
                <w:color w:val="000000"/>
                <w:szCs w:val="21"/>
              </w:rPr>
              <w:t>相应证明文件</w:t>
            </w:r>
            <w:r>
              <w:rPr>
                <w:rFonts w:hint="eastAsia" w:ascii="宋体" w:hAnsi="宋体" w:cs="宋体"/>
                <w:color w:val="000000"/>
                <w:szCs w:val="21"/>
              </w:rPr>
              <w:t>]</w:t>
            </w:r>
            <w:r>
              <w:rPr>
                <w:rFonts w:hint="eastAsia" w:ascii="宋体" w:hAnsi="宋体"/>
                <w:color w:val="000000"/>
                <w:szCs w:val="21"/>
              </w:rPr>
              <w:t>；（</w:t>
            </w:r>
            <w:r>
              <w:rPr>
                <w:rFonts w:hint="eastAsia" w:ascii="宋体" w:hAnsi="宋体"/>
                <w:b/>
                <w:color w:val="000000"/>
                <w:szCs w:val="21"/>
              </w:rPr>
              <w:t>必须提供，否则作无效竞标处理</w:t>
            </w:r>
            <w:r>
              <w:rPr>
                <w:rFonts w:hint="eastAsia" w:ascii="宋体" w:hAnsi="宋体"/>
                <w:color w:val="000000"/>
                <w:szCs w:val="21"/>
              </w:rPr>
              <w:t>）</w:t>
            </w:r>
          </w:p>
          <w:p w14:paraId="595FFE97">
            <w:pPr>
              <w:snapToGrid w:val="0"/>
              <w:spacing w:line="380" w:lineRule="exact"/>
              <w:jc w:val="left"/>
              <w:rPr>
                <w:rFonts w:hint="eastAsia" w:ascii="宋体" w:hAnsi="宋体"/>
                <w:color w:val="000000"/>
                <w:szCs w:val="21"/>
              </w:rPr>
            </w:pPr>
            <w:r>
              <w:rPr>
                <w:rFonts w:hint="eastAsia" w:ascii="宋体" w:hAnsi="宋体" w:cs="宋体"/>
                <w:color w:val="000000"/>
                <w:szCs w:val="21"/>
              </w:rPr>
              <w:t>4.供应商财务状况报告：</w:t>
            </w:r>
            <w:r>
              <w:rPr>
                <w:rFonts w:hint="eastAsia" w:ascii="宋体" w:hAnsi="宋体"/>
                <w:color w:val="000000"/>
                <w:szCs w:val="21"/>
              </w:rPr>
              <w:t>[</w:t>
            </w:r>
            <w:r>
              <w:rPr>
                <w:rFonts w:hint="eastAsia" w:ascii="宋体" w:hAnsi="宋体"/>
                <w:color w:val="000000"/>
                <w:szCs w:val="21"/>
                <w:u w:val="single"/>
                <w:lang w:val="en-US" w:eastAsia="zh-CN"/>
              </w:rPr>
              <w:t>2024或2025</w:t>
            </w:r>
            <w:r>
              <w:rPr>
                <w:rFonts w:hint="eastAsia" w:ascii="宋体" w:hAnsi="宋体"/>
                <w:color w:val="000000"/>
                <w:szCs w:val="21"/>
              </w:rPr>
              <w:t>年]财务状况报告复印件；供应商成立不满一年的应按提供</w:t>
            </w:r>
            <w:r>
              <w:rPr>
                <w:rFonts w:hint="eastAsia" w:ascii="宋体" w:hAnsi="宋体"/>
                <w:szCs w:val="21"/>
              </w:rPr>
              <w:t>首次响应文件提交截止时间</w:t>
            </w:r>
            <w:r>
              <w:rPr>
                <w:rFonts w:hint="eastAsia" w:ascii="宋体" w:hAnsi="宋体"/>
                <w:color w:val="000000"/>
                <w:szCs w:val="21"/>
              </w:rPr>
              <w:t>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color w:val="000000"/>
                <w:szCs w:val="21"/>
              </w:rPr>
              <w:t>必须提供，否则作无效竞标处理</w:t>
            </w:r>
            <w:r>
              <w:rPr>
                <w:rFonts w:hint="eastAsia" w:ascii="宋体" w:hAnsi="宋体"/>
                <w:color w:val="000000"/>
                <w:szCs w:val="21"/>
              </w:rPr>
              <w:t>）</w:t>
            </w:r>
          </w:p>
          <w:p w14:paraId="1E85D12C">
            <w:pPr>
              <w:snapToGrid w:val="0"/>
              <w:spacing w:line="360" w:lineRule="auto"/>
              <w:jc w:val="left"/>
              <w:rPr>
                <w:rFonts w:hint="eastAsia" w:ascii="宋体" w:hAnsi="宋体" w:cs="宋体"/>
                <w:szCs w:val="21"/>
              </w:rPr>
            </w:pPr>
            <w:r>
              <w:rPr>
                <w:rFonts w:hint="eastAsia" w:ascii="宋体" w:hAnsi="宋体" w:cs="宋体"/>
                <w:szCs w:val="21"/>
              </w:rPr>
              <w:t>5.供应商直接控股、管理关系信息表；（</w:t>
            </w:r>
            <w:r>
              <w:rPr>
                <w:rFonts w:hint="eastAsia" w:ascii="宋体" w:hAnsi="宋体" w:cs="宋体"/>
                <w:b/>
                <w:szCs w:val="21"/>
              </w:rPr>
              <w:t>必须提供，否则响应文件按无效响应处理</w:t>
            </w:r>
            <w:r>
              <w:rPr>
                <w:rFonts w:hint="eastAsia" w:ascii="宋体" w:hAnsi="宋体" w:cs="宋体"/>
                <w:szCs w:val="21"/>
              </w:rPr>
              <w:t>）</w:t>
            </w:r>
          </w:p>
          <w:p w14:paraId="27EFCD80">
            <w:pPr>
              <w:snapToGrid w:val="0"/>
              <w:spacing w:line="360" w:lineRule="auto"/>
              <w:jc w:val="left"/>
              <w:rPr>
                <w:rFonts w:hint="eastAsia" w:ascii="宋体" w:hAnsi="宋体" w:cs="宋体"/>
                <w:szCs w:val="21"/>
              </w:rPr>
            </w:pPr>
            <w:r>
              <w:rPr>
                <w:rFonts w:hint="eastAsia" w:ascii="宋体" w:hAnsi="宋体" w:cs="宋体"/>
                <w:szCs w:val="21"/>
              </w:rPr>
              <w:t>6.资格声明；（</w:t>
            </w:r>
            <w:r>
              <w:rPr>
                <w:rFonts w:hint="eastAsia" w:ascii="宋体" w:hAnsi="宋体" w:cs="宋体"/>
                <w:b/>
                <w:szCs w:val="21"/>
              </w:rPr>
              <w:t>必须提供，否则响应文件按无效响应处理</w:t>
            </w:r>
            <w:r>
              <w:rPr>
                <w:rFonts w:hint="eastAsia" w:ascii="宋体" w:hAnsi="宋体" w:cs="宋体"/>
                <w:szCs w:val="21"/>
              </w:rPr>
              <w:t>）</w:t>
            </w:r>
          </w:p>
          <w:p w14:paraId="49656F1A">
            <w:pPr>
              <w:snapToGrid w:val="0"/>
              <w:spacing w:line="380" w:lineRule="exact"/>
              <w:jc w:val="left"/>
              <w:rPr>
                <w:rFonts w:hint="default" w:eastAsia="宋体"/>
                <w:lang w:val="en-US" w:eastAsia="zh-CN"/>
              </w:rPr>
            </w:pPr>
            <w:r>
              <w:rPr>
                <w:rFonts w:hint="eastAsia" w:ascii="宋体" w:hAnsi="宋体" w:cs="宋体"/>
                <w:szCs w:val="21"/>
                <w:lang w:val="en-US" w:eastAsia="zh-CN"/>
              </w:rPr>
              <w:t>7.</w:t>
            </w:r>
            <w:r>
              <w:rPr>
                <w:rFonts w:hint="eastAsia" w:ascii="宋体" w:hAnsi="宋体"/>
                <w:color w:val="000000"/>
                <w:szCs w:val="21"/>
              </w:rPr>
              <w:t>中小企业声明函</w:t>
            </w:r>
            <w:r>
              <w:rPr>
                <w:rFonts w:hint="eastAsia" w:ascii="宋体" w:hAnsi="宋体"/>
                <w:color w:val="000000"/>
                <w:szCs w:val="21"/>
                <w:lang w:eastAsia="zh-CN"/>
              </w:rPr>
              <w:t>。</w:t>
            </w:r>
            <w:r>
              <w:rPr>
                <w:rFonts w:hint="eastAsia" w:ascii="宋体" w:hAnsi="宋体"/>
                <w:b/>
                <w:bCs/>
                <w:color w:val="000000"/>
                <w:szCs w:val="21"/>
              </w:rPr>
              <w:t>本项目为专门面向中小企业采购的项目（供应商应为中小微企业或监狱企业或残疾人福利性单位)，供应商须提供对应资格的证明材料。（必须提供，否则作无效投标处理）</w:t>
            </w:r>
          </w:p>
          <w:p w14:paraId="695F3293">
            <w:pPr>
              <w:snapToGrid w:val="0"/>
              <w:spacing w:line="360" w:lineRule="auto"/>
              <w:jc w:val="left"/>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.除磋商文件规定必须提供以外，供应商认为需要提供的其他证明材料；</w:t>
            </w:r>
          </w:p>
          <w:p w14:paraId="30E57C76">
            <w:pPr>
              <w:snapToGrid w:val="0"/>
              <w:spacing w:line="360" w:lineRule="auto"/>
              <w:jc w:val="left"/>
              <w:rPr>
                <w:rFonts w:hint="eastAsia" w:ascii="宋体" w:hAnsi="宋体" w:cs="宋体"/>
                <w:b/>
                <w:szCs w:val="21"/>
                <w:lang w:val="en-US" w:eastAsia="zh-CN"/>
              </w:rPr>
            </w:pPr>
            <w:r>
              <w:rPr>
                <w:rFonts w:hint="eastAsia" w:ascii="宋体" w:hAnsi="宋体" w:cs="宋体"/>
                <w:b/>
                <w:szCs w:val="21"/>
              </w:rPr>
              <w:t>注：1.以上标明“必须提供”的材料属于复印件的扫描件的，必须加盖供应商电子公章，否则响应文件按无效响应处理。</w:t>
            </w:r>
          </w:p>
        </w:tc>
      </w:tr>
      <w:tr w14:paraId="2A0D0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5" w:type="dxa"/>
            <w:vMerge w:val="restart"/>
            <w:tcBorders>
              <w:top w:val="single" w:color="000000" w:sz="4" w:space="0"/>
              <w:left w:val="single" w:color="000000" w:sz="4" w:space="0"/>
              <w:bottom w:val="single" w:color="000000" w:sz="4" w:space="0"/>
              <w:right w:val="single" w:color="000000" w:sz="4" w:space="0"/>
            </w:tcBorders>
            <w:noWrap w:val="0"/>
            <w:vAlign w:val="center"/>
          </w:tcPr>
          <w:p w14:paraId="5F1E1EB8">
            <w:pPr>
              <w:spacing w:line="360" w:lineRule="auto"/>
              <w:jc w:val="center"/>
              <w:rPr>
                <w:rFonts w:hint="eastAsia" w:ascii="宋体" w:hAnsi="宋体" w:cs="宋体"/>
                <w:szCs w:val="21"/>
              </w:rPr>
            </w:pPr>
            <w:r>
              <w:rPr>
                <w:rFonts w:hint="eastAsia" w:ascii="宋体" w:hAnsi="宋体" w:cs="宋体"/>
                <w:szCs w:val="21"/>
              </w:rPr>
              <w:t>12.1.2</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99F94F7">
            <w:pPr>
              <w:spacing w:line="360" w:lineRule="auto"/>
              <w:jc w:val="center"/>
              <w:rPr>
                <w:rFonts w:hint="eastAsia" w:ascii="宋体" w:hAnsi="宋体" w:cs="宋体"/>
                <w:b/>
                <w:bCs/>
                <w:szCs w:val="21"/>
              </w:rPr>
            </w:pPr>
            <w:r>
              <w:rPr>
                <w:rFonts w:hint="eastAsia" w:ascii="宋体" w:hAnsi="宋体" w:cs="宋体"/>
                <w:b/>
                <w:bCs/>
                <w:szCs w:val="21"/>
              </w:rPr>
              <w:t>商务文件组成</w:t>
            </w:r>
          </w:p>
        </w:tc>
        <w:tc>
          <w:tcPr>
            <w:tcW w:w="6271" w:type="dxa"/>
            <w:tcBorders>
              <w:top w:val="single" w:color="000000" w:sz="4" w:space="0"/>
              <w:left w:val="single" w:color="000000" w:sz="4" w:space="0"/>
              <w:bottom w:val="single" w:color="000000" w:sz="4" w:space="0"/>
              <w:right w:val="single" w:color="000000" w:sz="4" w:space="0"/>
            </w:tcBorders>
            <w:noWrap w:val="0"/>
            <w:vAlign w:val="center"/>
          </w:tcPr>
          <w:p w14:paraId="61898D39">
            <w:pPr>
              <w:spacing w:line="360" w:lineRule="auto"/>
              <w:rPr>
                <w:rFonts w:hint="eastAsia" w:ascii="宋体" w:hAnsi="宋体" w:cs="宋体"/>
                <w:szCs w:val="21"/>
              </w:rPr>
            </w:pPr>
            <w:r>
              <w:rPr>
                <w:rFonts w:hint="eastAsia" w:ascii="宋体" w:hAnsi="宋体" w:cs="宋体"/>
                <w:szCs w:val="21"/>
              </w:rPr>
              <w:t>1.无串通竞标行为的承诺函；（</w:t>
            </w:r>
            <w:r>
              <w:rPr>
                <w:rFonts w:hint="eastAsia" w:ascii="宋体" w:hAnsi="宋体" w:cs="宋体"/>
                <w:b/>
                <w:szCs w:val="21"/>
              </w:rPr>
              <w:t>必须提供，否则响应文件按无效响应处理</w:t>
            </w:r>
            <w:r>
              <w:rPr>
                <w:rFonts w:hint="eastAsia" w:ascii="宋体" w:hAnsi="宋体" w:cs="宋体"/>
                <w:szCs w:val="21"/>
              </w:rPr>
              <w:t>）</w:t>
            </w:r>
          </w:p>
          <w:p w14:paraId="2AC099AE">
            <w:pPr>
              <w:snapToGrid w:val="0"/>
              <w:spacing w:line="360" w:lineRule="auto"/>
              <w:jc w:val="left"/>
              <w:rPr>
                <w:rFonts w:hint="eastAsia" w:ascii="宋体" w:hAnsi="宋体" w:cs="宋体"/>
                <w:szCs w:val="21"/>
              </w:rPr>
            </w:pPr>
            <w:r>
              <w:rPr>
                <w:rFonts w:hint="eastAsia" w:ascii="宋体" w:hAnsi="宋体" w:cs="宋体"/>
                <w:szCs w:val="21"/>
              </w:rPr>
              <w:t>2.法定代表人身份证明书及法定代表人有效身份证正反面复印件；（</w:t>
            </w:r>
            <w:r>
              <w:rPr>
                <w:rFonts w:hint="eastAsia" w:ascii="宋体" w:hAnsi="宋体" w:cs="宋体"/>
                <w:b/>
                <w:bCs/>
                <w:szCs w:val="21"/>
              </w:rPr>
              <w:t>除自然人竞标外</w:t>
            </w:r>
            <w:r>
              <w:rPr>
                <w:rFonts w:hint="eastAsia" w:ascii="宋体" w:hAnsi="宋体" w:cs="宋体"/>
                <w:b/>
                <w:szCs w:val="21"/>
              </w:rPr>
              <w:t>必须提供，否则响应文件按无效响应处理</w:t>
            </w:r>
            <w:r>
              <w:rPr>
                <w:rFonts w:hint="eastAsia" w:ascii="宋体" w:hAnsi="宋体" w:cs="宋体"/>
                <w:szCs w:val="21"/>
              </w:rPr>
              <w:t>）</w:t>
            </w:r>
          </w:p>
          <w:p w14:paraId="10392035">
            <w:pPr>
              <w:spacing w:line="360" w:lineRule="auto"/>
              <w:rPr>
                <w:rFonts w:hint="eastAsia" w:ascii="宋体" w:hAnsi="宋体" w:cs="宋体"/>
                <w:b/>
                <w:szCs w:val="21"/>
              </w:rPr>
            </w:pPr>
            <w:r>
              <w:rPr>
                <w:rFonts w:hint="eastAsia" w:ascii="宋体" w:hAnsi="宋体" w:cs="宋体"/>
                <w:szCs w:val="21"/>
              </w:rPr>
              <w:t>3.法定代表人授权委托书及委托代理人有效身份证正反面复印件；（</w:t>
            </w:r>
            <w:r>
              <w:rPr>
                <w:rFonts w:hint="eastAsia" w:ascii="宋体" w:hAnsi="宋体" w:cs="宋体"/>
                <w:b/>
                <w:szCs w:val="21"/>
              </w:rPr>
              <w:t>委托时必须提供，否则响应文件按无效响应处理</w:t>
            </w:r>
            <w:r>
              <w:rPr>
                <w:rFonts w:hint="eastAsia" w:ascii="宋体" w:hAnsi="宋体" w:cs="宋体"/>
                <w:szCs w:val="21"/>
              </w:rPr>
              <w:t>）</w:t>
            </w:r>
          </w:p>
          <w:p w14:paraId="7C0C26AE">
            <w:pPr>
              <w:spacing w:line="360" w:lineRule="auto"/>
              <w:rPr>
                <w:rFonts w:hint="eastAsia" w:ascii="宋体" w:hAnsi="宋体" w:cs="宋体"/>
                <w:szCs w:val="21"/>
              </w:rPr>
            </w:pPr>
            <w:r>
              <w:rPr>
                <w:rFonts w:hint="eastAsia" w:ascii="宋体" w:hAnsi="宋体" w:cs="宋体"/>
                <w:szCs w:val="21"/>
              </w:rPr>
              <w:t>4.商务条款偏离表；（</w:t>
            </w:r>
            <w:r>
              <w:rPr>
                <w:rFonts w:hint="eastAsia" w:ascii="宋体" w:hAnsi="宋体" w:cs="宋体"/>
                <w:b/>
                <w:szCs w:val="21"/>
              </w:rPr>
              <w:t>必须提供，否则响应文件按无效响应处理</w:t>
            </w:r>
            <w:r>
              <w:rPr>
                <w:rFonts w:hint="eastAsia" w:ascii="宋体" w:hAnsi="宋体" w:cs="宋体"/>
                <w:szCs w:val="21"/>
              </w:rPr>
              <w:t>）</w:t>
            </w:r>
          </w:p>
          <w:p w14:paraId="0FEA9F13">
            <w:pPr>
              <w:spacing w:line="360" w:lineRule="auto"/>
              <w:rPr>
                <w:rFonts w:hint="eastAsia" w:ascii="宋体" w:hAnsi="宋体" w:cs="宋体"/>
                <w:szCs w:val="21"/>
                <w:lang w:eastAsia="zh-CN"/>
              </w:rPr>
            </w:pPr>
            <w:r>
              <w:rPr>
                <w:rFonts w:hint="eastAsia" w:ascii="宋体" w:hAnsi="宋体" w:cs="宋体"/>
                <w:szCs w:val="21"/>
              </w:rPr>
              <w:t>5.竞标人情况介绍；</w:t>
            </w:r>
            <w:r>
              <w:rPr>
                <w:rFonts w:hint="eastAsia" w:ascii="宋体" w:hAnsi="宋体" w:cs="宋体"/>
                <w:szCs w:val="21"/>
                <w:lang w:eastAsia="zh-CN"/>
              </w:rPr>
              <w:t>（如有请提供）</w:t>
            </w:r>
          </w:p>
          <w:p w14:paraId="7E60534B">
            <w:pPr>
              <w:spacing w:line="360" w:lineRule="auto"/>
              <w:rPr>
                <w:rFonts w:hint="eastAsia" w:ascii="宋体" w:hAnsi="宋体" w:cs="宋体"/>
                <w:szCs w:val="21"/>
                <w:lang w:val="en-US" w:eastAsia="zh-CN"/>
              </w:rPr>
            </w:pPr>
            <w:r>
              <w:rPr>
                <w:rFonts w:hint="eastAsia" w:ascii="宋体" w:hAnsi="宋体" w:cs="宋体"/>
                <w:szCs w:val="21"/>
                <w:lang w:val="en-US" w:eastAsia="zh-CN"/>
              </w:rPr>
              <w:t>6.类似项目业绩证明文件；</w:t>
            </w:r>
            <w:r>
              <w:rPr>
                <w:rFonts w:hint="eastAsia" w:ascii="宋体" w:hAnsi="宋体" w:cs="宋体"/>
                <w:szCs w:val="21"/>
                <w:lang w:eastAsia="zh-CN"/>
              </w:rPr>
              <w:t>（如有请提供）</w:t>
            </w:r>
          </w:p>
          <w:p w14:paraId="2601CC1A">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7.</w:t>
            </w:r>
            <w:r>
              <w:rPr>
                <w:rFonts w:hint="eastAsia"/>
              </w:rPr>
              <w:t>项目实施人员一览表</w:t>
            </w:r>
            <w:r>
              <w:rPr>
                <w:rFonts w:hint="eastAsia"/>
                <w:lang w:eastAsia="zh-CN"/>
              </w:rPr>
              <w:t>；</w:t>
            </w:r>
            <w:r>
              <w:rPr>
                <w:rFonts w:hint="eastAsia" w:ascii="宋体" w:hAnsi="宋体" w:cs="宋体"/>
                <w:szCs w:val="21"/>
                <w:lang w:eastAsia="zh-CN"/>
              </w:rPr>
              <w:t>（如有请提供）</w:t>
            </w:r>
          </w:p>
          <w:p w14:paraId="76CEBF43">
            <w:pPr>
              <w:spacing w:line="360" w:lineRule="auto"/>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w:t>
            </w:r>
            <w:r>
              <w:rPr>
                <w:rFonts w:hint="eastAsia" w:ascii="宋体" w:hAnsi="宋体"/>
                <w:color w:val="000000"/>
                <w:szCs w:val="21"/>
              </w:rPr>
              <w:t>除招标文件规定必须提供以外，投标人认为需要提供的其他证明材料。（投标人根据“第二章 采购需求”及“第四章 评标方法及评标标准”提供有关证明材料）。</w:t>
            </w:r>
            <w:r>
              <w:rPr>
                <w:rFonts w:hint="eastAsia" w:ascii="宋体" w:hAnsi="宋体" w:cs="宋体"/>
                <w:szCs w:val="21"/>
                <w:lang w:eastAsia="zh-CN"/>
              </w:rPr>
              <w:t>（如有请提供）</w:t>
            </w:r>
          </w:p>
          <w:p w14:paraId="03ED1418">
            <w:pPr>
              <w:snapToGrid w:val="0"/>
              <w:spacing w:line="360" w:lineRule="auto"/>
              <w:jc w:val="left"/>
              <w:rPr>
                <w:rFonts w:hint="eastAsia" w:ascii="宋体" w:hAnsi="宋体" w:cs="宋体"/>
                <w:b/>
                <w:szCs w:val="21"/>
              </w:rPr>
            </w:pPr>
            <w:r>
              <w:rPr>
                <w:rFonts w:hint="eastAsia" w:ascii="宋体" w:hAnsi="宋体" w:cs="宋体"/>
                <w:b/>
                <w:szCs w:val="21"/>
              </w:rPr>
              <w:t>注： 1.法定代表人授权委托书必须由法定代表人及委托代理人签字，并加盖供应商公章，否则响应文件按无效响应处理。</w:t>
            </w:r>
          </w:p>
          <w:p w14:paraId="7C6A83F0">
            <w:pPr>
              <w:spacing w:line="360" w:lineRule="auto"/>
              <w:ind w:firstLine="413" w:firstLineChars="196"/>
              <w:rPr>
                <w:rFonts w:hint="eastAsia" w:ascii="宋体" w:hAnsi="宋体" w:cs="宋体"/>
                <w:b/>
                <w:szCs w:val="21"/>
              </w:rPr>
            </w:pPr>
            <w:r>
              <w:rPr>
                <w:rFonts w:hint="eastAsia" w:ascii="宋体" w:hAnsi="宋体" w:cs="宋体"/>
                <w:b/>
                <w:szCs w:val="21"/>
              </w:rPr>
              <w:t>2.以上标明“必须提供”的材料属于复印件的扫描件的，必须加盖供应商电子公章，否则响应文件按无效响应处理。</w:t>
            </w:r>
          </w:p>
        </w:tc>
      </w:tr>
      <w:tr w14:paraId="60C08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C2538">
            <w:pPr>
              <w:widowControl/>
              <w:jc w:val="left"/>
              <w:rPr>
                <w:rFonts w:ascii="宋体" w:hAnsi="宋体" w:cs="宋体"/>
                <w:szCs w:val="21"/>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89B9A18">
            <w:pPr>
              <w:spacing w:line="360" w:lineRule="auto"/>
              <w:jc w:val="center"/>
              <w:rPr>
                <w:rFonts w:hint="eastAsia" w:ascii="宋体" w:hAnsi="宋体" w:cs="宋体"/>
                <w:b/>
                <w:bCs/>
                <w:szCs w:val="21"/>
              </w:rPr>
            </w:pPr>
            <w:r>
              <w:rPr>
                <w:rFonts w:hint="eastAsia" w:ascii="宋体" w:hAnsi="宋体" w:cs="宋体"/>
                <w:b/>
                <w:bCs/>
                <w:szCs w:val="21"/>
              </w:rPr>
              <w:t>技术文件组成</w:t>
            </w:r>
          </w:p>
        </w:tc>
        <w:tc>
          <w:tcPr>
            <w:tcW w:w="6271" w:type="dxa"/>
            <w:tcBorders>
              <w:top w:val="single" w:color="000000" w:sz="4" w:space="0"/>
              <w:left w:val="single" w:color="000000" w:sz="4" w:space="0"/>
              <w:bottom w:val="single" w:color="000000" w:sz="4" w:space="0"/>
              <w:right w:val="single" w:color="000000" w:sz="4" w:space="0"/>
            </w:tcBorders>
            <w:noWrap w:val="0"/>
            <w:vAlign w:val="center"/>
          </w:tcPr>
          <w:p w14:paraId="53E29BCE">
            <w:pPr>
              <w:spacing w:line="360" w:lineRule="auto"/>
              <w:rPr>
                <w:rFonts w:hint="eastAsia" w:ascii="宋体" w:hAnsi="宋体" w:cs="宋体"/>
                <w:szCs w:val="21"/>
              </w:rPr>
            </w:pPr>
            <w:r>
              <w:rPr>
                <w:rFonts w:hint="eastAsia" w:ascii="宋体" w:hAnsi="宋体" w:cs="宋体"/>
                <w:szCs w:val="21"/>
              </w:rPr>
              <w:t>1.服务需求偏离表；（</w:t>
            </w:r>
            <w:r>
              <w:rPr>
                <w:rFonts w:hint="eastAsia" w:ascii="宋体" w:hAnsi="宋体" w:cs="宋体"/>
                <w:b/>
                <w:szCs w:val="21"/>
              </w:rPr>
              <w:t>必须提供，否则响应文件按无效响应处理</w:t>
            </w:r>
            <w:r>
              <w:rPr>
                <w:rFonts w:hint="eastAsia" w:ascii="宋体" w:hAnsi="宋体" w:cs="宋体"/>
                <w:szCs w:val="21"/>
              </w:rPr>
              <w:t>）</w:t>
            </w:r>
          </w:p>
          <w:p w14:paraId="3D1425BB">
            <w:pPr>
              <w:spacing w:line="360" w:lineRule="auto"/>
              <w:rPr>
                <w:rFonts w:hint="eastAsia" w:ascii="宋体" w:hAnsi="宋体" w:cs="宋体"/>
                <w:szCs w:val="21"/>
                <w:lang w:eastAsia="zh-CN"/>
              </w:rPr>
            </w:pPr>
            <w:r>
              <w:rPr>
                <w:rFonts w:hint="eastAsia" w:ascii="宋体" w:hAnsi="宋体" w:cs="宋体"/>
                <w:szCs w:val="21"/>
              </w:rPr>
              <w:t>2.</w:t>
            </w:r>
            <w:r>
              <w:rPr>
                <w:rFonts w:hint="eastAsia" w:ascii="宋体" w:hAnsi="宋体"/>
                <w:color w:val="000000"/>
                <w:szCs w:val="21"/>
              </w:rPr>
              <w:t>工作管理规章制度及规范</w:t>
            </w:r>
            <w:r>
              <w:rPr>
                <w:rFonts w:hint="eastAsia" w:ascii="宋体" w:hAnsi="宋体" w:cs="宋体"/>
                <w:szCs w:val="21"/>
              </w:rPr>
              <w:t>；</w:t>
            </w:r>
            <w:r>
              <w:rPr>
                <w:rFonts w:hint="eastAsia" w:ascii="宋体" w:hAnsi="宋体" w:cs="宋体"/>
                <w:szCs w:val="21"/>
                <w:lang w:eastAsia="zh-CN"/>
              </w:rPr>
              <w:t>（如有请提供）</w:t>
            </w:r>
          </w:p>
          <w:p w14:paraId="1D9DB821">
            <w:pPr>
              <w:spacing w:line="360" w:lineRule="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w:t>
            </w:r>
            <w:r>
              <w:rPr>
                <w:rFonts w:hint="eastAsia" w:ascii="Times New Roman" w:hAnsi="Times New Roman" w:eastAsia="宋体" w:cs="Times New Roman"/>
                <w:spacing w:val="6"/>
                <w:kern w:val="2"/>
                <w:sz w:val="21"/>
                <w:szCs w:val="24"/>
                <w:lang w:val="en-US" w:eastAsia="zh-CN" w:bidi="ar-SA"/>
              </w:rPr>
              <w:t>服务方案</w:t>
            </w:r>
            <w:r>
              <w:rPr>
                <w:rFonts w:hint="eastAsia" w:ascii="宋体" w:hAnsi="宋体" w:cs="宋体"/>
                <w:szCs w:val="21"/>
              </w:rPr>
              <w:t>；</w:t>
            </w:r>
            <w:r>
              <w:rPr>
                <w:rFonts w:hint="eastAsia" w:ascii="宋体" w:hAnsi="宋体" w:cs="宋体"/>
                <w:szCs w:val="21"/>
                <w:lang w:eastAsia="zh-CN"/>
              </w:rPr>
              <w:t>（如有请提供）</w:t>
            </w:r>
          </w:p>
          <w:p w14:paraId="4A89883E">
            <w:pPr>
              <w:spacing w:line="360" w:lineRule="auto"/>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应急事件处理方案</w:t>
            </w:r>
            <w:r>
              <w:rPr>
                <w:rFonts w:hint="eastAsia" w:ascii="宋体" w:hAnsi="宋体" w:cs="宋体"/>
                <w:szCs w:val="21"/>
              </w:rPr>
              <w:t>；</w:t>
            </w:r>
            <w:r>
              <w:rPr>
                <w:rFonts w:hint="eastAsia" w:ascii="宋体" w:hAnsi="宋体" w:cs="宋体"/>
                <w:szCs w:val="21"/>
                <w:lang w:eastAsia="zh-CN"/>
              </w:rPr>
              <w:t>（如有请提供）</w:t>
            </w:r>
            <w:r>
              <w:rPr>
                <w:rFonts w:hint="eastAsia" w:ascii="宋体" w:hAnsi="宋体" w:cs="宋体"/>
                <w:szCs w:val="21"/>
              </w:rPr>
              <w:t xml:space="preserve"> </w:t>
            </w:r>
          </w:p>
          <w:p w14:paraId="7009A2F1">
            <w:pPr>
              <w:spacing w:line="360" w:lineRule="auto"/>
              <w:rPr>
                <w:rFonts w:hint="eastAsia" w:ascii="宋体" w:hAnsi="宋体" w:cs="宋体"/>
                <w:szCs w:val="21"/>
                <w:lang w:val="en-US" w:eastAsia="zh-CN"/>
              </w:rPr>
            </w:pPr>
            <w:r>
              <w:rPr>
                <w:rFonts w:hint="eastAsia" w:ascii="宋体" w:hAnsi="宋体" w:cs="宋体"/>
                <w:szCs w:val="21"/>
                <w:lang w:val="en-US" w:eastAsia="zh-CN"/>
              </w:rPr>
              <w:t>5.人员培训方案；</w:t>
            </w:r>
            <w:r>
              <w:rPr>
                <w:rFonts w:hint="eastAsia" w:ascii="宋体" w:hAnsi="宋体" w:cs="宋体"/>
                <w:szCs w:val="21"/>
                <w:lang w:eastAsia="zh-CN"/>
              </w:rPr>
              <w:t>（如有请提供）</w:t>
            </w:r>
          </w:p>
          <w:p w14:paraId="58E8A570">
            <w:pPr>
              <w:spacing w:line="360" w:lineRule="auto"/>
              <w:rPr>
                <w:rFonts w:hint="eastAsia" w:ascii="宋体" w:hAnsi="宋体" w:eastAsia="宋体" w:cs="宋体"/>
                <w:szCs w:val="21"/>
                <w:lang w:eastAsia="zh-CN"/>
              </w:rPr>
            </w:pPr>
            <w:r>
              <w:rPr>
                <w:rFonts w:hint="eastAsia" w:ascii="宋体" w:hAnsi="宋体" w:cs="宋体"/>
                <w:szCs w:val="21"/>
                <w:lang w:val="en-US" w:eastAsia="zh-CN"/>
              </w:rPr>
              <w:t>6.人员</w:t>
            </w:r>
            <w:r>
              <w:rPr>
                <w:rFonts w:hint="eastAsia" w:ascii="宋体" w:hAnsi="宋体" w:cs="宋体"/>
                <w:szCs w:val="21"/>
              </w:rPr>
              <w:t>稳定</w:t>
            </w:r>
            <w:r>
              <w:rPr>
                <w:rFonts w:hint="eastAsia" w:ascii="宋体" w:hAnsi="宋体" w:cs="宋体"/>
                <w:szCs w:val="21"/>
                <w:lang w:val="en-US" w:eastAsia="zh-CN"/>
              </w:rPr>
              <w:t>保障</w:t>
            </w:r>
            <w:r>
              <w:rPr>
                <w:rFonts w:hint="eastAsia" w:ascii="宋体" w:hAnsi="宋体" w:cs="宋体"/>
                <w:szCs w:val="21"/>
              </w:rPr>
              <w:t>的措施</w:t>
            </w:r>
            <w:r>
              <w:rPr>
                <w:rFonts w:hint="eastAsia" w:ascii="宋体" w:hAnsi="宋体" w:cs="宋体"/>
                <w:szCs w:val="21"/>
                <w:lang w:eastAsia="zh-CN"/>
              </w:rPr>
              <w:t>；（如有请提供）</w:t>
            </w:r>
          </w:p>
          <w:p w14:paraId="1B09E2D3">
            <w:pPr>
              <w:spacing w:line="360" w:lineRule="auto"/>
              <w:rPr>
                <w:rFonts w:hint="default" w:ascii="宋体" w:hAnsi="宋体" w:eastAsia="宋体" w:cs="宋体"/>
                <w:szCs w:val="21"/>
                <w:lang w:val="en-US" w:eastAsia="zh-CN"/>
              </w:rPr>
            </w:pPr>
            <w:r>
              <w:rPr>
                <w:rFonts w:hint="eastAsia" w:ascii="宋体" w:hAnsi="宋体" w:cs="宋体"/>
                <w:szCs w:val="21"/>
                <w:lang w:val="en-US" w:eastAsia="zh-CN"/>
              </w:rPr>
              <w:t>7.</w:t>
            </w:r>
            <w:r>
              <w:rPr>
                <w:rFonts w:ascii="宋体" w:hAnsi="宋体" w:eastAsia="宋体" w:cs="宋体"/>
                <w:color w:val="1F2329"/>
                <w:kern w:val="0"/>
                <w:sz w:val="24"/>
                <w:szCs w:val="24"/>
                <w:lang w:val="en-US" w:eastAsia="zh-CN" w:bidi="ar"/>
              </w:rPr>
              <w:t>服务承诺</w:t>
            </w:r>
            <w:r>
              <w:rPr>
                <w:rFonts w:hint="eastAsia" w:ascii="宋体" w:hAnsi="宋体" w:cs="宋体"/>
                <w:color w:val="1F2329"/>
                <w:kern w:val="0"/>
                <w:sz w:val="24"/>
                <w:szCs w:val="24"/>
                <w:lang w:val="en-US" w:eastAsia="zh-CN" w:bidi="ar"/>
              </w:rPr>
              <w:t>；</w:t>
            </w:r>
            <w:r>
              <w:rPr>
                <w:rFonts w:hint="eastAsia" w:ascii="宋体" w:hAnsi="宋体" w:cs="宋体"/>
                <w:szCs w:val="21"/>
                <w:lang w:eastAsia="zh-CN"/>
              </w:rPr>
              <w:t>（如有请提供）</w:t>
            </w:r>
          </w:p>
          <w:p w14:paraId="033429E0">
            <w:pPr>
              <w:spacing w:line="360" w:lineRule="auto"/>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.对应采购需求的服务需求、商务条款提供的其他文件资料；</w:t>
            </w:r>
            <w:r>
              <w:rPr>
                <w:rFonts w:hint="eastAsia" w:ascii="宋体" w:hAnsi="宋体" w:cs="宋体"/>
                <w:szCs w:val="21"/>
                <w:lang w:eastAsia="zh-CN"/>
              </w:rPr>
              <w:t>（如有请提供）</w:t>
            </w:r>
          </w:p>
          <w:p w14:paraId="12545D2B">
            <w:pPr>
              <w:spacing w:line="360" w:lineRule="auto"/>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eastAsia="zh-CN"/>
              </w:rPr>
              <w:t>投标人</w:t>
            </w:r>
            <w:r>
              <w:rPr>
                <w:rFonts w:hint="eastAsia" w:ascii="宋体" w:hAnsi="宋体" w:cs="宋体"/>
                <w:szCs w:val="21"/>
              </w:rPr>
              <w:t>认为需要提供的其他有关资料。</w:t>
            </w:r>
            <w:r>
              <w:rPr>
                <w:rFonts w:hint="eastAsia" w:ascii="宋体" w:hAnsi="宋体" w:cs="宋体"/>
                <w:szCs w:val="21"/>
                <w:lang w:eastAsia="zh-CN"/>
              </w:rPr>
              <w:t>（如有请提供）</w:t>
            </w:r>
          </w:p>
          <w:p w14:paraId="51FC64A5">
            <w:pPr>
              <w:spacing w:line="360" w:lineRule="auto"/>
              <w:rPr>
                <w:rFonts w:hint="eastAsia" w:ascii="宋体" w:hAnsi="宋体" w:cs="宋体"/>
                <w:szCs w:val="21"/>
              </w:rPr>
            </w:pPr>
            <w:r>
              <w:rPr>
                <w:rFonts w:hint="eastAsia" w:ascii="宋体" w:hAnsi="宋体" w:cs="宋体"/>
                <w:b/>
                <w:szCs w:val="21"/>
              </w:rPr>
              <w:t>注：1.以上标明“必须提供”的材料属于复印件的扫描件的，必须加盖供应商电子公章，否则响应文件按无效响应处理。</w:t>
            </w:r>
          </w:p>
        </w:tc>
      </w:tr>
      <w:tr w14:paraId="267B4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5" w:type="dxa"/>
            <w:tcBorders>
              <w:top w:val="single" w:color="000000" w:sz="4" w:space="0"/>
              <w:left w:val="single" w:color="000000" w:sz="4" w:space="0"/>
              <w:bottom w:val="single" w:color="000000" w:sz="4" w:space="0"/>
              <w:right w:val="single" w:color="000000" w:sz="4" w:space="0"/>
            </w:tcBorders>
            <w:noWrap w:val="0"/>
            <w:vAlign w:val="center"/>
          </w:tcPr>
          <w:p w14:paraId="0A58D0E8">
            <w:pPr>
              <w:spacing w:line="360" w:lineRule="auto"/>
              <w:jc w:val="center"/>
              <w:rPr>
                <w:rFonts w:hint="eastAsia" w:ascii="宋体" w:hAnsi="宋体" w:cs="宋体"/>
                <w:szCs w:val="21"/>
              </w:rPr>
            </w:pPr>
            <w:r>
              <w:rPr>
                <w:rFonts w:hint="eastAsia" w:ascii="宋体" w:hAnsi="宋体" w:cs="宋体"/>
                <w:szCs w:val="21"/>
              </w:rPr>
              <w:t>12.1.2</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29895A2C">
            <w:pPr>
              <w:spacing w:line="360" w:lineRule="auto"/>
              <w:jc w:val="center"/>
              <w:rPr>
                <w:rFonts w:hint="eastAsia" w:ascii="宋体" w:hAnsi="宋体" w:cs="宋体"/>
                <w:szCs w:val="21"/>
              </w:rPr>
            </w:pPr>
            <w:r>
              <w:rPr>
                <w:rFonts w:hint="eastAsia" w:ascii="宋体" w:hAnsi="宋体" w:cs="宋体"/>
                <w:b/>
                <w:bCs/>
                <w:szCs w:val="21"/>
              </w:rPr>
              <w:t>报价文件组成</w:t>
            </w:r>
          </w:p>
        </w:tc>
        <w:tc>
          <w:tcPr>
            <w:tcW w:w="6271" w:type="dxa"/>
            <w:tcBorders>
              <w:top w:val="single" w:color="000000" w:sz="4" w:space="0"/>
              <w:left w:val="single" w:color="000000" w:sz="4" w:space="0"/>
              <w:bottom w:val="single" w:color="000000" w:sz="4" w:space="0"/>
              <w:right w:val="single" w:color="000000" w:sz="4" w:space="0"/>
            </w:tcBorders>
            <w:noWrap w:val="0"/>
            <w:vAlign w:val="center"/>
          </w:tcPr>
          <w:p w14:paraId="5D956B45">
            <w:pPr>
              <w:tabs>
                <w:tab w:val="left" w:pos="459"/>
              </w:tabs>
              <w:snapToGrid w:val="0"/>
              <w:spacing w:line="380" w:lineRule="exact"/>
              <w:jc w:val="left"/>
              <w:rPr>
                <w:rFonts w:hint="eastAsia" w:ascii="宋体" w:hAnsi="宋体"/>
                <w:color w:val="000000"/>
                <w:szCs w:val="21"/>
              </w:rPr>
            </w:pPr>
            <w:r>
              <w:rPr>
                <w:rFonts w:hint="eastAsia" w:ascii="宋体" w:hAnsi="宋体"/>
                <w:color w:val="000000"/>
                <w:szCs w:val="21"/>
              </w:rPr>
              <w:t>1.响应函；</w:t>
            </w:r>
            <w:r>
              <w:rPr>
                <w:rFonts w:hint="eastAsia" w:ascii="宋体" w:hAnsi="宋体"/>
                <w:b/>
                <w:color w:val="000000"/>
                <w:szCs w:val="21"/>
              </w:rPr>
              <w:t>（必须提供，否则作无效响应处理）</w:t>
            </w:r>
          </w:p>
          <w:p w14:paraId="740718C1">
            <w:pPr>
              <w:spacing w:line="360" w:lineRule="auto"/>
              <w:rPr>
                <w:rFonts w:hint="eastAsia" w:ascii="宋体" w:hAnsi="宋体" w:cs="宋体"/>
                <w:szCs w:val="21"/>
              </w:rPr>
            </w:pPr>
            <w:r>
              <w:rPr>
                <w:rFonts w:hint="eastAsia" w:ascii="宋体" w:hAnsi="宋体" w:cs="宋体"/>
                <w:szCs w:val="21"/>
              </w:rPr>
              <w:t>2.响应报价表；（</w:t>
            </w:r>
            <w:r>
              <w:rPr>
                <w:rFonts w:hint="eastAsia" w:ascii="宋体" w:hAnsi="宋体" w:cs="宋体"/>
                <w:b/>
                <w:szCs w:val="21"/>
              </w:rPr>
              <w:t>必须提供，否则响应文件按无效响应处理</w:t>
            </w:r>
            <w:r>
              <w:rPr>
                <w:rFonts w:hint="eastAsia" w:ascii="宋体" w:hAnsi="宋体" w:cs="宋体"/>
                <w:szCs w:val="21"/>
              </w:rPr>
              <w:t>）</w:t>
            </w:r>
          </w:p>
          <w:p w14:paraId="2C41E40F">
            <w:pPr>
              <w:spacing w:line="360" w:lineRule="auto"/>
              <w:rPr>
                <w:rFonts w:hint="eastAsia" w:ascii="宋体" w:hAnsi="宋体" w:cs="宋体"/>
                <w:szCs w:val="21"/>
              </w:rPr>
            </w:pPr>
            <w:r>
              <w:rPr>
                <w:rFonts w:hint="eastAsia" w:ascii="宋体" w:hAnsi="宋体"/>
                <w:color w:val="000000"/>
                <w:szCs w:val="21"/>
              </w:rPr>
              <w:t>3</w:t>
            </w:r>
            <w:r>
              <w:rPr>
                <w:rFonts w:hint="eastAsia" w:ascii="宋体" w:hAnsi="宋体"/>
                <w:color w:val="000000"/>
                <w:szCs w:val="21"/>
                <w:lang w:eastAsia="zh-CN"/>
              </w:rPr>
              <w:t>.</w:t>
            </w:r>
            <w:r>
              <w:rPr>
                <w:rFonts w:hint="eastAsia" w:ascii="宋体" w:hAnsi="宋体"/>
                <w:color w:val="000000"/>
                <w:szCs w:val="21"/>
              </w:rPr>
              <w:t>投标人针对报价需要说明的其他文件和说明。</w:t>
            </w:r>
            <w:r>
              <w:rPr>
                <w:rFonts w:hint="eastAsia" w:ascii="宋体" w:hAnsi="宋体" w:cs="宋体"/>
                <w:szCs w:val="21"/>
                <w:lang w:eastAsia="zh-CN"/>
              </w:rPr>
              <w:t>（如有请提供）</w:t>
            </w:r>
          </w:p>
        </w:tc>
      </w:tr>
      <w:tr w14:paraId="38D5B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5" w:type="dxa"/>
            <w:tcBorders>
              <w:top w:val="single" w:color="000000" w:sz="4" w:space="0"/>
              <w:left w:val="single" w:color="000000" w:sz="4" w:space="0"/>
              <w:bottom w:val="single" w:color="000000" w:sz="4" w:space="0"/>
              <w:right w:val="single" w:color="000000" w:sz="4" w:space="0"/>
            </w:tcBorders>
            <w:noWrap w:val="0"/>
            <w:vAlign w:val="center"/>
          </w:tcPr>
          <w:p w14:paraId="0964C703">
            <w:pPr>
              <w:spacing w:line="360" w:lineRule="auto"/>
              <w:jc w:val="center"/>
              <w:rPr>
                <w:rFonts w:hint="eastAsia" w:ascii="宋体" w:hAnsi="宋体" w:cs="宋体"/>
                <w:szCs w:val="21"/>
              </w:rPr>
            </w:pPr>
            <w:r>
              <w:rPr>
                <w:rFonts w:hint="eastAsia" w:ascii="宋体" w:hAnsi="宋体" w:cs="宋体"/>
                <w:szCs w:val="21"/>
              </w:rPr>
              <w:t>12.2</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2B907B0B">
            <w:pPr>
              <w:spacing w:line="360" w:lineRule="auto"/>
              <w:jc w:val="center"/>
              <w:rPr>
                <w:rFonts w:hint="eastAsia" w:ascii="宋体" w:hAnsi="宋体" w:cs="宋体"/>
                <w:szCs w:val="21"/>
              </w:rPr>
            </w:pPr>
            <w:r>
              <w:rPr>
                <w:rFonts w:hint="eastAsia" w:ascii="宋体" w:hAnsi="宋体" w:cs="宋体"/>
                <w:szCs w:val="21"/>
              </w:rPr>
              <w:t>响应文件电子版要求</w:t>
            </w:r>
          </w:p>
        </w:tc>
        <w:tc>
          <w:tcPr>
            <w:tcW w:w="6271" w:type="dxa"/>
            <w:tcBorders>
              <w:top w:val="single" w:color="000000" w:sz="4" w:space="0"/>
              <w:left w:val="single" w:color="000000" w:sz="4" w:space="0"/>
              <w:bottom w:val="single" w:color="000000" w:sz="4" w:space="0"/>
              <w:right w:val="single" w:color="000000" w:sz="4" w:space="0"/>
            </w:tcBorders>
            <w:noWrap w:val="0"/>
            <w:vAlign w:val="center"/>
          </w:tcPr>
          <w:p w14:paraId="2546DEB8">
            <w:pPr>
              <w:snapToGrid w:val="0"/>
              <w:spacing w:line="360" w:lineRule="auto"/>
              <w:jc w:val="left"/>
              <w:rPr>
                <w:rFonts w:hint="eastAsia" w:ascii="宋体" w:hAnsi="宋体" w:cs="宋体"/>
                <w:szCs w:val="21"/>
              </w:rPr>
            </w:pPr>
            <w:r>
              <w:rPr>
                <w:rFonts w:hint="eastAsia" w:ascii="宋体" w:hAnsi="宋体" w:cs="宋体"/>
                <w:szCs w:val="21"/>
              </w:rPr>
              <w:t>1.响应文件电子版要求：按照本采购文件“</w:t>
            </w:r>
            <w:r>
              <w:rPr>
                <w:rFonts w:hint="eastAsia" w:ascii="宋体" w:hAnsi="宋体"/>
                <w:szCs w:val="21"/>
              </w:rPr>
              <w:t>第五章 响应文件格式</w:t>
            </w:r>
            <w:r>
              <w:rPr>
                <w:rFonts w:hint="eastAsia" w:ascii="宋体" w:hAnsi="宋体" w:cs="宋体"/>
                <w:szCs w:val="21"/>
              </w:rPr>
              <w:t>”编写（第五章未附格式的，由供应商自行拟定）。不可涂改并在规定加盖公章处加盖电子公章，</w:t>
            </w:r>
            <w:r>
              <w:rPr>
                <w:rFonts w:hint="eastAsia" w:ascii="宋体" w:hAnsi="宋体" w:cs="宋体"/>
                <w:b/>
                <w:szCs w:val="21"/>
              </w:rPr>
              <w:t>否则响应文件按无效响应处理</w:t>
            </w:r>
            <w:r>
              <w:rPr>
                <w:rFonts w:hint="eastAsia" w:ascii="宋体" w:hAnsi="宋体" w:cs="宋体"/>
                <w:szCs w:val="21"/>
              </w:rPr>
              <w:t>。</w:t>
            </w:r>
          </w:p>
          <w:p w14:paraId="12B35A7A">
            <w:pPr>
              <w:snapToGrid w:val="0"/>
              <w:spacing w:line="360" w:lineRule="auto"/>
              <w:jc w:val="left"/>
              <w:rPr>
                <w:rFonts w:hint="eastAsia" w:ascii="宋体" w:hAnsi="宋体" w:cs="宋体"/>
                <w:szCs w:val="21"/>
              </w:rPr>
            </w:pPr>
            <w:r>
              <w:rPr>
                <w:rFonts w:hint="eastAsia" w:ascii="宋体" w:hAnsi="宋体" w:cs="宋体"/>
                <w:szCs w:val="21"/>
              </w:rPr>
              <w:t>2</w:t>
            </w:r>
            <w:r>
              <w:rPr>
                <w:rFonts w:hint="eastAsia" w:ascii="宋体" w:hAnsi="宋体" w:cs="Courier New"/>
                <w:szCs w:val="21"/>
              </w:rPr>
              <w:t>.响应文件电子版密封方式：电子响应文件通过平台有效CA加密后在“政采云”平台投送。（操作方式见公告附件“</w:t>
            </w:r>
            <w:r>
              <w:rPr>
                <w:rFonts w:hint="eastAsia" w:ascii="宋体" w:hAnsi="宋体"/>
                <w:szCs w:val="21"/>
              </w:rPr>
              <w:t>电子响应文件制作与投送教程</w:t>
            </w:r>
            <w:r>
              <w:rPr>
                <w:rFonts w:hint="eastAsia" w:ascii="宋体" w:hAnsi="宋体" w:cs="Courier New"/>
                <w:szCs w:val="21"/>
              </w:rPr>
              <w:t>” ）</w:t>
            </w:r>
          </w:p>
        </w:tc>
      </w:tr>
      <w:tr w14:paraId="28E5F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5" w:type="dxa"/>
            <w:tcBorders>
              <w:top w:val="single" w:color="000000" w:sz="4" w:space="0"/>
              <w:left w:val="single" w:color="000000" w:sz="4" w:space="0"/>
              <w:bottom w:val="single" w:color="000000" w:sz="4" w:space="0"/>
              <w:right w:val="single" w:color="000000" w:sz="4" w:space="0"/>
            </w:tcBorders>
            <w:noWrap w:val="0"/>
            <w:vAlign w:val="center"/>
          </w:tcPr>
          <w:p w14:paraId="4B4345B1">
            <w:pPr>
              <w:spacing w:line="360" w:lineRule="auto"/>
              <w:jc w:val="center"/>
              <w:rPr>
                <w:rFonts w:hint="eastAsia" w:ascii="宋体" w:hAnsi="宋体" w:cs="宋体"/>
                <w:szCs w:val="21"/>
              </w:rPr>
            </w:pPr>
            <w:r>
              <w:rPr>
                <w:rFonts w:hint="eastAsia" w:ascii="宋体" w:hAnsi="宋体" w:cs="宋体"/>
                <w:szCs w:val="21"/>
              </w:rPr>
              <w:t>15.2</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7AF2470">
            <w:pPr>
              <w:spacing w:line="360" w:lineRule="auto"/>
              <w:jc w:val="center"/>
              <w:rPr>
                <w:rFonts w:hint="eastAsia" w:ascii="宋体" w:hAnsi="宋体" w:cs="宋体"/>
                <w:szCs w:val="21"/>
              </w:rPr>
            </w:pPr>
            <w:r>
              <w:rPr>
                <w:rFonts w:hint="eastAsia" w:ascii="宋体" w:hAnsi="宋体" w:cs="宋体"/>
                <w:szCs w:val="21"/>
              </w:rPr>
              <w:t>响应报价要求</w:t>
            </w:r>
          </w:p>
        </w:tc>
        <w:tc>
          <w:tcPr>
            <w:tcW w:w="6271" w:type="dxa"/>
            <w:tcBorders>
              <w:top w:val="single" w:color="000000" w:sz="4" w:space="0"/>
              <w:left w:val="single" w:color="000000" w:sz="4" w:space="0"/>
              <w:bottom w:val="single" w:color="000000" w:sz="4" w:space="0"/>
              <w:right w:val="single" w:color="000000" w:sz="4" w:space="0"/>
            </w:tcBorders>
            <w:noWrap w:val="0"/>
            <w:vAlign w:val="center"/>
          </w:tcPr>
          <w:p w14:paraId="48A69C2D">
            <w:pPr>
              <w:snapToGrid w:val="0"/>
              <w:spacing w:line="360" w:lineRule="auto"/>
              <w:jc w:val="left"/>
              <w:rPr>
                <w:rFonts w:hint="eastAsia" w:ascii="宋体" w:hAnsi="宋体" w:cs="宋体"/>
                <w:szCs w:val="21"/>
              </w:rPr>
            </w:pPr>
            <w:r>
              <w:rPr>
                <w:rFonts w:hint="eastAsia" w:ascii="宋体" w:hAnsi="宋体" w:cs="宋体"/>
                <w:szCs w:val="21"/>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b/>
                <w:szCs w:val="21"/>
              </w:rPr>
              <w:t>（采购需求另有约定的，从其约定。）</w:t>
            </w:r>
          </w:p>
        </w:tc>
      </w:tr>
      <w:tr w14:paraId="7DF3B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5" w:type="dxa"/>
            <w:tcBorders>
              <w:top w:val="single" w:color="000000" w:sz="4" w:space="0"/>
              <w:left w:val="single" w:color="000000" w:sz="4" w:space="0"/>
              <w:bottom w:val="single" w:color="000000" w:sz="4" w:space="0"/>
              <w:right w:val="single" w:color="000000" w:sz="4" w:space="0"/>
            </w:tcBorders>
            <w:noWrap w:val="0"/>
            <w:vAlign w:val="center"/>
          </w:tcPr>
          <w:p w14:paraId="2F579E3F">
            <w:pPr>
              <w:spacing w:line="360" w:lineRule="auto"/>
              <w:jc w:val="center"/>
              <w:rPr>
                <w:rFonts w:hint="eastAsia" w:ascii="宋体" w:hAnsi="宋体" w:cs="宋体"/>
                <w:szCs w:val="21"/>
              </w:rPr>
            </w:pPr>
            <w:r>
              <w:rPr>
                <w:rFonts w:hint="eastAsia" w:ascii="宋体" w:hAnsi="宋体" w:cs="宋体"/>
                <w:szCs w:val="21"/>
              </w:rPr>
              <w:t>16.2</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5309AE3">
            <w:pPr>
              <w:spacing w:line="360" w:lineRule="auto"/>
              <w:jc w:val="center"/>
              <w:rPr>
                <w:rFonts w:hint="eastAsia" w:ascii="宋体" w:hAnsi="宋体" w:cs="宋体"/>
                <w:szCs w:val="21"/>
              </w:rPr>
            </w:pPr>
            <w:r>
              <w:rPr>
                <w:rFonts w:hint="eastAsia" w:ascii="宋体" w:hAnsi="宋体" w:cs="宋体"/>
                <w:szCs w:val="21"/>
              </w:rPr>
              <w:t>竞标有效期</w:t>
            </w:r>
          </w:p>
        </w:tc>
        <w:tc>
          <w:tcPr>
            <w:tcW w:w="6271" w:type="dxa"/>
            <w:tcBorders>
              <w:top w:val="single" w:color="000000" w:sz="4" w:space="0"/>
              <w:left w:val="single" w:color="000000" w:sz="4" w:space="0"/>
              <w:bottom w:val="single" w:color="000000" w:sz="4" w:space="0"/>
              <w:right w:val="single" w:color="000000" w:sz="4" w:space="0"/>
            </w:tcBorders>
            <w:noWrap w:val="0"/>
            <w:vAlign w:val="center"/>
          </w:tcPr>
          <w:p w14:paraId="0466BFDD">
            <w:pPr>
              <w:pStyle w:val="5"/>
              <w:widowControl w:val="0"/>
              <w:tabs>
                <w:tab w:val="left" w:pos="720"/>
                <w:tab w:val="left" w:pos="840"/>
              </w:tabs>
              <w:snapToGrid w:val="0"/>
              <w:spacing w:after="120" w:line="360" w:lineRule="auto"/>
              <w:ind w:left="283" w:hanging="283" w:hangingChars="135"/>
              <w:rPr>
                <w:rFonts w:hint="eastAsia" w:ascii="宋体" w:hAnsi="宋体" w:cs="宋体"/>
                <w:kern w:val="2"/>
                <w:sz w:val="21"/>
                <w:szCs w:val="21"/>
              </w:rPr>
            </w:pPr>
            <w:r>
              <w:rPr>
                <w:rFonts w:hint="eastAsia" w:ascii="宋体" w:hAnsi="宋体" w:cs="宋体"/>
                <w:kern w:val="2"/>
                <w:sz w:val="21"/>
                <w:szCs w:val="21"/>
              </w:rPr>
              <w:t>自首次响应文件提交截止之日起</w:t>
            </w:r>
            <w:r>
              <w:rPr>
                <w:rFonts w:hint="eastAsia" w:ascii="宋体" w:hAnsi="宋体"/>
                <w:color w:val="000000"/>
                <w:szCs w:val="21"/>
                <w:highlight w:val="none"/>
                <w:u w:val="single"/>
              </w:rPr>
              <w:t xml:space="preserve"> </w:t>
            </w:r>
            <w:bookmarkStart w:id="53" w:name="PO_3000001866_PM046"/>
            <w:r>
              <w:rPr>
                <w:rFonts w:hint="eastAsia" w:ascii="宋体" w:hAnsi="宋体"/>
                <w:color w:val="000000"/>
                <w:szCs w:val="21"/>
                <w:highlight w:val="none"/>
                <w:u w:val="single"/>
              </w:rPr>
              <w:t>90日历</w:t>
            </w:r>
            <w:bookmarkEnd w:id="53"/>
            <w:r>
              <w:rPr>
                <w:rFonts w:hint="eastAsia" w:ascii="宋体" w:hAnsi="宋体" w:cs="宋体"/>
                <w:kern w:val="2"/>
                <w:sz w:val="21"/>
                <w:szCs w:val="21"/>
              </w:rPr>
              <w:t>日。</w:t>
            </w:r>
          </w:p>
        </w:tc>
      </w:tr>
      <w:tr w14:paraId="2B2CA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5" w:type="dxa"/>
            <w:tcBorders>
              <w:top w:val="single" w:color="000000" w:sz="4" w:space="0"/>
              <w:left w:val="single" w:color="000000" w:sz="4" w:space="0"/>
              <w:bottom w:val="single" w:color="000000" w:sz="4" w:space="0"/>
              <w:right w:val="single" w:color="000000" w:sz="4" w:space="0"/>
            </w:tcBorders>
            <w:noWrap w:val="0"/>
            <w:vAlign w:val="center"/>
          </w:tcPr>
          <w:p w14:paraId="6CF54A1D">
            <w:pPr>
              <w:spacing w:line="360" w:lineRule="auto"/>
              <w:jc w:val="center"/>
              <w:rPr>
                <w:rFonts w:hint="eastAsia" w:ascii="宋体" w:hAnsi="宋体" w:cs="宋体"/>
                <w:szCs w:val="21"/>
              </w:rPr>
            </w:pPr>
            <w:r>
              <w:rPr>
                <w:rFonts w:hint="eastAsia" w:ascii="宋体" w:hAnsi="宋体" w:cs="宋体"/>
                <w:szCs w:val="21"/>
              </w:rPr>
              <w:t>17.1</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A4AC6C3">
            <w:pPr>
              <w:spacing w:line="360" w:lineRule="auto"/>
              <w:jc w:val="center"/>
              <w:rPr>
                <w:rFonts w:hint="eastAsia" w:ascii="宋体" w:hAnsi="宋体" w:cs="宋体"/>
                <w:szCs w:val="21"/>
              </w:rPr>
            </w:pPr>
            <w:r>
              <w:rPr>
                <w:rFonts w:hint="eastAsia" w:ascii="宋体" w:hAnsi="宋体" w:cs="宋体"/>
                <w:szCs w:val="21"/>
              </w:rPr>
              <w:t>磋商保证金</w:t>
            </w:r>
          </w:p>
        </w:tc>
        <w:tc>
          <w:tcPr>
            <w:tcW w:w="6271" w:type="dxa"/>
            <w:tcBorders>
              <w:top w:val="single" w:color="000000" w:sz="4" w:space="0"/>
              <w:left w:val="single" w:color="000000" w:sz="4" w:space="0"/>
              <w:bottom w:val="single" w:color="000000" w:sz="4" w:space="0"/>
              <w:right w:val="single" w:color="000000" w:sz="4" w:space="0"/>
            </w:tcBorders>
            <w:noWrap w:val="0"/>
            <w:vAlign w:val="center"/>
          </w:tcPr>
          <w:p w14:paraId="59D338CD">
            <w:pPr>
              <w:autoSpaceDE w:val="0"/>
              <w:autoSpaceDN w:val="0"/>
              <w:snapToGrid w:val="0"/>
              <w:spacing w:line="360" w:lineRule="auto"/>
              <w:textAlignment w:val="bottom"/>
              <w:rPr>
                <w:rFonts w:hint="eastAsia" w:ascii="宋体" w:hAnsi="宋体"/>
                <w:szCs w:val="21"/>
              </w:rPr>
            </w:pPr>
            <w:r>
              <w:rPr>
                <w:rFonts w:hint="eastAsia" w:ascii="宋体" w:hAnsi="宋体"/>
                <w:szCs w:val="21"/>
              </w:rPr>
              <w:t>本项目不收取磋商保证金。</w:t>
            </w:r>
          </w:p>
        </w:tc>
      </w:tr>
      <w:tr w14:paraId="3AC2A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5" w:type="dxa"/>
            <w:vMerge w:val="restart"/>
            <w:tcBorders>
              <w:top w:val="single" w:color="000000" w:sz="4" w:space="0"/>
              <w:left w:val="single" w:color="000000" w:sz="4" w:space="0"/>
              <w:bottom w:val="single" w:color="000000" w:sz="4" w:space="0"/>
              <w:right w:val="single" w:color="000000" w:sz="4" w:space="0"/>
            </w:tcBorders>
            <w:noWrap w:val="0"/>
            <w:vAlign w:val="center"/>
          </w:tcPr>
          <w:p w14:paraId="5E4E302F">
            <w:pPr>
              <w:spacing w:line="360" w:lineRule="auto"/>
              <w:jc w:val="center"/>
              <w:rPr>
                <w:rFonts w:hint="eastAsia" w:ascii="宋体" w:hAnsi="宋体" w:cs="宋体"/>
                <w:szCs w:val="21"/>
              </w:rPr>
            </w:pPr>
            <w:r>
              <w:rPr>
                <w:rFonts w:hint="eastAsia" w:ascii="宋体" w:hAnsi="宋体" w:cs="宋体"/>
                <w:szCs w:val="21"/>
              </w:rPr>
              <w:t>20.1</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2A97960">
            <w:pPr>
              <w:spacing w:line="360" w:lineRule="auto"/>
              <w:jc w:val="center"/>
              <w:rPr>
                <w:rFonts w:hint="eastAsia" w:ascii="宋体" w:hAnsi="宋体" w:cs="宋体"/>
                <w:szCs w:val="21"/>
              </w:rPr>
            </w:pPr>
            <w:r>
              <w:rPr>
                <w:rFonts w:hint="eastAsia" w:ascii="宋体" w:hAnsi="宋体" w:cs="宋体"/>
                <w:szCs w:val="21"/>
              </w:rPr>
              <w:t>首次响应文件提交起止时间</w:t>
            </w:r>
          </w:p>
        </w:tc>
        <w:tc>
          <w:tcPr>
            <w:tcW w:w="6271" w:type="dxa"/>
            <w:tcBorders>
              <w:top w:val="single" w:color="000000" w:sz="4" w:space="0"/>
              <w:left w:val="single" w:color="000000" w:sz="4" w:space="0"/>
              <w:bottom w:val="single" w:color="000000" w:sz="4" w:space="0"/>
              <w:right w:val="single" w:color="000000" w:sz="4" w:space="0"/>
            </w:tcBorders>
            <w:noWrap w:val="0"/>
            <w:vAlign w:val="center"/>
          </w:tcPr>
          <w:p w14:paraId="2029A8AB">
            <w:pPr>
              <w:snapToGrid w:val="0"/>
              <w:spacing w:line="360" w:lineRule="auto"/>
              <w:jc w:val="left"/>
              <w:rPr>
                <w:rFonts w:hint="eastAsia" w:ascii="宋体" w:hAnsi="宋体" w:cs="宋体"/>
                <w:szCs w:val="21"/>
                <w:u w:val="single"/>
              </w:rPr>
            </w:pPr>
            <w:r>
              <w:rPr>
                <w:rFonts w:hint="eastAsia" w:ascii="宋体" w:hAnsi="宋体" w:cs="宋体"/>
                <w:szCs w:val="21"/>
              </w:rPr>
              <w:t>详见竞争性磋商公告。</w:t>
            </w:r>
          </w:p>
        </w:tc>
      </w:tr>
      <w:tr w14:paraId="08C3F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244EC6">
            <w:pPr>
              <w:widowControl/>
              <w:jc w:val="left"/>
              <w:rPr>
                <w:rFonts w:ascii="宋体" w:hAnsi="宋体" w:cs="宋体"/>
                <w:szCs w:val="21"/>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3724AB2B">
            <w:pPr>
              <w:spacing w:line="360" w:lineRule="auto"/>
              <w:jc w:val="center"/>
              <w:rPr>
                <w:rFonts w:hint="eastAsia" w:ascii="宋体" w:hAnsi="宋体" w:cs="宋体"/>
                <w:szCs w:val="21"/>
              </w:rPr>
            </w:pPr>
            <w:r>
              <w:rPr>
                <w:rFonts w:hint="eastAsia" w:ascii="宋体" w:hAnsi="宋体" w:cs="宋体"/>
                <w:szCs w:val="21"/>
              </w:rPr>
              <w:t>首次响应文件提交地点</w:t>
            </w:r>
          </w:p>
        </w:tc>
        <w:tc>
          <w:tcPr>
            <w:tcW w:w="6271" w:type="dxa"/>
            <w:tcBorders>
              <w:top w:val="single" w:color="000000" w:sz="4" w:space="0"/>
              <w:left w:val="single" w:color="000000" w:sz="4" w:space="0"/>
              <w:bottom w:val="single" w:color="000000" w:sz="4" w:space="0"/>
              <w:right w:val="single" w:color="000000" w:sz="4" w:space="0"/>
            </w:tcBorders>
            <w:noWrap w:val="0"/>
            <w:vAlign w:val="center"/>
          </w:tcPr>
          <w:p w14:paraId="6BA55F66">
            <w:pPr>
              <w:snapToGrid w:val="0"/>
              <w:spacing w:line="360" w:lineRule="auto"/>
              <w:jc w:val="left"/>
              <w:rPr>
                <w:rFonts w:hint="eastAsia" w:ascii="宋体" w:hAnsi="宋体" w:cs="宋体"/>
                <w:szCs w:val="21"/>
                <w:u w:val="single"/>
              </w:rPr>
            </w:pPr>
            <w:r>
              <w:rPr>
                <w:rFonts w:hint="eastAsia" w:ascii="宋体" w:hAnsi="宋体" w:cs="宋体"/>
                <w:szCs w:val="21"/>
              </w:rPr>
              <w:t>详见竞争性磋商公告。</w:t>
            </w:r>
          </w:p>
        </w:tc>
      </w:tr>
      <w:tr w14:paraId="1CF37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5" w:type="dxa"/>
            <w:tcBorders>
              <w:top w:val="single" w:color="000000" w:sz="4" w:space="0"/>
              <w:left w:val="single" w:color="000000" w:sz="4" w:space="0"/>
              <w:bottom w:val="single" w:color="000000" w:sz="4" w:space="0"/>
              <w:right w:val="single" w:color="000000" w:sz="4" w:space="0"/>
            </w:tcBorders>
            <w:noWrap w:val="0"/>
            <w:vAlign w:val="center"/>
          </w:tcPr>
          <w:p w14:paraId="1280FB0C">
            <w:pPr>
              <w:spacing w:line="360" w:lineRule="auto"/>
              <w:jc w:val="center"/>
              <w:rPr>
                <w:rFonts w:hint="eastAsia" w:ascii="宋体" w:hAnsi="宋体" w:cs="宋体"/>
                <w:szCs w:val="21"/>
              </w:rPr>
            </w:pPr>
            <w:r>
              <w:rPr>
                <w:rFonts w:hint="eastAsia" w:ascii="宋体" w:hAnsi="宋体" w:cs="宋体"/>
                <w:szCs w:val="21"/>
              </w:rPr>
              <w:t>20.6</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70489AFB">
            <w:pPr>
              <w:spacing w:line="360" w:lineRule="auto"/>
              <w:jc w:val="center"/>
              <w:rPr>
                <w:rFonts w:hint="eastAsia" w:ascii="宋体" w:hAnsi="宋体" w:cs="宋体"/>
                <w:szCs w:val="21"/>
              </w:rPr>
            </w:pPr>
            <w:r>
              <w:rPr>
                <w:rFonts w:hint="eastAsia" w:ascii="宋体" w:hAnsi="宋体" w:cs="宋体"/>
                <w:szCs w:val="21"/>
              </w:rPr>
              <w:t>备份响应文件</w:t>
            </w:r>
          </w:p>
        </w:tc>
        <w:tc>
          <w:tcPr>
            <w:tcW w:w="6271" w:type="dxa"/>
            <w:tcBorders>
              <w:top w:val="single" w:color="000000" w:sz="4" w:space="0"/>
              <w:left w:val="single" w:color="000000" w:sz="4" w:space="0"/>
              <w:bottom w:val="single" w:color="000000" w:sz="4" w:space="0"/>
              <w:right w:val="single" w:color="000000" w:sz="4" w:space="0"/>
            </w:tcBorders>
            <w:noWrap w:val="0"/>
            <w:vAlign w:val="center"/>
          </w:tcPr>
          <w:p w14:paraId="7C08F462">
            <w:pPr>
              <w:snapToGrid w:val="0"/>
              <w:spacing w:line="360" w:lineRule="auto"/>
              <w:jc w:val="left"/>
              <w:rPr>
                <w:rFonts w:hint="eastAsia" w:ascii="宋体" w:hAnsi="宋体" w:cs="宋体"/>
                <w:szCs w:val="21"/>
              </w:rPr>
            </w:pPr>
            <w:r>
              <w:rPr>
                <w:rFonts w:hint="eastAsia" w:ascii="宋体" w:hAnsi="宋体"/>
                <w:color w:val="000000"/>
                <w:szCs w:val="21"/>
              </w:rPr>
              <w:t>本项目不接受备份响应文件。</w:t>
            </w:r>
          </w:p>
        </w:tc>
      </w:tr>
      <w:tr w14:paraId="71AC0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5" w:type="dxa"/>
            <w:tcBorders>
              <w:top w:val="single" w:color="000000" w:sz="4" w:space="0"/>
              <w:left w:val="single" w:color="000000" w:sz="4" w:space="0"/>
              <w:bottom w:val="single" w:color="000000" w:sz="4" w:space="0"/>
              <w:right w:val="single" w:color="000000" w:sz="4" w:space="0"/>
            </w:tcBorders>
            <w:noWrap w:val="0"/>
            <w:vAlign w:val="center"/>
          </w:tcPr>
          <w:p w14:paraId="4FCA67FC">
            <w:pPr>
              <w:spacing w:line="360" w:lineRule="auto"/>
              <w:jc w:val="center"/>
              <w:rPr>
                <w:rFonts w:hint="eastAsia" w:ascii="宋体" w:hAnsi="宋体" w:cs="宋体"/>
                <w:szCs w:val="21"/>
              </w:rPr>
            </w:pPr>
            <w:r>
              <w:rPr>
                <w:rFonts w:hint="eastAsia" w:ascii="宋体" w:hAnsi="宋体" w:cs="宋体"/>
                <w:szCs w:val="21"/>
              </w:rPr>
              <w:t>21</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62AC3FE9">
            <w:pPr>
              <w:spacing w:line="360" w:lineRule="auto"/>
              <w:jc w:val="center"/>
              <w:rPr>
                <w:rFonts w:hint="eastAsia" w:ascii="宋体" w:hAnsi="宋体" w:cs="宋体"/>
                <w:szCs w:val="21"/>
              </w:rPr>
            </w:pPr>
            <w:r>
              <w:rPr>
                <w:rFonts w:hint="eastAsia" w:ascii="宋体" w:hAnsi="宋体" w:cs="宋体"/>
                <w:szCs w:val="21"/>
              </w:rPr>
              <w:t>首次响应文件的退回</w:t>
            </w:r>
          </w:p>
        </w:tc>
        <w:tc>
          <w:tcPr>
            <w:tcW w:w="6271" w:type="dxa"/>
            <w:tcBorders>
              <w:top w:val="single" w:color="000000" w:sz="4" w:space="0"/>
              <w:left w:val="single" w:color="000000" w:sz="4" w:space="0"/>
              <w:bottom w:val="single" w:color="000000" w:sz="4" w:space="0"/>
              <w:right w:val="single" w:color="000000" w:sz="4" w:space="0"/>
            </w:tcBorders>
            <w:noWrap w:val="0"/>
            <w:vAlign w:val="center"/>
          </w:tcPr>
          <w:p w14:paraId="0846AB09">
            <w:pPr>
              <w:snapToGrid w:val="0"/>
              <w:spacing w:line="360" w:lineRule="auto"/>
              <w:jc w:val="left"/>
              <w:rPr>
                <w:rFonts w:hint="eastAsia" w:ascii="宋体" w:hAnsi="宋体"/>
                <w:color w:val="000000"/>
                <w:szCs w:val="21"/>
              </w:rPr>
            </w:pPr>
            <w:r>
              <w:rPr>
                <w:rFonts w:hint="eastAsia" w:ascii="宋体" w:hAnsi="宋体" w:cs="宋体"/>
                <w:szCs w:val="21"/>
              </w:rPr>
              <w:t>详见竞争性磋商公告。</w:t>
            </w:r>
          </w:p>
        </w:tc>
      </w:tr>
      <w:tr w14:paraId="192F6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5" w:type="dxa"/>
            <w:vMerge w:val="restart"/>
            <w:tcBorders>
              <w:top w:val="single" w:color="000000" w:sz="4" w:space="0"/>
              <w:left w:val="single" w:color="000000" w:sz="4" w:space="0"/>
              <w:bottom w:val="single" w:color="000000" w:sz="4" w:space="0"/>
              <w:right w:val="single" w:color="000000" w:sz="4" w:space="0"/>
            </w:tcBorders>
            <w:noWrap w:val="0"/>
            <w:vAlign w:val="center"/>
          </w:tcPr>
          <w:p w14:paraId="041AEB48">
            <w:pPr>
              <w:spacing w:line="360" w:lineRule="auto"/>
              <w:jc w:val="center"/>
              <w:rPr>
                <w:rFonts w:hint="eastAsia" w:ascii="宋体" w:hAnsi="宋体" w:cs="宋体"/>
                <w:szCs w:val="21"/>
              </w:rPr>
            </w:pPr>
            <w:r>
              <w:rPr>
                <w:rFonts w:hint="eastAsia" w:ascii="宋体" w:hAnsi="宋体" w:cs="宋体"/>
                <w:szCs w:val="21"/>
              </w:rPr>
              <w:t>26.2</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4A67D05">
            <w:pPr>
              <w:spacing w:line="360" w:lineRule="auto"/>
              <w:jc w:val="center"/>
              <w:rPr>
                <w:rFonts w:hint="eastAsia" w:ascii="宋体" w:hAnsi="宋体" w:cs="宋体"/>
                <w:szCs w:val="21"/>
              </w:rPr>
            </w:pPr>
            <w:r>
              <w:rPr>
                <w:rFonts w:hint="eastAsia" w:ascii="宋体" w:hAnsi="宋体" w:cs="宋体"/>
                <w:szCs w:val="21"/>
              </w:rPr>
              <w:t>负偏离要求</w:t>
            </w:r>
          </w:p>
        </w:tc>
        <w:tc>
          <w:tcPr>
            <w:tcW w:w="6271" w:type="dxa"/>
            <w:tcBorders>
              <w:top w:val="single" w:color="000000" w:sz="4" w:space="0"/>
              <w:left w:val="single" w:color="000000" w:sz="4" w:space="0"/>
              <w:bottom w:val="single" w:color="000000" w:sz="4" w:space="0"/>
              <w:right w:val="single" w:color="000000" w:sz="4" w:space="0"/>
            </w:tcBorders>
            <w:noWrap w:val="0"/>
            <w:vAlign w:val="center"/>
          </w:tcPr>
          <w:p w14:paraId="7B8F88E1">
            <w:pPr>
              <w:snapToGrid w:val="0"/>
              <w:spacing w:line="360" w:lineRule="auto"/>
              <w:rPr>
                <w:rFonts w:hint="eastAsia"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 xml:space="preserve"> </w:t>
            </w:r>
            <w:r>
              <w:rPr>
                <w:rFonts w:hint="eastAsia" w:ascii="宋体" w:hAnsi="宋体" w:cs="宋体"/>
                <w:szCs w:val="21"/>
                <w:u w:val="single"/>
                <w:lang w:val="en-US" w:eastAsia="zh-CN"/>
              </w:rPr>
              <w:t>0</w:t>
            </w:r>
            <w:r>
              <w:rPr>
                <w:rFonts w:hint="eastAsia" w:ascii="宋体" w:hAnsi="宋体" w:cs="宋体"/>
                <w:szCs w:val="21"/>
                <w:u w:val="single"/>
              </w:rPr>
              <w:t xml:space="preserve"> </w:t>
            </w:r>
            <w:r>
              <w:rPr>
                <w:rFonts w:hint="eastAsia" w:ascii="宋体" w:hAnsi="宋体" w:cs="宋体"/>
                <w:szCs w:val="21"/>
              </w:rPr>
              <w:t>项。</w:t>
            </w:r>
          </w:p>
          <w:p w14:paraId="029FE693">
            <w:pPr>
              <w:snapToGrid w:val="0"/>
              <w:spacing w:line="360" w:lineRule="auto"/>
              <w:rPr>
                <w:rFonts w:hint="eastAsia" w:ascii="宋体" w:hAnsi="宋体" w:cs="宋体"/>
                <w:szCs w:val="21"/>
              </w:rPr>
            </w:pPr>
            <w:r>
              <w:rPr>
                <w:rFonts w:hint="eastAsia" w:ascii="宋体" w:hAnsi="宋体" w:cs="宋体"/>
                <w:szCs w:val="21"/>
              </w:rPr>
              <w:t>服务需求评审中允许负偏离的条款数为</w:t>
            </w:r>
            <w:r>
              <w:rPr>
                <w:rFonts w:hint="eastAsia" w:ascii="宋体" w:hAnsi="宋体" w:cs="宋体"/>
                <w:szCs w:val="21"/>
                <w:u w:val="single"/>
                <w:lang w:val="en-US" w:eastAsia="zh-CN"/>
              </w:rPr>
              <w:t>2</w:t>
            </w:r>
            <w:r>
              <w:rPr>
                <w:rFonts w:hint="eastAsia" w:ascii="宋体" w:hAnsi="宋体" w:cs="宋体"/>
                <w:szCs w:val="21"/>
              </w:rPr>
              <w:t>项。</w:t>
            </w:r>
          </w:p>
        </w:tc>
      </w:tr>
      <w:tr w14:paraId="1F72A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BC6F8">
            <w:pPr>
              <w:widowControl/>
              <w:jc w:val="left"/>
              <w:rPr>
                <w:rFonts w:ascii="宋体" w:hAnsi="宋体" w:cs="宋体"/>
                <w:szCs w:val="21"/>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6BB8D95F">
            <w:pPr>
              <w:snapToGrid w:val="0"/>
              <w:spacing w:line="360" w:lineRule="auto"/>
              <w:jc w:val="center"/>
              <w:rPr>
                <w:rFonts w:hint="eastAsia" w:ascii="宋体" w:hAnsi="宋体" w:cs="宋体"/>
                <w:szCs w:val="21"/>
              </w:rPr>
            </w:pPr>
            <w:r>
              <w:rPr>
                <w:rFonts w:hint="eastAsia" w:ascii="宋体" w:hAnsi="宋体" w:cs="宋体"/>
                <w:szCs w:val="21"/>
              </w:rPr>
              <w:t>磋商的顺序</w:t>
            </w:r>
          </w:p>
          <w:p w14:paraId="4FCA8241">
            <w:pPr>
              <w:spacing w:line="360" w:lineRule="auto"/>
              <w:jc w:val="center"/>
              <w:rPr>
                <w:rFonts w:hint="eastAsia" w:ascii="宋体" w:hAnsi="宋体" w:cs="宋体"/>
                <w:szCs w:val="21"/>
              </w:rPr>
            </w:pPr>
          </w:p>
        </w:tc>
        <w:tc>
          <w:tcPr>
            <w:tcW w:w="6271" w:type="dxa"/>
            <w:tcBorders>
              <w:top w:val="single" w:color="000000" w:sz="4" w:space="0"/>
              <w:left w:val="single" w:color="000000" w:sz="4" w:space="0"/>
              <w:bottom w:val="single" w:color="000000" w:sz="4" w:space="0"/>
              <w:right w:val="single" w:color="000000" w:sz="4" w:space="0"/>
            </w:tcBorders>
            <w:noWrap w:val="0"/>
            <w:vAlign w:val="center"/>
          </w:tcPr>
          <w:p w14:paraId="01949B58">
            <w:pPr>
              <w:pStyle w:val="7"/>
              <w:spacing w:line="360" w:lineRule="auto"/>
              <w:rPr>
                <w:rFonts w:hint="eastAsia" w:ascii="宋体" w:hAnsi="宋体"/>
                <w:szCs w:val="21"/>
                <w:lang w:val="en-US" w:eastAsia="zh-CN"/>
              </w:rPr>
            </w:pPr>
            <w:r>
              <w:rPr>
                <w:rFonts w:hint="eastAsia" w:ascii="宋体" w:hAnsi="宋体" w:cs="宋体"/>
                <w:szCs w:val="21"/>
                <w:lang w:val="en-US" w:eastAsia="zh-CN"/>
              </w:rPr>
              <w:t>□</w:t>
            </w:r>
            <w:r>
              <w:rPr>
                <w:rFonts w:hint="eastAsia" w:ascii="宋体" w:hAnsi="宋体"/>
                <w:szCs w:val="21"/>
                <w:lang w:val="en-US" w:eastAsia="zh-CN"/>
              </w:rPr>
              <w:t>按照</w:t>
            </w:r>
            <w:r>
              <w:rPr>
                <w:rFonts w:hint="eastAsia" w:ascii="宋体" w:hAnsi="宋体" w:cs="宋体"/>
                <w:szCs w:val="21"/>
                <w:lang w:val="en-US" w:eastAsia="zh-CN"/>
              </w:rPr>
              <w:t>提交首次响应文件的顺序，通知磋商时，若某供应商不在通知现场时，该供应商排序到最后磋商，按照签到的顺序由其下一位供应商先参与磋商。</w:t>
            </w:r>
          </w:p>
          <w:p w14:paraId="59D39AB1">
            <w:pPr>
              <w:snapToGrid w:val="0"/>
              <w:spacing w:line="360" w:lineRule="auto"/>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随机排序。</w:t>
            </w:r>
          </w:p>
          <w:p w14:paraId="56EF7818">
            <w:pPr>
              <w:pStyle w:val="7"/>
              <w:spacing w:line="360" w:lineRule="auto"/>
              <w:rPr>
                <w:rFonts w:hint="eastAsia" w:ascii="宋体" w:hAnsi="宋体" w:cs="宋体"/>
                <w:b/>
                <w:szCs w:val="21"/>
                <w:lang w:val="en-US" w:eastAsia="zh-CN"/>
              </w:rPr>
            </w:pPr>
            <w:r>
              <w:rPr>
                <w:rFonts w:hint="eastAsia" w:ascii="宋体" w:hAnsi="宋体" w:cs="宋体"/>
                <w:b/>
                <w:szCs w:val="21"/>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393D5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5" w:type="dxa"/>
            <w:tcBorders>
              <w:top w:val="single" w:color="000000" w:sz="4" w:space="0"/>
              <w:left w:val="single" w:color="000000" w:sz="4" w:space="0"/>
              <w:bottom w:val="single" w:color="000000" w:sz="4" w:space="0"/>
              <w:right w:val="single" w:color="000000" w:sz="4" w:space="0"/>
            </w:tcBorders>
            <w:noWrap w:val="0"/>
            <w:vAlign w:val="center"/>
          </w:tcPr>
          <w:p w14:paraId="0EFA6A2F">
            <w:pPr>
              <w:spacing w:line="360" w:lineRule="auto"/>
              <w:jc w:val="center"/>
              <w:rPr>
                <w:rFonts w:hint="eastAsia" w:ascii="宋体" w:hAnsi="宋体" w:cs="宋体"/>
                <w:szCs w:val="21"/>
              </w:rPr>
            </w:pPr>
            <w:r>
              <w:rPr>
                <w:rFonts w:hint="eastAsia" w:ascii="宋体" w:hAnsi="宋体" w:cs="宋体"/>
                <w:szCs w:val="21"/>
              </w:rPr>
              <w:t>28</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62D01B6D">
            <w:pPr>
              <w:spacing w:line="360" w:lineRule="auto"/>
              <w:jc w:val="center"/>
              <w:rPr>
                <w:rFonts w:hint="eastAsia" w:ascii="宋体" w:hAnsi="宋体" w:cs="宋体"/>
                <w:szCs w:val="21"/>
              </w:rPr>
            </w:pPr>
            <w:r>
              <w:rPr>
                <w:rFonts w:hint="eastAsia" w:ascii="宋体" w:hAnsi="宋体" w:cs="宋体"/>
                <w:szCs w:val="21"/>
              </w:rPr>
              <w:t>履约保证金</w:t>
            </w:r>
          </w:p>
        </w:tc>
        <w:tc>
          <w:tcPr>
            <w:tcW w:w="6271" w:type="dxa"/>
            <w:tcBorders>
              <w:top w:val="single" w:color="000000" w:sz="4" w:space="0"/>
              <w:left w:val="single" w:color="000000" w:sz="4" w:space="0"/>
              <w:bottom w:val="single" w:color="000000" w:sz="4" w:space="0"/>
              <w:right w:val="single" w:color="000000" w:sz="4" w:space="0"/>
            </w:tcBorders>
            <w:noWrap w:val="0"/>
            <w:vAlign w:val="center"/>
          </w:tcPr>
          <w:p w14:paraId="710F9816">
            <w:pPr>
              <w:snapToGrid w:val="0"/>
              <w:spacing w:line="360" w:lineRule="auto"/>
              <w:rPr>
                <w:rFonts w:hint="eastAsia" w:ascii="宋体" w:hAnsi="宋体" w:cs="宋体"/>
                <w:szCs w:val="21"/>
              </w:rPr>
            </w:pPr>
            <w:r>
              <w:rPr>
                <w:rFonts w:hint="eastAsia" w:ascii="宋体" w:hAnsi="宋体" w:cs="宋体"/>
                <w:szCs w:val="21"/>
              </w:rPr>
              <w:t xml:space="preserve">本项目不收取履约保证金 </w:t>
            </w:r>
          </w:p>
        </w:tc>
      </w:tr>
      <w:tr w14:paraId="1B605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5" w:type="dxa"/>
            <w:tcBorders>
              <w:top w:val="single" w:color="000000" w:sz="4" w:space="0"/>
              <w:left w:val="single" w:color="000000" w:sz="4" w:space="0"/>
              <w:bottom w:val="single" w:color="000000" w:sz="4" w:space="0"/>
              <w:right w:val="single" w:color="000000" w:sz="4" w:space="0"/>
            </w:tcBorders>
            <w:noWrap w:val="0"/>
            <w:vAlign w:val="center"/>
          </w:tcPr>
          <w:p w14:paraId="22653729">
            <w:pPr>
              <w:spacing w:line="360" w:lineRule="auto"/>
              <w:jc w:val="center"/>
              <w:rPr>
                <w:rFonts w:hint="eastAsia" w:ascii="宋体" w:hAnsi="宋体" w:cs="宋体"/>
                <w:szCs w:val="21"/>
              </w:rPr>
            </w:pPr>
            <w:r>
              <w:rPr>
                <w:rFonts w:hint="eastAsia" w:ascii="宋体" w:hAnsi="宋体" w:cs="宋体"/>
                <w:szCs w:val="21"/>
              </w:rPr>
              <w:t>29.5</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ECABBA3">
            <w:pPr>
              <w:spacing w:line="360" w:lineRule="auto"/>
              <w:jc w:val="center"/>
              <w:rPr>
                <w:rFonts w:hint="eastAsia" w:ascii="宋体" w:hAnsi="宋体" w:cs="宋体"/>
                <w:szCs w:val="21"/>
              </w:rPr>
            </w:pPr>
            <w:r>
              <w:rPr>
                <w:rFonts w:hint="eastAsia" w:ascii="宋体" w:hAnsi="宋体"/>
                <w:szCs w:val="21"/>
              </w:rPr>
              <w:t>签订合同携带的材料</w:t>
            </w:r>
          </w:p>
        </w:tc>
        <w:tc>
          <w:tcPr>
            <w:tcW w:w="6271" w:type="dxa"/>
            <w:tcBorders>
              <w:top w:val="single" w:color="000000" w:sz="4" w:space="0"/>
              <w:left w:val="single" w:color="000000" w:sz="4" w:space="0"/>
              <w:bottom w:val="single" w:color="000000" w:sz="4" w:space="0"/>
              <w:right w:val="single" w:color="000000" w:sz="4" w:space="0"/>
            </w:tcBorders>
            <w:noWrap w:val="0"/>
            <w:vAlign w:val="center"/>
          </w:tcPr>
          <w:p w14:paraId="2E57B667">
            <w:pPr>
              <w:snapToGrid w:val="0"/>
              <w:spacing w:line="360" w:lineRule="auto"/>
              <w:rPr>
                <w:rFonts w:hint="eastAsia" w:ascii="宋体" w:hAnsi="宋体" w:cs="宋体"/>
                <w:szCs w:val="21"/>
              </w:rPr>
            </w:pPr>
            <w:r>
              <w:rPr>
                <w:rFonts w:hint="eastAsia" w:ascii="宋体" w:hAnsi="宋体"/>
                <w:szCs w:val="21"/>
              </w:rPr>
              <w:t>使用的有效CA证书加盖单位电子公章</w:t>
            </w:r>
          </w:p>
        </w:tc>
      </w:tr>
      <w:tr w14:paraId="5D722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5" w:type="dxa"/>
            <w:vMerge w:val="restart"/>
            <w:tcBorders>
              <w:top w:val="single" w:color="000000" w:sz="4" w:space="0"/>
              <w:left w:val="single" w:color="000000" w:sz="4" w:space="0"/>
              <w:bottom w:val="single" w:color="000000" w:sz="4" w:space="0"/>
              <w:right w:val="single" w:color="000000" w:sz="4" w:space="0"/>
            </w:tcBorders>
            <w:noWrap w:val="0"/>
            <w:vAlign w:val="center"/>
          </w:tcPr>
          <w:p w14:paraId="408FF9FB">
            <w:pPr>
              <w:spacing w:line="360" w:lineRule="auto"/>
              <w:jc w:val="center"/>
              <w:rPr>
                <w:rFonts w:hint="eastAsia" w:ascii="宋体" w:hAnsi="宋体" w:cs="宋体"/>
                <w:szCs w:val="21"/>
              </w:rPr>
            </w:pPr>
            <w:r>
              <w:rPr>
                <w:rFonts w:hint="eastAsia" w:ascii="宋体" w:hAnsi="宋体" w:cs="宋体"/>
                <w:szCs w:val="21"/>
              </w:rPr>
              <w:t>31.2</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7ED860D">
            <w:pPr>
              <w:spacing w:line="380" w:lineRule="exact"/>
              <w:jc w:val="center"/>
              <w:rPr>
                <w:rFonts w:hint="eastAsia" w:ascii="宋体" w:hAnsi="宋体"/>
                <w:color w:val="000000"/>
                <w:szCs w:val="21"/>
              </w:rPr>
            </w:pPr>
            <w:r>
              <w:rPr>
                <w:rFonts w:hint="eastAsia" w:ascii="宋体" w:hAnsi="宋体"/>
                <w:color w:val="000000"/>
                <w:szCs w:val="21"/>
              </w:rPr>
              <w:t>接收质疑函方式</w:t>
            </w:r>
          </w:p>
        </w:tc>
        <w:tc>
          <w:tcPr>
            <w:tcW w:w="6271" w:type="dxa"/>
            <w:tcBorders>
              <w:top w:val="single" w:color="000000" w:sz="4" w:space="0"/>
              <w:left w:val="single" w:color="000000" w:sz="4" w:space="0"/>
              <w:bottom w:val="single" w:color="000000" w:sz="4" w:space="0"/>
              <w:right w:val="single" w:color="000000" w:sz="4" w:space="0"/>
            </w:tcBorders>
            <w:noWrap w:val="0"/>
            <w:vAlign w:val="center"/>
          </w:tcPr>
          <w:p w14:paraId="35943023">
            <w:pPr>
              <w:snapToGrid w:val="0"/>
              <w:spacing w:line="380" w:lineRule="exact"/>
              <w:rPr>
                <w:rFonts w:hint="eastAsia" w:ascii="宋体" w:hAnsi="宋体"/>
                <w:color w:val="000000"/>
                <w:szCs w:val="21"/>
              </w:rPr>
            </w:pPr>
            <w:r>
              <w:rPr>
                <w:rFonts w:hint="eastAsia" w:ascii="宋体" w:hAnsi="宋体"/>
                <w:color w:val="000000"/>
                <w:szCs w:val="21"/>
              </w:rPr>
              <w:t>以书面形式</w:t>
            </w:r>
          </w:p>
        </w:tc>
      </w:tr>
      <w:tr w14:paraId="6248A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E03348">
            <w:pPr>
              <w:widowControl/>
              <w:jc w:val="left"/>
              <w:rPr>
                <w:rFonts w:ascii="宋体" w:hAnsi="宋体" w:cs="宋体"/>
                <w:szCs w:val="21"/>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3E82525">
            <w:pPr>
              <w:spacing w:line="380" w:lineRule="exact"/>
              <w:jc w:val="center"/>
              <w:rPr>
                <w:rFonts w:hint="eastAsia" w:ascii="宋体" w:hAnsi="宋体"/>
                <w:color w:val="000000"/>
                <w:szCs w:val="21"/>
              </w:rPr>
            </w:pPr>
            <w:r>
              <w:rPr>
                <w:rFonts w:hint="eastAsia" w:ascii="宋体" w:hAnsi="宋体"/>
                <w:color w:val="000000"/>
                <w:szCs w:val="21"/>
              </w:rPr>
              <w:t>质疑联系部门及联系方式</w:t>
            </w:r>
          </w:p>
        </w:tc>
        <w:tc>
          <w:tcPr>
            <w:tcW w:w="6271" w:type="dxa"/>
            <w:tcBorders>
              <w:top w:val="single" w:color="000000" w:sz="4" w:space="0"/>
              <w:left w:val="single" w:color="000000" w:sz="4" w:space="0"/>
              <w:bottom w:val="single" w:color="000000" w:sz="4" w:space="0"/>
              <w:right w:val="single" w:color="000000" w:sz="4" w:space="0"/>
            </w:tcBorders>
            <w:noWrap w:val="0"/>
            <w:vAlign w:val="center"/>
          </w:tcPr>
          <w:p w14:paraId="764D43FE">
            <w:pPr>
              <w:snapToGrid w:val="0"/>
              <w:spacing w:line="380" w:lineRule="exact"/>
              <w:rPr>
                <w:rFonts w:hint="eastAsia" w:ascii="宋体" w:hAnsi="宋体"/>
                <w:color w:val="000000"/>
                <w:szCs w:val="21"/>
              </w:rPr>
            </w:pPr>
            <w:r>
              <w:rPr>
                <w:rFonts w:hint="eastAsia" w:ascii="宋体" w:hAnsi="宋体"/>
                <w:color w:val="000000"/>
                <w:szCs w:val="21"/>
                <w:u w:val="single"/>
              </w:rPr>
              <w:t>（1）</w:t>
            </w:r>
            <w:r>
              <w:rPr>
                <w:rFonts w:hint="eastAsia" w:ascii="宋体" w:hAnsi="宋体"/>
                <w:color w:val="000000"/>
                <w:szCs w:val="21"/>
                <w:u w:val="single"/>
                <w:lang w:eastAsia="zh-CN"/>
              </w:rPr>
              <w:t>上林县政府集中采购中心</w:t>
            </w:r>
            <w:r>
              <w:rPr>
                <w:rFonts w:hint="eastAsia" w:ascii="宋体" w:hAnsi="宋体"/>
                <w:color w:val="000000"/>
                <w:szCs w:val="21"/>
                <w:u w:val="single"/>
              </w:rPr>
              <w:t xml:space="preserve"> </w:t>
            </w:r>
            <w:r>
              <w:rPr>
                <w:rFonts w:hint="eastAsia" w:ascii="宋体" w:hAnsi="宋体"/>
                <w:color w:val="000000"/>
                <w:szCs w:val="21"/>
              </w:rPr>
              <w:t>；</w:t>
            </w:r>
          </w:p>
          <w:p w14:paraId="0D7AE85B">
            <w:pPr>
              <w:snapToGrid w:val="0"/>
              <w:spacing w:line="380" w:lineRule="exact"/>
              <w:rPr>
                <w:rFonts w:hint="eastAsia" w:ascii="宋体" w:hAnsi="宋体"/>
                <w:color w:val="000000"/>
                <w:szCs w:val="21"/>
              </w:rPr>
            </w:pPr>
            <w:r>
              <w:rPr>
                <w:rFonts w:hint="eastAsia" w:ascii="宋体" w:hAnsi="宋体"/>
                <w:color w:val="000000"/>
                <w:szCs w:val="21"/>
              </w:rPr>
              <w:t>联系电话：</w:t>
            </w:r>
            <w:bookmarkStart w:id="54" w:name="PO_3000001866_PM033_1"/>
            <w:r>
              <w:rPr>
                <w:rFonts w:hint="eastAsia" w:ascii="宋体" w:hAnsi="宋体"/>
                <w:color w:val="000000"/>
                <w:szCs w:val="21"/>
              </w:rPr>
              <w:t>0771-</w:t>
            </w:r>
            <w:bookmarkEnd w:id="54"/>
            <w:r>
              <w:rPr>
                <w:rFonts w:hint="eastAsia" w:ascii="宋体" w:hAnsi="宋体"/>
                <w:color w:val="000000"/>
                <w:szCs w:val="21"/>
                <w:lang w:val="en-US" w:eastAsia="zh-CN"/>
              </w:rPr>
              <w:t>5280359</w:t>
            </w:r>
            <w:r>
              <w:rPr>
                <w:rFonts w:hint="eastAsia" w:ascii="宋体" w:hAnsi="宋体"/>
                <w:color w:val="000000"/>
                <w:szCs w:val="21"/>
              </w:rPr>
              <w:t>，</w:t>
            </w:r>
          </w:p>
          <w:p w14:paraId="603B6CAA">
            <w:pPr>
              <w:snapToGrid w:val="0"/>
              <w:spacing w:line="380" w:lineRule="exact"/>
              <w:rPr>
                <w:rFonts w:hint="eastAsia" w:ascii="宋体" w:hAnsi="宋体"/>
                <w:color w:val="000000"/>
                <w:szCs w:val="21"/>
              </w:rPr>
            </w:pPr>
            <w:r>
              <w:rPr>
                <w:rFonts w:hint="eastAsia" w:ascii="宋体" w:hAnsi="宋体"/>
                <w:color w:val="000000"/>
                <w:szCs w:val="21"/>
              </w:rPr>
              <w:t>通讯地址</w:t>
            </w:r>
            <w:r>
              <w:rPr>
                <w:rFonts w:hint="eastAsia" w:ascii="宋体" w:hAnsi="宋体" w:cs="Helvetica"/>
                <w:color w:val="000000"/>
                <w:szCs w:val="21"/>
              </w:rPr>
              <w:t>：</w:t>
            </w:r>
            <w:bookmarkStart w:id="55" w:name="PO_3000001866_PM035"/>
            <w:r>
              <w:rPr>
                <w:rFonts w:hint="eastAsia" w:ascii="宋体" w:hAnsi="宋体"/>
                <w:color w:val="000000"/>
                <w:szCs w:val="21"/>
                <w:u w:val="single"/>
                <w:lang w:eastAsia="zh-CN"/>
              </w:rPr>
              <w:t>上林县</w:t>
            </w:r>
            <w:bookmarkEnd w:id="55"/>
            <w:r>
              <w:rPr>
                <w:rFonts w:hint="eastAsia" w:ascii="宋体" w:hAnsi="宋体"/>
                <w:color w:val="000000"/>
                <w:szCs w:val="21"/>
                <w:u w:val="single"/>
                <w:lang w:eastAsia="zh-CN"/>
              </w:rPr>
              <w:t>林溪路</w:t>
            </w:r>
            <w:r>
              <w:rPr>
                <w:rFonts w:hint="eastAsia" w:ascii="宋体" w:hAnsi="宋体"/>
                <w:color w:val="000000"/>
                <w:szCs w:val="21"/>
                <w:u w:val="single"/>
                <w:lang w:val="en-US" w:eastAsia="zh-CN"/>
              </w:rPr>
              <w:t>4</w:t>
            </w:r>
            <w:r>
              <w:rPr>
                <w:rFonts w:hint="eastAsia" w:ascii="宋体" w:hAnsi="宋体"/>
                <w:color w:val="000000"/>
                <w:szCs w:val="21"/>
                <w:u w:val="single"/>
                <w:lang w:eastAsia="zh-CN"/>
              </w:rPr>
              <w:t>号（县财政局一楼）</w:t>
            </w:r>
            <w:r>
              <w:rPr>
                <w:rFonts w:hint="eastAsia" w:ascii="宋体" w:hAnsi="宋体"/>
                <w:color w:val="000000"/>
                <w:szCs w:val="21"/>
              </w:rPr>
              <w:t xml:space="preserve"> </w:t>
            </w:r>
          </w:p>
          <w:p w14:paraId="46FE55C4">
            <w:pPr>
              <w:snapToGrid w:val="0"/>
              <w:spacing w:line="380" w:lineRule="exact"/>
              <w:rPr>
                <w:rFonts w:hint="eastAsia" w:ascii="宋体" w:hAnsi="宋体"/>
                <w:color w:val="000000"/>
                <w:szCs w:val="21"/>
              </w:rPr>
            </w:pPr>
            <w:r>
              <w:rPr>
                <w:rFonts w:hint="eastAsia" w:ascii="宋体" w:hAnsi="宋体"/>
                <w:color w:val="000000"/>
                <w:szCs w:val="21"/>
                <w:u w:val="single"/>
              </w:rPr>
              <w:t>（2）</w:t>
            </w:r>
            <w:bookmarkStart w:id="56" w:name="PO_3000001866_PM026_2"/>
            <w:r>
              <w:rPr>
                <w:rFonts w:hint="eastAsia" w:ascii="宋体" w:hAnsi="宋体"/>
                <w:color w:val="000000"/>
                <w:szCs w:val="21"/>
                <w:u w:val="single"/>
                <w:lang w:eastAsia="zh-CN"/>
              </w:rPr>
              <w:t>上林县</w:t>
            </w:r>
            <w:r>
              <w:rPr>
                <w:rFonts w:hint="eastAsia" w:ascii="宋体" w:hAnsi="宋体"/>
                <w:color w:val="000000"/>
                <w:szCs w:val="21"/>
                <w:u w:val="single"/>
              </w:rPr>
              <w:t>机关后勤服务中心</w:t>
            </w:r>
            <w:bookmarkEnd w:id="56"/>
            <w:r>
              <w:rPr>
                <w:rFonts w:hint="eastAsia" w:ascii="宋体" w:hAnsi="宋体"/>
                <w:color w:val="000000"/>
                <w:szCs w:val="21"/>
                <w:u w:val="single"/>
              </w:rPr>
              <w:t xml:space="preserve"> </w:t>
            </w:r>
            <w:r>
              <w:rPr>
                <w:rFonts w:hint="eastAsia" w:ascii="宋体" w:hAnsi="宋体"/>
                <w:color w:val="000000"/>
                <w:szCs w:val="21"/>
              </w:rPr>
              <w:t>；</w:t>
            </w:r>
          </w:p>
          <w:p w14:paraId="3B6ED206">
            <w:pPr>
              <w:snapToGrid w:val="0"/>
              <w:spacing w:line="380" w:lineRule="exact"/>
              <w:rPr>
                <w:rFonts w:hint="eastAsia" w:ascii="宋体" w:hAnsi="宋体"/>
                <w:color w:val="000000"/>
                <w:szCs w:val="21"/>
              </w:rPr>
            </w:pPr>
            <w:r>
              <w:rPr>
                <w:rFonts w:hint="eastAsia" w:ascii="宋体" w:hAnsi="宋体"/>
                <w:color w:val="000000"/>
                <w:szCs w:val="21"/>
              </w:rPr>
              <w:t>联系电话：</w:t>
            </w:r>
            <w:bookmarkStart w:id="57" w:name="PO_3000001866_PM028_1"/>
            <w:r>
              <w:rPr>
                <w:rFonts w:hint="eastAsia" w:ascii="宋体" w:hAnsi="宋体"/>
                <w:color w:val="000000"/>
                <w:szCs w:val="21"/>
              </w:rPr>
              <w:t>0771-5</w:t>
            </w:r>
            <w:bookmarkEnd w:id="57"/>
            <w:r>
              <w:rPr>
                <w:rFonts w:hint="eastAsia" w:ascii="宋体" w:hAnsi="宋体"/>
                <w:color w:val="000000"/>
                <w:szCs w:val="21"/>
                <w:lang w:val="en-US" w:eastAsia="zh-CN"/>
              </w:rPr>
              <w:t>222634</w:t>
            </w:r>
            <w:r>
              <w:rPr>
                <w:rFonts w:hint="eastAsia" w:ascii="宋体" w:hAnsi="宋体"/>
                <w:color w:val="000000"/>
                <w:szCs w:val="21"/>
              </w:rPr>
              <w:t>，</w:t>
            </w:r>
          </w:p>
          <w:p w14:paraId="0E4C8A64">
            <w:pPr>
              <w:snapToGrid w:val="0"/>
              <w:spacing w:line="380" w:lineRule="exact"/>
              <w:rPr>
                <w:rFonts w:hint="eastAsia" w:ascii="宋体" w:hAnsi="宋体"/>
                <w:color w:val="000000"/>
                <w:szCs w:val="21"/>
              </w:rPr>
            </w:pPr>
            <w:r>
              <w:rPr>
                <w:rFonts w:hint="eastAsia" w:ascii="宋体" w:hAnsi="宋体"/>
                <w:color w:val="000000"/>
                <w:szCs w:val="21"/>
              </w:rPr>
              <w:t>通讯地址</w:t>
            </w:r>
            <w:r>
              <w:rPr>
                <w:rFonts w:hint="eastAsia" w:ascii="宋体" w:hAnsi="宋体" w:cs="Helvetica"/>
                <w:color w:val="000000"/>
                <w:szCs w:val="21"/>
              </w:rPr>
              <w:t>：</w:t>
            </w:r>
            <w:bookmarkStart w:id="58" w:name="PO_3000001866_PM030_2"/>
            <w:r>
              <w:rPr>
                <w:rFonts w:hint="eastAsia" w:ascii="宋体" w:hAnsi="宋体"/>
                <w:color w:val="000000"/>
                <w:szCs w:val="21"/>
                <w:u w:val="single"/>
                <w:lang w:eastAsia="zh-CN"/>
              </w:rPr>
              <w:t>上林县</w:t>
            </w:r>
            <w:bookmarkEnd w:id="58"/>
            <w:r>
              <w:rPr>
                <w:rFonts w:hint="eastAsia" w:ascii="宋体" w:hAnsi="宋体"/>
                <w:color w:val="000000"/>
                <w:szCs w:val="21"/>
                <w:u w:val="single"/>
                <w:lang w:eastAsia="zh-CN"/>
              </w:rPr>
              <w:t>明山路</w:t>
            </w:r>
            <w:r>
              <w:rPr>
                <w:rFonts w:hint="eastAsia" w:ascii="宋体" w:hAnsi="宋体"/>
                <w:color w:val="000000"/>
                <w:szCs w:val="21"/>
                <w:u w:val="single"/>
                <w:lang w:val="en-US" w:eastAsia="zh-CN"/>
              </w:rPr>
              <w:t>116号</w:t>
            </w:r>
            <w:r>
              <w:rPr>
                <w:rFonts w:hint="eastAsia" w:ascii="宋体" w:hAnsi="宋体"/>
                <w:color w:val="000000"/>
                <w:szCs w:val="21"/>
              </w:rPr>
              <w:t xml:space="preserve">  </w:t>
            </w:r>
          </w:p>
        </w:tc>
      </w:tr>
      <w:tr w14:paraId="24327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E37C13">
            <w:pPr>
              <w:widowControl/>
              <w:jc w:val="left"/>
              <w:rPr>
                <w:rFonts w:ascii="宋体" w:hAnsi="宋体" w:cs="宋体"/>
                <w:szCs w:val="21"/>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C912F9C">
            <w:pPr>
              <w:spacing w:line="380" w:lineRule="exact"/>
              <w:jc w:val="center"/>
              <w:rPr>
                <w:rFonts w:hint="eastAsia" w:ascii="宋体" w:hAnsi="宋体"/>
                <w:color w:val="000000"/>
                <w:szCs w:val="21"/>
              </w:rPr>
            </w:pPr>
            <w:r>
              <w:rPr>
                <w:rFonts w:hint="eastAsia" w:hAnsi="宋体"/>
                <w:color w:val="000000"/>
              </w:rPr>
              <w:t>现场提交质疑办理业务时间</w:t>
            </w:r>
          </w:p>
        </w:tc>
        <w:tc>
          <w:tcPr>
            <w:tcW w:w="6271" w:type="dxa"/>
            <w:tcBorders>
              <w:top w:val="single" w:color="000000" w:sz="4" w:space="0"/>
              <w:left w:val="single" w:color="000000" w:sz="4" w:space="0"/>
              <w:bottom w:val="single" w:color="000000" w:sz="4" w:space="0"/>
              <w:right w:val="single" w:color="000000" w:sz="4" w:space="0"/>
            </w:tcBorders>
            <w:noWrap w:val="0"/>
            <w:vAlign w:val="center"/>
          </w:tcPr>
          <w:p w14:paraId="09A915DF">
            <w:pPr>
              <w:snapToGrid w:val="0"/>
              <w:spacing w:line="380" w:lineRule="exact"/>
              <w:rPr>
                <w:rFonts w:hint="eastAsia" w:ascii="宋体" w:hAnsi="宋体"/>
                <w:color w:val="000000"/>
                <w:szCs w:val="21"/>
              </w:rPr>
            </w:pPr>
            <w:r>
              <w:rPr>
                <w:rFonts w:hint="eastAsia" w:hAnsi="宋体"/>
                <w:color w:val="000000"/>
              </w:rPr>
              <w:t>质疑期内每个工作日</w:t>
            </w:r>
            <w:r>
              <w:rPr>
                <w:rFonts w:hint="eastAsia" w:hAnsi="宋体"/>
                <w:color w:val="000000"/>
                <w:u w:val="single"/>
              </w:rPr>
              <w:t>9</w:t>
            </w:r>
            <w:r>
              <w:rPr>
                <w:rFonts w:hAnsi="宋体"/>
                <w:color w:val="000000"/>
                <w:u w:val="single"/>
              </w:rPr>
              <w:t xml:space="preserve"> </w:t>
            </w:r>
            <w:r>
              <w:rPr>
                <w:rFonts w:hint="eastAsia" w:hAnsi="宋体"/>
                <w:color w:val="000000"/>
              </w:rPr>
              <w:t>时</w:t>
            </w:r>
            <w:r>
              <w:rPr>
                <w:rFonts w:hint="eastAsia" w:hAnsi="宋体"/>
                <w:color w:val="000000"/>
                <w:u w:val="single"/>
              </w:rPr>
              <w:t>00</w:t>
            </w:r>
            <w:r>
              <w:rPr>
                <w:rFonts w:hint="eastAsia" w:hAnsi="宋体"/>
                <w:color w:val="000000"/>
              </w:rPr>
              <w:t>分到</w:t>
            </w:r>
            <w:r>
              <w:rPr>
                <w:rFonts w:hint="eastAsia" w:hAnsi="宋体"/>
                <w:color w:val="000000"/>
                <w:u w:val="single"/>
              </w:rPr>
              <w:t>12</w:t>
            </w:r>
            <w:r>
              <w:rPr>
                <w:rFonts w:hint="eastAsia" w:hAnsi="宋体"/>
                <w:color w:val="000000"/>
              </w:rPr>
              <w:t>时</w:t>
            </w:r>
            <w:r>
              <w:rPr>
                <w:rFonts w:hint="eastAsia" w:hAnsi="宋体"/>
                <w:color w:val="000000"/>
                <w:u w:val="single"/>
              </w:rPr>
              <w:t>00</w:t>
            </w:r>
            <w:r>
              <w:rPr>
                <w:rFonts w:hint="eastAsia" w:hAnsi="宋体"/>
                <w:color w:val="000000"/>
              </w:rPr>
              <w:t>分，</w:t>
            </w:r>
            <w:r>
              <w:rPr>
                <w:rFonts w:hint="eastAsia" w:hAnsi="宋体"/>
                <w:color w:val="000000"/>
                <w:u w:val="single"/>
              </w:rPr>
              <w:t>1</w:t>
            </w:r>
            <w:r>
              <w:rPr>
                <w:rFonts w:hint="eastAsia" w:hAnsi="宋体"/>
                <w:color w:val="000000"/>
                <w:u w:val="single"/>
                <w:lang w:val="en-US" w:eastAsia="zh-CN"/>
              </w:rPr>
              <w:t>5</w:t>
            </w:r>
            <w:r>
              <w:rPr>
                <w:rFonts w:hint="eastAsia" w:hAnsi="宋体"/>
                <w:color w:val="000000"/>
              </w:rPr>
              <w:t>时</w:t>
            </w:r>
            <w:r>
              <w:rPr>
                <w:rFonts w:hint="eastAsia" w:hAnsi="宋体"/>
                <w:color w:val="000000"/>
                <w:u w:val="single"/>
                <w:lang w:val="en-US" w:eastAsia="zh-CN"/>
              </w:rPr>
              <w:t>0</w:t>
            </w:r>
            <w:r>
              <w:rPr>
                <w:rFonts w:hint="eastAsia" w:hAnsi="宋体"/>
                <w:color w:val="000000"/>
                <w:u w:val="single"/>
              </w:rPr>
              <w:t>0</w:t>
            </w:r>
            <w:r>
              <w:rPr>
                <w:rFonts w:hint="eastAsia" w:hAnsi="宋体"/>
                <w:color w:val="000000"/>
              </w:rPr>
              <w:t>分到</w:t>
            </w:r>
            <w:r>
              <w:rPr>
                <w:rFonts w:hint="eastAsia" w:hAnsi="宋体"/>
                <w:color w:val="000000"/>
                <w:u w:val="single"/>
                <w:lang w:val="en-US" w:eastAsia="zh-CN"/>
              </w:rPr>
              <w:t>18</w:t>
            </w:r>
            <w:r>
              <w:rPr>
                <w:rFonts w:hint="eastAsia" w:hAnsi="宋体"/>
                <w:color w:val="000000"/>
              </w:rPr>
              <w:t>时</w:t>
            </w:r>
            <w:r>
              <w:rPr>
                <w:rFonts w:hint="eastAsia" w:hAnsi="宋体"/>
                <w:color w:val="000000"/>
                <w:u w:val="single"/>
              </w:rPr>
              <w:t>00</w:t>
            </w:r>
            <w:r>
              <w:rPr>
                <w:rFonts w:hint="eastAsia" w:hAnsi="宋体"/>
                <w:color w:val="000000"/>
              </w:rPr>
              <w:t>分</w:t>
            </w:r>
          </w:p>
        </w:tc>
      </w:tr>
      <w:tr w14:paraId="27660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5" w:type="dxa"/>
            <w:tcBorders>
              <w:top w:val="single" w:color="000000" w:sz="4" w:space="0"/>
              <w:left w:val="single" w:color="000000" w:sz="4" w:space="0"/>
              <w:bottom w:val="single" w:color="000000" w:sz="4" w:space="0"/>
              <w:right w:val="single" w:color="000000" w:sz="4" w:space="0"/>
            </w:tcBorders>
            <w:noWrap w:val="0"/>
            <w:vAlign w:val="center"/>
          </w:tcPr>
          <w:p w14:paraId="58762516">
            <w:pPr>
              <w:spacing w:line="360" w:lineRule="auto"/>
              <w:jc w:val="center"/>
              <w:rPr>
                <w:rFonts w:hint="eastAsia" w:ascii="宋体" w:hAnsi="宋体" w:cs="宋体"/>
                <w:szCs w:val="21"/>
              </w:rPr>
            </w:pPr>
            <w:r>
              <w:rPr>
                <w:rFonts w:hint="eastAsia" w:ascii="宋体" w:hAnsi="宋体" w:cs="宋体"/>
                <w:szCs w:val="21"/>
              </w:rPr>
              <w:t>31.6</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C4C8B06">
            <w:pPr>
              <w:spacing w:line="360" w:lineRule="auto"/>
              <w:jc w:val="center"/>
              <w:rPr>
                <w:rFonts w:hint="eastAsia" w:ascii="宋体" w:hAnsi="宋体" w:cs="宋体"/>
                <w:szCs w:val="21"/>
              </w:rPr>
            </w:pPr>
            <w:r>
              <w:rPr>
                <w:rFonts w:hint="eastAsia" w:ascii="宋体" w:hAnsi="宋体" w:cs="宋体"/>
                <w:szCs w:val="21"/>
              </w:rPr>
              <w:t>受理投诉方式</w:t>
            </w:r>
          </w:p>
        </w:tc>
        <w:tc>
          <w:tcPr>
            <w:tcW w:w="6271" w:type="dxa"/>
            <w:tcBorders>
              <w:top w:val="single" w:color="000000" w:sz="4" w:space="0"/>
              <w:left w:val="single" w:color="000000" w:sz="4" w:space="0"/>
              <w:bottom w:val="single" w:color="000000" w:sz="4" w:space="0"/>
              <w:right w:val="single" w:color="000000" w:sz="4" w:space="0"/>
            </w:tcBorders>
            <w:noWrap w:val="0"/>
            <w:vAlign w:val="center"/>
          </w:tcPr>
          <w:p w14:paraId="5F06FDE8">
            <w:pPr>
              <w:snapToGrid w:val="0"/>
              <w:spacing w:line="380" w:lineRule="exact"/>
              <w:rPr>
                <w:rFonts w:hint="eastAsia" w:hAnsi="宋体"/>
                <w:color w:val="000000"/>
              </w:rPr>
            </w:pPr>
            <w:r>
              <w:rPr>
                <w:rFonts w:hAnsi="宋体"/>
                <w:color w:val="000000"/>
              </w:rPr>
              <w:t>1</w:t>
            </w:r>
            <w:r>
              <w:rPr>
                <w:rFonts w:hint="eastAsia" w:hAnsi="宋体"/>
                <w:color w:val="000000"/>
              </w:rPr>
              <w:t>、受理方式：纸质方式受理，投诉书正、副本（经过质疑的事项才可投诉）。</w:t>
            </w:r>
          </w:p>
          <w:p w14:paraId="349B5306">
            <w:pPr>
              <w:snapToGrid w:val="0"/>
              <w:spacing w:line="380" w:lineRule="exact"/>
              <w:rPr>
                <w:rFonts w:hAnsi="宋体"/>
                <w:color w:val="000000"/>
              </w:rPr>
            </w:pPr>
            <w:r>
              <w:rPr>
                <w:rFonts w:hAnsi="宋体"/>
                <w:color w:val="000000"/>
              </w:rPr>
              <w:t>2</w:t>
            </w:r>
            <w:r>
              <w:rPr>
                <w:rFonts w:hint="eastAsia" w:hAnsi="宋体"/>
                <w:color w:val="000000"/>
              </w:rPr>
              <w:t>、邮寄地址：</w:t>
            </w:r>
          </w:p>
          <w:p w14:paraId="71E3F490">
            <w:pPr>
              <w:snapToGrid w:val="0"/>
              <w:spacing w:line="380" w:lineRule="exact"/>
              <w:rPr>
                <w:rFonts w:hint="eastAsia" w:hAnsi="宋体"/>
                <w:color w:val="000000"/>
              </w:rPr>
            </w:pPr>
            <w:r>
              <w:rPr>
                <w:rFonts w:hint="eastAsia" w:hAnsi="宋体"/>
                <w:color w:val="000000"/>
              </w:rPr>
              <w:t>名称：上林县财政局</w:t>
            </w:r>
          </w:p>
          <w:p w14:paraId="75C7E78B">
            <w:pPr>
              <w:snapToGrid w:val="0"/>
              <w:spacing w:line="380" w:lineRule="exact"/>
              <w:rPr>
                <w:rFonts w:hAnsi="宋体"/>
                <w:color w:val="000000"/>
              </w:rPr>
            </w:pPr>
            <w:r>
              <w:rPr>
                <w:rFonts w:hint="eastAsia" w:hAnsi="宋体"/>
                <w:color w:val="000000"/>
              </w:rPr>
              <w:t>地址：上林县大丰镇林溪路4号</w:t>
            </w:r>
          </w:p>
          <w:p w14:paraId="4C50A9FB">
            <w:pPr>
              <w:snapToGrid w:val="0"/>
              <w:spacing w:line="380" w:lineRule="exact"/>
              <w:rPr>
                <w:rFonts w:hAnsi="宋体" w:cs="宋体"/>
              </w:rPr>
            </w:pPr>
            <w:r>
              <w:rPr>
                <w:rFonts w:hint="eastAsia" w:hAnsi="宋体"/>
                <w:color w:val="000000"/>
              </w:rPr>
              <w:t>联系电话：</w:t>
            </w:r>
            <w:bookmarkStart w:id="59" w:name="PO_3000001867_PM038"/>
            <w:r>
              <w:rPr>
                <w:rFonts w:hint="eastAsia" w:hAnsi="宋体"/>
                <w:color w:val="000000"/>
              </w:rPr>
              <w:t>0771-5</w:t>
            </w:r>
            <w:bookmarkEnd w:id="59"/>
            <w:r>
              <w:rPr>
                <w:rFonts w:hint="eastAsia" w:hAnsi="宋体"/>
                <w:color w:val="000000"/>
              </w:rPr>
              <w:t>22</w:t>
            </w:r>
            <w:r>
              <w:rPr>
                <w:rFonts w:hint="eastAsia" w:hAnsi="宋体"/>
                <w:color w:val="000000"/>
                <w:lang w:val="en-US" w:eastAsia="zh-CN"/>
              </w:rPr>
              <w:t>8447</w:t>
            </w:r>
          </w:p>
        </w:tc>
      </w:tr>
      <w:tr w14:paraId="1C6D5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5" w:type="dxa"/>
            <w:tcBorders>
              <w:top w:val="single" w:color="000000" w:sz="4" w:space="0"/>
              <w:left w:val="single" w:color="000000" w:sz="4" w:space="0"/>
              <w:bottom w:val="single" w:color="000000" w:sz="4" w:space="0"/>
              <w:right w:val="single" w:color="000000" w:sz="4" w:space="0"/>
            </w:tcBorders>
            <w:noWrap w:val="0"/>
            <w:vAlign w:val="center"/>
          </w:tcPr>
          <w:p w14:paraId="7FB877E8">
            <w:pPr>
              <w:spacing w:line="360" w:lineRule="auto"/>
              <w:jc w:val="center"/>
              <w:rPr>
                <w:rFonts w:ascii="宋体" w:hAnsi="宋体" w:cs="宋体"/>
                <w:szCs w:val="21"/>
              </w:rPr>
            </w:pPr>
            <w:r>
              <w:rPr>
                <w:rFonts w:hint="eastAsia" w:ascii="宋体" w:hAnsi="宋体" w:cs="宋体"/>
                <w:szCs w:val="21"/>
              </w:rPr>
              <w:t>33</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9D4CD66">
            <w:pPr>
              <w:spacing w:line="360" w:lineRule="auto"/>
              <w:jc w:val="center"/>
              <w:rPr>
                <w:rFonts w:hint="eastAsia" w:ascii="宋体" w:hAnsi="宋体" w:cs="宋体"/>
                <w:szCs w:val="21"/>
              </w:rPr>
            </w:pPr>
            <w:r>
              <w:rPr>
                <w:rFonts w:hint="eastAsia" w:ascii="宋体" w:hAnsi="宋体" w:cs="宋体"/>
                <w:szCs w:val="21"/>
              </w:rPr>
              <w:t>采购代理费</w:t>
            </w:r>
          </w:p>
        </w:tc>
        <w:tc>
          <w:tcPr>
            <w:tcW w:w="6271" w:type="dxa"/>
            <w:tcBorders>
              <w:top w:val="single" w:color="000000" w:sz="4" w:space="0"/>
              <w:left w:val="single" w:color="000000" w:sz="4" w:space="0"/>
              <w:bottom w:val="single" w:color="000000" w:sz="4" w:space="0"/>
              <w:right w:val="single" w:color="000000" w:sz="4" w:space="0"/>
            </w:tcBorders>
            <w:noWrap w:val="0"/>
            <w:vAlign w:val="center"/>
          </w:tcPr>
          <w:p w14:paraId="5AE53709">
            <w:pPr>
              <w:pStyle w:val="13"/>
              <w:snapToGrid w:val="0"/>
              <w:spacing w:line="360" w:lineRule="auto"/>
              <w:rPr>
                <w:rFonts w:hint="eastAsia" w:hAnsi="宋体" w:cs="宋体"/>
                <w:sz w:val="21"/>
                <w:lang w:val="en-US" w:eastAsia="zh-CN"/>
              </w:rPr>
            </w:pPr>
            <w:r>
              <w:rPr>
                <w:rFonts w:hint="eastAsia" w:ascii="Times New Roman" w:hAnsi="宋体" w:eastAsia="宋体" w:cs="Times New Roman"/>
                <w:color w:val="000000"/>
                <w:kern w:val="2"/>
                <w:sz w:val="21"/>
                <w:szCs w:val="24"/>
                <w:lang w:val="en-US" w:eastAsia="zh-CN" w:bidi="ar-SA"/>
              </w:rPr>
              <w:t>本项目不收取代理服务费。</w:t>
            </w:r>
          </w:p>
        </w:tc>
      </w:tr>
      <w:tr w14:paraId="3D63B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5" w:type="dxa"/>
            <w:tcBorders>
              <w:top w:val="single" w:color="000000" w:sz="4" w:space="0"/>
              <w:left w:val="single" w:color="000000" w:sz="4" w:space="0"/>
              <w:bottom w:val="single" w:color="000000" w:sz="4" w:space="0"/>
              <w:right w:val="single" w:color="000000" w:sz="4" w:space="0"/>
            </w:tcBorders>
            <w:noWrap w:val="0"/>
            <w:vAlign w:val="center"/>
          </w:tcPr>
          <w:p w14:paraId="1CC51159">
            <w:pPr>
              <w:spacing w:line="360" w:lineRule="auto"/>
              <w:jc w:val="center"/>
              <w:rPr>
                <w:rFonts w:hint="eastAsia" w:ascii="宋体" w:hAnsi="宋体" w:cs="宋体"/>
                <w:szCs w:val="21"/>
              </w:rPr>
            </w:pPr>
            <w:r>
              <w:rPr>
                <w:rFonts w:hint="eastAsia" w:ascii="宋体" w:hAnsi="宋体" w:cs="宋体"/>
                <w:szCs w:val="21"/>
              </w:rPr>
              <w:t>34.1</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20744865">
            <w:pPr>
              <w:spacing w:line="360" w:lineRule="auto"/>
              <w:jc w:val="center"/>
              <w:rPr>
                <w:rFonts w:hint="eastAsia" w:ascii="宋体" w:hAnsi="宋体" w:cs="宋体"/>
                <w:szCs w:val="21"/>
              </w:rPr>
            </w:pPr>
            <w:r>
              <w:rPr>
                <w:rFonts w:hint="eastAsia" w:hAnsi="宋体"/>
              </w:rPr>
              <w:t>解释</w:t>
            </w:r>
          </w:p>
        </w:tc>
        <w:tc>
          <w:tcPr>
            <w:tcW w:w="6271" w:type="dxa"/>
            <w:tcBorders>
              <w:top w:val="single" w:color="000000" w:sz="4" w:space="0"/>
              <w:left w:val="single" w:color="000000" w:sz="4" w:space="0"/>
              <w:bottom w:val="single" w:color="000000" w:sz="4" w:space="0"/>
              <w:right w:val="single" w:color="000000" w:sz="4" w:space="0"/>
            </w:tcBorders>
            <w:noWrap w:val="0"/>
            <w:vAlign w:val="center"/>
          </w:tcPr>
          <w:p w14:paraId="545D48B8">
            <w:pPr>
              <w:pStyle w:val="13"/>
              <w:snapToGrid w:val="0"/>
              <w:spacing w:line="360" w:lineRule="auto"/>
              <w:rPr>
                <w:rFonts w:hint="eastAsia" w:hAnsi="宋体" w:cs="宋体"/>
                <w:b/>
                <w:sz w:val="21"/>
                <w:lang w:val="en-US" w:eastAsia="zh-CN"/>
              </w:rPr>
            </w:pPr>
            <w:r>
              <w:rPr>
                <w:rFonts w:hint="eastAsia" w:hAnsi="宋体" w:cs="宋体"/>
                <w:b/>
                <w:sz w:val="21"/>
                <w:lang w:val="en-US" w:eastAsia="zh-CN"/>
              </w:rPr>
              <w:t>解释权：</w:t>
            </w:r>
            <w:r>
              <w:rPr>
                <w:rFonts w:hint="eastAsia" w:hAnsi="宋体" w:cs="宋体"/>
                <w:sz w:val="21"/>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sz w:val="21"/>
                <w:lang w:val="en-US" w:eastAsia="zh-CN"/>
              </w:rPr>
              <w:t>由采购人或者采购代理机构负责解释。</w:t>
            </w:r>
          </w:p>
          <w:p w14:paraId="711BAF01">
            <w:pPr>
              <w:pStyle w:val="13"/>
              <w:snapToGrid w:val="0"/>
              <w:spacing w:line="360" w:lineRule="auto"/>
              <w:rPr>
                <w:rFonts w:hint="eastAsia" w:hAnsi="宋体" w:cs="宋体"/>
                <w:b/>
                <w:sz w:val="21"/>
                <w:lang w:val="en-US" w:eastAsia="zh-CN"/>
              </w:rPr>
            </w:pPr>
            <w:r>
              <w:rPr>
                <w:rFonts w:hint="eastAsia" w:hAnsi="宋体" w:cs="宋体"/>
                <w:b/>
                <w:sz w:val="21"/>
                <w:lang w:val="en-US" w:eastAsia="zh-CN"/>
              </w:rPr>
              <w:t>法律责任：</w:t>
            </w:r>
          </w:p>
          <w:p w14:paraId="3BE06F8A">
            <w:pPr>
              <w:pStyle w:val="13"/>
              <w:snapToGrid w:val="0"/>
              <w:spacing w:line="360" w:lineRule="auto"/>
              <w:rPr>
                <w:rFonts w:hint="eastAsia" w:hAnsi="宋体" w:cs="宋体"/>
                <w:sz w:val="21"/>
                <w:lang w:val="en-US" w:eastAsia="zh-CN"/>
              </w:rPr>
            </w:pPr>
            <w:r>
              <w:rPr>
                <w:rFonts w:hint="eastAsia" w:hAnsi="宋体" w:cs="宋体"/>
                <w:b/>
                <w:sz w:val="21"/>
                <w:lang w:val="en-US" w:eastAsia="zh-CN"/>
              </w:rPr>
              <w:t>1.</w:t>
            </w:r>
            <w:r>
              <w:rPr>
                <w:rFonts w:hint="eastAsia" w:hAnsi="宋体" w:cs="宋体"/>
                <w:sz w:val="21"/>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600754C3">
            <w:pPr>
              <w:spacing w:line="360" w:lineRule="auto"/>
              <w:rPr>
                <w:rFonts w:hint="eastAsia" w:hAnsi="宋体" w:cs="宋体"/>
              </w:rPr>
            </w:pPr>
            <w:r>
              <w:rPr>
                <w:rFonts w:hAnsi="宋体" w:cs="宋体"/>
                <w:b/>
                <w:color w:val="auto"/>
              </w:rPr>
              <w:t>2.</w:t>
            </w:r>
            <w:r>
              <w:rPr>
                <w:rFonts w:hint="eastAsia" w:ascii="宋体" w:hAnsi="宋体"/>
                <w:b/>
                <w:color w:val="auto"/>
                <w:szCs w:val="21"/>
              </w:rPr>
              <w:t xml:space="preserve"> 本项目采购代理机构应严格按照“政采云”平台项目采购全流程电子化电子开评标规程执行项目采购活动，代理机构在“政采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28830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5" w:type="dxa"/>
            <w:tcBorders>
              <w:top w:val="single" w:color="000000" w:sz="4" w:space="0"/>
              <w:left w:val="single" w:color="000000" w:sz="4" w:space="0"/>
              <w:bottom w:val="single" w:color="000000" w:sz="4" w:space="0"/>
              <w:right w:val="single" w:color="000000" w:sz="4" w:space="0"/>
            </w:tcBorders>
            <w:noWrap w:val="0"/>
            <w:vAlign w:val="center"/>
          </w:tcPr>
          <w:p w14:paraId="13788275">
            <w:pPr>
              <w:spacing w:line="360" w:lineRule="auto"/>
              <w:jc w:val="center"/>
              <w:rPr>
                <w:rFonts w:ascii="宋体" w:hAnsi="宋体" w:cs="宋体"/>
                <w:szCs w:val="21"/>
              </w:rPr>
            </w:pPr>
            <w:r>
              <w:rPr>
                <w:rFonts w:hint="eastAsia" w:ascii="宋体" w:hAnsi="宋体" w:cs="宋体"/>
                <w:szCs w:val="21"/>
              </w:rPr>
              <w:t>34.2</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2DF88DAE">
            <w:pPr>
              <w:spacing w:line="360" w:lineRule="auto"/>
              <w:jc w:val="center"/>
              <w:rPr>
                <w:rFonts w:hint="eastAsia" w:ascii="宋体" w:hAnsi="宋体" w:cs="宋体"/>
                <w:szCs w:val="21"/>
              </w:rPr>
            </w:pPr>
            <w:r>
              <w:rPr>
                <w:rFonts w:hint="eastAsia" w:ascii="宋体" w:hAnsi="宋体" w:cs="宋体"/>
                <w:szCs w:val="21"/>
              </w:rPr>
              <w:t>其他</w:t>
            </w:r>
          </w:p>
        </w:tc>
        <w:tc>
          <w:tcPr>
            <w:tcW w:w="6271" w:type="dxa"/>
            <w:tcBorders>
              <w:top w:val="single" w:color="000000" w:sz="4" w:space="0"/>
              <w:left w:val="single" w:color="000000" w:sz="4" w:space="0"/>
              <w:bottom w:val="single" w:color="000000" w:sz="4" w:space="0"/>
              <w:right w:val="single" w:color="000000" w:sz="4" w:space="0"/>
            </w:tcBorders>
            <w:noWrap w:val="0"/>
            <w:vAlign w:val="center"/>
          </w:tcPr>
          <w:p w14:paraId="1DA3A201">
            <w:pPr>
              <w:pStyle w:val="13"/>
              <w:snapToGrid w:val="0"/>
              <w:spacing w:line="360" w:lineRule="auto"/>
              <w:rPr>
                <w:rFonts w:hint="eastAsia" w:hAnsi="宋体" w:cs="宋体"/>
                <w:sz w:val="21"/>
                <w:lang w:val="en-US" w:eastAsia="zh-CN"/>
              </w:rPr>
            </w:pPr>
            <w:r>
              <w:rPr>
                <w:rFonts w:hint="eastAsia" w:hAnsi="宋体" w:cs="宋体"/>
                <w:sz w:val="21"/>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3E624A3">
            <w:pPr>
              <w:pStyle w:val="13"/>
              <w:snapToGrid w:val="0"/>
              <w:spacing w:line="360" w:lineRule="auto"/>
              <w:rPr>
                <w:rFonts w:hint="eastAsia" w:hAnsi="宋体" w:cs="宋体"/>
                <w:sz w:val="21"/>
                <w:lang w:val="en-US" w:eastAsia="zh-CN"/>
              </w:rPr>
            </w:pPr>
            <w:r>
              <w:rPr>
                <w:rFonts w:hint="eastAsia" w:hAnsi="宋体" w:cs="宋体"/>
                <w:sz w:val="21"/>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36EE842">
            <w:pPr>
              <w:pStyle w:val="13"/>
              <w:snapToGrid w:val="0"/>
              <w:spacing w:line="360" w:lineRule="auto"/>
              <w:rPr>
                <w:rFonts w:hint="eastAsia" w:hAnsi="宋体" w:cs="宋体"/>
                <w:sz w:val="21"/>
                <w:lang w:val="en-US" w:eastAsia="zh-CN"/>
              </w:rPr>
            </w:pPr>
            <w:r>
              <w:rPr>
                <w:rFonts w:hint="eastAsia" w:hAnsi="宋体" w:cs="宋体"/>
                <w:sz w:val="21"/>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3AF00E93">
            <w:pPr>
              <w:pStyle w:val="13"/>
              <w:snapToGrid w:val="0"/>
              <w:spacing w:line="360" w:lineRule="auto"/>
              <w:rPr>
                <w:rFonts w:hint="eastAsia" w:hAnsi="宋体" w:cs="宋体"/>
                <w:sz w:val="21"/>
                <w:lang w:val="en-US" w:eastAsia="zh-CN"/>
              </w:rPr>
            </w:pPr>
            <w:r>
              <w:rPr>
                <w:rFonts w:hint="eastAsia" w:hAnsi="宋体" w:cs="宋体"/>
                <w:sz w:val="21"/>
                <w:lang w:val="en-US" w:eastAsia="zh-CN"/>
              </w:rPr>
              <w:t>4.自然人竞标的，磋商文件规定盖公章处由自然人摁手指指印。</w:t>
            </w:r>
          </w:p>
          <w:p w14:paraId="78C04F4C">
            <w:pPr>
              <w:pStyle w:val="13"/>
              <w:snapToGrid w:val="0"/>
              <w:spacing w:line="360" w:lineRule="auto"/>
              <w:rPr>
                <w:rFonts w:hint="eastAsia" w:hAnsi="宋体" w:cs="宋体"/>
                <w:sz w:val="21"/>
                <w:lang w:val="en-US" w:eastAsia="zh-CN"/>
              </w:rPr>
            </w:pPr>
            <w:r>
              <w:rPr>
                <w:rFonts w:hint="eastAsia" w:hAnsi="宋体" w:cs="宋体"/>
                <w:sz w:val="21"/>
                <w:lang w:val="en-US" w:eastAsia="zh-CN"/>
              </w:rPr>
              <w:t>5.本磋商文件所称的“以上”“以下”“以内”“届满”，包括本数；所称的“不满”“超过”“以外”，不包括本数。</w:t>
            </w:r>
          </w:p>
        </w:tc>
      </w:tr>
    </w:tbl>
    <w:p w14:paraId="0CDD3ECF">
      <w:pPr>
        <w:pStyle w:val="3"/>
        <w:spacing w:line="420" w:lineRule="exact"/>
        <w:jc w:val="center"/>
        <w:rPr>
          <w:rFonts w:hint="eastAsia" w:ascii="宋体" w:hAnsi="宋体" w:cs="宋体"/>
          <w:b w:val="0"/>
        </w:rPr>
      </w:pPr>
      <w:r>
        <w:rPr>
          <w:rFonts w:hint="eastAsia" w:ascii="宋体" w:hAnsi="宋体"/>
          <w:bCs w:val="0"/>
        </w:rPr>
        <w:br w:type="page"/>
      </w:r>
      <w:bookmarkStart w:id="60" w:name="_Toc80886929"/>
      <w:r>
        <w:rPr>
          <w:rFonts w:hint="eastAsia" w:ascii="宋体" w:hAnsi="宋体"/>
          <w:b w:val="0"/>
        </w:rPr>
        <w:t>第二节 供应商须知正文</w:t>
      </w:r>
      <w:bookmarkEnd w:id="60"/>
    </w:p>
    <w:p w14:paraId="25D96720">
      <w:pPr>
        <w:pStyle w:val="4"/>
        <w:spacing w:before="0" w:after="0" w:line="360" w:lineRule="auto"/>
        <w:ind w:firstLine="640" w:firstLineChars="200"/>
        <w:rPr>
          <w:rFonts w:hint="eastAsia" w:ascii="宋体" w:hAnsi="宋体"/>
          <w:b w:val="0"/>
        </w:rPr>
      </w:pPr>
      <w:bookmarkStart w:id="61" w:name="_Toc80886930"/>
      <w:r>
        <w:rPr>
          <w:rFonts w:hint="eastAsia" w:ascii="宋体" w:hAnsi="宋体"/>
          <w:b w:val="0"/>
        </w:rPr>
        <w:t>一、总则</w:t>
      </w:r>
      <w:bookmarkEnd w:id="61"/>
    </w:p>
    <w:p w14:paraId="5C3E7346">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1.适用范围</w:t>
      </w:r>
    </w:p>
    <w:p w14:paraId="420AD6F8">
      <w:pPr>
        <w:spacing w:line="360" w:lineRule="auto"/>
        <w:ind w:firstLine="420" w:firstLineChars="200"/>
        <w:rPr>
          <w:rFonts w:hint="eastAsia"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w:t>
      </w:r>
      <w:r>
        <w:rPr>
          <w:rFonts w:hint="eastAsia" w:ascii="宋体" w:hAnsi="宋体"/>
          <w:szCs w:val="21"/>
        </w:rPr>
        <w:t>《政府采购竞争性磋商采购方式管理暂行办法》《财政部关于政府购竞争性磋商采购方式管理暂行办法有关问题的补充通知》</w:t>
      </w:r>
      <w:r>
        <w:rPr>
          <w:rFonts w:hint="eastAsia" w:ascii="宋体" w:hAnsi="宋体" w:cs="宋体"/>
          <w:szCs w:val="21"/>
        </w:rPr>
        <w:t>及本项目本级和上级财政部门政府采购有关规定的约束和保护。</w:t>
      </w:r>
    </w:p>
    <w:p w14:paraId="5CC50B56">
      <w:pPr>
        <w:spacing w:line="360" w:lineRule="auto"/>
        <w:ind w:firstLine="420" w:firstLineChars="200"/>
        <w:rPr>
          <w:rFonts w:hint="eastAsia"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36CB7597">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2.定义</w:t>
      </w:r>
    </w:p>
    <w:p w14:paraId="70BDC83B">
      <w:pPr>
        <w:spacing w:line="360" w:lineRule="auto"/>
        <w:ind w:firstLine="420" w:firstLineChars="200"/>
        <w:rPr>
          <w:rFonts w:hint="eastAsia" w:ascii="宋体" w:hAnsi="宋体" w:cs="宋体"/>
          <w:szCs w:val="21"/>
        </w:rPr>
      </w:pPr>
      <w:r>
        <w:rPr>
          <w:rFonts w:hint="eastAsia" w:ascii="宋体" w:hAnsi="宋体" w:cs="宋体"/>
          <w:szCs w:val="21"/>
        </w:rPr>
        <w:t>2.1“采购人”是指依法进行政府采购的国家机关、事业单位、团体组织。</w:t>
      </w:r>
    </w:p>
    <w:p w14:paraId="27A43FEC">
      <w:pPr>
        <w:spacing w:line="360" w:lineRule="auto"/>
        <w:ind w:firstLine="420" w:firstLineChars="200"/>
        <w:rPr>
          <w:rFonts w:hint="eastAsia" w:ascii="宋体" w:hAnsi="宋体" w:cs="宋体"/>
          <w:szCs w:val="21"/>
          <w:u w:val="single"/>
        </w:rPr>
      </w:pPr>
      <w:r>
        <w:rPr>
          <w:rFonts w:hint="eastAsia" w:ascii="宋体" w:hAnsi="宋体" w:cs="宋体"/>
          <w:szCs w:val="21"/>
        </w:rPr>
        <w:t>2.2“采购代理机构”是指政府采购集中采购机构和集中采购机构以外的采购代理机构。</w:t>
      </w:r>
    </w:p>
    <w:p w14:paraId="619EAE2D">
      <w:pPr>
        <w:spacing w:line="360" w:lineRule="auto"/>
        <w:ind w:firstLine="420" w:firstLineChars="200"/>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14:paraId="1041553B">
      <w:pPr>
        <w:spacing w:line="360" w:lineRule="auto"/>
        <w:ind w:firstLine="420" w:firstLineChars="200"/>
        <w:rPr>
          <w:rFonts w:hint="eastAsia" w:ascii="宋体" w:hAnsi="宋体" w:cs="宋体"/>
          <w:szCs w:val="21"/>
        </w:rPr>
      </w:pPr>
      <w:r>
        <w:rPr>
          <w:rFonts w:hint="eastAsia" w:ascii="宋体" w:hAnsi="宋体"/>
          <w:szCs w:val="21"/>
        </w:rPr>
        <w:t>2.4“服务”是指除货物和工程以外的其他政府采购对象。</w:t>
      </w:r>
    </w:p>
    <w:p w14:paraId="259C41E9">
      <w:pPr>
        <w:spacing w:line="360" w:lineRule="auto"/>
        <w:ind w:firstLine="420" w:firstLineChars="200"/>
        <w:rPr>
          <w:rFonts w:hint="eastAsia" w:ascii="宋体" w:hAnsi="宋体" w:cs="宋体"/>
          <w:szCs w:val="21"/>
        </w:rPr>
      </w:pPr>
      <w:r>
        <w:rPr>
          <w:rFonts w:hint="eastAsia" w:ascii="宋体" w:hAnsi="宋体" w:cs="宋体"/>
          <w:szCs w:val="21"/>
        </w:rPr>
        <w:t>2.5“竞标”是指供应商按照本项目竞争性磋商公告或者邀请函规定的方式获取磋商文件、提交响应文件并希望获得标的的行为。</w:t>
      </w:r>
    </w:p>
    <w:p w14:paraId="21BD7CCC">
      <w:pPr>
        <w:spacing w:line="360" w:lineRule="auto"/>
        <w:ind w:firstLine="420" w:firstLineChars="200"/>
        <w:rPr>
          <w:rFonts w:hint="eastAsia"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是指：供应商根据本磋商文件要求，编制包含资格证明、报价商务技术等所有内容的文件。</w:t>
      </w:r>
    </w:p>
    <w:p w14:paraId="62B08C2B">
      <w:pPr>
        <w:spacing w:line="360" w:lineRule="auto"/>
        <w:ind w:firstLine="420" w:firstLineChars="200"/>
        <w:rPr>
          <w:rFonts w:hint="eastAsia" w:ascii="宋体" w:hAnsi="宋体" w:cs="宋体"/>
          <w:szCs w:val="21"/>
        </w:rPr>
      </w:pPr>
      <w:r>
        <w:rPr>
          <w:rFonts w:hint="eastAsia" w:ascii="宋体" w:hAnsi="宋体" w:cs="宋体"/>
          <w:szCs w:val="21"/>
        </w:rPr>
        <w:t>2.7“实质性要求”是指磋商文件中已经指明不满足则响应文件按无效响应处理的条款，或者不能负偏离的条款，或者采购需求中带“▲”的条款。</w:t>
      </w:r>
    </w:p>
    <w:p w14:paraId="56DC0B0E">
      <w:pPr>
        <w:spacing w:line="360" w:lineRule="auto"/>
        <w:ind w:firstLine="420" w:firstLineChars="200"/>
        <w:rPr>
          <w:rFonts w:hint="eastAsia"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14:paraId="6D259E15">
      <w:pPr>
        <w:spacing w:line="360" w:lineRule="auto"/>
        <w:ind w:firstLine="420" w:firstLineChars="200"/>
        <w:rPr>
          <w:rFonts w:hint="eastAsia"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14:paraId="140AEF73">
      <w:pPr>
        <w:spacing w:line="360" w:lineRule="auto"/>
        <w:ind w:firstLine="420" w:firstLineChars="200"/>
        <w:rPr>
          <w:rFonts w:hint="eastAsia" w:ascii="宋体" w:hAnsi="宋体" w:cs="宋体"/>
          <w:szCs w:val="21"/>
        </w:rPr>
      </w:pPr>
      <w:r>
        <w:rPr>
          <w:rFonts w:hint="eastAsia" w:ascii="宋体" w:hAnsi="宋体" w:cs="宋体"/>
          <w:szCs w:val="21"/>
        </w:rPr>
        <w:t>2.10“允许负偏离的条款”是指采购需求中的不属于“实质性要求”的条款。</w:t>
      </w:r>
    </w:p>
    <w:p w14:paraId="40A25EF5">
      <w:pPr>
        <w:spacing w:line="360" w:lineRule="auto"/>
        <w:ind w:firstLine="420" w:firstLineChars="200"/>
        <w:rPr>
          <w:rFonts w:hint="eastAsia"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14:paraId="4D9EE79E">
      <w:pPr>
        <w:spacing w:line="360" w:lineRule="auto"/>
        <w:ind w:firstLine="420" w:firstLineChars="200"/>
        <w:rPr>
          <w:rFonts w:hint="eastAsia" w:ascii="宋体" w:hAnsi="宋体" w:cs="宋体"/>
          <w:szCs w:val="21"/>
        </w:rPr>
      </w:pPr>
      <w:r>
        <w:rPr>
          <w:rFonts w:hint="eastAsia" w:ascii="宋体" w:hAnsi="宋体" w:cs="宋体"/>
          <w:szCs w:val="21"/>
        </w:rPr>
        <w:t>2.12“首次报价”是指供应商提交的首次响应文件中的报价。</w:t>
      </w:r>
    </w:p>
    <w:p w14:paraId="1EFFC0EF">
      <w:pPr>
        <w:spacing w:line="360" w:lineRule="auto"/>
        <w:ind w:firstLine="420" w:firstLineChars="200"/>
        <w:rPr>
          <w:rFonts w:hint="eastAsia" w:ascii="宋体" w:hAnsi="宋体" w:cs="宋体"/>
          <w:szCs w:val="21"/>
        </w:rPr>
      </w:pPr>
      <w:r>
        <w:rPr>
          <w:rFonts w:hint="eastAsia" w:ascii="宋体" w:hAnsi="宋体" w:cs="宋体"/>
          <w:szCs w:val="21"/>
        </w:rPr>
        <w:t>2.13“评审报价”是指供应商提交的最后报价并经修正（如有）和政策功能价格扣除（如有）后的价格。</w:t>
      </w:r>
    </w:p>
    <w:p w14:paraId="7A866A45">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3.供应商的资格条件</w:t>
      </w:r>
    </w:p>
    <w:p w14:paraId="4F643E16">
      <w:pPr>
        <w:spacing w:line="360" w:lineRule="auto"/>
        <w:ind w:firstLine="420" w:firstLineChars="200"/>
        <w:rPr>
          <w:rFonts w:hint="eastAsia" w:ascii="宋体" w:hAnsi="宋体" w:cs="宋体"/>
          <w:szCs w:val="21"/>
        </w:rPr>
      </w:pPr>
      <w:r>
        <w:rPr>
          <w:rFonts w:hint="eastAsia" w:ascii="宋体" w:hAnsi="宋体" w:cs="宋体"/>
          <w:szCs w:val="21"/>
        </w:rPr>
        <w:t>供应商的资格条件详见“供应商须知前附表”。</w:t>
      </w:r>
    </w:p>
    <w:p w14:paraId="40F41855">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4.磋商费用</w:t>
      </w:r>
    </w:p>
    <w:p w14:paraId="6E124C6E">
      <w:pPr>
        <w:spacing w:line="360" w:lineRule="auto"/>
        <w:ind w:firstLine="420" w:firstLineChars="200"/>
        <w:rPr>
          <w:rFonts w:hint="eastAsia" w:ascii="宋体" w:hAnsi="宋体" w:cs="宋体"/>
          <w:szCs w:val="21"/>
        </w:rPr>
      </w:pPr>
      <w:r>
        <w:rPr>
          <w:rFonts w:hint="eastAsia" w:ascii="宋体" w:hAnsi="宋体" w:cs="宋体"/>
          <w:szCs w:val="21"/>
        </w:rPr>
        <w:t>供应商应承担参与本次采购活动有关的所有费用，包括但不限于、勘查现场、编制和提交响应文件、参加磋商与应答、签订合同等，不论竞标结果如何，均应自行承担。</w:t>
      </w:r>
    </w:p>
    <w:p w14:paraId="2DE7ED0F">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5.联合体竞标</w:t>
      </w:r>
    </w:p>
    <w:p w14:paraId="67072B04">
      <w:pPr>
        <w:spacing w:line="360" w:lineRule="auto"/>
        <w:ind w:firstLine="420" w:firstLineChars="200"/>
        <w:rPr>
          <w:rFonts w:hint="eastAsia" w:ascii="宋体" w:hAnsi="宋体" w:cs="宋体"/>
          <w:szCs w:val="21"/>
        </w:rPr>
      </w:pPr>
      <w:r>
        <w:rPr>
          <w:rFonts w:hint="eastAsia" w:ascii="宋体" w:hAnsi="宋体" w:cs="宋体"/>
          <w:szCs w:val="21"/>
        </w:rPr>
        <w:t>5.1本项目是否接受联合体竞标，详见“供应商须知前附表”。</w:t>
      </w:r>
    </w:p>
    <w:p w14:paraId="765BFFB4">
      <w:pPr>
        <w:spacing w:line="360" w:lineRule="auto"/>
        <w:ind w:firstLine="420" w:firstLineChars="200"/>
        <w:rPr>
          <w:rFonts w:hint="eastAsia" w:ascii="宋体" w:hAnsi="宋体" w:cs="宋体"/>
          <w:szCs w:val="21"/>
        </w:rPr>
      </w:pPr>
      <w:r>
        <w:rPr>
          <w:rFonts w:hint="eastAsia" w:ascii="宋体" w:hAnsi="宋体" w:cs="宋体"/>
          <w:szCs w:val="21"/>
        </w:rPr>
        <w:t>5.2</w:t>
      </w:r>
      <w:r>
        <w:rPr>
          <w:rFonts w:hint="eastAsia" w:ascii="宋体" w:hAnsi="宋体"/>
        </w:rPr>
        <w:t>如接受联合体竞标，</w:t>
      </w:r>
      <w:r>
        <w:rPr>
          <w:rFonts w:hint="eastAsia" w:ascii="宋体" w:hAnsi="宋体" w:cs="宋体"/>
          <w:szCs w:val="21"/>
        </w:rPr>
        <w:t>联合体竞标要求详见“供应商须知前附表”。</w:t>
      </w:r>
    </w:p>
    <w:p w14:paraId="156B171E">
      <w:pPr>
        <w:spacing w:line="360" w:lineRule="auto"/>
        <w:ind w:firstLine="420" w:firstLineChars="200"/>
        <w:rPr>
          <w:rFonts w:hint="eastAsia" w:ascii="宋体" w:hAnsi="宋体"/>
          <w:bCs/>
          <w:szCs w:val="21"/>
        </w:rPr>
      </w:pPr>
      <w:r>
        <w:rPr>
          <w:rFonts w:hint="eastAsia" w:ascii="宋体" w:hAnsi="宋体" w:cs="宋体"/>
          <w:szCs w:val="21"/>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5E370ADD">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 xml:space="preserve">6.转包与分包             </w:t>
      </w:r>
    </w:p>
    <w:p w14:paraId="27E05E0C">
      <w:pPr>
        <w:spacing w:line="360" w:lineRule="auto"/>
        <w:ind w:firstLine="420" w:firstLineChars="200"/>
        <w:rPr>
          <w:rFonts w:hint="eastAsia" w:ascii="宋体" w:hAnsi="宋体" w:cs="宋体"/>
          <w:szCs w:val="21"/>
        </w:rPr>
      </w:pPr>
      <w:r>
        <w:rPr>
          <w:rFonts w:hint="eastAsia" w:ascii="宋体" w:hAnsi="宋体" w:cs="宋体"/>
          <w:szCs w:val="21"/>
        </w:rPr>
        <w:t>6.1本项目是否允许分包详见“供应商须知前附表”，本项目不允许违法分包。</w:t>
      </w:r>
    </w:p>
    <w:p w14:paraId="39D389C5">
      <w:pPr>
        <w:spacing w:line="360" w:lineRule="auto"/>
        <w:ind w:firstLine="420" w:firstLineChars="200"/>
        <w:rPr>
          <w:rFonts w:hint="eastAsia" w:ascii="宋体" w:hAnsi="宋体" w:cs="宋体"/>
          <w:szCs w:val="21"/>
        </w:rPr>
      </w:pPr>
      <w:r>
        <w:rPr>
          <w:rFonts w:hint="eastAsia" w:ascii="宋体" w:hAnsi="宋体" w:cs="宋体"/>
          <w:szCs w:val="21"/>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0EE13030">
      <w:pPr>
        <w:spacing w:line="360" w:lineRule="auto"/>
        <w:ind w:firstLine="482" w:firstLineChars="200"/>
        <w:rPr>
          <w:rFonts w:hint="eastAsia" w:ascii="黑体" w:hAnsi="黑体" w:eastAsia="黑体" w:cs="宋体"/>
          <w:b/>
          <w:bCs/>
          <w:sz w:val="24"/>
        </w:rPr>
      </w:pPr>
      <w:bookmarkStart w:id="62" w:name="_Toc254970532"/>
      <w:bookmarkStart w:id="63" w:name="_Toc254970673"/>
      <w:r>
        <w:rPr>
          <w:rFonts w:hint="eastAsia" w:ascii="黑体" w:hAnsi="黑体" w:eastAsia="黑体" w:cs="宋体"/>
          <w:b/>
          <w:bCs/>
          <w:sz w:val="24"/>
        </w:rPr>
        <w:t>7.特别说明</w:t>
      </w:r>
      <w:bookmarkEnd w:id="62"/>
      <w:bookmarkEnd w:id="63"/>
    </w:p>
    <w:p w14:paraId="4557B6A3">
      <w:pPr>
        <w:spacing w:line="360" w:lineRule="auto"/>
        <w:ind w:firstLine="420" w:firstLineChars="200"/>
        <w:rPr>
          <w:rFonts w:hint="eastAsia" w:ascii="宋体" w:hAnsi="宋体" w:cs="宋体"/>
          <w:szCs w:val="21"/>
        </w:rPr>
      </w:pPr>
      <w:bookmarkStart w:id="64" w:name="_8.1提供相同品牌产品且通过资格审查、符合性审查的不同投标人参加同一合"/>
      <w:bookmarkEnd w:id="64"/>
      <w:r>
        <w:rPr>
          <w:rFonts w:hint="eastAsia" w:ascii="宋体" w:hAnsi="宋体" w:cs="宋体"/>
          <w:szCs w:val="21"/>
        </w:rPr>
        <w:t>7.1</w:t>
      </w:r>
      <w:bookmarkStart w:id="65" w:name="_Hlk65832145"/>
      <w:r>
        <w:rPr>
          <w:rFonts w:hint="eastAsia" w:ascii="宋体" w:hAnsi="宋体"/>
          <w:szCs w:val="21"/>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szCs w:val="21"/>
        </w:rPr>
        <w:t>。</w:t>
      </w:r>
    </w:p>
    <w:bookmarkEnd w:id="65"/>
    <w:p w14:paraId="0046D422">
      <w:pPr>
        <w:spacing w:line="360" w:lineRule="auto"/>
        <w:ind w:firstLine="420" w:firstLineChars="200"/>
        <w:rPr>
          <w:rFonts w:hint="eastAsia"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14:paraId="09B94535">
      <w:pPr>
        <w:spacing w:line="360" w:lineRule="auto"/>
        <w:ind w:firstLine="420" w:firstLineChars="200"/>
        <w:rPr>
          <w:rFonts w:hint="eastAsia"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4C4DA87">
      <w:pPr>
        <w:spacing w:line="360" w:lineRule="auto"/>
        <w:ind w:firstLine="420" w:firstLineChars="200"/>
        <w:rPr>
          <w:rFonts w:hint="eastAsia" w:ascii="宋体" w:hAnsi="宋体" w:cs="宋体"/>
          <w:szCs w:val="21"/>
        </w:rPr>
      </w:pPr>
      <w:r>
        <w:rPr>
          <w:rFonts w:hint="eastAsia" w:ascii="宋体" w:hAnsi="宋体" w:cs="宋体"/>
          <w:szCs w:val="21"/>
        </w:rPr>
        <w:t>7.4在政府采购活动中，采购人员及相关人员与供应商有下列利害关系之一的，应当回避：</w:t>
      </w:r>
    </w:p>
    <w:p w14:paraId="3655B978">
      <w:pPr>
        <w:spacing w:line="360" w:lineRule="auto"/>
        <w:ind w:firstLine="420" w:firstLineChars="200"/>
        <w:rPr>
          <w:rFonts w:hint="eastAsia" w:ascii="宋体" w:hAnsi="宋体" w:cs="宋体"/>
          <w:szCs w:val="21"/>
        </w:rPr>
      </w:pPr>
      <w:r>
        <w:rPr>
          <w:rFonts w:hint="eastAsia" w:ascii="宋体" w:hAnsi="宋体" w:cs="宋体"/>
          <w:szCs w:val="21"/>
        </w:rPr>
        <w:t>（1）参加采购活动前3年内与供应商存在劳动关系；</w:t>
      </w:r>
    </w:p>
    <w:p w14:paraId="4C718ABF">
      <w:pPr>
        <w:spacing w:line="360" w:lineRule="auto"/>
        <w:ind w:firstLine="420" w:firstLineChars="200"/>
        <w:rPr>
          <w:rFonts w:hint="eastAsia" w:ascii="宋体" w:hAnsi="宋体" w:cs="宋体"/>
          <w:szCs w:val="21"/>
        </w:rPr>
      </w:pPr>
      <w:r>
        <w:rPr>
          <w:rFonts w:hint="eastAsia" w:ascii="宋体" w:hAnsi="宋体" w:cs="宋体"/>
          <w:szCs w:val="21"/>
        </w:rPr>
        <w:t>（2）参加采购活动前3年内担任供应商的董事、监事；</w:t>
      </w:r>
    </w:p>
    <w:p w14:paraId="04CF6C42">
      <w:pPr>
        <w:spacing w:line="360" w:lineRule="auto"/>
        <w:ind w:firstLine="420" w:firstLineChars="200"/>
        <w:rPr>
          <w:rFonts w:hint="eastAsia" w:ascii="宋体" w:hAnsi="宋体" w:cs="宋体"/>
          <w:szCs w:val="21"/>
        </w:rPr>
      </w:pPr>
      <w:r>
        <w:rPr>
          <w:rFonts w:hint="eastAsia" w:ascii="宋体" w:hAnsi="宋体" w:cs="宋体"/>
          <w:szCs w:val="21"/>
        </w:rPr>
        <w:t>（3）参加采购活动前3年内是供应商的控股股东或者实际控制人；</w:t>
      </w:r>
    </w:p>
    <w:p w14:paraId="67E9647F">
      <w:pPr>
        <w:spacing w:line="360" w:lineRule="auto"/>
        <w:ind w:firstLine="420" w:firstLineChars="200"/>
        <w:rPr>
          <w:rFonts w:hint="eastAsia" w:ascii="宋体" w:hAnsi="宋体" w:cs="宋体"/>
          <w:szCs w:val="21"/>
        </w:rPr>
      </w:pPr>
      <w:r>
        <w:rPr>
          <w:rFonts w:hint="eastAsia" w:ascii="宋体" w:hAnsi="宋体" w:cs="宋体"/>
          <w:szCs w:val="21"/>
        </w:rPr>
        <w:t>（4）与供应商的法定代表人或者负责人有夫妻、直系血亲、三代以内旁系血亲或者近姻亲关系；</w:t>
      </w:r>
    </w:p>
    <w:p w14:paraId="17383247">
      <w:pPr>
        <w:spacing w:line="360" w:lineRule="auto"/>
        <w:ind w:firstLine="420" w:firstLineChars="200"/>
        <w:rPr>
          <w:rFonts w:hint="eastAsia" w:ascii="宋体" w:hAnsi="宋体" w:cs="宋体"/>
          <w:szCs w:val="21"/>
        </w:rPr>
      </w:pPr>
      <w:r>
        <w:rPr>
          <w:rFonts w:hint="eastAsia" w:ascii="宋体" w:hAnsi="宋体" w:cs="宋体"/>
          <w:szCs w:val="21"/>
        </w:rPr>
        <w:t>（5）与供应商有其他可能影响政府采购活动公平、公正进行的关系。</w:t>
      </w:r>
    </w:p>
    <w:p w14:paraId="10673334">
      <w:pPr>
        <w:spacing w:line="360" w:lineRule="auto"/>
        <w:ind w:firstLine="420" w:firstLineChars="200"/>
        <w:rPr>
          <w:rFonts w:hint="eastAsia"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E85E009">
      <w:pPr>
        <w:spacing w:line="360" w:lineRule="auto"/>
        <w:ind w:firstLine="420" w:firstLineChars="200"/>
        <w:rPr>
          <w:rFonts w:hint="eastAsia" w:ascii="宋体" w:hAnsi="宋体" w:cs="宋体"/>
          <w:szCs w:val="21"/>
        </w:rPr>
      </w:pPr>
      <w:r>
        <w:rPr>
          <w:rFonts w:hint="eastAsia" w:ascii="宋体" w:hAnsi="宋体" w:cs="宋体"/>
          <w:szCs w:val="21"/>
        </w:rPr>
        <w:t>7.5有下列情形之一的，响应文件将被视为无效：</w:t>
      </w:r>
    </w:p>
    <w:p w14:paraId="0BE221A0">
      <w:pPr>
        <w:spacing w:line="360" w:lineRule="auto"/>
        <w:ind w:firstLine="420" w:firstLineChars="200"/>
        <w:rPr>
          <w:rFonts w:hint="eastAsia" w:ascii="宋体" w:hAnsi="宋体" w:cs="宋体"/>
          <w:szCs w:val="21"/>
        </w:rPr>
      </w:pPr>
      <w:r>
        <w:rPr>
          <w:rFonts w:hint="eastAsia" w:ascii="宋体" w:hAnsi="宋体" w:cs="宋体"/>
          <w:szCs w:val="21"/>
        </w:rPr>
        <w:t>（1）不同供应商的响应文件由同一单位或者个人编制；或者不同供应商报名的IP地址一致的；或者编制响应文件硬件设备CPU编号、硬盘编号、网卡地址一致的情况。</w:t>
      </w:r>
      <w:r>
        <w:rPr>
          <w:rFonts w:hint="eastAsia" w:hAnsi="宋体"/>
          <w:b/>
          <w:color w:val="000000"/>
        </w:rPr>
        <w:t>（供应商IP地址、硬件设备</w:t>
      </w:r>
      <w:r>
        <w:rPr>
          <w:rFonts w:hAnsi="宋体"/>
          <w:b/>
          <w:color w:val="000000"/>
        </w:rPr>
        <w:t>CPU</w:t>
      </w:r>
      <w:r>
        <w:rPr>
          <w:rFonts w:hint="eastAsia" w:hAnsi="宋体"/>
          <w:b/>
          <w:color w:val="000000"/>
        </w:rPr>
        <w:t>编号、硬盘编号、网卡地址等数据相似异常以广西政府采购云平台解密文件后信息提示为准）</w:t>
      </w:r>
      <w:r>
        <w:rPr>
          <w:rFonts w:hint="eastAsia" w:ascii="宋体" w:hAnsi="宋体" w:cs="宋体"/>
          <w:szCs w:val="21"/>
        </w:rPr>
        <w:t xml:space="preserve"> </w:t>
      </w:r>
    </w:p>
    <w:p w14:paraId="04D82365">
      <w:pPr>
        <w:spacing w:line="360" w:lineRule="auto"/>
        <w:ind w:firstLine="420" w:firstLineChars="200"/>
        <w:rPr>
          <w:rFonts w:hint="eastAsia" w:ascii="宋体" w:hAnsi="宋体" w:cs="宋体"/>
          <w:szCs w:val="21"/>
        </w:rPr>
      </w:pPr>
      <w:r>
        <w:rPr>
          <w:rFonts w:hint="eastAsia" w:ascii="宋体" w:hAnsi="宋体" w:cs="宋体"/>
          <w:szCs w:val="21"/>
        </w:rPr>
        <w:t>（2）不同供应商委托同一单位或者个人办理竞标事宜；</w:t>
      </w:r>
    </w:p>
    <w:p w14:paraId="2B63A3A2">
      <w:pPr>
        <w:spacing w:line="360" w:lineRule="auto"/>
        <w:ind w:firstLine="420" w:firstLineChars="200"/>
        <w:rPr>
          <w:rFonts w:hint="eastAsia" w:ascii="宋体" w:hAnsi="宋体" w:cs="宋体"/>
          <w:szCs w:val="21"/>
        </w:rPr>
      </w:pPr>
      <w:r>
        <w:rPr>
          <w:rFonts w:hint="eastAsia" w:ascii="宋体" w:hAnsi="宋体" w:cs="宋体"/>
          <w:szCs w:val="21"/>
        </w:rPr>
        <w:t>（3）不同的供应商的响应文件载明的项目管理员为同一个人；</w:t>
      </w:r>
    </w:p>
    <w:p w14:paraId="42A7EC64">
      <w:pPr>
        <w:spacing w:line="360" w:lineRule="auto"/>
        <w:ind w:firstLine="420" w:firstLineChars="200"/>
        <w:rPr>
          <w:rFonts w:hint="eastAsia" w:ascii="宋体" w:hAnsi="宋体" w:cs="宋体"/>
          <w:szCs w:val="21"/>
        </w:rPr>
      </w:pPr>
      <w:r>
        <w:rPr>
          <w:rFonts w:hint="eastAsia" w:ascii="宋体" w:hAnsi="宋体" w:cs="宋体"/>
          <w:szCs w:val="21"/>
        </w:rPr>
        <w:t>（4）不同供应商的响应文件异常一致或者报价呈规律性差异；</w:t>
      </w:r>
    </w:p>
    <w:p w14:paraId="3A3F9BEA">
      <w:pPr>
        <w:spacing w:line="360" w:lineRule="auto"/>
        <w:ind w:firstLine="420" w:firstLineChars="200"/>
        <w:rPr>
          <w:rFonts w:hint="eastAsia" w:ascii="宋体" w:hAnsi="宋体" w:cs="宋体"/>
          <w:szCs w:val="21"/>
        </w:rPr>
      </w:pPr>
      <w:r>
        <w:rPr>
          <w:rFonts w:hint="eastAsia" w:ascii="宋体" w:hAnsi="宋体" w:cs="宋体"/>
          <w:szCs w:val="21"/>
        </w:rPr>
        <w:t>（5）不同供应商的响应文件相互混装；</w:t>
      </w:r>
    </w:p>
    <w:p w14:paraId="0BE88E43">
      <w:pPr>
        <w:tabs>
          <w:tab w:val="left" w:pos="6931"/>
        </w:tabs>
        <w:spacing w:line="360" w:lineRule="auto"/>
        <w:ind w:firstLine="420" w:firstLineChars="200"/>
        <w:rPr>
          <w:rFonts w:hint="eastAsia" w:ascii="宋体" w:hAnsi="宋体" w:cs="宋体"/>
          <w:szCs w:val="21"/>
        </w:rPr>
      </w:pPr>
      <w:r>
        <w:rPr>
          <w:rFonts w:hint="eastAsia" w:ascii="宋体" w:hAnsi="宋体" w:cs="宋体"/>
          <w:szCs w:val="21"/>
        </w:rPr>
        <w:t>（6）不同供应商的磋商保证金从同一单位或者个人账户转出。</w:t>
      </w:r>
      <w:r>
        <w:rPr>
          <w:rFonts w:hint="eastAsia" w:ascii="宋体" w:hAnsi="宋体" w:cs="宋体"/>
          <w:szCs w:val="21"/>
        </w:rPr>
        <w:tab/>
      </w:r>
    </w:p>
    <w:p w14:paraId="71089F16">
      <w:pPr>
        <w:spacing w:line="360" w:lineRule="auto"/>
        <w:ind w:firstLine="420" w:firstLineChars="200"/>
        <w:rPr>
          <w:rFonts w:hint="eastAsia" w:ascii="宋体" w:hAnsi="宋体" w:cs="宋体"/>
          <w:szCs w:val="21"/>
        </w:rPr>
      </w:pPr>
      <w:r>
        <w:rPr>
          <w:rFonts w:hint="eastAsia" w:ascii="宋体" w:hAnsi="宋体" w:cs="宋体"/>
          <w:szCs w:val="21"/>
        </w:rPr>
        <w:t>7.6供应商有下列情形之一的，属于恶意串通行为，将报同级监督管理部门：</w:t>
      </w:r>
    </w:p>
    <w:p w14:paraId="17797C6E">
      <w:pPr>
        <w:spacing w:line="360" w:lineRule="auto"/>
        <w:ind w:firstLine="420" w:firstLineChars="200"/>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0D21A52F">
      <w:pPr>
        <w:spacing w:line="360" w:lineRule="auto"/>
        <w:ind w:firstLine="420" w:firstLineChars="200"/>
        <w:rPr>
          <w:rFonts w:hint="eastAsia" w:ascii="宋体" w:hAnsi="宋体" w:cs="宋体"/>
          <w:szCs w:val="21"/>
        </w:rPr>
      </w:pPr>
      <w:r>
        <w:rPr>
          <w:rFonts w:hint="eastAsia" w:ascii="宋体" w:hAnsi="宋体" w:cs="宋体"/>
          <w:szCs w:val="21"/>
        </w:rPr>
        <w:t>（2）供应商按照采购人或者采购代理机构的授意撤换、修改响应文件；</w:t>
      </w:r>
    </w:p>
    <w:p w14:paraId="7C267D59">
      <w:pPr>
        <w:spacing w:line="360" w:lineRule="auto"/>
        <w:ind w:firstLine="420" w:firstLineChars="200"/>
        <w:rPr>
          <w:rFonts w:hint="eastAsia" w:ascii="宋体" w:hAnsi="宋体" w:cs="宋体"/>
          <w:szCs w:val="21"/>
        </w:rPr>
      </w:pPr>
      <w:r>
        <w:rPr>
          <w:rFonts w:hint="eastAsia" w:ascii="宋体" w:hAnsi="宋体" w:cs="宋体"/>
          <w:szCs w:val="21"/>
        </w:rPr>
        <w:t>（3）供应商之间协商报价、技术方案等响应文件或者响应文件的实质性内容；</w:t>
      </w:r>
    </w:p>
    <w:p w14:paraId="697F96A9">
      <w:pPr>
        <w:spacing w:line="360" w:lineRule="auto"/>
        <w:ind w:firstLine="420" w:firstLineChars="200"/>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14:paraId="49AE59A2">
      <w:pPr>
        <w:spacing w:line="360" w:lineRule="auto"/>
        <w:ind w:firstLine="420" w:firstLineChars="200"/>
        <w:rPr>
          <w:rFonts w:hint="eastAsia"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4B55E96B">
      <w:pPr>
        <w:spacing w:line="360" w:lineRule="auto"/>
        <w:ind w:firstLine="420" w:firstLineChars="200"/>
        <w:rPr>
          <w:rFonts w:hint="eastAsia" w:ascii="宋体" w:hAnsi="宋体" w:cs="宋体"/>
          <w:szCs w:val="21"/>
        </w:rPr>
      </w:pPr>
      <w:r>
        <w:rPr>
          <w:rFonts w:hint="eastAsia" w:ascii="宋体" w:hAnsi="宋体" w:cs="宋体"/>
          <w:szCs w:val="21"/>
        </w:rPr>
        <w:t>（6）供应商之间商定部分供应商放弃参加政府采购活动或者放弃成交；</w:t>
      </w:r>
    </w:p>
    <w:p w14:paraId="00444A04">
      <w:pPr>
        <w:spacing w:line="360" w:lineRule="auto"/>
        <w:ind w:firstLine="420" w:firstLineChars="200"/>
        <w:rPr>
          <w:rFonts w:hint="eastAsia"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19C1F52D">
      <w:pPr>
        <w:pStyle w:val="4"/>
        <w:spacing w:before="0" w:after="0" w:line="360" w:lineRule="auto"/>
        <w:ind w:firstLine="640" w:firstLineChars="200"/>
        <w:rPr>
          <w:rFonts w:hint="eastAsia" w:ascii="宋体" w:hAnsi="宋体"/>
          <w:b w:val="0"/>
          <w:bCs w:val="0"/>
        </w:rPr>
      </w:pPr>
      <w:bookmarkStart w:id="66" w:name="_Toc254970534"/>
      <w:bookmarkStart w:id="67" w:name="_Toc254970675"/>
      <w:bookmarkStart w:id="68" w:name="_Toc80886931"/>
      <w:r>
        <w:rPr>
          <w:rFonts w:hint="eastAsia" w:ascii="宋体" w:hAnsi="宋体"/>
          <w:b w:val="0"/>
          <w:bCs w:val="0"/>
        </w:rPr>
        <w:t>二、磋商文件</w:t>
      </w:r>
      <w:bookmarkEnd w:id="66"/>
      <w:bookmarkEnd w:id="67"/>
      <w:bookmarkEnd w:id="68"/>
    </w:p>
    <w:p w14:paraId="73E220DE">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8.磋商文件的构成</w:t>
      </w:r>
    </w:p>
    <w:p w14:paraId="772002DA">
      <w:pPr>
        <w:spacing w:line="360" w:lineRule="auto"/>
        <w:ind w:firstLine="420" w:firstLineChars="200"/>
        <w:jc w:val="left"/>
        <w:rPr>
          <w:rFonts w:hint="eastAsia" w:ascii="宋体" w:hAnsi="宋体"/>
          <w:szCs w:val="21"/>
        </w:rPr>
      </w:pPr>
      <w:r>
        <w:rPr>
          <w:rFonts w:hint="eastAsia" w:ascii="宋体" w:hAnsi="宋体"/>
          <w:szCs w:val="21"/>
        </w:rPr>
        <w:t>第一章 竞争性磋商公告；</w:t>
      </w:r>
    </w:p>
    <w:p w14:paraId="68DF19B0">
      <w:pPr>
        <w:spacing w:line="360" w:lineRule="auto"/>
        <w:ind w:firstLine="420" w:firstLineChars="200"/>
        <w:jc w:val="left"/>
        <w:rPr>
          <w:rFonts w:hint="eastAsia" w:ascii="宋体" w:hAnsi="宋体"/>
          <w:szCs w:val="21"/>
        </w:rPr>
      </w:pPr>
      <w:r>
        <w:rPr>
          <w:rFonts w:hint="eastAsia" w:ascii="宋体" w:hAnsi="宋体"/>
          <w:szCs w:val="21"/>
        </w:rPr>
        <w:t>第二章 采购需求；</w:t>
      </w:r>
    </w:p>
    <w:p w14:paraId="1C036593">
      <w:pPr>
        <w:spacing w:line="360" w:lineRule="auto"/>
        <w:ind w:firstLine="420" w:firstLineChars="200"/>
        <w:jc w:val="left"/>
        <w:rPr>
          <w:rFonts w:hint="eastAsia" w:ascii="宋体" w:hAnsi="宋体"/>
          <w:szCs w:val="21"/>
        </w:rPr>
      </w:pPr>
      <w:r>
        <w:rPr>
          <w:rFonts w:hint="eastAsia" w:ascii="宋体" w:hAnsi="宋体"/>
          <w:szCs w:val="21"/>
        </w:rPr>
        <w:t xml:space="preserve">第三章 供应商须知； </w:t>
      </w:r>
    </w:p>
    <w:p w14:paraId="60AC15BE">
      <w:pPr>
        <w:spacing w:line="360" w:lineRule="auto"/>
        <w:ind w:firstLine="420" w:firstLineChars="200"/>
        <w:jc w:val="left"/>
        <w:rPr>
          <w:rFonts w:hint="eastAsia" w:ascii="宋体" w:hAnsi="宋体"/>
          <w:szCs w:val="21"/>
        </w:rPr>
      </w:pPr>
      <w:r>
        <w:rPr>
          <w:rFonts w:hint="eastAsia" w:ascii="宋体" w:hAnsi="宋体"/>
          <w:szCs w:val="21"/>
        </w:rPr>
        <w:t>第四章 评审程序、评审方法和评审标准；</w:t>
      </w:r>
    </w:p>
    <w:p w14:paraId="37944264">
      <w:pPr>
        <w:spacing w:line="360" w:lineRule="auto"/>
        <w:ind w:firstLine="420" w:firstLineChars="200"/>
        <w:jc w:val="left"/>
        <w:rPr>
          <w:rFonts w:hint="eastAsia" w:ascii="宋体" w:hAnsi="宋体"/>
          <w:szCs w:val="21"/>
        </w:rPr>
      </w:pPr>
      <w:r>
        <w:rPr>
          <w:rFonts w:hint="eastAsia" w:ascii="宋体" w:hAnsi="宋体"/>
          <w:szCs w:val="21"/>
        </w:rPr>
        <w:t>第五章 响应文件格式；</w:t>
      </w:r>
    </w:p>
    <w:p w14:paraId="1B51AB15">
      <w:pPr>
        <w:spacing w:line="360" w:lineRule="auto"/>
        <w:ind w:firstLine="420" w:firstLineChars="200"/>
        <w:jc w:val="left"/>
        <w:rPr>
          <w:rFonts w:hint="eastAsia" w:ascii="宋体" w:hAnsi="宋体"/>
          <w:szCs w:val="21"/>
        </w:rPr>
      </w:pPr>
      <w:r>
        <w:rPr>
          <w:rFonts w:hint="eastAsia" w:ascii="宋体" w:hAnsi="宋体"/>
          <w:szCs w:val="21"/>
        </w:rPr>
        <w:t>第六章 合同文本；</w:t>
      </w:r>
    </w:p>
    <w:p w14:paraId="42FDD06F">
      <w:pPr>
        <w:spacing w:line="360" w:lineRule="auto"/>
        <w:ind w:firstLine="420" w:firstLineChars="200"/>
        <w:jc w:val="left"/>
        <w:rPr>
          <w:rFonts w:hint="eastAsia" w:ascii="宋体" w:hAnsi="宋体"/>
          <w:szCs w:val="21"/>
        </w:rPr>
      </w:pPr>
      <w:r>
        <w:rPr>
          <w:rFonts w:hint="eastAsia" w:ascii="宋体" w:hAnsi="宋体"/>
          <w:szCs w:val="21"/>
        </w:rPr>
        <w:t>第七章 质疑、投诉材料格式。</w:t>
      </w:r>
    </w:p>
    <w:p w14:paraId="51BFF953">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9.供应商的询问</w:t>
      </w:r>
    </w:p>
    <w:p w14:paraId="1AE63AA9">
      <w:pPr>
        <w:spacing w:line="360" w:lineRule="auto"/>
        <w:ind w:firstLine="420" w:firstLineChars="200"/>
        <w:rPr>
          <w:rFonts w:hint="eastAsia" w:ascii="宋体" w:hAnsi="宋体"/>
          <w:szCs w:val="21"/>
        </w:rPr>
      </w:pPr>
      <w:r>
        <w:rPr>
          <w:rFonts w:hint="eastAsia" w:ascii="宋体" w:hAnsi="宋体"/>
          <w:szCs w:val="21"/>
        </w:rPr>
        <w:t>供应商应认真阅读磋商文件的采购需求，如供应商对磋商文件有疑问的，如要求采购人作出澄清或者修改的，供应商尽应在提交首次响应文件截止之日前，以书面形式向采购人、采购代理机构提出。</w:t>
      </w:r>
    </w:p>
    <w:p w14:paraId="61C781AD">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10.磋商文件的澄清和修改</w:t>
      </w:r>
    </w:p>
    <w:p w14:paraId="571032C3">
      <w:pPr>
        <w:spacing w:line="360" w:lineRule="auto"/>
        <w:ind w:firstLine="420" w:firstLineChars="200"/>
        <w:rPr>
          <w:rFonts w:hint="eastAsia" w:ascii="宋体" w:hAnsi="宋体"/>
          <w:szCs w:val="21"/>
        </w:rPr>
      </w:pPr>
      <w:r>
        <w:rPr>
          <w:rFonts w:hint="eastAsia" w:ascii="宋体" w:hAnsi="宋体"/>
          <w:szCs w:val="21"/>
        </w:rPr>
        <w:t>10.1已获取磋商文件的潜在供应商，若有问题需要澄清，应于应标截止时间前，以书面形式向采购代理机构提出，采购代理机构与采购人研究后，对认为有必要回答的问题，按照本章10.3的内容处理。</w:t>
      </w:r>
    </w:p>
    <w:p w14:paraId="3132B9CF">
      <w:pPr>
        <w:spacing w:line="360" w:lineRule="auto"/>
        <w:ind w:firstLine="422" w:firstLineChars="200"/>
        <w:rPr>
          <w:rFonts w:hint="eastAsia" w:ascii="宋体" w:hAnsi="宋体"/>
          <w:b/>
          <w:szCs w:val="21"/>
        </w:rPr>
      </w:pPr>
      <w:r>
        <w:rPr>
          <w:rFonts w:hint="eastAsia" w:ascii="宋体" w:hAnsi="宋体"/>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9AE70E1">
      <w:pPr>
        <w:spacing w:line="360" w:lineRule="auto"/>
        <w:ind w:firstLine="420" w:firstLineChars="200"/>
        <w:rPr>
          <w:rFonts w:hint="eastAsia" w:ascii="宋体" w:hAnsi="宋体"/>
          <w:szCs w:val="21"/>
        </w:rPr>
      </w:pPr>
      <w:r>
        <w:rPr>
          <w:rFonts w:hint="eastAsia" w:ascii="宋体" w:hAnsi="宋体"/>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目前为网上公告和系统短信等形式）通知所有获取磋商文件的供应商；不足5日的，采购人、采购代理机构应当顺延提交首次响应文件截止时间。</w:t>
      </w:r>
    </w:p>
    <w:p w14:paraId="54073684">
      <w:pPr>
        <w:spacing w:line="360" w:lineRule="auto"/>
        <w:ind w:firstLine="420" w:firstLineChars="200"/>
        <w:rPr>
          <w:rFonts w:hint="eastAsia" w:ascii="宋体" w:hAnsi="宋体"/>
          <w:szCs w:val="21"/>
        </w:rPr>
      </w:pPr>
      <w:r>
        <w:rPr>
          <w:rFonts w:hint="eastAsia" w:ascii="宋体" w:hAnsi="宋体"/>
          <w:szCs w:val="21"/>
        </w:rPr>
        <w:t>10.4</w:t>
      </w:r>
      <w:r>
        <w:rPr>
          <w:rFonts w:hint="eastAsia" w:ascii="Arial" w:hAnsi="Arial" w:cs="Arial"/>
          <w:shd w:val="clear" w:color="auto" w:fill="FFFFFF"/>
        </w:rPr>
        <w:t>采购信息更正公告的内容应当包括采购人和采购代理机构名称、地址、联系方式，原公告的采购项目名称及首次公告日期，更正事项、内容及日期，采购项目联系人和电话。</w:t>
      </w:r>
    </w:p>
    <w:p w14:paraId="68E87007">
      <w:pPr>
        <w:spacing w:line="360" w:lineRule="auto"/>
        <w:ind w:firstLine="420" w:firstLineChars="200"/>
        <w:rPr>
          <w:rFonts w:hint="eastAsia"/>
        </w:rPr>
      </w:pPr>
      <w:r>
        <w:rPr>
          <w:rFonts w:hAnsi="宋体"/>
        </w:rPr>
        <w:t xml:space="preserve">10.5  </w:t>
      </w:r>
      <w:r>
        <w:rPr>
          <w:rFonts w:hint="eastAsia"/>
        </w:rPr>
        <w:t>采购人和采购代理机构可以视采购具体情况，变更</w:t>
      </w:r>
      <w:r>
        <w:rPr>
          <w:rFonts w:hint="eastAsia" w:hAnsi="宋体"/>
        </w:rPr>
        <w:t>提交首次响应文件</w:t>
      </w:r>
      <w:r>
        <w:rPr>
          <w:rFonts w:hint="eastAsia"/>
        </w:rPr>
        <w:t>截止时间和竞谈时间，将变更时间将在</w:t>
      </w:r>
      <w:r>
        <w:rPr>
          <w:rFonts w:hint="eastAsia" w:hAnsi="宋体"/>
        </w:rPr>
        <w:t>“采购文件公告”中“七、其他补充事宜</w:t>
      </w:r>
      <w:r>
        <w:rPr>
          <w:rFonts w:hAnsi="宋体"/>
        </w:rPr>
        <w:t>3.</w:t>
      </w:r>
      <w:r>
        <w:rPr>
          <w:rFonts w:hint="eastAsia" w:hAnsi="宋体"/>
        </w:rPr>
        <w:t>网上查询地址”</w:t>
      </w:r>
      <w:r>
        <w:rPr>
          <w:rFonts w:hint="eastAsia" w:cs="宋体"/>
        </w:rPr>
        <w:t>规定的政府采购信息发布媒体上</w:t>
      </w:r>
      <w:r>
        <w:rPr>
          <w:rFonts w:hint="eastAsia"/>
        </w:rPr>
        <w:t>发布更正公告。</w:t>
      </w:r>
    </w:p>
    <w:p w14:paraId="39E65AA1">
      <w:pPr>
        <w:spacing w:line="360" w:lineRule="auto"/>
        <w:ind w:firstLine="400" w:firstLineChars="200"/>
        <w:rPr>
          <w:rFonts w:ascii="宋体" w:hAnsi="Courier New"/>
          <w:kern w:val="0"/>
          <w:sz w:val="20"/>
          <w:szCs w:val="21"/>
        </w:rPr>
      </w:pPr>
      <w:r>
        <w:rPr>
          <w:rFonts w:hint="eastAsia" w:ascii="宋体" w:hAnsi="Courier New"/>
          <w:kern w:val="0"/>
          <w:sz w:val="20"/>
          <w:szCs w:val="21"/>
        </w:rPr>
        <w:t>▲</w:t>
      </w:r>
      <w:r>
        <w:rPr>
          <w:rFonts w:hint="eastAsia" w:ascii="宋体" w:hAnsi="Courier New"/>
          <w:b/>
          <w:kern w:val="0"/>
          <w:sz w:val="20"/>
          <w:szCs w:val="21"/>
        </w:rPr>
        <w:t>响应文件未按磋商文件的澄清、修改的内容编制，又不符合实质性要求的，其响应文件作无效处理。</w:t>
      </w:r>
    </w:p>
    <w:p w14:paraId="7DE53AB2">
      <w:pPr>
        <w:pStyle w:val="4"/>
        <w:spacing w:before="0" w:after="0" w:line="360" w:lineRule="auto"/>
        <w:ind w:firstLine="640" w:firstLineChars="200"/>
        <w:rPr>
          <w:rFonts w:hint="eastAsia" w:ascii="宋体" w:hAnsi="宋体"/>
          <w:b w:val="0"/>
          <w:bCs w:val="0"/>
        </w:rPr>
      </w:pPr>
      <w:r>
        <w:rPr>
          <w:rFonts w:hint="eastAsia" w:ascii="宋体" w:hAnsi="宋体"/>
          <w:b w:val="0"/>
          <w:bCs w:val="0"/>
        </w:rPr>
        <w:t xml:space="preserve">  </w:t>
      </w:r>
      <w:bookmarkStart w:id="69" w:name="_Toc80886932"/>
      <w:r>
        <w:rPr>
          <w:rFonts w:hint="eastAsia" w:ascii="宋体" w:hAnsi="宋体"/>
          <w:b w:val="0"/>
          <w:bCs w:val="0"/>
        </w:rPr>
        <w:t>三、响应文件的编制</w:t>
      </w:r>
      <w:bookmarkEnd w:id="69"/>
    </w:p>
    <w:p w14:paraId="171F2ADE">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11.响应文件的编制原则</w:t>
      </w:r>
    </w:p>
    <w:p w14:paraId="2785BF29">
      <w:pPr>
        <w:spacing w:line="360" w:lineRule="auto"/>
        <w:ind w:firstLine="420" w:firstLineChars="200"/>
        <w:rPr>
          <w:rFonts w:hint="eastAsia"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651EF0C3">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12.响应文件的组成</w:t>
      </w:r>
    </w:p>
    <w:p w14:paraId="5BF67E3D">
      <w:pPr>
        <w:spacing w:line="360" w:lineRule="auto"/>
        <w:ind w:firstLine="420" w:firstLineChars="200"/>
        <w:rPr>
          <w:rFonts w:hint="eastAsia" w:ascii="宋体" w:hAnsi="宋体" w:cs="宋体"/>
          <w:szCs w:val="21"/>
        </w:rPr>
      </w:pPr>
      <w:r>
        <w:rPr>
          <w:rFonts w:hint="eastAsia" w:ascii="宋体" w:hAnsi="宋体" w:cs="宋体"/>
          <w:szCs w:val="21"/>
        </w:rPr>
        <w:t>12.1响应文件由资格证明文件、报价文件、商务和技术文件三部分组成。</w:t>
      </w:r>
    </w:p>
    <w:p w14:paraId="7DBB3726">
      <w:pPr>
        <w:spacing w:line="360" w:lineRule="auto"/>
        <w:ind w:left="420" w:leftChars="200" w:firstLine="420" w:firstLineChars="200"/>
        <w:rPr>
          <w:rFonts w:hint="eastAsia" w:ascii="宋体" w:hAnsi="宋体" w:cs="宋体"/>
          <w:szCs w:val="21"/>
        </w:rPr>
      </w:pPr>
      <w:r>
        <w:rPr>
          <w:rFonts w:hint="eastAsia" w:ascii="宋体" w:hAnsi="宋体" w:cs="宋体"/>
          <w:szCs w:val="21"/>
        </w:rPr>
        <w:t>12.1.1资格证明文件：详见须知前附表</w:t>
      </w:r>
    </w:p>
    <w:p w14:paraId="2A8E61F1">
      <w:pPr>
        <w:spacing w:line="360" w:lineRule="auto"/>
        <w:ind w:left="420" w:leftChars="200" w:firstLine="420" w:firstLineChars="200"/>
        <w:rPr>
          <w:rFonts w:hint="eastAsia" w:ascii="宋体" w:hAnsi="宋体" w:cs="宋体"/>
          <w:szCs w:val="21"/>
        </w:rPr>
      </w:pPr>
      <w:r>
        <w:rPr>
          <w:rFonts w:hint="eastAsia" w:ascii="宋体" w:hAnsi="宋体" w:cs="宋体"/>
          <w:szCs w:val="21"/>
        </w:rPr>
        <w:t>12.1.2商务技术文件：详见须知前附表</w:t>
      </w:r>
    </w:p>
    <w:p w14:paraId="5E230B08">
      <w:pPr>
        <w:spacing w:line="360" w:lineRule="auto"/>
        <w:ind w:left="420" w:leftChars="200" w:firstLine="420" w:firstLineChars="200"/>
        <w:rPr>
          <w:rFonts w:hint="eastAsia" w:ascii="宋体" w:hAnsi="宋体" w:cs="宋体"/>
          <w:szCs w:val="21"/>
        </w:rPr>
      </w:pPr>
      <w:r>
        <w:rPr>
          <w:rFonts w:hint="eastAsia" w:ascii="宋体" w:hAnsi="宋体" w:cs="宋体"/>
          <w:szCs w:val="21"/>
        </w:rPr>
        <w:t>12.1.3报价文件：详见须知前附表</w:t>
      </w:r>
    </w:p>
    <w:p w14:paraId="2500F470">
      <w:pPr>
        <w:spacing w:line="360" w:lineRule="auto"/>
        <w:ind w:firstLine="420" w:firstLineChars="200"/>
        <w:rPr>
          <w:rFonts w:hint="eastAsia" w:ascii="宋体" w:hAnsi="宋体" w:cs="宋体"/>
          <w:szCs w:val="21"/>
        </w:rPr>
      </w:pPr>
      <w:r>
        <w:rPr>
          <w:rFonts w:hint="eastAsia" w:ascii="宋体" w:hAnsi="宋体" w:cs="宋体"/>
          <w:szCs w:val="21"/>
        </w:rPr>
        <w:t>12.2响应文件电子版：详见须知前附表</w:t>
      </w:r>
    </w:p>
    <w:p w14:paraId="5AA258FA">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13.计量单位</w:t>
      </w:r>
    </w:p>
    <w:p w14:paraId="3BC20396">
      <w:pPr>
        <w:spacing w:line="360" w:lineRule="auto"/>
        <w:ind w:firstLine="420" w:firstLineChars="200"/>
        <w:rPr>
          <w:rFonts w:hint="eastAsia"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7A3E8409">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14.竞标的风险</w:t>
      </w:r>
    </w:p>
    <w:p w14:paraId="19A2358C">
      <w:pPr>
        <w:spacing w:line="360" w:lineRule="auto"/>
        <w:ind w:firstLine="420" w:firstLineChars="200"/>
        <w:rPr>
          <w:rFonts w:hint="eastAsia"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001C0FBB">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15.响应报价要求和构成</w:t>
      </w:r>
    </w:p>
    <w:p w14:paraId="0660914C">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15.1响应报价应按“第五章 响应文件格式”中“响应报价表”格式填写。</w:t>
      </w:r>
    </w:p>
    <w:p w14:paraId="5A07D7D2">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15.2响应报价的价格构成见“供应商须知前附表”。</w:t>
      </w:r>
    </w:p>
    <w:p w14:paraId="221D2BF5">
      <w:pPr>
        <w:spacing w:line="360" w:lineRule="auto"/>
        <w:ind w:firstLine="420" w:firstLineChars="200"/>
        <w:rPr>
          <w:rFonts w:hint="eastAsia" w:ascii="宋体" w:hAnsi="宋体" w:cs="宋体"/>
          <w:szCs w:val="21"/>
        </w:rPr>
      </w:pPr>
      <w:r>
        <w:rPr>
          <w:rFonts w:hint="eastAsia" w:ascii="宋体" w:hAnsi="宋体" w:cs="宋体"/>
          <w:szCs w:val="21"/>
        </w:rPr>
        <w:t>15.3响应报价要求</w:t>
      </w:r>
    </w:p>
    <w:p w14:paraId="7D31BCB9">
      <w:pPr>
        <w:spacing w:line="360" w:lineRule="auto"/>
        <w:ind w:firstLine="420" w:firstLineChars="200"/>
        <w:rPr>
          <w:rFonts w:hint="eastAsia" w:ascii="宋体" w:hAnsi="宋体" w:cs="宋体"/>
          <w:szCs w:val="21"/>
        </w:rPr>
      </w:pPr>
      <w:r>
        <w:rPr>
          <w:rFonts w:hint="eastAsia" w:ascii="宋体" w:hAnsi="宋体" w:cs="宋体"/>
          <w:szCs w:val="21"/>
        </w:rPr>
        <w:t>15.3.1供应商的响应报价应符合以下要求，否则响应文件按无效响应处理：</w:t>
      </w:r>
    </w:p>
    <w:p w14:paraId="59789A5F">
      <w:pPr>
        <w:spacing w:line="360" w:lineRule="auto"/>
        <w:ind w:firstLine="420" w:firstLineChars="200"/>
        <w:rPr>
          <w:rFonts w:hint="eastAsia" w:ascii="宋体" w:hAnsi="宋体" w:cs="宋体"/>
          <w:szCs w:val="21"/>
        </w:rPr>
      </w:pPr>
      <w:r>
        <w:rPr>
          <w:rFonts w:hint="eastAsia" w:ascii="宋体" w:hAnsi="宋体" w:cs="宋体"/>
          <w:szCs w:val="21"/>
        </w:rPr>
        <w:t>（1）供应商必须就“采购需求”中所竞标的每个分标的全部内容分别作完整唯一总价报价，不得存在漏项报价；</w:t>
      </w:r>
    </w:p>
    <w:p w14:paraId="00FD95CA">
      <w:pPr>
        <w:spacing w:line="360" w:lineRule="auto"/>
        <w:ind w:firstLine="420" w:firstLineChars="200"/>
        <w:rPr>
          <w:rFonts w:hint="eastAsia" w:ascii="宋体" w:hAnsi="宋体" w:cs="宋体"/>
          <w:szCs w:val="21"/>
        </w:rPr>
      </w:pPr>
      <w:r>
        <w:rPr>
          <w:rFonts w:hint="eastAsia" w:ascii="宋体" w:hAnsi="宋体" w:cs="宋体"/>
          <w:szCs w:val="21"/>
        </w:rPr>
        <w:t>（2）供应商必须就所竞标的分标的单项内容作唯一报价。</w:t>
      </w:r>
    </w:p>
    <w:p w14:paraId="424D05B1">
      <w:pPr>
        <w:spacing w:line="360" w:lineRule="auto"/>
        <w:ind w:firstLine="420" w:firstLineChars="200"/>
        <w:rPr>
          <w:rFonts w:hint="eastAsia" w:ascii="宋体" w:hAnsi="宋体" w:cs="宋体"/>
          <w:szCs w:val="21"/>
        </w:rPr>
      </w:pPr>
      <w:r>
        <w:rPr>
          <w:rFonts w:hint="eastAsia" w:ascii="宋体" w:hAnsi="宋体" w:cs="宋体"/>
          <w:szCs w:val="21"/>
        </w:rPr>
        <w:t>15.3.2响应报价（包含首次报价、最后报价）超过所竞标分标规定的采购预算金额或者最高限价的，其响应文件将作无效处理。</w:t>
      </w:r>
    </w:p>
    <w:p w14:paraId="149001BB">
      <w:pPr>
        <w:spacing w:line="360" w:lineRule="auto"/>
        <w:ind w:firstLine="420" w:firstLineChars="200"/>
        <w:rPr>
          <w:rFonts w:hint="eastAsia" w:ascii="宋体" w:hAnsi="宋体" w:cs="宋体"/>
          <w:szCs w:val="21"/>
        </w:rPr>
      </w:pPr>
      <w:r>
        <w:rPr>
          <w:rFonts w:hint="eastAsia" w:ascii="宋体" w:hAnsi="宋体" w:cs="宋体"/>
          <w:szCs w:val="21"/>
        </w:rPr>
        <w:t>15.3.3</w:t>
      </w:r>
      <w:bookmarkStart w:id="70" w:name="_Hlk42592874"/>
      <w:r>
        <w:rPr>
          <w:rFonts w:hint="eastAsia" w:ascii="宋体" w:hAnsi="宋体" w:cs="宋体"/>
          <w:szCs w:val="21"/>
        </w:rPr>
        <w:t>响应报价（包含首次报价、最后报价）超过分项采购预算金额或者最高限价的，其响应文件将作无效处理。</w:t>
      </w:r>
    </w:p>
    <w:bookmarkEnd w:id="70"/>
    <w:p w14:paraId="12DB248A">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16.竞标有效期</w:t>
      </w:r>
    </w:p>
    <w:p w14:paraId="69BCB049">
      <w:pPr>
        <w:spacing w:line="360" w:lineRule="auto"/>
        <w:ind w:firstLine="420" w:firstLineChars="200"/>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2F3351E0">
      <w:pPr>
        <w:spacing w:line="360" w:lineRule="auto"/>
        <w:ind w:firstLine="420" w:firstLineChars="200"/>
        <w:rPr>
          <w:rFonts w:hint="eastAsia" w:ascii="宋体" w:hAnsi="宋体" w:cs="宋体"/>
          <w:szCs w:val="21"/>
        </w:rPr>
      </w:pPr>
      <w:r>
        <w:rPr>
          <w:rFonts w:hint="eastAsia" w:ascii="宋体" w:hAnsi="宋体" w:cs="宋体"/>
          <w:szCs w:val="21"/>
        </w:rPr>
        <w:t>16.2 竞标有效期应由供应商按“供应商须知前附表”规定的期限作出响应。</w:t>
      </w:r>
    </w:p>
    <w:p w14:paraId="47C845FA">
      <w:pPr>
        <w:spacing w:line="360" w:lineRule="auto"/>
        <w:ind w:firstLine="420" w:firstLineChars="200"/>
        <w:rPr>
          <w:rFonts w:hint="eastAsia" w:ascii="宋体" w:hAnsi="宋体" w:cs="宋体"/>
          <w:szCs w:val="21"/>
        </w:rPr>
      </w:pPr>
      <w:r>
        <w:rPr>
          <w:rFonts w:hint="eastAsia" w:ascii="宋体" w:hAnsi="宋体" w:cs="宋体"/>
          <w:szCs w:val="21"/>
        </w:rPr>
        <w:t>16.3供应商的响应文件在竞标有效期内均保持有效。</w:t>
      </w:r>
    </w:p>
    <w:p w14:paraId="491FA55B">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17.磋商保证金</w:t>
      </w:r>
    </w:p>
    <w:p w14:paraId="413C5503">
      <w:pPr>
        <w:spacing w:line="360" w:lineRule="auto"/>
        <w:ind w:firstLine="420" w:firstLineChars="200"/>
        <w:rPr>
          <w:rFonts w:hint="eastAsia" w:ascii="宋体" w:hAnsi="宋体" w:cs="宋体"/>
          <w:szCs w:val="21"/>
        </w:rPr>
      </w:pPr>
      <w:r>
        <w:rPr>
          <w:rFonts w:hint="eastAsia" w:ascii="宋体" w:hAnsi="宋体" w:cs="宋体"/>
          <w:szCs w:val="21"/>
        </w:rPr>
        <w:t>详见“供应商须知前附表”。</w:t>
      </w:r>
    </w:p>
    <w:p w14:paraId="0367E3AF">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18.响应文件编制的要求</w:t>
      </w:r>
    </w:p>
    <w:p w14:paraId="214FDA14">
      <w:pPr>
        <w:spacing w:line="360" w:lineRule="auto"/>
        <w:ind w:firstLine="420" w:firstLineChars="200"/>
        <w:rPr>
          <w:rFonts w:hint="eastAsia" w:ascii="宋体" w:hAnsi="宋体" w:cs="宋体"/>
          <w:szCs w:val="21"/>
        </w:rPr>
      </w:pPr>
      <w:r>
        <w:rPr>
          <w:rFonts w:hint="eastAsia" w:ascii="宋体" w:hAnsi="宋体" w:cs="宋体"/>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rPr>
        <w:t>由此引发的</w:t>
      </w:r>
      <w:r>
        <w:rPr>
          <w:rFonts w:hint="eastAsia" w:ascii="宋体" w:hAnsi="宋体" w:cs="宋体"/>
          <w:szCs w:val="21"/>
        </w:rPr>
        <w:t>后果由供应商承担。</w:t>
      </w:r>
    </w:p>
    <w:p w14:paraId="4A262B8A">
      <w:pPr>
        <w:spacing w:line="360" w:lineRule="auto"/>
        <w:ind w:firstLine="420" w:firstLineChars="200"/>
        <w:rPr>
          <w:rFonts w:hint="eastAsia" w:ascii="宋体" w:hAnsi="宋体" w:cs="宋体"/>
          <w:szCs w:val="21"/>
        </w:rPr>
      </w:pPr>
      <w:r>
        <w:rPr>
          <w:rFonts w:hint="eastAsia" w:ascii="宋体" w:hAnsi="宋体" w:cs="宋体"/>
          <w:szCs w:val="21"/>
        </w:rPr>
        <w:t>18.2响应文件应按资格证明、报价分别编制，商务技术文件合并编制，本磋商只接受电子版响应文件，要求见本章“12.2响应文件电子版要求”。</w:t>
      </w:r>
    </w:p>
    <w:p w14:paraId="5168D084">
      <w:pPr>
        <w:spacing w:line="360" w:lineRule="auto"/>
        <w:ind w:firstLine="420" w:firstLineChars="200"/>
        <w:rPr>
          <w:rFonts w:hint="eastAsia" w:ascii="宋体" w:hAnsi="宋体" w:cs="宋体"/>
          <w:szCs w:val="21"/>
        </w:rPr>
      </w:pPr>
      <w:r>
        <w:rPr>
          <w:rFonts w:hint="eastAsia" w:ascii="宋体" w:hAnsi="宋体" w:cs="宋体"/>
          <w:szCs w:val="21"/>
        </w:rPr>
        <w:t>18.</w:t>
      </w:r>
      <w:bookmarkStart w:id="71" w:name="_Hlk65832699"/>
      <w:r>
        <w:rPr>
          <w:rFonts w:hint="eastAsia" w:ascii="宋体" w:hAnsi="宋体" w:cs="宋体"/>
          <w:szCs w:val="21"/>
        </w:rPr>
        <w:t>3</w:t>
      </w:r>
      <w:r>
        <w:rPr>
          <w:rFonts w:hint="eastAsia" w:ascii="宋体" w:hAnsi="宋体"/>
          <w:szCs w:val="21"/>
        </w:rPr>
        <w:t>响应文件须由供应商在</w:t>
      </w:r>
      <w:r>
        <w:rPr>
          <w:rFonts w:hint="eastAsia" w:ascii="宋体" w:hAnsi="宋体" w:cs="仿宋_GB2312"/>
          <w:kern w:val="0"/>
          <w:szCs w:val="21"/>
          <w:lang w:val="zh-CN"/>
        </w:rPr>
        <w:t>“</w:t>
      </w:r>
      <w:r>
        <w:rPr>
          <w:rFonts w:hint="eastAsia" w:ascii="宋体" w:hAnsi="宋体"/>
          <w:szCs w:val="21"/>
        </w:rPr>
        <w:t>第五章 响应文件格式</w:t>
      </w:r>
      <w:r>
        <w:rPr>
          <w:rFonts w:hint="eastAsia" w:ascii="宋体" w:hAnsi="宋体" w:cs="仿宋_GB2312"/>
          <w:kern w:val="0"/>
          <w:szCs w:val="21"/>
          <w:lang w:val="zh-CN"/>
        </w:rPr>
        <w:t>”</w:t>
      </w:r>
      <w:r>
        <w:rPr>
          <w:rFonts w:hint="eastAsia" w:ascii="宋体" w:hAnsi="宋体"/>
          <w:szCs w:val="21"/>
        </w:rPr>
        <w:t>规定位置</w:t>
      </w:r>
      <w:r>
        <w:rPr>
          <w:rFonts w:hint="eastAsia" w:ascii="宋体" w:hAnsi="宋体" w:cs="仿宋_GB2312"/>
          <w:szCs w:val="21"/>
        </w:rPr>
        <w:t>进行签署、盖章</w:t>
      </w:r>
      <w:bookmarkEnd w:id="71"/>
      <w:r>
        <w:rPr>
          <w:rFonts w:hint="eastAsia" w:ascii="宋体" w:hAnsi="宋体" w:cs="宋体"/>
          <w:szCs w:val="21"/>
        </w:rPr>
        <w:t>，否则其响应文件按无效响应处理。骑缝盖公章不视为在规定位置盖章。</w:t>
      </w:r>
    </w:p>
    <w:p w14:paraId="600D01F5">
      <w:pPr>
        <w:spacing w:line="360" w:lineRule="auto"/>
        <w:ind w:firstLine="420" w:firstLineChars="200"/>
        <w:rPr>
          <w:rFonts w:hint="eastAsia" w:ascii="宋体" w:hAnsi="宋体" w:cs="宋体"/>
          <w:szCs w:val="21"/>
        </w:rPr>
      </w:pPr>
      <w:r>
        <w:rPr>
          <w:rFonts w:hint="eastAsia" w:ascii="宋体" w:hAnsi="宋体" w:cs="宋体"/>
          <w:szCs w:val="21"/>
        </w:rPr>
        <w:t>18.4响应文件中标注的供应商名称应与营业执照（事业单位法人证书、执业许可证、自然人身份证）及电子公章一致，否则其响应文件按无效响应处理。</w:t>
      </w:r>
    </w:p>
    <w:p w14:paraId="39486171">
      <w:pPr>
        <w:spacing w:line="360" w:lineRule="auto"/>
        <w:ind w:firstLine="420" w:firstLineChars="200"/>
        <w:rPr>
          <w:rFonts w:hint="eastAsia" w:ascii="宋体" w:hAnsi="宋体" w:cs="宋体"/>
          <w:szCs w:val="21"/>
        </w:rPr>
      </w:pPr>
      <w:r>
        <w:rPr>
          <w:rFonts w:hint="eastAsia" w:ascii="宋体" w:hAnsi="宋体" w:cs="宋体"/>
          <w:szCs w:val="21"/>
        </w:rPr>
        <w:t>18.5响应文件应避免涂改、行间插字或者删除，否则其响应文件按无效响应处理。</w:t>
      </w:r>
    </w:p>
    <w:p w14:paraId="203EF109">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19.响应文件的密封和标记</w:t>
      </w:r>
    </w:p>
    <w:p w14:paraId="3D5E56E8">
      <w:pPr>
        <w:spacing w:line="360" w:lineRule="auto"/>
        <w:ind w:firstLine="420" w:firstLineChars="200"/>
        <w:rPr>
          <w:rFonts w:hint="eastAsia" w:ascii="宋体" w:hAnsi="宋体" w:cs="仿宋_GB2312"/>
          <w:kern w:val="0"/>
          <w:szCs w:val="21"/>
          <w:lang w:val="zh-CN"/>
        </w:rPr>
      </w:pPr>
      <w:r>
        <w:rPr>
          <w:rFonts w:hint="eastAsia" w:ascii="宋体" w:hAnsi="宋体" w:cs="仿宋_GB2312"/>
          <w:kern w:val="0"/>
          <w:szCs w:val="21"/>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5AEF7A0D">
      <w:pPr>
        <w:spacing w:line="360" w:lineRule="auto"/>
        <w:ind w:firstLine="420" w:firstLineChars="200"/>
        <w:rPr>
          <w:rFonts w:hint="eastAsia" w:ascii="宋体" w:hAnsi="宋体" w:cs="仿宋_GB2312"/>
          <w:kern w:val="0"/>
          <w:szCs w:val="21"/>
          <w:lang w:val="zh-CN"/>
        </w:rPr>
      </w:pPr>
      <w:r>
        <w:rPr>
          <w:rFonts w:hint="eastAsia" w:ascii="宋体" w:hAnsi="宋体" w:cs="仿宋_GB2312"/>
          <w:kern w:val="0"/>
          <w:szCs w:val="21"/>
          <w:lang w:val="zh-CN"/>
        </w:rPr>
        <w:t>19.2使用“政采云电子交易客户端”需要提前申领CA数字证书，申领流程见该项目采购公告附件。</w:t>
      </w:r>
    </w:p>
    <w:p w14:paraId="732E7C03">
      <w:pPr>
        <w:pStyle w:val="13"/>
        <w:spacing w:line="360" w:lineRule="auto"/>
        <w:ind w:firstLine="420" w:firstLineChars="200"/>
        <w:rPr>
          <w:rFonts w:hint="eastAsia" w:hAnsi="宋体" w:cs="仿宋_GB2312"/>
          <w:sz w:val="21"/>
        </w:rPr>
      </w:pPr>
      <w:r>
        <w:rPr>
          <w:rFonts w:hint="eastAsia" w:hAnsi="宋体" w:cs="仿宋_GB2312"/>
          <w:sz w:val="21"/>
        </w:rPr>
        <w:t>19.3为确保网上操作合法、有效和安全，供应商应当在响应文件提交截止时间前完成在“政府采购云平台”的身份认证，确保在电子交易过程中能够对相关数据电文进行加密和使用电子签名。</w:t>
      </w:r>
    </w:p>
    <w:p w14:paraId="15ABE2C3">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20.响应文件的提交</w:t>
      </w:r>
    </w:p>
    <w:p w14:paraId="7CA66439">
      <w:pPr>
        <w:spacing w:line="360" w:lineRule="auto"/>
        <w:ind w:firstLine="420" w:firstLineChars="200"/>
        <w:rPr>
          <w:rFonts w:hint="eastAsia" w:ascii="宋体" w:hAnsi="宋体" w:cs="宋体"/>
          <w:szCs w:val="21"/>
        </w:rPr>
      </w:pPr>
      <w:r>
        <w:rPr>
          <w:rFonts w:hint="eastAsia" w:ascii="宋体" w:hAnsi="宋体" w:cs="宋体"/>
          <w:szCs w:val="21"/>
        </w:rPr>
        <w:t>20.1供应商必须在“供应商须知前附表”规定的时间和地点提交响应文件。</w:t>
      </w:r>
    </w:p>
    <w:p w14:paraId="5E8E31A3">
      <w:pPr>
        <w:spacing w:line="360" w:lineRule="auto"/>
        <w:ind w:firstLine="420" w:firstLineChars="200"/>
        <w:rPr>
          <w:rFonts w:hint="eastAsia" w:ascii="宋体" w:hAnsi="宋体"/>
          <w:szCs w:val="21"/>
        </w:rPr>
      </w:pPr>
      <w:r>
        <w:rPr>
          <w:rFonts w:hint="eastAsia" w:ascii="宋体" w:hAnsi="宋体" w:cs="宋体"/>
          <w:szCs w:val="21"/>
        </w:rPr>
        <w:t>20</w:t>
      </w:r>
      <w:r>
        <w:rPr>
          <w:rFonts w:hint="eastAsia" w:ascii="宋体" w:hAnsi="宋体"/>
          <w:szCs w:val="21"/>
        </w:rPr>
        <w:t>.2 在响应文件提交截止时间以后，不能补充、修改响应文件。</w:t>
      </w:r>
    </w:p>
    <w:p w14:paraId="54059965">
      <w:pPr>
        <w:spacing w:line="360" w:lineRule="auto"/>
        <w:ind w:firstLine="420" w:firstLineChars="200"/>
        <w:rPr>
          <w:rFonts w:hint="eastAsia" w:ascii="宋体" w:hAnsi="宋体"/>
          <w:szCs w:val="21"/>
        </w:rPr>
      </w:pPr>
      <w:r>
        <w:rPr>
          <w:rFonts w:hint="eastAsia" w:ascii="宋体" w:hAnsi="宋体"/>
          <w:szCs w:val="21"/>
        </w:rPr>
        <w:t>20.3 在提交“最后报价”后，供应商不能退出谈判。</w:t>
      </w:r>
    </w:p>
    <w:p w14:paraId="7D0C4953">
      <w:pPr>
        <w:spacing w:line="360" w:lineRule="auto"/>
        <w:ind w:firstLine="420" w:firstLineChars="200"/>
        <w:rPr>
          <w:rFonts w:hint="eastAsia" w:ascii="宋体" w:hAnsi="宋体"/>
          <w:szCs w:val="21"/>
        </w:rPr>
      </w:pPr>
      <w:r>
        <w:rPr>
          <w:rFonts w:hint="eastAsia" w:ascii="宋体" w:hAnsi="宋体"/>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12EFEC4F">
      <w:pPr>
        <w:spacing w:line="360" w:lineRule="auto"/>
        <w:ind w:firstLine="420" w:firstLineChars="200"/>
        <w:rPr>
          <w:rFonts w:hint="eastAsia" w:ascii="宋体" w:hAnsi="宋体"/>
          <w:szCs w:val="21"/>
        </w:rPr>
      </w:pPr>
      <w:r>
        <w:rPr>
          <w:rFonts w:hint="eastAsia" w:ascii="宋体" w:hAnsi="宋体"/>
          <w:szCs w:val="21"/>
        </w:rPr>
        <w:t>20.5 采购机构不可视情况延长提交响应文件的截止时间。</w:t>
      </w:r>
    </w:p>
    <w:p w14:paraId="1A31C570">
      <w:pPr>
        <w:spacing w:line="360" w:lineRule="auto"/>
        <w:ind w:firstLine="420" w:firstLineChars="200"/>
        <w:rPr>
          <w:rFonts w:hint="eastAsia" w:ascii="黑体" w:hAnsi="黑体" w:eastAsia="黑体"/>
          <w:color w:val="000000"/>
          <w:sz w:val="24"/>
        </w:rPr>
      </w:pPr>
      <w:r>
        <w:rPr>
          <w:rFonts w:hint="eastAsia" w:ascii="宋体" w:hAnsi="宋体"/>
          <w:szCs w:val="21"/>
        </w:rPr>
        <w:t>20.6备份响应文件。</w:t>
      </w:r>
      <w:r>
        <w:rPr>
          <w:rFonts w:hint="eastAsia" w:hAnsi="宋体"/>
          <w:bCs/>
          <w:color w:val="000000"/>
          <w:szCs w:val="21"/>
        </w:rPr>
        <w:t>详见在“供应商须知前附表”。</w:t>
      </w:r>
    </w:p>
    <w:p w14:paraId="7D007729">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21.首次响应文件的补充、修改与撤回</w:t>
      </w:r>
    </w:p>
    <w:p w14:paraId="24CDBDE7">
      <w:pPr>
        <w:spacing w:line="360" w:lineRule="auto"/>
        <w:ind w:firstLine="420" w:firstLineChars="200"/>
        <w:rPr>
          <w:rFonts w:hint="eastAsia" w:ascii="宋体" w:hAnsi="宋体" w:cs="宋体"/>
          <w:szCs w:val="21"/>
        </w:rPr>
      </w:pPr>
      <w:r>
        <w:rPr>
          <w:rFonts w:hint="eastAsia" w:ascii="宋体" w:hAnsi="宋体" w:cs="宋体"/>
          <w:szCs w:val="21"/>
        </w:rPr>
        <w:t>详见“供应商须知前附表”。</w:t>
      </w:r>
    </w:p>
    <w:p w14:paraId="6E4229E6">
      <w:pPr>
        <w:spacing w:line="360" w:lineRule="auto"/>
        <w:ind w:firstLine="482" w:firstLineChars="200"/>
        <w:rPr>
          <w:rFonts w:hint="eastAsia" w:ascii="黑体" w:hAnsi="黑体" w:eastAsia="黑体" w:cs="宋体"/>
          <w:b/>
          <w:bCs/>
          <w:sz w:val="24"/>
        </w:rPr>
      </w:pPr>
      <w:bookmarkStart w:id="72" w:name="_Hlk45702405"/>
      <w:r>
        <w:rPr>
          <w:rFonts w:hint="eastAsia" w:ascii="黑体" w:hAnsi="黑体" w:eastAsia="黑体" w:cs="宋体"/>
          <w:b/>
          <w:bCs/>
          <w:sz w:val="24"/>
        </w:rPr>
        <w:t>22. 首次响应文件的退回</w:t>
      </w:r>
    </w:p>
    <w:p w14:paraId="16D37638">
      <w:pPr>
        <w:spacing w:line="360" w:lineRule="auto"/>
        <w:ind w:firstLine="420" w:firstLineChars="200"/>
        <w:rPr>
          <w:rFonts w:hint="eastAsia" w:ascii="宋体" w:hAnsi="宋体" w:cs="宋体"/>
          <w:color w:val="000000"/>
          <w:szCs w:val="21"/>
        </w:rPr>
      </w:pPr>
      <w:r>
        <w:rPr>
          <w:rFonts w:hint="eastAsia" w:ascii="宋体" w:hAnsi="宋体" w:cs="宋体"/>
          <w:szCs w:val="21"/>
        </w:rPr>
        <w:t>在首次响应文件提交截止时间止提交响应文件的供应商不足3家时</w:t>
      </w:r>
      <w:r>
        <w:rPr>
          <w:rFonts w:hint="eastAsia" w:ascii="宋体" w:hAnsi="宋体" w:cs="宋体"/>
          <w:color w:val="000000"/>
          <w:szCs w:val="21"/>
        </w:rPr>
        <w:t>电子响应文件由代理机构在“政采云”平台操作退回，除此之外采购人和采购代理机构对已提交的电子响应文件概不退回。</w:t>
      </w:r>
    </w:p>
    <w:p w14:paraId="59E2C816">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23. 截止时间后的撤回</w:t>
      </w:r>
    </w:p>
    <w:p w14:paraId="15DCF960">
      <w:pPr>
        <w:spacing w:line="360" w:lineRule="auto"/>
        <w:ind w:firstLine="420" w:firstLineChars="200"/>
        <w:rPr>
          <w:rFonts w:hint="eastAsia" w:ascii="宋体" w:hAnsi="宋体"/>
          <w:szCs w:val="21"/>
        </w:rPr>
      </w:pPr>
      <w:r>
        <w:rPr>
          <w:rFonts w:hint="eastAsia" w:ascii="宋体" w:hAnsi="宋体" w:cs="宋体"/>
          <w:szCs w:val="21"/>
        </w:rPr>
        <w:t>本项目不收取磋商保证金，供应商在首次响应文件提交截止时间后可向采购人、采购代理机构书面申请撤回电子响应文件。</w:t>
      </w:r>
      <w:bookmarkEnd w:id="72"/>
    </w:p>
    <w:p w14:paraId="3C76EC9D">
      <w:pPr>
        <w:pStyle w:val="4"/>
        <w:spacing w:before="0" w:after="0" w:line="360" w:lineRule="auto"/>
        <w:ind w:firstLine="640" w:firstLineChars="200"/>
        <w:rPr>
          <w:rFonts w:hint="eastAsia" w:ascii="宋体" w:hAnsi="宋体"/>
          <w:b w:val="0"/>
          <w:bCs w:val="0"/>
        </w:rPr>
      </w:pPr>
      <w:r>
        <w:rPr>
          <w:rFonts w:hint="eastAsia" w:ascii="宋体" w:hAnsi="宋体"/>
          <w:b w:val="0"/>
          <w:bCs w:val="0"/>
        </w:rPr>
        <w:t xml:space="preserve">  </w:t>
      </w:r>
      <w:bookmarkStart w:id="73" w:name="_Toc80886933"/>
      <w:r>
        <w:rPr>
          <w:rFonts w:hint="eastAsia" w:ascii="宋体" w:hAnsi="宋体"/>
          <w:b w:val="0"/>
          <w:bCs w:val="0"/>
        </w:rPr>
        <w:t>四、评审及磋商</w:t>
      </w:r>
      <w:bookmarkEnd w:id="73"/>
    </w:p>
    <w:p w14:paraId="4AEF22CA">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24.磋商小组成立</w:t>
      </w:r>
    </w:p>
    <w:p w14:paraId="76448C99">
      <w:pPr>
        <w:spacing w:line="360" w:lineRule="auto"/>
        <w:ind w:firstLine="420" w:firstLineChars="200"/>
        <w:rPr>
          <w:rFonts w:hint="eastAsia" w:ascii="宋体" w:hAnsi="宋体" w:cs="宋体"/>
          <w:szCs w:val="21"/>
        </w:rPr>
      </w:pPr>
      <w:r>
        <w:rPr>
          <w:rFonts w:hint="eastAsia" w:ascii="宋体" w:hAnsi="宋体" w:cs="宋体"/>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0B93FCD">
      <w:pPr>
        <w:spacing w:line="360" w:lineRule="auto"/>
        <w:ind w:firstLine="420" w:firstLineChars="200"/>
        <w:rPr>
          <w:rFonts w:hint="eastAsia"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6A6E31F">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25.首次响应文件的开启</w:t>
      </w:r>
    </w:p>
    <w:p w14:paraId="24C9E910">
      <w:pPr>
        <w:spacing w:line="360" w:lineRule="auto"/>
        <w:ind w:firstLine="420" w:firstLineChars="200"/>
        <w:rPr>
          <w:rFonts w:hint="eastAsia" w:ascii="宋体" w:hAnsi="宋体" w:cs="宋体"/>
          <w:szCs w:val="21"/>
        </w:rPr>
      </w:pPr>
      <w:r>
        <w:rPr>
          <w:rFonts w:hint="eastAsia" w:ascii="宋体" w:hAnsi="宋体" w:cs="宋体"/>
          <w:szCs w:val="21"/>
        </w:rPr>
        <w:t>25.1首次响应文件由磋商小组或者采购代理机构在“供应商须知前附表”规定的时间开启。</w:t>
      </w:r>
    </w:p>
    <w:p w14:paraId="2C8A29DB">
      <w:pPr>
        <w:pStyle w:val="13"/>
        <w:spacing w:line="360" w:lineRule="auto"/>
        <w:ind w:firstLine="420" w:firstLineChars="200"/>
        <w:rPr>
          <w:rFonts w:hint="eastAsia" w:hAnsi="宋体"/>
          <w:bCs/>
          <w:sz w:val="21"/>
        </w:rPr>
      </w:pPr>
      <w:r>
        <w:rPr>
          <w:rFonts w:hint="eastAsia" w:hAnsi="宋体" w:cs="宋体"/>
          <w:sz w:val="21"/>
        </w:rPr>
        <w:t xml:space="preserve">25.2 </w:t>
      </w:r>
      <w:r>
        <w:rPr>
          <w:rFonts w:hint="eastAsia" w:hAnsi="宋体"/>
          <w:bCs/>
          <w:sz w:val="21"/>
        </w:rPr>
        <w:t>响应文件解密</w:t>
      </w:r>
    </w:p>
    <w:p w14:paraId="6CCC0046">
      <w:pPr>
        <w:pStyle w:val="13"/>
        <w:snapToGrid w:val="0"/>
        <w:spacing w:line="360" w:lineRule="auto"/>
        <w:ind w:firstLine="420" w:firstLineChars="200"/>
        <w:rPr>
          <w:rFonts w:hint="eastAsia" w:hAnsi="宋体"/>
          <w:sz w:val="21"/>
        </w:rPr>
      </w:pPr>
      <w:r>
        <w:rPr>
          <w:rFonts w:hint="eastAsia" w:hAnsi="宋体"/>
          <w:bCs/>
          <w:sz w:val="21"/>
        </w:rPr>
        <w:t>采购代理机构将在“供应商须知前附表”规定的时</w:t>
      </w:r>
      <w:r>
        <w:rPr>
          <w:rFonts w:hint="eastAsia" w:hAnsi="宋体"/>
          <w:sz w:val="21"/>
        </w:rPr>
        <w:t>间通过电子交易平台组织响应文件开启，采购机构依托电子交易平台发起开始解密指令，供应商的法定代表人或其委托代理人</w:t>
      </w:r>
      <w:r>
        <w:rPr>
          <w:rFonts w:hint="eastAsia" w:hAnsi="宋体"/>
          <w:b/>
          <w:sz w:val="21"/>
        </w:rPr>
        <w:t>须携带加密时所用的CA锁按平台提示和采购文件的规定登录到“政采云”平台电子开标大厅签到并在发起解密指令之时起30分钟内完成对电子响应文件在线解密</w:t>
      </w:r>
      <w:r>
        <w:rPr>
          <w:rFonts w:hint="eastAsia" w:hAnsi="宋体"/>
          <w:sz w:val="21"/>
        </w:rPr>
        <w:t>。发起解密指令之时起5分钟内供应商还未进行解密的，代理机构要通知供应商，供应商没预留联系方式或预留联系方式无效，导致代理机构无法联系到供应商进行解密的，</w:t>
      </w:r>
      <w:r>
        <w:rPr>
          <w:rFonts w:hint="eastAsia" w:hAnsi="宋体"/>
          <w:b/>
          <w:sz w:val="21"/>
        </w:rPr>
        <w:t>视为响应文件无效。</w:t>
      </w:r>
      <w:r>
        <w:rPr>
          <w:rFonts w:hint="eastAsia" w:hAnsi="宋体"/>
          <w:sz w:val="21"/>
        </w:rPr>
        <w:t>（解密</w:t>
      </w:r>
      <w:r>
        <w:rPr>
          <w:rFonts w:hint="eastAsia" w:hAnsi="宋体"/>
          <w:bCs/>
          <w:color w:val="000000"/>
          <w:sz w:val="21"/>
        </w:rPr>
        <w:t>异常情况处理：详见本章</w:t>
      </w:r>
      <w:r>
        <w:rPr>
          <w:rFonts w:hint="eastAsia" w:hAnsi="宋体"/>
          <w:color w:val="000000"/>
          <w:sz w:val="21"/>
        </w:rPr>
        <w:t>26.3 电子交易活动的中止。</w:t>
      </w:r>
      <w:r>
        <w:rPr>
          <w:rFonts w:hint="eastAsia" w:hAnsi="宋体"/>
          <w:sz w:val="21"/>
        </w:rPr>
        <w:t>）</w:t>
      </w:r>
    </w:p>
    <w:p w14:paraId="16C9B985">
      <w:pPr>
        <w:pStyle w:val="13"/>
        <w:spacing w:line="360" w:lineRule="auto"/>
        <w:ind w:firstLine="420" w:firstLineChars="200"/>
        <w:rPr>
          <w:rFonts w:hint="eastAsia"/>
          <w:sz w:val="21"/>
        </w:rPr>
      </w:pPr>
      <w:r>
        <w:rPr>
          <w:rFonts w:hint="eastAsia" w:hAnsi="宋体"/>
          <w:sz w:val="21"/>
        </w:rPr>
        <w:t>如</w:t>
      </w:r>
      <w:r>
        <w:rPr>
          <w:rFonts w:hint="eastAsia" w:hAnsi="宋体"/>
          <w:bCs/>
          <w:sz w:val="21"/>
        </w:rPr>
        <w:t>供应商成功解密响应文件，但未在“政采云”电子开标大厅参加谈判的，视同认可谈判过程和结果，</w:t>
      </w:r>
      <w:r>
        <w:rPr>
          <w:rFonts w:hint="eastAsia" w:hAnsi="宋体"/>
          <w:sz w:val="21"/>
        </w:rPr>
        <w:t>由此产生的后果由供应商自行负责。 参与谈判的供应商</w:t>
      </w:r>
      <w:r>
        <w:rPr>
          <w:rFonts w:hint="eastAsia"/>
          <w:sz w:val="21"/>
        </w:rPr>
        <w:t>不足3家的，不得谈判。</w:t>
      </w:r>
    </w:p>
    <w:p w14:paraId="40631DF6">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26.评审程序、评审方法和评审标准</w:t>
      </w:r>
    </w:p>
    <w:p w14:paraId="3A45877E">
      <w:pPr>
        <w:spacing w:line="360" w:lineRule="auto"/>
        <w:ind w:firstLine="420" w:firstLineChars="200"/>
        <w:rPr>
          <w:rFonts w:hint="eastAsia" w:ascii="宋体" w:hAnsi="宋体" w:cs="宋体"/>
          <w:szCs w:val="21"/>
        </w:rPr>
      </w:pPr>
      <w:r>
        <w:rPr>
          <w:rFonts w:hint="eastAsia" w:ascii="宋体" w:hAnsi="宋体" w:cs="宋体"/>
          <w:szCs w:val="21"/>
        </w:rPr>
        <w:t>26.1磋商小组按照“第四章 评审程序、评审方法和评审标准”规定的方法、评审因素、标准和程序对响应文件进行评审。</w:t>
      </w:r>
    </w:p>
    <w:p w14:paraId="3386A9AD">
      <w:pPr>
        <w:spacing w:line="360" w:lineRule="auto"/>
        <w:ind w:firstLine="420" w:firstLineChars="200"/>
        <w:rPr>
          <w:rFonts w:hint="eastAsia" w:ascii="宋体" w:hAnsi="宋体" w:cs="宋体"/>
          <w:szCs w:val="21"/>
        </w:rPr>
      </w:pPr>
      <w:r>
        <w:rPr>
          <w:rFonts w:hint="eastAsia" w:ascii="宋体" w:hAnsi="宋体"/>
          <w:szCs w:val="21"/>
        </w:rPr>
        <w:t xml:space="preserve">26.2 </w:t>
      </w:r>
      <w:r>
        <w:rPr>
          <w:rFonts w:hint="eastAsia" w:ascii="宋体" w:hAnsi="宋体" w:cs="宋体"/>
          <w:szCs w:val="21"/>
        </w:rPr>
        <w:t>磋商文件内容违反国家有关强制性规定的，磋商小组应当停止评审并向采购人或者采购代理机构说明情况，并在评审报告中书面体现。</w:t>
      </w:r>
    </w:p>
    <w:p w14:paraId="2A11EEDD">
      <w:pPr>
        <w:spacing w:line="360" w:lineRule="auto"/>
        <w:ind w:firstLine="420" w:firstLineChars="200"/>
        <w:rPr>
          <w:rFonts w:hint="eastAsia" w:ascii="宋体" w:hAnsi="宋体"/>
          <w:szCs w:val="21"/>
        </w:rPr>
      </w:pPr>
      <w:r>
        <w:rPr>
          <w:rFonts w:hint="eastAsia" w:ascii="宋体" w:hAnsi="宋体" w:cs="宋体"/>
          <w:szCs w:val="21"/>
        </w:rPr>
        <w:t xml:space="preserve">26.3 </w:t>
      </w:r>
      <w:r>
        <w:rPr>
          <w:rFonts w:hint="eastAsia" w:ascii="宋体" w:hAnsi="宋体"/>
          <w:szCs w:val="21"/>
        </w:rPr>
        <w:t>采购需求负偏离要求及磋商顺序详见 “ 供应商须知前附表”。</w:t>
      </w:r>
    </w:p>
    <w:p w14:paraId="41CBCE8C">
      <w:pPr>
        <w:spacing w:line="360" w:lineRule="auto"/>
        <w:ind w:firstLine="420" w:firstLineChars="200"/>
        <w:rPr>
          <w:rFonts w:hint="eastAsia" w:ascii="宋体" w:hAnsi="宋体"/>
          <w:color w:val="000000"/>
        </w:rPr>
      </w:pPr>
      <w:r>
        <w:rPr>
          <w:rFonts w:hint="eastAsia" w:ascii="宋体" w:hAnsi="宋体"/>
        </w:rPr>
        <w:t>26.4</w:t>
      </w:r>
      <w:r>
        <w:rPr>
          <w:rFonts w:hint="eastAsia" w:ascii="宋体" w:hAnsi="宋体"/>
          <w:color w:val="000000"/>
        </w:rPr>
        <w:t>电子交易活动的中止。采购过程中出现以下情形，导致电子交易平台无法正常运行，或者无法保证电子交易的公平、公正和安全时，采购机构可中止电子交易活动：</w:t>
      </w:r>
    </w:p>
    <w:p w14:paraId="2E082B73">
      <w:pPr>
        <w:spacing w:line="360" w:lineRule="auto"/>
        <w:ind w:firstLine="420" w:firstLineChars="200"/>
        <w:rPr>
          <w:rFonts w:hint="eastAsia" w:ascii="宋体" w:hAnsi="宋体"/>
          <w:color w:val="000000"/>
        </w:rPr>
      </w:pPr>
      <w:r>
        <w:rPr>
          <w:rFonts w:hint="eastAsia" w:ascii="宋体" w:hAnsi="宋体"/>
          <w:color w:val="000000"/>
        </w:rPr>
        <w:t xml:space="preserve">（1）电子交易平台发生故障而无法登录访问的； </w:t>
      </w:r>
    </w:p>
    <w:p w14:paraId="793838B8">
      <w:pPr>
        <w:spacing w:line="360" w:lineRule="auto"/>
        <w:ind w:firstLine="420" w:firstLineChars="200"/>
        <w:rPr>
          <w:rFonts w:hint="eastAsia" w:ascii="宋体" w:hAnsi="宋体"/>
          <w:color w:val="000000"/>
        </w:rPr>
      </w:pPr>
      <w:r>
        <w:rPr>
          <w:rFonts w:hint="eastAsia" w:ascii="宋体" w:hAnsi="宋体"/>
          <w:color w:val="000000"/>
        </w:rPr>
        <w:t>（2）电子交易平台应用或数据库出现错误，不能进行正常操作的；</w:t>
      </w:r>
    </w:p>
    <w:p w14:paraId="05B6556D">
      <w:pPr>
        <w:spacing w:line="360" w:lineRule="auto"/>
        <w:ind w:firstLine="420" w:firstLineChars="200"/>
        <w:rPr>
          <w:rFonts w:hint="eastAsia" w:ascii="宋体" w:hAnsi="宋体"/>
          <w:color w:val="000000"/>
        </w:rPr>
      </w:pPr>
      <w:r>
        <w:rPr>
          <w:rFonts w:hint="eastAsia" w:ascii="宋体" w:hAnsi="宋体"/>
          <w:color w:val="000000"/>
        </w:rPr>
        <w:t>（3）电子交易平台发现严重安全漏洞，有潜在泄密危险的；</w:t>
      </w:r>
    </w:p>
    <w:p w14:paraId="63EA1CA3">
      <w:pPr>
        <w:spacing w:line="360" w:lineRule="auto"/>
        <w:ind w:firstLine="420" w:firstLineChars="200"/>
        <w:rPr>
          <w:rFonts w:hint="eastAsia" w:ascii="宋体" w:hAnsi="宋体"/>
          <w:color w:val="000000"/>
        </w:rPr>
      </w:pPr>
      <w:r>
        <w:rPr>
          <w:rFonts w:hint="eastAsia" w:ascii="宋体" w:hAnsi="宋体"/>
          <w:color w:val="000000"/>
        </w:rPr>
        <w:t xml:space="preserve">（4）病毒发作导致不能进行正常操作的； </w:t>
      </w:r>
    </w:p>
    <w:p w14:paraId="236AB877">
      <w:pPr>
        <w:spacing w:line="360" w:lineRule="auto"/>
        <w:ind w:firstLine="420" w:firstLineChars="200"/>
        <w:rPr>
          <w:rFonts w:hint="eastAsia" w:ascii="宋体" w:hAnsi="宋体"/>
          <w:color w:val="000000"/>
        </w:rPr>
      </w:pPr>
      <w:r>
        <w:rPr>
          <w:rFonts w:hint="eastAsia" w:ascii="宋体" w:hAnsi="宋体"/>
          <w:color w:val="000000"/>
        </w:rPr>
        <w:t>（5）其他无法保证电子交易的公平、公正和安全的情况。</w:t>
      </w:r>
    </w:p>
    <w:p w14:paraId="0BE61F1A">
      <w:pPr>
        <w:spacing w:line="360" w:lineRule="auto"/>
        <w:ind w:firstLine="420" w:firstLineChars="200"/>
        <w:rPr>
          <w:rFonts w:hint="eastAsia" w:ascii="宋体" w:hAnsi="宋体"/>
          <w:color w:val="000000"/>
        </w:rPr>
      </w:pPr>
      <w:r>
        <w:rPr>
          <w:rFonts w:hint="eastAsia" w:ascii="宋体" w:hAnsi="宋体"/>
        </w:rPr>
        <w:t>26.5</w:t>
      </w:r>
      <w:r>
        <w:rPr>
          <w:rFonts w:hint="eastAsia" w:ascii="宋体" w:hAnsi="宋体"/>
          <w:color w:val="000000"/>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1A50143">
      <w:pPr>
        <w:pStyle w:val="4"/>
        <w:spacing w:before="0" w:after="0" w:line="360" w:lineRule="auto"/>
        <w:ind w:firstLine="480" w:firstLineChars="150"/>
        <w:rPr>
          <w:rFonts w:hint="eastAsia" w:ascii="宋体" w:hAnsi="宋体"/>
          <w:b w:val="0"/>
          <w:bCs w:val="0"/>
        </w:rPr>
      </w:pPr>
      <w:bookmarkStart w:id="74" w:name="_Toc80886934"/>
      <w:r>
        <w:rPr>
          <w:rFonts w:hint="eastAsia" w:ascii="宋体" w:hAnsi="宋体"/>
          <w:b w:val="0"/>
          <w:bCs w:val="0"/>
        </w:rPr>
        <w:t>五、成交及合同</w:t>
      </w:r>
      <w:bookmarkEnd w:id="74"/>
    </w:p>
    <w:p w14:paraId="39159BB1">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27.确定成交供应商及结果公告</w:t>
      </w:r>
    </w:p>
    <w:p w14:paraId="37DB63FA">
      <w:pPr>
        <w:spacing w:line="360" w:lineRule="auto"/>
        <w:ind w:firstLine="420" w:firstLineChars="200"/>
        <w:rPr>
          <w:rFonts w:hint="eastAsia" w:ascii="宋体" w:hAnsi="宋体" w:cs="宋体"/>
          <w:szCs w:val="21"/>
        </w:rPr>
      </w:pPr>
      <w:r>
        <w:rPr>
          <w:rFonts w:hint="eastAsia" w:ascii="宋体" w:hAnsi="宋体" w:cs="宋体"/>
          <w:szCs w:val="21"/>
        </w:rPr>
        <w:t>27.1确定成交供应商。</w:t>
      </w:r>
      <w:r>
        <w:rPr>
          <w:rFonts w:hint="eastAsia" w:ascii="宋体" w:hAnsi="宋体" w:cs="宋体"/>
          <w:kern w:val="0"/>
          <w:szCs w:val="21"/>
          <w:u w:val="single"/>
        </w:rPr>
        <w:t xml:space="preserve"> 由采购人直接委托评审专家确定</w:t>
      </w:r>
      <w:r>
        <w:rPr>
          <w:rFonts w:hint="eastAsia" w:ascii="宋体" w:hAnsi="宋体" w:cs="宋体"/>
          <w:szCs w:val="21"/>
          <w:u w:val="single"/>
        </w:rPr>
        <w:t>，评审报告提出的排序第一的供应商为成交供应商。</w:t>
      </w:r>
    </w:p>
    <w:p w14:paraId="53BA3A2F">
      <w:pPr>
        <w:spacing w:line="360" w:lineRule="auto"/>
        <w:ind w:firstLine="420" w:firstLineChars="200"/>
        <w:rPr>
          <w:rFonts w:hint="eastAsia" w:ascii="宋体" w:hAnsi="宋体" w:cs="宋体"/>
          <w:szCs w:val="21"/>
        </w:rPr>
      </w:pPr>
      <w:r>
        <w:rPr>
          <w:rFonts w:hint="eastAsia" w:ascii="宋体" w:hAnsi="宋体" w:cs="宋体"/>
          <w:szCs w:val="21"/>
        </w:rPr>
        <w:t>27.2成交通知及成交结果公告。</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w:t>
      </w:r>
      <w:r>
        <w:rPr>
          <w:rFonts w:hint="eastAsia" w:ascii="宋体" w:hAnsi="宋体" w:cs="宋体"/>
          <w:kern w:val="0"/>
          <w:szCs w:val="21"/>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szCs w:val="21"/>
        </w:rPr>
        <w:t>同时向成交供应商发出成交通知书，成交通知书规定签订合同的时间不得超过25日。</w:t>
      </w:r>
    </w:p>
    <w:p w14:paraId="74514D94">
      <w:pPr>
        <w:spacing w:line="360" w:lineRule="auto"/>
        <w:ind w:firstLine="420" w:firstLineChars="200"/>
        <w:rPr>
          <w:rFonts w:hint="eastAsia" w:ascii="宋体" w:hAnsi="宋体" w:cs="Courier New"/>
          <w:szCs w:val="21"/>
        </w:rPr>
      </w:pPr>
      <w:r>
        <w:rPr>
          <w:rFonts w:hint="eastAsia" w:ascii="宋体" w:hAnsi="宋体" w:cs="宋体"/>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cs="Courier New"/>
          <w:szCs w:val="21"/>
        </w:rPr>
        <w:t>成交供应商享受</w:t>
      </w:r>
      <w:r>
        <w:rPr>
          <w:rFonts w:hint="eastAsia" w:ascii="宋体" w:hAnsi="宋体"/>
          <w:szCs w:val="21"/>
        </w:rPr>
        <w:t>《政府采购促进中小企业发展管理办法》（财库〔2020〕46号）规定的中小企业扶持</w:t>
      </w:r>
      <w:r>
        <w:rPr>
          <w:rFonts w:hint="eastAsia" w:ascii="宋体" w:hAnsi="宋体" w:cs="Courier New"/>
          <w:szCs w:val="21"/>
        </w:rPr>
        <w:t>政策的，采购人、采购代理机构应当随成交结果公开成交供应商的《中小企业声明函》。</w:t>
      </w:r>
    </w:p>
    <w:p w14:paraId="77B98815">
      <w:pPr>
        <w:spacing w:line="360" w:lineRule="auto"/>
        <w:ind w:firstLine="420" w:firstLineChars="200"/>
        <w:rPr>
          <w:rFonts w:hint="eastAsia" w:ascii="宋体" w:hAnsi="宋体" w:cs="宋体"/>
          <w:szCs w:val="21"/>
        </w:rPr>
      </w:pPr>
      <w:r>
        <w:rPr>
          <w:rFonts w:hint="eastAsia" w:ascii="宋体" w:hAnsi="宋体" w:cs="宋体"/>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B06CC6A">
      <w:pPr>
        <w:spacing w:line="360" w:lineRule="auto"/>
        <w:ind w:firstLine="420" w:firstLineChars="200"/>
        <w:rPr>
          <w:rFonts w:hint="eastAsia" w:ascii="宋体" w:hAnsi="宋体" w:cs="宋体"/>
          <w:szCs w:val="21"/>
        </w:rPr>
      </w:pPr>
      <w:r>
        <w:rPr>
          <w:rFonts w:hint="eastAsia" w:ascii="宋体" w:hAnsi="宋体"/>
          <w:bCs/>
          <w:szCs w:val="21"/>
        </w:rPr>
        <w:t>27.5</w:t>
      </w:r>
      <w:r>
        <w:rPr>
          <w:rFonts w:hint="eastAsia" w:ascii="宋体" w:hAnsi="宋体" w:cs="宋体"/>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46B1649E">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28.履约保证金</w:t>
      </w:r>
    </w:p>
    <w:p w14:paraId="46761C73">
      <w:pPr>
        <w:spacing w:line="360" w:lineRule="auto"/>
        <w:ind w:firstLine="420" w:firstLineChars="200"/>
        <w:rPr>
          <w:rFonts w:hint="eastAsia" w:ascii="黑体" w:hAnsi="黑体" w:eastAsia="黑体" w:cs="宋体"/>
          <w:b/>
          <w:bCs/>
          <w:sz w:val="24"/>
        </w:rPr>
      </w:pPr>
      <w:r>
        <w:rPr>
          <w:rFonts w:hint="eastAsia" w:ascii="宋体" w:hAnsi="宋体" w:cs="宋体"/>
          <w:szCs w:val="21"/>
        </w:rPr>
        <w:t>详见 “供应商须知前附表”</w:t>
      </w:r>
    </w:p>
    <w:p w14:paraId="3A910D9B">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29.签订合同</w:t>
      </w:r>
    </w:p>
    <w:p w14:paraId="762FBE93">
      <w:pPr>
        <w:pStyle w:val="24"/>
        <w:snapToGrid w:val="0"/>
        <w:spacing w:before="0"/>
        <w:ind w:firstLine="420"/>
        <w:rPr>
          <w:rFonts w:hint="eastAsia" w:ascii="宋体" w:hAnsi="宋体"/>
          <w:sz w:val="21"/>
          <w:szCs w:val="21"/>
          <w:lang w:val="zh-CN"/>
        </w:rPr>
      </w:pPr>
      <w:r>
        <w:rPr>
          <w:rFonts w:hint="eastAsia" w:ascii="宋体" w:hAnsi="宋体" w:cs="宋体"/>
          <w:sz w:val="21"/>
          <w:szCs w:val="21"/>
        </w:rPr>
        <w:t>29.1</w:t>
      </w:r>
      <w:r>
        <w:rPr>
          <w:rFonts w:hint="eastAsia" w:ascii="宋体" w:hAnsi="宋体"/>
          <w:sz w:val="21"/>
          <w:szCs w:val="21"/>
        </w:rPr>
        <w:t>采购人与成交供应商应当在</w:t>
      </w:r>
      <w:r>
        <w:rPr>
          <w:rFonts w:hint="eastAsia" w:ascii="宋体" w:hAnsi="宋体" w:cs="宋体"/>
          <w:sz w:val="21"/>
          <w:szCs w:val="21"/>
        </w:rPr>
        <w:t>成交通知书规定的时间内</w:t>
      </w:r>
      <w:r>
        <w:rPr>
          <w:rFonts w:hint="eastAsia" w:ascii="宋体" w:hAnsi="宋体"/>
          <w:sz w:val="21"/>
          <w:szCs w:val="21"/>
        </w:rPr>
        <w:t>，按照磋商文件确定的合同文本以及采购标的、服务技术、采购金额、采购数量、技术和服务要求等事项签订政府采购合同。</w:t>
      </w:r>
      <w:r>
        <w:rPr>
          <w:rFonts w:hint="eastAsia" w:ascii="宋体" w:hAnsi="宋体"/>
          <w:sz w:val="21"/>
          <w:szCs w:val="21"/>
          <w:lang w:val="zh-CN"/>
        </w:rPr>
        <w:t>如成交供应商为联合体的，由联合体成员各方法定代表人或其授权代表与采购人代表签订合同。</w:t>
      </w:r>
    </w:p>
    <w:p w14:paraId="74ECFD21">
      <w:pPr>
        <w:spacing w:line="360" w:lineRule="auto"/>
        <w:ind w:firstLine="420" w:firstLineChars="200"/>
        <w:rPr>
          <w:rFonts w:hint="eastAsia" w:ascii="宋体" w:hAnsi="宋体"/>
          <w:szCs w:val="21"/>
        </w:rPr>
      </w:pPr>
      <w:r>
        <w:rPr>
          <w:rFonts w:hint="eastAsia" w:ascii="宋体" w:hAnsi="宋体"/>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33E29C97">
      <w:pPr>
        <w:spacing w:line="360" w:lineRule="auto"/>
        <w:ind w:firstLine="420" w:firstLineChars="200"/>
        <w:rPr>
          <w:rFonts w:hint="eastAsia" w:ascii="宋体" w:hAnsi="宋体"/>
          <w:szCs w:val="21"/>
        </w:rPr>
      </w:pPr>
      <w:r>
        <w:rPr>
          <w:rFonts w:hint="eastAsia" w:ascii="宋体" w:hAnsi="宋体"/>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00793EE">
      <w:pPr>
        <w:spacing w:line="360" w:lineRule="auto"/>
        <w:ind w:firstLine="420" w:firstLineChars="200"/>
        <w:rPr>
          <w:rFonts w:hint="eastAsia" w:ascii="宋体" w:hAnsi="宋体"/>
          <w:szCs w:val="21"/>
        </w:rPr>
      </w:pPr>
      <w:r>
        <w:rPr>
          <w:rFonts w:hint="eastAsia" w:ascii="宋体" w:hAnsi="宋体"/>
          <w:szCs w:val="21"/>
        </w:rPr>
        <w:t>29.4如签订合同并生效后，供应商无故拒绝或延期，除按照合同条款处理外，列入不良行为记录，并给予通报。</w:t>
      </w:r>
    </w:p>
    <w:p w14:paraId="3B128D0C">
      <w:pPr>
        <w:pStyle w:val="24"/>
        <w:spacing w:before="0"/>
        <w:ind w:firstLine="420"/>
        <w:rPr>
          <w:rFonts w:hint="eastAsia" w:ascii="宋体" w:hAnsi="宋体" w:cs="宋体"/>
          <w:szCs w:val="21"/>
        </w:rPr>
      </w:pPr>
      <w:r>
        <w:rPr>
          <w:rFonts w:hint="eastAsia" w:ascii="宋体" w:hAnsi="宋体" w:cs="仿宋_GB2312"/>
          <w:sz w:val="21"/>
          <w:szCs w:val="21"/>
        </w:rPr>
        <w:t>29.5采购合同由采购人与成交供应商根据</w:t>
      </w:r>
      <w:r>
        <w:rPr>
          <w:rFonts w:hint="eastAsia" w:ascii="宋体" w:hAnsi="宋体"/>
          <w:sz w:val="21"/>
          <w:szCs w:val="21"/>
        </w:rPr>
        <w:t>磋商文件</w:t>
      </w:r>
      <w:r>
        <w:rPr>
          <w:rFonts w:hint="eastAsia" w:ascii="宋体" w:hAnsi="宋体" w:cs="仿宋_GB2312"/>
          <w:sz w:val="21"/>
          <w:szCs w:val="21"/>
        </w:rPr>
        <w:t>、响应文件等内容通过政府采购电子交易平台在线签订，自动备案，在线签订须携带的材料见“</w:t>
      </w:r>
      <w:r>
        <w:t xml:space="preserve"> </w:t>
      </w:r>
      <w:r>
        <w:rPr>
          <w:rFonts w:hint="eastAsia" w:ascii="宋体" w:hAnsi="宋体" w:cs="仿宋_GB2312"/>
          <w:sz w:val="21"/>
          <w:szCs w:val="21"/>
        </w:rPr>
        <w:t>供应商须</w:t>
      </w:r>
      <w:r>
        <w:rPr>
          <w:rFonts w:hint="eastAsia" w:ascii="宋体" w:hAnsi="宋体"/>
          <w:sz w:val="21"/>
          <w:szCs w:val="21"/>
        </w:rPr>
        <w:t>知前附表</w:t>
      </w:r>
      <w:r>
        <w:rPr>
          <w:rFonts w:hint="eastAsia" w:ascii="宋体" w:hAnsi="宋体" w:cs="仿宋_GB2312"/>
          <w:sz w:val="21"/>
          <w:szCs w:val="21"/>
        </w:rPr>
        <w:t>”。</w:t>
      </w:r>
    </w:p>
    <w:p w14:paraId="6951C854">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30.政府采购合同公告</w:t>
      </w:r>
    </w:p>
    <w:p w14:paraId="7A85C611">
      <w:pPr>
        <w:spacing w:line="360" w:lineRule="auto"/>
        <w:ind w:firstLine="420" w:firstLineChars="200"/>
        <w:rPr>
          <w:rFonts w:hint="eastAsia" w:hAnsi="宋体"/>
          <w:color w:val="000000"/>
        </w:rPr>
      </w:pPr>
      <w:r>
        <w:rPr>
          <w:rFonts w:hint="eastAsia" w:hAnsi="宋体"/>
          <w:color w:val="000000"/>
        </w:rPr>
        <w:t>采购人或者受托采购代理机构应当自政府采购合同签订之日起</w:t>
      </w:r>
      <w:r>
        <w:rPr>
          <w:rFonts w:hAnsi="宋体"/>
          <w:color w:val="000000"/>
        </w:rPr>
        <w:t>2</w:t>
      </w:r>
      <w:r>
        <w:rPr>
          <w:rFonts w:hint="eastAsia" w:hAnsi="宋体"/>
          <w:color w:val="000000"/>
        </w:rPr>
        <w:t>个工作日内，将政府采购合同</w:t>
      </w:r>
      <w:r>
        <w:rPr>
          <w:rFonts w:hint="eastAsia" w:ascii="宋体" w:hAnsi="宋体"/>
          <w:bCs/>
        </w:rPr>
        <w:t>在以下媒体上发布</w:t>
      </w:r>
      <w:r>
        <w:rPr>
          <w:rFonts w:hint="eastAsia" w:ascii="宋体" w:hAnsi="宋体" w:cs="宋体"/>
          <w:color w:val="000000"/>
          <w:kern w:val="0"/>
          <w:szCs w:val="21"/>
        </w:rPr>
        <w:t xml:space="preserve"> “广西政府采购网”（http://zfcg.gxzf.gov.cn）</w:t>
      </w:r>
      <w:r>
        <w:rPr>
          <w:rFonts w:hint="eastAsia" w:hAnsi="宋体"/>
          <w:color w:val="000000"/>
        </w:rPr>
        <w:t>上公告，但政府采购合同中涉及国家秘密、商业秘密的内容除外。</w:t>
      </w:r>
    </w:p>
    <w:p w14:paraId="217DAB0B">
      <w:pPr>
        <w:spacing w:line="360" w:lineRule="auto"/>
        <w:ind w:firstLine="482" w:firstLineChars="200"/>
        <w:rPr>
          <w:rFonts w:ascii="黑体" w:hAnsi="黑体" w:eastAsia="黑体" w:cs="宋体"/>
          <w:b/>
          <w:bCs/>
          <w:sz w:val="24"/>
        </w:rPr>
      </w:pPr>
      <w:r>
        <w:rPr>
          <w:rFonts w:hint="eastAsia" w:ascii="黑体" w:hAnsi="黑体" w:eastAsia="黑体" w:cs="宋体"/>
          <w:b/>
          <w:bCs/>
          <w:sz w:val="24"/>
        </w:rPr>
        <w:t>31. 询问、质疑和投诉</w:t>
      </w:r>
    </w:p>
    <w:p w14:paraId="784142AE">
      <w:pPr>
        <w:spacing w:line="360" w:lineRule="auto"/>
        <w:ind w:firstLine="420" w:firstLineChars="200"/>
        <w:rPr>
          <w:rFonts w:hint="eastAsia" w:ascii="宋体" w:hAnsi="宋体" w:cs="宋体"/>
        </w:rPr>
      </w:pPr>
      <w:r>
        <w:rPr>
          <w:rFonts w:hint="eastAsia" w:ascii="宋体" w:hAnsi="宋体" w:cs="宋体"/>
        </w:rPr>
        <w:t>31.1供应商对政府采购活动事项有疑问的，可以向采购人、采购代理机构提出询问，采购人或者采购代理机构应当在3个工作日内对供应商依法提出的询问作出答复。</w:t>
      </w:r>
    </w:p>
    <w:p w14:paraId="24D7503C">
      <w:pPr>
        <w:spacing w:line="360" w:lineRule="auto"/>
        <w:ind w:firstLine="420" w:firstLineChars="200"/>
        <w:rPr>
          <w:rFonts w:hint="eastAsia" w:ascii="宋体" w:hAnsi="宋体"/>
          <w:b/>
          <w:color w:val="000000"/>
          <w:szCs w:val="21"/>
        </w:rPr>
      </w:pPr>
      <w:r>
        <w:rPr>
          <w:rFonts w:hint="eastAsia" w:ascii="宋体" w:hAnsi="宋体" w:cs="宋体"/>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Arial"/>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w:t>
      </w:r>
      <w:r>
        <w:rPr>
          <w:rFonts w:hint="eastAsia" w:ascii="宋体" w:hAnsi="宋体"/>
          <w:b/>
          <w:color w:val="000000"/>
          <w:szCs w:val="21"/>
        </w:rPr>
        <w:t xml:space="preserve">具体质疑起算时间及处理方式如下： </w:t>
      </w:r>
    </w:p>
    <w:p w14:paraId="7E3CE0F9">
      <w:pPr>
        <w:spacing w:line="360" w:lineRule="auto"/>
        <w:ind w:firstLine="420" w:firstLineChars="200"/>
        <w:rPr>
          <w:rFonts w:hint="eastAsia" w:hAnsi="宋体"/>
          <w:bCs/>
        </w:rPr>
      </w:pPr>
      <w:r>
        <w:rPr>
          <w:rFonts w:hint="eastAsia" w:hAnsi="宋体"/>
          <w:bCs/>
        </w:rPr>
        <w:t>（</w:t>
      </w:r>
      <w:r>
        <w:rPr>
          <w:rFonts w:hAnsi="宋体"/>
          <w:bCs/>
        </w:rPr>
        <w:t>1</w:t>
      </w:r>
      <w:r>
        <w:rPr>
          <w:rFonts w:hint="eastAsia" w:hAnsi="宋体"/>
          <w:bCs/>
        </w:rPr>
        <w:t>）潜在供应商依法获取采购文件后，认为采购文件使自己的权益受到损害的，应当在竞争性磋商采购文件公告期限届满之日起</w:t>
      </w:r>
      <w:r>
        <w:rPr>
          <w:rFonts w:hAnsi="宋体"/>
          <w:bCs/>
        </w:rPr>
        <w:t>7</w:t>
      </w:r>
      <w:r>
        <w:rPr>
          <w:rFonts w:hint="eastAsia" w:hAnsi="宋体"/>
          <w:bCs/>
        </w:rPr>
        <w:t>个工作日内提出质疑。</w:t>
      </w:r>
      <w:r>
        <w:rPr>
          <w:rFonts w:hint="eastAsia"/>
        </w:rPr>
        <w:t>委托代理协议无特殊约定的，</w:t>
      </w:r>
      <w:r>
        <w:rPr>
          <w:rFonts w:hint="eastAsia" w:hAnsi="宋体"/>
          <w:bCs/>
        </w:rPr>
        <w:t>对竞争性磋商文件中采购需求（含资格要求、采购预算和评分办法）的质疑由采购人受理并负责答复；对竞争性磋商文件中的采购执行程序的质疑由采购代理机构受理并负责答复。</w:t>
      </w:r>
    </w:p>
    <w:p w14:paraId="1F13DFCD">
      <w:pPr>
        <w:spacing w:line="360" w:lineRule="auto"/>
        <w:ind w:firstLine="420" w:firstLineChars="200"/>
        <w:rPr>
          <w:rFonts w:hAnsi="宋体"/>
          <w:bCs/>
        </w:rPr>
      </w:pPr>
      <w:r>
        <w:rPr>
          <w:rFonts w:hint="eastAsia" w:hAnsi="宋体"/>
          <w:bCs/>
        </w:rPr>
        <w:t>（</w:t>
      </w:r>
      <w:r>
        <w:rPr>
          <w:rFonts w:hAnsi="宋体"/>
          <w:bCs/>
        </w:rPr>
        <w:t>2</w:t>
      </w:r>
      <w:r>
        <w:rPr>
          <w:rFonts w:hint="eastAsia" w:hAnsi="宋体"/>
          <w:bCs/>
        </w:rPr>
        <w:t>）供应商认为采购过程使自己的权益受到损害的，应当在各采购程序环节结束之日起</w:t>
      </w:r>
      <w:r>
        <w:rPr>
          <w:rFonts w:hAnsi="宋体"/>
          <w:bCs/>
        </w:rPr>
        <w:t>7</w:t>
      </w:r>
      <w:r>
        <w:rPr>
          <w:rFonts w:hint="eastAsia" w:hAnsi="宋体"/>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3228F1F">
      <w:pPr>
        <w:spacing w:line="360" w:lineRule="auto"/>
        <w:ind w:firstLine="420" w:firstLineChars="200"/>
        <w:rPr>
          <w:rFonts w:hAnsi="宋体"/>
          <w:bCs/>
        </w:rPr>
      </w:pPr>
      <w:r>
        <w:rPr>
          <w:rFonts w:hint="eastAsia" w:hAnsi="宋体"/>
          <w:bCs/>
        </w:rPr>
        <w:t>（</w:t>
      </w:r>
      <w:r>
        <w:rPr>
          <w:rFonts w:hAnsi="宋体"/>
          <w:bCs/>
        </w:rPr>
        <w:t>3</w:t>
      </w:r>
      <w:r>
        <w:rPr>
          <w:rFonts w:hint="eastAsia" w:hAnsi="宋体"/>
          <w:bCs/>
        </w:rPr>
        <w:t>）供应商认为成交结果使自己的权益受到损害的，应当在成交结果公告期限届满之日起</w:t>
      </w:r>
      <w:r>
        <w:rPr>
          <w:rFonts w:hAnsi="宋体"/>
          <w:bCs/>
        </w:rPr>
        <w:t>7</w:t>
      </w:r>
      <w:r>
        <w:rPr>
          <w:rFonts w:hint="eastAsia" w:hAnsi="宋体"/>
          <w:bCs/>
        </w:rPr>
        <w:t>个工作日内提出质疑，由采购人受理并负责答复。</w:t>
      </w:r>
    </w:p>
    <w:p w14:paraId="79B3F1C0">
      <w:pPr>
        <w:spacing w:line="360" w:lineRule="auto"/>
        <w:ind w:firstLine="420" w:firstLineChars="200"/>
        <w:rPr>
          <w:rFonts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4E17526">
      <w:pPr>
        <w:spacing w:line="360" w:lineRule="auto"/>
        <w:ind w:firstLine="420" w:firstLineChars="200"/>
        <w:rPr>
          <w:rFonts w:hint="eastAsia" w:ascii="宋体" w:hAnsi="宋体" w:cs="宋体"/>
        </w:rPr>
      </w:pPr>
      <w:r>
        <w:rPr>
          <w:rFonts w:hint="eastAsia" w:ascii="宋体" w:hAnsi="宋体" w:cs="宋体"/>
        </w:rPr>
        <w:t>31.4 供应商提出质疑应当提交质疑函和必要的证明材料，针对同一采购程序环节的质疑必须在法定质疑期内一次性提出。质疑函应当包括下列内容</w:t>
      </w:r>
      <w:r>
        <w:rPr>
          <w:rFonts w:hint="eastAsia" w:hAnsi="宋体"/>
          <w:bCs/>
        </w:rPr>
        <w:t>（质疑函格式后附）</w:t>
      </w:r>
      <w:r>
        <w:rPr>
          <w:rFonts w:hint="eastAsia" w:ascii="宋体" w:hAnsi="宋体" w:cs="宋体"/>
        </w:rPr>
        <w:t>：</w:t>
      </w:r>
    </w:p>
    <w:p w14:paraId="6FF07513">
      <w:pPr>
        <w:spacing w:line="360" w:lineRule="auto"/>
        <w:ind w:firstLine="420" w:firstLineChars="200"/>
        <w:rPr>
          <w:rFonts w:hint="eastAsia" w:ascii="宋体" w:hAnsi="宋体" w:cs="宋体"/>
        </w:rPr>
      </w:pPr>
      <w:r>
        <w:rPr>
          <w:rFonts w:hint="eastAsia" w:ascii="宋体" w:hAnsi="宋体" w:cs="宋体"/>
        </w:rPr>
        <w:t>（1）供应商的姓名或者名称、地址、邮编、联系人及联系电话；</w:t>
      </w:r>
    </w:p>
    <w:p w14:paraId="07388921">
      <w:pPr>
        <w:spacing w:line="360" w:lineRule="auto"/>
        <w:ind w:firstLine="420" w:firstLineChars="200"/>
        <w:rPr>
          <w:rFonts w:hint="eastAsia" w:ascii="宋体" w:hAnsi="宋体" w:cs="宋体"/>
        </w:rPr>
      </w:pPr>
      <w:r>
        <w:rPr>
          <w:rFonts w:hint="eastAsia" w:ascii="宋体" w:hAnsi="宋体" w:cs="宋体"/>
        </w:rPr>
        <w:t>（2）质疑项目的名称、编号；</w:t>
      </w:r>
    </w:p>
    <w:p w14:paraId="255A8557">
      <w:pPr>
        <w:spacing w:line="360" w:lineRule="auto"/>
        <w:ind w:firstLine="420" w:firstLineChars="200"/>
        <w:rPr>
          <w:rFonts w:hint="eastAsia" w:ascii="宋体" w:hAnsi="宋体" w:cs="宋体"/>
        </w:rPr>
      </w:pPr>
      <w:r>
        <w:rPr>
          <w:rFonts w:hint="eastAsia" w:ascii="宋体" w:hAnsi="宋体" w:cs="宋体"/>
        </w:rPr>
        <w:t>（3）具体、明确的质疑事项和与质疑事项相关的请求；</w:t>
      </w:r>
    </w:p>
    <w:p w14:paraId="740674F8">
      <w:pPr>
        <w:spacing w:line="360" w:lineRule="auto"/>
        <w:ind w:firstLine="420" w:firstLineChars="200"/>
        <w:rPr>
          <w:rFonts w:hint="eastAsia" w:ascii="宋体" w:hAnsi="宋体" w:cs="宋体"/>
        </w:rPr>
      </w:pPr>
      <w:r>
        <w:rPr>
          <w:rFonts w:hint="eastAsia" w:ascii="宋体" w:hAnsi="宋体" w:cs="宋体"/>
        </w:rPr>
        <w:t>（4）事实依据；</w:t>
      </w:r>
    </w:p>
    <w:p w14:paraId="3BB211A9">
      <w:pPr>
        <w:spacing w:line="360" w:lineRule="auto"/>
        <w:ind w:firstLine="420" w:firstLineChars="200"/>
        <w:rPr>
          <w:rFonts w:hint="eastAsia" w:ascii="宋体" w:hAnsi="宋体" w:cs="宋体"/>
        </w:rPr>
      </w:pPr>
      <w:r>
        <w:rPr>
          <w:rFonts w:hint="eastAsia" w:ascii="宋体" w:hAnsi="宋体" w:cs="宋体"/>
        </w:rPr>
        <w:t>（5）必要的法律依据；</w:t>
      </w:r>
    </w:p>
    <w:p w14:paraId="1992EC21">
      <w:pPr>
        <w:spacing w:line="360" w:lineRule="auto"/>
        <w:ind w:firstLine="420" w:firstLineChars="200"/>
        <w:rPr>
          <w:rFonts w:hint="eastAsia" w:ascii="宋体" w:hAnsi="宋体" w:cs="宋体"/>
        </w:rPr>
      </w:pPr>
      <w:r>
        <w:rPr>
          <w:rFonts w:hint="eastAsia" w:ascii="宋体" w:hAnsi="宋体" w:cs="宋体"/>
        </w:rPr>
        <w:t>（6）提出质疑的日期。</w:t>
      </w:r>
    </w:p>
    <w:p w14:paraId="59706B9E">
      <w:pPr>
        <w:spacing w:line="360" w:lineRule="auto"/>
        <w:ind w:firstLine="420" w:firstLineChars="200"/>
        <w:rPr>
          <w:rFonts w:hint="eastAsia"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2866A23D">
      <w:pPr>
        <w:spacing w:line="360" w:lineRule="auto"/>
        <w:ind w:firstLine="420" w:firstLineChars="200"/>
        <w:rPr>
          <w:rFonts w:hint="eastAsia"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14:paraId="77E9DC1F">
      <w:pPr>
        <w:spacing w:line="360" w:lineRule="auto"/>
        <w:ind w:firstLine="420" w:firstLineChars="200"/>
        <w:rPr>
          <w:rFonts w:hint="eastAsia"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35F091D5">
      <w:pPr>
        <w:spacing w:line="360" w:lineRule="auto"/>
        <w:ind w:firstLine="420" w:firstLineChars="200"/>
        <w:rPr>
          <w:rFonts w:hint="eastAsia"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2DB478EC">
      <w:pPr>
        <w:spacing w:line="360" w:lineRule="auto"/>
        <w:ind w:firstLine="420" w:firstLineChars="200"/>
        <w:rPr>
          <w:rFonts w:hint="eastAsia" w:ascii="宋体" w:hAnsi="宋体" w:cs="宋体"/>
        </w:rPr>
      </w:pPr>
      <w:r>
        <w:rPr>
          <w:rFonts w:hint="eastAsia" w:ascii="宋体" w:hAnsi="宋体" w:cs="宋体"/>
        </w:rPr>
        <w:t>质疑答复导致成交结果改变的，采购人或者采购代理机构应当将有关情况书面报告本级财政部门。</w:t>
      </w:r>
    </w:p>
    <w:p w14:paraId="1D733357">
      <w:pPr>
        <w:spacing w:line="360" w:lineRule="auto"/>
        <w:ind w:firstLine="420" w:firstLineChars="200"/>
        <w:rPr>
          <w:rFonts w:hint="eastAsia" w:ascii="宋体" w:hAnsi="宋体" w:cs="宋体"/>
        </w:rPr>
      </w:pPr>
      <w:r>
        <w:rPr>
          <w:rFonts w:hint="eastAsia" w:ascii="宋体" w:hAnsi="宋体"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75" w:name="_Toc80205930"/>
    </w:p>
    <w:p w14:paraId="1870F611">
      <w:pPr>
        <w:pStyle w:val="4"/>
        <w:spacing w:before="0" w:after="0" w:line="360" w:lineRule="auto"/>
        <w:ind w:firstLine="315" w:firstLineChars="98"/>
        <w:rPr>
          <w:rFonts w:hint="eastAsia" w:ascii="宋体" w:hAnsi="宋体"/>
          <w:b w:val="0"/>
        </w:rPr>
      </w:pPr>
      <w:bookmarkStart w:id="76" w:name="_Toc80886935"/>
      <w:r>
        <w:rPr>
          <w:rFonts w:hint="eastAsia" w:ascii="宋体" w:hAnsi="宋体"/>
        </w:rPr>
        <w:t>六</w:t>
      </w:r>
      <w:r>
        <w:rPr>
          <w:rFonts w:hint="eastAsia" w:ascii="宋体" w:hAnsi="宋体"/>
          <w:b w:val="0"/>
        </w:rPr>
        <w:t>、验收</w:t>
      </w:r>
      <w:bookmarkEnd w:id="75"/>
      <w:bookmarkEnd w:id="76"/>
    </w:p>
    <w:p w14:paraId="1BF43D59">
      <w:pPr>
        <w:tabs>
          <w:tab w:val="left" w:pos="0"/>
        </w:tabs>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32.验收</w:t>
      </w:r>
    </w:p>
    <w:p w14:paraId="6C6411E8">
      <w:pPr>
        <w:tabs>
          <w:tab w:val="left" w:pos="0"/>
        </w:tabs>
        <w:spacing w:line="360" w:lineRule="auto"/>
        <w:ind w:firstLine="420" w:firstLineChars="200"/>
        <w:rPr>
          <w:rFonts w:hint="eastAsia" w:ascii="宋体" w:hAnsi="宋体" w:cs="Helvetica"/>
          <w:kern w:val="0"/>
          <w:szCs w:val="21"/>
        </w:rPr>
      </w:pPr>
      <w:r>
        <w:rPr>
          <w:rFonts w:hint="eastAsia" w:ascii="宋体" w:hAnsi="宋体" w:cs="Helvetic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66AAF9B">
      <w:pPr>
        <w:tabs>
          <w:tab w:val="left" w:pos="0"/>
        </w:tabs>
        <w:spacing w:line="360" w:lineRule="auto"/>
        <w:ind w:firstLine="420" w:firstLineChars="200"/>
        <w:rPr>
          <w:rFonts w:hint="eastAsia" w:ascii="宋体" w:hAnsi="宋体" w:cs="Helvetica"/>
          <w:kern w:val="0"/>
          <w:szCs w:val="21"/>
        </w:rPr>
      </w:pPr>
      <w:r>
        <w:rPr>
          <w:rFonts w:hint="eastAsia" w:ascii="宋体" w:hAnsi="宋体" w:cs="Helvetica"/>
          <w:kern w:val="0"/>
          <w:szCs w:val="21"/>
        </w:rPr>
        <w:t>32.2采购人可以邀请参加本项目的其他供应商或者第三方机构参与验收。参与验收的供应商或者第三方机构的意见作为验收书的参考资料一并存档。</w:t>
      </w:r>
    </w:p>
    <w:p w14:paraId="526CBA80">
      <w:pPr>
        <w:tabs>
          <w:tab w:val="left" w:pos="0"/>
        </w:tabs>
        <w:spacing w:line="360" w:lineRule="auto"/>
        <w:ind w:firstLine="420" w:firstLineChars="200"/>
        <w:rPr>
          <w:rFonts w:hint="eastAsia" w:ascii="宋体" w:hAnsi="宋体" w:cs="Helvetica"/>
          <w:kern w:val="0"/>
          <w:szCs w:val="21"/>
        </w:rPr>
      </w:pPr>
      <w:r>
        <w:rPr>
          <w:rFonts w:hint="eastAsia" w:ascii="宋体" w:hAnsi="宋体" w:cs="Helvetic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A76B694">
      <w:pPr>
        <w:tabs>
          <w:tab w:val="left" w:pos="0"/>
        </w:tabs>
        <w:spacing w:line="360" w:lineRule="auto"/>
        <w:ind w:firstLine="420" w:firstLineChars="200"/>
        <w:rPr>
          <w:rFonts w:hint="eastAsia" w:ascii="宋体" w:hAnsi="宋体" w:cs="宋体"/>
          <w:szCs w:val="21"/>
        </w:rPr>
      </w:pPr>
      <w:r>
        <w:rPr>
          <w:rFonts w:hint="eastAsia" w:ascii="宋体" w:hAnsi="宋体" w:cs="Helvetic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C039288">
      <w:pPr>
        <w:pStyle w:val="4"/>
        <w:spacing w:before="0" w:after="0" w:line="360" w:lineRule="auto"/>
        <w:ind w:firstLine="320" w:firstLineChars="100"/>
        <w:rPr>
          <w:rFonts w:hint="eastAsia" w:ascii="宋体" w:hAnsi="宋体"/>
          <w:b w:val="0"/>
          <w:bCs w:val="0"/>
        </w:rPr>
      </w:pPr>
      <w:bookmarkStart w:id="77" w:name="_Toc80886936"/>
      <w:r>
        <w:rPr>
          <w:rFonts w:hint="eastAsia" w:ascii="宋体" w:hAnsi="宋体"/>
          <w:b w:val="0"/>
          <w:bCs w:val="0"/>
        </w:rPr>
        <w:t>七、其他事项</w:t>
      </w:r>
      <w:bookmarkEnd w:id="77"/>
    </w:p>
    <w:p w14:paraId="0D6D8BCE">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33.代理服务费</w:t>
      </w:r>
    </w:p>
    <w:p w14:paraId="3C6CE6B3">
      <w:pPr>
        <w:tabs>
          <w:tab w:val="left" w:pos="2835"/>
        </w:tabs>
        <w:spacing w:line="360" w:lineRule="auto"/>
        <w:ind w:firstLine="420" w:firstLineChars="200"/>
        <w:rPr>
          <w:rFonts w:hint="eastAsia" w:ascii="宋体" w:hAnsi="宋体" w:cs="宋体"/>
          <w:szCs w:val="21"/>
        </w:rPr>
      </w:pPr>
      <w:r>
        <w:rPr>
          <w:rFonts w:hint="eastAsia" w:ascii="宋体" w:hAnsi="宋体" w:cs="宋体"/>
          <w:szCs w:val="21"/>
        </w:rPr>
        <w:t>代理服务收费标准及缴费账户详见“供应商须知前附表”，供应商为联合体的，可以由联合体中的一方或者多方共同交纳代理服务费。</w:t>
      </w:r>
    </w:p>
    <w:p w14:paraId="63C1D481">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34.需要补充的其他内容</w:t>
      </w:r>
    </w:p>
    <w:p w14:paraId="799F76AF">
      <w:pPr>
        <w:pStyle w:val="13"/>
        <w:spacing w:line="360" w:lineRule="auto"/>
        <w:ind w:firstLine="420" w:firstLineChars="200"/>
        <w:textAlignment w:val="center"/>
        <w:rPr>
          <w:rFonts w:hint="eastAsia" w:hAnsi="宋体" w:cs="宋体"/>
          <w:kern w:val="2"/>
          <w:sz w:val="21"/>
        </w:rPr>
      </w:pPr>
      <w:r>
        <w:rPr>
          <w:rFonts w:hint="eastAsia" w:hAnsi="宋体" w:cs="宋体"/>
          <w:kern w:val="2"/>
          <w:sz w:val="21"/>
        </w:rPr>
        <w:t>34.1本磋商文件解释规则详见“供应商须知前附表”。</w:t>
      </w:r>
    </w:p>
    <w:p w14:paraId="0ADC85B8">
      <w:pPr>
        <w:pStyle w:val="13"/>
        <w:spacing w:line="360" w:lineRule="auto"/>
        <w:ind w:firstLine="420" w:firstLineChars="200"/>
        <w:textAlignment w:val="center"/>
        <w:rPr>
          <w:rFonts w:hint="eastAsia" w:hAnsi="宋体" w:cs="宋体"/>
          <w:kern w:val="2"/>
          <w:sz w:val="21"/>
        </w:rPr>
      </w:pPr>
      <w:r>
        <w:rPr>
          <w:rFonts w:hint="eastAsia" w:hAnsi="宋体" w:cs="宋体"/>
          <w:kern w:val="2"/>
          <w:sz w:val="21"/>
        </w:rPr>
        <w:t>34.2 其他事项详见“供应商须知前附表”。</w:t>
      </w:r>
    </w:p>
    <w:p w14:paraId="0F539F60">
      <w:pPr>
        <w:pStyle w:val="13"/>
        <w:spacing w:line="360" w:lineRule="auto"/>
        <w:ind w:firstLine="420" w:firstLineChars="200"/>
        <w:textAlignment w:val="center"/>
        <w:rPr>
          <w:rFonts w:hint="eastAsia" w:hAnsi="宋体" w:cs="宋体"/>
          <w:kern w:val="2"/>
          <w:sz w:val="21"/>
        </w:rPr>
      </w:pPr>
      <w:r>
        <w:rPr>
          <w:rFonts w:hint="eastAsia" w:hAnsi="宋体" w:cs="宋体"/>
          <w:kern w:val="2"/>
          <w:sz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sz w:val="21"/>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kern w:val="2"/>
          <w:sz w:val="21"/>
        </w:rPr>
        <w:t>，享受本文件规定的中小企业扶持政策。</w:t>
      </w:r>
    </w:p>
    <w:p w14:paraId="4FC208C5">
      <w:pPr>
        <w:pStyle w:val="13"/>
        <w:spacing w:line="360" w:lineRule="auto"/>
        <w:ind w:firstLine="420" w:firstLineChars="200"/>
        <w:textAlignment w:val="center"/>
        <w:rPr>
          <w:rFonts w:hint="eastAsia" w:hAnsi="宋体" w:cs="宋体"/>
          <w:kern w:val="2"/>
          <w:sz w:val="21"/>
        </w:rPr>
      </w:pPr>
      <w:r>
        <w:rPr>
          <w:rFonts w:hint="eastAsia" w:hAnsi="宋体" w:cs="宋体"/>
          <w:kern w:val="2"/>
          <w:sz w:val="21"/>
        </w:rPr>
        <w:t>以联合体形式参加政府采购活动，联合体各方均为中小企业的，联合体视同中小企业。其中，联合体各方均为小微企业的，联合体视同小微企业。</w:t>
      </w:r>
    </w:p>
    <w:p w14:paraId="1D4917A2">
      <w:pPr>
        <w:pStyle w:val="13"/>
        <w:spacing w:line="360" w:lineRule="auto"/>
        <w:ind w:firstLine="420" w:firstLineChars="200"/>
        <w:textAlignment w:val="center"/>
        <w:rPr>
          <w:rFonts w:hint="eastAsia" w:hAnsi="宋体" w:cs="宋体"/>
          <w:kern w:val="2"/>
          <w:sz w:val="21"/>
        </w:rPr>
      </w:pPr>
      <w:r>
        <w:rPr>
          <w:rFonts w:hint="eastAsia" w:hAnsi="宋体" w:cs="宋体"/>
          <w:kern w:val="2"/>
          <w:sz w:val="21"/>
        </w:rPr>
        <w:t>依据本文件规定享受扶持政策获得政府采购合同的，小微企业不得将合同分包给大中型企业，中型企业不得将合同分包给大型企业。</w:t>
      </w:r>
    </w:p>
    <w:p w14:paraId="272FEFC7">
      <w:pPr>
        <w:spacing w:line="360" w:lineRule="auto"/>
        <w:ind w:firstLine="480" w:firstLineChars="200"/>
        <w:rPr>
          <w:rFonts w:hint="eastAsia" w:ascii="黑体" w:hAnsi="黑体" w:eastAsia="黑体"/>
          <w:sz w:val="24"/>
        </w:rPr>
      </w:pPr>
      <w:r>
        <w:rPr>
          <w:rFonts w:hint="eastAsia" w:ascii="黑体" w:hAnsi="黑体" w:eastAsia="黑体"/>
          <w:sz w:val="24"/>
        </w:rPr>
        <w:t>35. 政采贷相关说明</w:t>
      </w:r>
    </w:p>
    <w:p w14:paraId="187501C8">
      <w:pPr>
        <w:pStyle w:val="13"/>
        <w:spacing w:line="360" w:lineRule="auto"/>
        <w:ind w:firstLine="420" w:firstLineChars="200"/>
        <w:textAlignment w:val="center"/>
        <w:rPr>
          <w:rFonts w:hint="eastAsia" w:hAnsi="宋体"/>
          <w:sz w:val="21"/>
        </w:rPr>
      </w:pPr>
      <w:r>
        <w:rPr>
          <w:rFonts w:hint="eastAsia" w:hAnsi="宋体"/>
          <w:sz w:val="21"/>
        </w:rPr>
        <w:t>为优化政府采购营商环境，缓解供应商资金难题，南宁市政府采购试行政府采购信用融资制度，中标供应商如有融资需求，可凭政府采购合同通过以下方式申请政府采购信用融资贷款：</w:t>
      </w:r>
    </w:p>
    <w:p w14:paraId="6774CDE4">
      <w:pPr>
        <w:pStyle w:val="13"/>
        <w:numPr>
          <w:ilvl w:val="0"/>
          <w:numId w:val="5"/>
        </w:numPr>
        <w:spacing w:line="360" w:lineRule="auto"/>
        <w:ind w:firstLine="420" w:firstLineChars="200"/>
        <w:textAlignment w:val="center"/>
        <w:rPr>
          <w:rFonts w:hint="eastAsia" w:hAnsi="宋体"/>
          <w:color w:val="auto"/>
          <w:sz w:val="21"/>
        </w:rPr>
      </w:pPr>
      <w:r>
        <w:rPr>
          <w:rFonts w:hint="eastAsia" w:hAnsi="宋体"/>
          <w:sz w:val="21"/>
        </w:rPr>
        <w:t>线下渠道：在“南宁市公共资源交易中心”官网（网址：</w:t>
      </w:r>
      <w:r>
        <w:rPr>
          <w:rFonts w:hint="eastAsia" w:hAnsi="宋体"/>
          <w:color w:val="auto"/>
          <w:sz w:val="21"/>
        </w:rPr>
        <w:fldChar w:fldCharType="begin"/>
      </w:r>
      <w:r>
        <w:rPr>
          <w:rFonts w:hint="eastAsia" w:hAnsi="宋体"/>
          <w:color w:val="auto"/>
          <w:sz w:val="21"/>
        </w:rPr>
        <w:instrText xml:space="preserve"> HYPERLINK "http://www.nnggzy.org.cn）\“交易信息-政府采购-政府采购信用融资\”中融资银行和南宁市企业融资服务中心专栏信息申请政府采购信用融资。" </w:instrText>
      </w:r>
      <w:r>
        <w:rPr>
          <w:rFonts w:hint="eastAsia" w:hAnsi="宋体"/>
          <w:color w:val="auto"/>
          <w:sz w:val="21"/>
        </w:rPr>
        <w:fldChar w:fldCharType="separate"/>
      </w:r>
      <w:r>
        <w:rPr>
          <w:rStyle w:val="22"/>
          <w:rFonts w:hint="eastAsia" w:hAnsi="宋体"/>
          <w:color w:val="auto"/>
          <w:sz w:val="21"/>
        </w:rPr>
        <w:t>http://www.nnggzy.org.cn）“交易信息-政府采购-政府采购信用融资”中融资银行和南宁市企业融资服务中心专栏信息申请政府采购信用融资。</w:t>
      </w:r>
      <w:r>
        <w:rPr>
          <w:rFonts w:hint="eastAsia" w:hAnsi="宋体"/>
          <w:color w:val="auto"/>
          <w:sz w:val="21"/>
        </w:rPr>
        <w:fldChar w:fldCharType="end"/>
      </w:r>
    </w:p>
    <w:p w14:paraId="444678A9">
      <w:pPr>
        <w:pStyle w:val="13"/>
        <w:numPr>
          <w:ilvl w:val="0"/>
          <w:numId w:val="5"/>
        </w:numPr>
        <w:spacing w:line="360" w:lineRule="auto"/>
        <w:ind w:firstLine="402" w:firstLineChars="200"/>
        <w:textAlignment w:val="center"/>
        <w:rPr>
          <w:rFonts w:hint="eastAsia"/>
        </w:rPr>
      </w:pPr>
      <w:r>
        <w:rPr>
          <w:rFonts w:hint="eastAsia" w:hAnsi="宋体"/>
          <w:b/>
        </w:rPr>
        <w:t>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hAnsi="宋体"/>
          <w:b/>
        </w:rPr>
        <w:br w:type="page"/>
      </w:r>
    </w:p>
    <w:p w14:paraId="46488445">
      <w:pPr>
        <w:pStyle w:val="2"/>
        <w:jc w:val="center"/>
        <w:rPr>
          <w:rFonts w:hint="eastAsia"/>
        </w:rPr>
      </w:pPr>
      <w:bookmarkStart w:id="78" w:name="_Toc80886937"/>
      <w:r>
        <w:rPr>
          <w:rFonts w:hint="eastAsia"/>
        </w:rPr>
        <w:t>第四章</w:t>
      </w:r>
      <w:r>
        <w:t xml:space="preserve">  </w:t>
      </w:r>
      <w:r>
        <w:rPr>
          <w:rFonts w:hint="eastAsia"/>
        </w:rPr>
        <w:t>评审程序、评审方法和评审标准</w:t>
      </w:r>
      <w:bookmarkEnd w:id="78"/>
    </w:p>
    <w:p w14:paraId="6FF638F1">
      <w:pPr>
        <w:pStyle w:val="3"/>
        <w:jc w:val="center"/>
        <w:rPr>
          <w:rFonts w:ascii="宋体" w:hAnsi="宋体"/>
          <w:b w:val="0"/>
        </w:rPr>
      </w:pPr>
      <w:bookmarkStart w:id="79" w:name="_Toc80886938"/>
      <w:r>
        <w:rPr>
          <w:rFonts w:hint="eastAsia" w:ascii="宋体" w:hAnsi="宋体"/>
          <w:b w:val="0"/>
        </w:rPr>
        <w:t>第一节 评审程序和评审方法</w:t>
      </w:r>
      <w:bookmarkEnd w:id="79"/>
    </w:p>
    <w:p w14:paraId="1B10E070">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1.确认磋商文件</w:t>
      </w:r>
    </w:p>
    <w:p w14:paraId="5462E40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由磋商小组确认磋商文件。</w:t>
      </w:r>
    </w:p>
    <w:p w14:paraId="44CF54E6">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2.资格审查</w:t>
      </w:r>
    </w:p>
    <w:p w14:paraId="619EEBF4">
      <w:pPr>
        <w:snapToGrid w:val="0"/>
        <w:spacing w:line="360" w:lineRule="auto"/>
        <w:ind w:firstLine="420" w:firstLineChars="200"/>
        <w:rPr>
          <w:rFonts w:hint="eastAsia" w:ascii="宋体" w:hAnsi="宋体"/>
          <w:szCs w:val="21"/>
        </w:rPr>
      </w:pPr>
      <w:r>
        <w:rPr>
          <w:rFonts w:hint="eastAsia" w:ascii="宋体" w:hAnsi="宋体" w:cs="宋体"/>
          <w:szCs w:val="21"/>
        </w:rPr>
        <w:t>2.1</w:t>
      </w:r>
      <w:r>
        <w:rPr>
          <w:rFonts w:hint="eastAsia" w:ascii="宋体" w:hAnsi="宋体"/>
          <w:szCs w:val="21"/>
        </w:rPr>
        <w:t>响应文件开启后，磋商小组依法对供应商的资格证明文件进行审查。</w:t>
      </w:r>
    </w:p>
    <w:p w14:paraId="67621A59">
      <w:pPr>
        <w:snapToGrid w:val="0"/>
        <w:spacing w:line="360" w:lineRule="auto"/>
        <w:ind w:firstLine="420" w:firstLineChars="200"/>
        <w:rPr>
          <w:rFonts w:hint="eastAsia" w:ascii="宋体" w:hAnsi="宋体" w:cs="宋体"/>
          <w:szCs w:val="21"/>
        </w:rPr>
      </w:pPr>
      <w:r>
        <w:rPr>
          <w:rFonts w:hint="eastAsia" w:ascii="宋体" w:hAnsi="宋体" w:cs="宋体"/>
          <w:szCs w:val="21"/>
        </w:rPr>
        <w:t>注：采购人代表或者采购代理机构在资格审查结束前，对供应商进行信用查询。</w:t>
      </w:r>
    </w:p>
    <w:p w14:paraId="76526B8C">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（1）查询渠道：“政采云”平台“信用中国”网站(</w:t>
      </w:r>
      <w:r>
        <w:rPr>
          <w:rFonts w:ascii="宋体" w:hAnsi="宋体" w:cs="宋体"/>
          <w:szCs w:val="21"/>
        </w:rPr>
        <w:fldChar w:fldCharType="begin"/>
      </w:r>
      <w:r>
        <w:rPr>
          <w:rFonts w:ascii="宋体" w:hAnsi="宋体" w:cs="宋体"/>
          <w:szCs w:val="21"/>
        </w:rPr>
        <w:instrText xml:space="preserve"> HYPERLINK "http://www.creditchina.gov.cn" </w:instrText>
      </w:r>
      <w:r>
        <w:rPr>
          <w:rFonts w:ascii="宋体" w:hAnsi="宋体" w:cs="宋体"/>
          <w:szCs w:val="21"/>
        </w:rPr>
        <w:fldChar w:fldCharType="separate"/>
      </w:r>
      <w:r>
        <w:rPr>
          <w:rStyle w:val="22"/>
          <w:rFonts w:hAnsi="宋体" w:cs="宋体"/>
        </w:rPr>
        <w:t>www.creditchina.gov.cn</w:t>
      </w:r>
      <w:r>
        <w:rPr>
          <w:rFonts w:ascii="宋体" w:hAnsi="宋体" w:cs="宋体"/>
          <w:szCs w:val="21"/>
        </w:rPr>
        <w:fldChar w:fldCharType="end"/>
      </w:r>
      <w:r>
        <w:rPr>
          <w:rFonts w:hint="eastAsia" w:ascii="宋体" w:hAnsi="宋体" w:cs="宋体"/>
          <w:szCs w:val="21"/>
        </w:rPr>
        <w:t>)、中国政府采购网(</w:t>
      </w:r>
      <w:r>
        <w:rPr>
          <w:rFonts w:ascii="宋体" w:hAnsi="宋体" w:cs="宋体"/>
          <w:szCs w:val="21"/>
        </w:rPr>
        <w:fldChar w:fldCharType="begin"/>
      </w:r>
      <w:r>
        <w:rPr>
          <w:rFonts w:ascii="宋体" w:hAnsi="宋体" w:cs="宋体"/>
          <w:szCs w:val="21"/>
        </w:rPr>
        <w:instrText xml:space="preserve"> HYPERLINK "http://www.ccgp.gov.cn" </w:instrText>
      </w:r>
      <w:r>
        <w:rPr>
          <w:rFonts w:ascii="宋体" w:hAnsi="宋体" w:cs="宋体"/>
          <w:szCs w:val="21"/>
        </w:rPr>
        <w:fldChar w:fldCharType="separate"/>
      </w:r>
      <w:r>
        <w:rPr>
          <w:rStyle w:val="22"/>
          <w:rFonts w:hAnsi="宋体" w:cs="宋体"/>
        </w:rPr>
        <w:t>www.ccgp.gov.cn</w:t>
      </w:r>
      <w:r>
        <w:rPr>
          <w:rFonts w:ascii="宋体" w:hAnsi="宋体" w:cs="宋体"/>
          <w:szCs w:val="21"/>
        </w:rPr>
        <w:fldChar w:fldCharType="end"/>
      </w:r>
      <w:r>
        <w:rPr>
          <w:rFonts w:hint="eastAsia" w:ascii="宋体" w:hAnsi="宋体" w:cs="宋体"/>
          <w:szCs w:val="21"/>
        </w:rPr>
        <w:t>)链接入口。</w:t>
      </w:r>
    </w:p>
    <w:p w14:paraId="573610EA">
      <w:pPr>
        <w:snapToGrid w:val="0"/>
        <w:spacing w:line="360" w:lineRule="auto"/>
        <w:ind w:firstLine="420" w:firstLineChars="200"/>
        <w:rPr>
          <w:rFonts w:hint="eastAsia" w:ascii="宋体" w:hAnsi="宋体" w:cs="宋体"/>
          <w:szCs w:val="21"/>
        </w:rPr>
      </w:pPr>
      <w:r>
        <w:rPr>
          <w:rFonts w:hint="eastAsia" w:ascii="宋体" w:hAnsi="宋体" w:cs="宋体"/>
          <w:szCs w:val="21"/>
        </w:rPr>
        <w:t>（2）信用查询截止时点：资格审查结束前。</w:t>
      </w:r>
    </w:p>
    <w:p w14:paraId="33B23E2A">
      <w:pPr>
        <w:snapToGrid w:val="0"/>
        <w:spacing w:line="360" w:lineRule="auto"/>
        <w:ind w:firstLine="420" w:firstLineChars="200"/>
        <w:rPr>
          <w:rFonts w:hint="eastAsia" w:ascii="宋体" w:hAnsi="宋体" w:cs="宋体"/>
          <w:szCs w:val="21"/>
        </w:rPr>
      </w:pPr>
      <w:r>
        <w:rPr>
          <w:rFonts w:hint="eastAsia" w:ascii="宋体" w:hAnsi="宋体" w:cs="宋体"/>
          <w:szCs w:val="21"/>
        </w:rPr>
        <w:t>查询记录和证据留存方式：在查询网站中直接打印查询记录，截图另存为电子文档作为评审资料保存。</w:t>
      </w:r>
    </w:p>
    <w:p w14:paraId="20A80DDE">
      <w:pPr>
        <w:spacing w:line="360" w:lineRule="auto"/>
        <w:ind w:firstLine="420" w:firstLineChars="200"/>
        <w:rPr>
          <w:rFonts w:hint="eastAsia" w:ascii="宋体" w:hAnsi="宋体" w:cs="宋体"/>
          <w:szCs w:val="21"/>
        </w:rPr>
      </w:pPr>
      <w:r>
        <w:rPr>
          <w:rFonts w:hint="eastAsia" w:ascii="宋体" w:hAnsi="宋体" w:cs="宋体"/>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F76C03F">
      <w:pPr>
        <w:spacing w:line="360" w:lineRule="auto"/>
        <w:ind w:firstLine="420" w:firstLineChars="200"/>
        <w:rPr>
          <w:rFonts w:hint="eastAsia" w:ascii="宋体" w:hAnsi="宋体" w:cs="宋体"/>
          <w:szCs w:val="21"/>
        </w:rPr>
      </w:pPr>
      <w:r>
        <w:rPr>
          <w:rFonts w:hint="eastAsia" w:ascii="宋体" w:hAnsi="宋体" w:cs="宋体"/>
          <w:szCs w:val="21"/>
        </w:rPr>
        <w:t>2.2资格审查标准为本磋商文件中载明对供应商资格要求的条件。资格审查采用合格制，凡符合磋商文件规定的供应商资格要求的响应文件均通过资格审查。</w:t>
      </w:r>
    </w:p>
    <w:p w14:paraId="2E5DE602">
      <w:pPr>
        <w:spacing w:line="360" w:lineRule="auto"/>
        <w:ind w:firstLine="420" w:firstLineChars="200"/>
        <w:rPr>
          <w:rFonts w:hint="eastAsia" w:ascii="宋体" w:hAnsi="宋体" w:cs="宋体"/>
          <w:szCs w:val="21"/>
        </w:rPr>
      </w:pPr>
      <w:r>
        <w:rPr>
          <w:rFonts w:hint="eastAsia" w:ascii="宋体" w:hAnsi="宋体" w:cs="宋体"/>
          <w:szCs w:val="21"/>
        </w:rPr>
        <w:t>2.3供应商有下列情形之一的，资格审查不通过，其响应文件按无效响应处理：</w:t>
      </w:r>
    </w:p>
    <w:p w14:paraId="249D2866">
      <w:pPr>
        <w:snapToGrid w:val="0"/>
        <w:spacing w:line="360" w:lineRule="auto"/>
        <w:ind w:firstLine="420" w:firstLineChars="200"/>
        <w:rPr>
          <w:rFonts w:hint="eastAsia" w:ascii="宋体" w:hAnsi="宋体" w:cs="宋体"/>
          <w:szCs w:val="21"/>
        </w:rPr>
      </w:pPr>
      <w:r>
        <w:rPr>
          <w:rFonts w:hint="eastAsia" w:ascii="宋体" w:hAnsi="宋体" w:cs="宋体"/>
          <w:szCs w:val="21"/>
        </w:rPr>
        <w:t>（1）不具备磋商文件中规定的资格要求的；</w:t>
      </w:r>
    </w:p>
    <w:p w14:paraId="131B43E5">
      <w:pPr>
        <w:spacing w:line="360" w:lineRule="auto"/>
        <w:ind w:firstLine="420" w:firstLineChars="200"/>
        <w:rPr>
          <w:rFonts w:hint="eastAsia" w:ascii="宋体" w:hAnsi="宋体" w:cs="宋体"/>
          <w:szCs w:val="21"/>
        </w:rPr>
      </w:pPr>
      <w:r>
        <w:rPr>
          <w:rFonts w:hint="eastAsia" w:ascii="宋体" w:hAnsi="宋体" w:cs="宋体"/>
          <w:szCs w:val="21"/>
        </w:rPr>
        <w:t>（2）响应文件未提供任一项“供应商须知前附表”资格证明文件规定的“必须提供”的文件资料的；</w:t>
      </w:r>
    </w:p>
    <w:p w14:paraId="2D5F1DFF">
      <w:pPr>
        <w:spacing w:line="360" w:lineRule="auto"/>
        <w:ind w:firstLine="420" w:firstLineChars="200"/>
        <w:rPr>
          <w:rFonts w:hint="eastAsia"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14:paraId="5CA0E879">
      <w:pPr>
        <w:spacing w:line="360" w:lineRule="auto"/>
        <w:ind w:firstLine="420" w:firstLineChars="200"/>
        <w:rPr>
          <w:rFonts w:hint="eastAsia" w:ascii="宋体" w:hAnsi="宋体" w:cs="宋体"/>
          <w:szCs w:val="21"/>
        </w:rPr>
      </w:pPr>
      <w:bookmarkStart w:id="80" w:name="_Hlk68601553"/>
      <w:r>
        <w:rPr>
          <w:rFonts w:hint="eastAsia" w:ascii="宋体" w:hAnsi="宋体" w:cs="宋体"/>
          <w:color w:val="000000"/>
          <w:szCs w:val="21"/>
          <w:highlight w:val="none"/>
        </w:rPr>
        <w:t>（4）同一合同项下的不同供应商，单位负责人为同一人或者存在直接控股、管理关系的；为本项目提供过整体设计、规范编制或者项目管理、监理、检测等服务的。</w:t>
      </w:r>
      <w:bookmarkEnd w:id="80"/>
      <w:r>
        <w:rPr>
          <w:rFonts w:hint="eastAsia" w:ascii="宋体" w:hAnsi="宋体" w:cs="宋体"/>
          <w:szCs w:val="21"/>
        </w:rPr>
        <w:t>2.4通过资格审查的合格供应商不足3家的，不得进入符合性审查环节，</w:t>
      </w:r>
      <w:r>
        <w:rPr>
          <w:rFonts w:hint="eastAsia" w:ascii="宋体" w:hAnsi="宋体"/>
          <w:szCs w:val="21"/>
        </w:rPr>
        <w:t>采购人或者采购代理机构应当重新开展采购活动。</w:t>
      </w:r>
    </w:p>
    <w:p w14:paraId="223E493E">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3.符合性审查</w:t>
      </w:r>
    </w:p>
    <w:p w14:paraId="7019D989">
      <w:pPr>
        <w:spacing w:line="360" w:lineRule="auto"/>
        <w:ind w:firstLine="420" w:firstLineChars="200"/>
        <w:rPr>
          <w:rFonts w:hint="eastAsia" w:ascii="宋体" w:hAnsi="宋体" w:cs="宋体"/>
          <w:szCs w:val="21"/>
        </w:rPr>
      </w:pPr>
      <w:r>
        <w:rPr>
          <w:rFonts w:hint="eastAsia" w:ascii="宋体" w:hAnsi="宋体" w:cs="宋体"/>
          <w:szCs w:val="21"/>
        </w:rPr>
        <w:t>3.1由磋商小组对</w:t>
      </w:r>
      <w:r>
        <w:rPr>
          <w:rFonts w:hint="eastAsia" w:ascii="宋体" w:hAnsi="宋体"/>
          <w:szCs w:val="21"/>
        </w:rPr>
        <w:t>通过资格审查的合格供应商</w:t>
      </w:r>
      <w:r>
        <w:rPr>
          <w:rFonts w:hint="eastAsia" w:ascii="宋体" w:hAnsi="宋体" w:cs="宋体"/>
          <w:szCs w:val="21"/>
        </w:rPr>
        <w:t>的响应文件的响应报价、商务、技术等实质性要求进行符合性审查，以确定其是否满足磋商文件的实质性要求。</w:t>
      </w:r>
    </w:p>
    <w:p w14:paraId="73A955AC">
      <w:pPr>
        <w:spacing w:line="360" w:lineRule="auto"/>
        <w:ind w:firstLine="420" w:firstLineChars="200"/>
        <w:rPr>
          <w:rFonts w:hint="eastAsia" w:ascii="宋体" w:hAnsi="宋体" w:cs="宋体"/>
          <w:szCs w:val="21"/>
        </w:rPr>
      </w:pPr>
      <w:r>
        <w:rPr>
          <w:rFonts w:hint="eastAsia" w:ascii="宋体" w:hAnsi="宋体" w:cs="宋体"/>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4BB135F">
      <w:pPr>
        <w:spacing w:line="360" w:lineRule="auto"/>
        <w:ind w:firstLine="420" w:firstLineChars="200"/>
        <w:rPr>
          <w:rFonts w:hint="eastAsia" w:ascii="宋体" w:hAnsi="宋体" w:cs="宋体"/>
          <w:spacing w:val="-6"/>
          <w:szCs w:val="21"/>
        </w:rPr>
      </w:pPr>
      <w:r>
        <w:rPr>
          <w:rFonts w:hint="eastAsia" w:ascii="宋体" w:hAnsi="宋体" w:cs="宋体"/>
          <w:szCs w:val="21"/>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spacing w:val="-6"/>
          <w:szCs w:val="21"/>
        </w:rPr>
        <w:t>。供应商为自然人的，必须由本人签字并附身份证明。</w:t>
      </w:r>
    </w:p>
    <w:p w14:paraId="4A41D9A7">
      <w:pPr>
        <w:spacing w:line="360" w:lineRule="auto"/>
        <w:ind w:firstLine="396" w:firstLineChars="200"/>
        <w:rPr>
          <w:rFonts w:hint="eastAsia" w:ascii="宋体" w:hAnsi="宋体" w:cs="宋体"/>
          <w:szCs w:val="21"/>
        </w:rPr>
      </w:pPr>
      <w:r>
        <w:rPr>
          <w:rFonts w:hint="eastAsia" w:ascii="宋体" w:hAnsi="宋体" w:cs="宋体"/>
          <w:spacing w:val="-6"/>
          <w:szCs w:val="21"/>
        </w:rPr>
        <w:t>3.4</w:t>
      </w:r>
      <w:r>
        <w:rPr>
          <w:rFonts w:hint="eastAsia" w:ascii="宋体" w:hAnsi="宋体" w:cs="宋体"/>
          <w:szCs w:val="21"/>
        </w:rPr>
        <w:t xml:space="preserve">首次响应文件报价出现前后不一致的，按照下列规定修正： </w:t>
      </w:r>
    </w:p>
    <w:p w14:paraId="73FCB95D">
      <w:pPr>
        <w:spacing w:line="360" w:lineRule="auto"/>
        <w:ind w:firstLine="420" w:firstLineChars="200"/>
        <w:rPr>
          <w:rFonts w:hint="eastAsia" w:ascii="宋体" w:hAnsi="宋体" w:cs="宋体"/>
          <w:szCs w:val="21"/>
        </w:rPr>
      </w:pPr>
      <w:r>
        <w:rPr>
          <w:rFonts w:hint="eastAsia" w:ascii="宋体" w:hAnsi="宋体" w:cs="宋体"/>
          <w:szCs w:val="21"/>
        </w:rPr>
        <w:t>（1）响应文件中报价表内容与响应文件中相应内容不一致的，以报价表为准；</w:t>
      </w:r>
    </w:p>
    <w:p w14:paraId="2AE6D34A">
      <w:pPr>
        <w:spacing w:line="360" w:lineRule="auto"/>
        <w:ind w:firstLine="420" w:firstLineChars="200"/>
        <w:rPr>
          <w:rFonts w:hint="eastAsia" w:ascii="宋体" w:hAnsi="宋体" w:cs="宋体"/>
          <w:szCs w:val="21"/>
        </w:rPr>
      </w:pPr>
      <w:r>
        <w:rPr>
          <w:rFonts w:hint="eastAsia" w:ascii="宋体" w:hAnsi="宋体" w:cs="宋体"/>
          <w:szCs w:val="21"/>
        </w:rPr>
        <w:t>（2）大写金额和小写金额不一致的，以大写金额为准；</w:t>
      </w:r>
    </w:p>
    <w:p w14:paraId="085DC7D2">
      <w:pPr>
        <w:spacing w:line="360" w:lineRule="auto"/>
        <w:ind w:firstLine="420" w:firstLineChars="200"/>
        <w:rPr>
          <w:rFonts w:hint="eastAsia" w:ascii="宋体" w:hAnsi="宋体" w:cs="宋体"/>
          <w:szCs w:val="21"/>
        </w:rPr>
      </w:pPr>
      <w:r>
        <w:rPr>
          <w:rFonts w:hint="eastAsia" w:ascii="宋体" w:hAnsi="宋体" w:cs="宋体"/>
          <w:szCs w:val="21"/>
        </w:rPr>
        <w:t>（3）单价金额小数点或者百分比有明显错位的，以报价表的总价为准，并修改单价；</w:t>
      </w:r>
    </w:p>
    <w:p w14:paraId="60961B74">
      <w:pPr>
        <w:spacing w:line="360" w:lineRule="auto"/>
        <w:ind w:firstLine="420" w:firstLineChars="200"/>
        <w:rPr>
          <w:rFonts w:hint="eastAsia" w:ascii="宋体" w:hAnsi="宋体" w:cs="宋体"/>
          <w:szCs w:val="21"/>
        </w:rPr>
      </w:pPr>
      <w:r>
        <w:rPr>
          <w:rFonts w:hint="eastAsia" w:ascii="宋体" w:hAnsi="宋体" w:cs="宋体"/>
          <w:szCs w:val="21"/>
        </w:rPr>
        <w:t>（4）总价金额与按单价汇总金额不一致的，以单价金额计算结果为准。</w:t>
      </w:r>
    </w:p>
    <w:p w14:paraId="06510992">
      <w:pPr>
        <w:spacing w:line="360" w:lineRule="auto"/>
        <w:ind w:firstLine="420" w:firstLineChars="200"/>
        <w:rPr>
          <w:rFonts w:hint="eastAsia"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7360B1F6">
      <w:pPr>
        <w:spacing w:line="360" w:lineRule="auto"/>
        <w:ind w:firstLine="420" w:firstLineChars="200"/>
        <w:rPr>
          <w:rFonts w:hint="eastAsia" w:ascii="宋体" w:hAnsi="宋体" w:cs="宋体"/>
          <w:szCs w:val="21"/>
        </w:rPr>
      </w:pPr>
      <w:r>
        <w:rPr>
          <w:rFonts w:hint="eastAsia" w:ascii="宋体" w:hAnsi="宋体" w:cs="宋体"/>
          <w:szCs w:val="21"/>
        </w:rPr>
        <w:t>3.5商务技术、报价评审</w:t>
      </w:r>
    </w:p>
    <w:p w14:paraId="1F371284">
      <w:pPr>
        <w:spacing w:line="360" w:lineRule="auto"/>
        <w:ind w:firstLine="420" w:firstLineChars="200"/>
        <w:rPr>
          <w:rFonts w:hint="eastAsia" w:ascii="宋体" w:hAnsi="宋体" w:cs="宋体"/>
          <w:szCs w:val="21"/>
        </w:rPr>
      </w:pPr>
      <w:r>
        <w:rPr>
          <w:rFonts w:hint="eastAsia" w:ascii="宋体" w:hAnsi="宋体" w:cs="宋体"/>
          <w:szCs w:val="21"/>
        </w:rPr>
        <w:t>在评审时，如发现下列情形之一的，将被视为响应文件无效处理：</w:t>
      </w:r>
    </w:p>
    <w:p w14:paraId="22B13EF8">
      <w:pPr>
        <w:spacing w:line="360" w:lineRule="auto"/>
        <w:ind w:firstLine="420" w:firstLineChars="200"/>
        <w:rPr>
          <w:rFonts w:hint="eastAsia" w:ascii="宋体" w:hAnsi="宋体" w:cs="宋体"/>
          <w:szCs w:val="21"/>
        </w:rPr>
      </w:pPr>
      <w:r>
        <w:rPr>
          <w:rFonts w:hint="eastAsia" w:ascii="宋体" w:hAnsi="宋体" w:cs="宋体"/>
          <w:szCs w:val="21"/>
        </w:rPr>
        <w:t>（1）商务技术评审</w:t>
      </w:r>
    </w:p>
    <w:p w14:paraId="01468416">
      <w:pPr>
        <w:spacing w:line="360" w:lineRule="auto"/>
        <w:ind w:firstLine="420" w:firstLineChars="200"/>
        <w:rPr>
          <w:rFonts w:hint="eastAsia" w:ascii="宋体" w:hAnsi="宋体" w:cs="宋体"/>
          <w:szCs w:val="21"/>
        </w:rPr>
      </w:pPr>
      <w:r>
        <w:rPr>
          <w:rFonts w:hint="eastAsia" w:ascii="宋体" w:hAnsi="宋体" w:cs="宋体"/>
          <w:szCs w:val="21"/>
        </w:rPr>
        <w:t>1）响应文件未按磋商文件要求签署、盖章；</w:t>
      </w:r>
    </w:p>
    <w:p w14:paraId="7B5D7BD2">
      <w:pPr>
        <w:spacing w:line="360" w:lineRule="auto"/>
        <w:ind w:firstLine="420" w:firstLineChars="200"/>
        <w:rPr>
          <w:rFonts w:hint="eastAsia" w:ascii="宋体" w:hAnsi="宋体" w:cs="宋体"/>
          <w:szCs w:val="21"/>
        </w:rPr>
      </w:pPr>
      <w:r>
        <w:rPr>
          <w:rFonts w:hint="eastAsia" w:ascii="宋体" w:hAnsi="宋体" w:cs="宋体"/>
          <w:szCs w:val="21"/>
        </w:rPr>
        <w:t xml:space="preserve">2）委托代理人未能出具有效身份证明或者出具的身份证明与授权委托书中的信息不符； </w:t>
      </w:r>
    </w:p>
    <w:p w14:paraId="51265D52">
      <w:pPr>
        <w:spacing w:line="360" w:lineRule="auto"/>
        <w:ind w:firstLine="420" w:firstLineChars="200"/>
        <w:rPr>
          <w:rFonts w:hint="eastAsia" w:ascii="宋体" w:hAnsi="宋体" w:cs="宋体"/>
          <w:szCs w:val="21"/>
        </w:rPr>
      </w:pPr>
      <w:r>
        <w:rPr>
          <w:rFonts w:hint="eastAsia" w:ascii="宋体" w:hAnsi="宋体" w:cs="宋体"/>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FE6C80C">
      <w:pPr>
        <w:spacing w:line="360" w:lineRule="auto"/>
        <w:ind w:firstLine="420" w:firstLineChars="200"/>
        <w:rPr>
          <w:rFonts w:hint="eastAsia" w:ascii="宋体" w:hAnsi="宋体" w:cs="宋体"/>
          <w:szCs w:val="21"/>
        </w:rPr>
      </w:pPr>
      <w:r>
        <w:rPr>
          <w:rFonts w:hint="eastAsia" w:ascii="宋体" w:hAnsi="宋体" w:cs="宋体"/>
          <w:szCs w:val="21"/>
        </w:rPr>
        <w:t>4）商务条款中标“▲”的条款发生负偏离的或者允许负偏离的条款数超过“供应商须知前附表”规定项数的或者标明实质性的要求发生负偏离；</w:t>
      </w:r>
    </w:p>
    <w:p w14:paraId="2AC53EBD">
      <w:pPr>
        <w:spacing w:line="360" w:lineRule="auto"/>
        <w:ind w:firstLine="420" w:firstLineChars="200"/>
        <w:rPr>
          <w:rFonts w:hint="eastAsia" w:ascii="宋体" w:hAnsi="宋体" w:cs="宋体"/>
          <w:szCs w:val="21"/>
        </w:rPr>
      </w:pPr>
      <w:r>
        <w:rPr>
          <w:rFonts w:hint="eastAsia" w:ascii="宋体" w:hAnsi="宋体" w:cs="宋体"/>
          <w:szCs w:val="21"/>
        </w:rPr>
        <w:t>5）未对竞标有效期作出响应或者响应文件承诺的竞标有效期不满足磋商文件要求；</w:t>
      </w:r>
    </w:p>
    <w:p w14:paraId="00CB9637">
      <w:pPr>
        <w:spacing w:line="360" w:lineRule="auto"/>
        <w:ind w:firstLine="420" w:firstLineChars="200"/>
        <w:rPr>
          <w:rFonts w:hint="eastAsia" w:ascii="宋体" w:hAnsi="宋体" w:cs="宋体"/>
          <w:szCs w:val="21"/>
        </w:rPr>
      </w:pPr>
      <w:r>
        <w:rPr>
          <w:rFonts w:hint="eastAsia" w:ascii="宋体" w:hAnsi="宋体" w:cs="宋体"/>
          <w:szCs w:val="21"/>
        </w:rPr>
        <w:t>6）响应文件的实质性内容未使用中文表述、使用计量单位不符合磋商文件要求；</w:t>
      </w:r>
    </w:p>
    <w:p w14:paraId="2F529AB4">
      <w:pPr>
        <w:spacing w:line="360" w:lineRule="auto"/>
        <w:ind w:firstLine="420" w:firstLineChars="200"/>
        <w:rPr>
          <w:rFonts w:hint="eastAsia" w:ascii="宋体" w:hAnsi="宋体" w:cs="宋体"/>
          <w:szCs w:val="21"/>
        </w:rPr>
      </w:pPr>
      <w:r>
        <w:rPr>
          <w:rFonts w:hint="eastAsia" w:ascii="宋体" w:hAnsi="宋体" w:cs="宋体"/>
          <w:szCs w:val="21"/>
        </w:rPr>
        <w:t>7）响应文件中的文件资料因填写不齐全或者内容虚假或者出现其他情形而导致被磋商小组认定无效；</w:t>
      </w:r>
    </w:p>
    <w:p w14:paraId="32707569">
      <w:pPr>
        <w:spacing w:line="360" w:lineRule="auto"/>
        <w:ind w:firstLine="420" w:firstLineChars="200"/>
        <w:rPr>
          <w:rFonts w:hint="eastAsia" w:ascii="宋体" w:hAnsi="宋体" w:cs="宋体"/>
          <w:szCs w:val="21"/>
        </w:rPr>
      </w:pPr>
      <w:r>
        <w:rPr>
          <w:rFonts w:hint="eastAsia" w:ascii="宋体" w:hAnsi="宋体" w:cs="宋体"/>
          <w:szCs w:val="21"/>
        </w:rPr>
        <w:t>8）响应文件含有采购人不能接受的附加条件；</w:t>
      </w:r>
    </w:p>
    <w:p w14:paraId="4C5FE17B">
      <w:pPr>
        <w:spacing w:line="360" w:lineRule="auto"/>
        <w:ind w:firstLine="420" w:firstLineChars="200"/>
        <w:rPr>
          <w:rFonts w:hint="eastAsia" w:ascii="宋体" w:hAnsi="宋体" w:cs="宋体"/>
          <w:szCs w:val="21"/>
        </w:rPr>
      </w:pPr>
      <w:r>
        <w:rPr>
          <w:rFonts w:hint="eastAsia" w:ascii="宋体" w:hAnsi="宋体" w:cs="宋体"/>
          <w:szCs w:val="21"/>
        </w:rPr>
        <w:t>9）属于“供应商须知正文”第7.5条情形；</w:t>
      </w:r>
    </w:p>
    <w:p w14:paraId="754532E8">
      <w:pPr>
        <w:spacing w:line="360" w:lineRule="auto"/>
        <w:ind w:firstLine="420" w:firstLineChars="200"/>
        <w:rPr>
          <w:rFonts w:hint="eastAsia" w:ascii="宋体" w:hAnsi="宋体" w:cs="宋体"/>
          <w:szCs w:val="21"/>
        </w:rPr>
      </w:pPr>
      <w:r>
        <w:rPr>
          <w:rFonts w:hint="eastAsia" w:ascii="宋体" w:hAnsi="宋体" w:cs="宋体"/>
          <w:szCs w:val="21"/>
        </w:rPr>
        <w:t>10）技术需求允许负偏离的条款数超过“供应商须知前附表”规定项数；</w:t>
      </w:r>
    </w:p>
    <w:p w14:paraId="4371FA83">
      <w:pPr>
        <w:spacing w:line="360" w:lineRule="auto"/>
        <w:ind w:firstLine="420" w:firstLineChars="200"/>
        <w:rPr>
          <w:rFonts w:hint="eastAsia" w:ascii="宋体" w:hAnsi="宋体" w:cs="宋体"/>
          <w:szCs w:val="21"/>
        </w:rPr>
      </w:pPr>
      <w:r>
        <w:rPr>
          <w:rFonts w:hint="eastAsia" w:ascii="宋体" w:hAnsi="宋体" w:cs="宋体"/>
          <w:szCs w:val="21"/>
        </w:rPr>
        <w:t>11）虚假竞标，或者出现其他情形而导致被磋商小组认定无效；</w:t>
      </w:r>
    </w:p>
    <w:p w14:paraId="789A7BB8">
      <w:pPr>
        <w:spacing w:line="360" w:lineRule="auto"/>
        <w:ind w:firstLine="420" w:firstLineChars="200"/>
        <w:rPr>
          <w:rFonts w:hint="eastAsia" w:ascii="宋体" w:hAnsi="宋体" w:cs="宋体"/>
          <w:szCs w:val="21"/>
        </w:rPr>
      </w:pPr>
      <w:r>
        <w:rPr>
          <w:rFonts w:hint="eastAsia" w:ascii="宋体" w:hAnsi="宋体" w:cs="宋体"/>
          <w:szCs w:val="21"/>
        </w:rPr>
        <w:t>12）竞标技术方案不明确，磋商文件未允许</w:t>
      </w:r>
      <w:r>
        <w:rPr>
          <w:rFonts w:hint="eastAsia" w:ascii="宋体" w:hAnsi="宋体"/>
          <w:szCs w:val="21"/>
        </w:rPr>
        <w:t>但响应文件中</w:t>
      </w:r>
      <w:r>
        <w:rPr>
          <w:rFonts w:hint="eastAsia" w:ascii="宋体" w:hAnsi="宋体" w:cs="宋体"/>
          <w:szCs w:val="21"/>
        </w:rPr>
        <w:t>存在一个或者一个以上备选（替代）竞标方案；</w:t>
      </w:r>
    </w:p>
    <w:p w14:paraId="521B14DA">
      <w:pPr>
        <w:spacing w:line="360" w:lineRule="auto"/>
        <w:ind w:firstLine="420" w:firstLineChars="200"/>
        <w:rPr>
          <w:rFonts w:hint="eastAsia" w:ascii="宋体" w:hAnsi="宋体" w:cs="宋体"/>
          <w:szCs w:val="21"/>
        </w:rPr>
      </w:pPr>
      <w:r>
        <w:rPr>
          <w:rFonts w:hint="eastAsia" w:ascii="宋体" w:hAnsi="宋体" w:cs="宋体"/>
          <w:szCs w:val="21"/>
        </w:rPr>
        <w:t>13）响应文件标注的项目名称或者项目编号与竞争性磋商文件标注的项目名称或者项目编号不一致的；</w:t>
      </w:r>
    </w:p>
    <w:p w14:paraId="7E3A5EEE">
      <w:pPr>
        <w:spacing w:line="360" w:lineRule="auto"/>
        <w:ind w:firstLine="420" w:firstLineChars="200"/>
        <w:rPr>
          <w:rFonts w:hint="eastAsia" w:ascii="宋体" w:hAnsi="宋体" w:cs="宋体"/>
          <w:szCs w:val="21"/>
        </w:rPr>
      </w:pPr>
      <w:r>
        <w:rPr>
          <w:rFonts w:hint="eastAsia" w:ascii="宋体" w:hAnsi="宋体" w:cs="宋体"/>
          <w:szCs w:val="21"/>
        </w:rPr>
        <w:t>14）未响应磋商文件实质性要求；</w:t>
      </w:r>
    </w:p>
    <w:p w14:paraId="2B1DFC7B">
      <w:pPr>
        <w:spacing w:line="360" w:lineRule="auto"/>
        <w:ind w:firstLine="420" w:firstLineChars="200"/>
        <w:rPr>
          <w:rFonts w:hint="eastAsia" w:ascii="宋体" w:hAnsi="宋体" w:cs="宋体"/>
          <w:szCs w:val="21"/>
        </w:rPr>
      </w:pPr>
      <w:r>
        <w:rPr>
          <w:rFonts w:hint="eastAsia" w:ascii="宋体" w:hAnsi="宋体" w:cs="宋体"/>
          <w:szCs w:val="21"/>
        </w:rPr>
        <w:t>15）法律、法规和磋商文件规定的其他无效情形。</w:t>
      </w:r>
    </w:p>
    <w:p w14:paraId="16BD0ADA">
      <w:pPr>
        <w:spacing w:line="360" w:lineRule="auto"/>
        <w:ind w:firstLine="420" w:firstLineChars="200"/>
        <w:rPr>
          <w:rFonts w:hint="eastAsia" w:ascii="宋体" w:hAnsi="宋体" w:cs="宋体"/>
          <w:szCs w:val="21"/>
        </w:rPr>
      </w:pPr>
      <w:r>
        <w:rPr>
          <w:rFonts w:hint="eastAsia" w:ascii="宋体" w:hAnsi="宋体" w:cs="宋体"/>
          <w:szCs w:val="21"/>
        </w:rPr>
        <w:t>（2）报价评审</w:t>
      </w:r>
    </w:p>
    <w:p w14:paraId="5AC1CADD">
      <w:pPr>
        <w:spacing w:line="360" w:lineRule="auto"/>
        <w:ind w:firstLine="420" w:firstLineChars="200"/>
        <w:rPr>
          <w:rFonts w:hint="eastAsia" w:ascii="宋体" w:hAnsi="宋体" w:cs="宋体"/>
          <w:szCs w:val="21"/>
        </w:rPr>
      </w:pPr>
      <w:r>
        <w:rPr>
          <w:rFonts w:hint="eastAsia" w:ascii="宋体" w:hAnsi="宋体" w:cs="宋体"/>
          <w:szCs w:val="21"/>
        </w:rPr>
        <w:t>1) 响应文件未提供“供应商须知前附表” 报价文件中规定的“响应报价表”；</w:t>
      </w:r>
    </w:p>
    <w:p w14:paraId="1B9481DA">
      <w:pPr>
        <w:spacing w:line="360" w:lineRule="auto"/>
        <w:ind w:firstLine="420" w:firstLineChars="200"/>
        <w:rPr>
          <w:rFonts w:hint="eastAsia" w:ascii="宋体" w:hAnsi="宋体" w:cs="宋体"/>
          <w:szCs w:val="21"/>
        </w:rPr>
      </w:pPr>
      <w:r>
        <w:rPr>
          <w:rFonts w:hint="eastAsia" w:ascii="宋体" w:hAnsi="宋体" w:cs="宋体"/>
          <w:szCs w:val="21"/>
        </w:rPr>
        <w:t>2）未采用人民币报价或者未按照磋商文件标明的币种报价；</w:t>
      </w:r>
    </w:p>
    <w:p w14:paraId="56979332">
      <w:pPr>
        <w:spacing w:line="360" w:lineRule="auto"/>
        <w:ind w:firstLine="420" w:firstLineChars="200"/>
        <w:rPr>
          <w:rFonts w:hint="eastAsia"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F1111D5">
      <w:pPr>
        <w:spacing w:line="360" w:lineRule="auto"/>
        <w:ind w:firstLine="420" w:firstLineChars="200"/>
        <w:rPr>
          <w:rFonts w:hint="eastAsia" w:ascii="宋体" w:hAnsi="宋体" w:cs="宋体"/>
          <w:szCs w:val="21"/>
        </w:rPr>
      </w:pPr>
      <w:r>
        <w:rPr>
          <w:rFonts w:hint="eastAsia" w:ascii="宋体" w:hAnsi="宋体" w:cs="宋体"/>
          <w:szCs w:val="21"/>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64CA1FBE">
      <w:pPr>
        <w:spacing w:line="360" w:lineRule="auto"/>
        <w:ind w:firstLine="420" w:firstLineChars="200"/>
        <w:rPr>
          <w:rFonts w:hint="eastAsia" w:ascii="宋体" w:hAnsi="宋体" w:cs="宋体"/>
          <w:szCs w:val="21"/>
        </w:rPr>
      </w:pPr>
      <w:r>
        <w:rPr>
          <w:rFonts w:hint="eastAsia" w:ascii="宋体" w:hAnsi="宋体" w:cs="宋体"/>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1B777FA">
      <w:pPr>
        <w:spacing w:line="360" w:lineRule="auto"/>
        <w:ind w:firstLine="420" w:firstLineChars="200"/>
        <w:rPr>
          <w:rFonts w:hint="eastAsia" w:ascii="宋体" w:hAnsi="宋体" w:cs="宋体"/>
          <w:szCs w:val="21"/>
        </w:rPr>
      </w:pPr>
      <w:r>
        <w:rPr>
          <w:rFonts w:hint="eastAsia" w:ascii="宋体" w:hAnsi="宋体" w:cs="宋体"/>
          <w:szCs w:val="21"/>
        </w:rPr>
        <w:t>6）</w:t>
      </w:r>
      <w:r>
        <w:rPr>
          <w:rFonts w:hint="eastAsia" w:ascii="宋体" w:hAnsi="宋体"/>
          <w:szCs w:val="21"/>
        </w:rPr>
        <w:t>响应文件响应的标的数量及单位与竞争性磋商采购文件要求实质性不一致的。</w:t>
      </w:r>
    </w:p>
    <w:p w14:paraId="56978F13">
      <w:pPr>
        <w:spacing w:line="360" w:lineRule="auto"/>
        <w:ind w:firstLine="420" w:firstLineChars="200"/>
        <w:rPr>
          <w:rFonts w:hint="eastAsia" w:ascii="宋体" w:hAnsi="宋体" w:cs="宋体"/>
          <w:szCs w:val="21"/>
        </w:rPr>
      </w:pPr>
      <w:r>
        <w:rPr>
          <w:rFonts w:hint="eastAsia" w:ascii="宋体" w:hAnsi="宋体" w:cs="宋体"/>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DC184EC">
      <w:pPr>
        <w:spacing w:line="360" w:lineRule="auto"/>
        <w:ind w:firstLine="420" w:firstLineChars="200"/>
        <w:rPr>
          <w:rFonts w:hint="eastAsia" w:ascii="宋体" w:hAnsi="宋体" w:cs="宋体"/>
          <w:szCs w:val="21"/>
        </w:rPr>
      </w:pPr>
      <w:r>
        <w:rPr>
          <w:rFonts w:hint="eastAsia" w:ascii="宋体" w:hAnsi="宋体" w:cs="宋体"/>
          <w:szCs w:val="21"/>
        </w:rPr>
        <w:t>3.7非</w:t>
      </w:r>
      <w:r>
        <w:rPr>
          <w:rFonts w:hint="eastAsia" w:ascii="宋体" w:hAnsi="宋体"/>
          <w:szCs w:val="21"/>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CCD0793">
      <w:pPr>
        <w:ind w:firstLine="482" w:firstLineChars="200"/>
        <w:rPr>
          <w:rFonts w:hint="eastAsia" w:ascii="黑体" w:hAnsi="黑体" w:eastAsia="黑体" w:cs="宋体"/>
          <w:b/>
          <w:bCs/>
          <w:sz w:val="24"/>
        </w:rPr>
      </w:pPr>
      <w:r>
        <w:rPr>
          <w:rFonts w:hint="eastAsia" w:ascii="黑体" w:hAnsi="黑体" w:eastAsia="黑体" w:cs="宋体"/>
          <w:b/>
          <w:bCs/>
          <w:sz w:val="24"/>
        </w:rPr>
        <w:t>4.磋商程序</w:t>
      </w:r>
    </w:p>
    <w:p w14:paraId="38E5BF12">
      <w:pPr>
        <w:spacing w:line="360" w:lineRule="auto"/>
        <w:ind w:firstLine="420" w:firstLineChars="200"/>
        <w:rPr>
          <w:rFonts w:hint="eastAsia" w:ascii="宋体" w:hAnsi="宋体" w:cs="宋体"/>
          <w:kern w:val="0"/>
          <w:szCs w:val="21"/>
        </w:rPr>
      </w:pPr>
      <w:r>
        <w:rPr>
          <w:rFonts w:hint="eastAsia" w:ascii="宋体" w:hAnsi="宋体" w:cs="宋体"/>
          <w:kern w:val="0"/>
          <w:szCs w:val="21"/>
        </w:rPr>
        <w:t>4.1磋商小组按照“供应商须知前附表”</w:t>
      </w:r>
      <w:r>
        <w:rPr>
          <w:rFonts w:hint="eastAsia" w:ascii="宋体" w:hAnsi="宋体" w:cs="宋体"/>
          <w:szCs w:val="21"/>
        </w:rPr>
        <w:t xml:space="preserve"> </w:t>
      </w:r>
      <w:r>
        <w:rPr>
          <w:rFonts w:hint="eastAsia" w:ascii="宋体" w:hAnsi="宋体" w:cs="宋体"/>
          <w:kern w:val="0"/>
          <w:szCs w:val="21"/>
        </w:rPr>
        <w:t>确定的</w:t>
      </w:r>
      <w:r>
        <w:rPr>
          <w:rFonts w:hint="eastAsia" w:ascii="宋体" w:hAnsi="宋体" w:cs="宋体"/>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29DF9A0">
      <w:pPr>
        <w:spacing w:line="360" w:lineRule="auto"/>
        <w:ind w:firstLine="420" w:firstLineChars="200"/>
        <w:rPr>
          <w:rFonts w:hint="eastAsia" w:ascii="宋体" w:hAnsi="宋体" w:cs="宋体"/>
          <w:szCs w:val="21"/>
        </w:rPr>
      </w:pPr>
      <w:r>
        <w:rPr>
          <w:rFonts w:hint="eastAsia" w:ascii="宋体" w:hAnsi="宋体" w:cs="宋体"/>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708BE2F">
      <w:pPr>
        <w:spacing w:line="360" w:lineRule="auto"/>
        <w:ind w:firstLine="420" w:firstLineChars="200"/>
        <w:rPr>
          <w:rFonts w:hint="eastAsia" w:ascii="宋体" w:hAnsi="宋体" w:cs="宋体"/>
          <w:szCs w:val="21"/>
        </w:rPr>
      </w:pPr>
      <w:r>
        <w:rPr>
          <w:rFonts w:hint="eastAsia" w:ascii="宋体" w:hAnsi="宋体" w:cs="宋体"/>
          <w:szCs w:val="21"/>
        </w:rPr>
        <w:t>4.3对磋商文件作出的实质性变动是磋商文件的有效组成部分，由磋商小组及时以电子澄清函形式同时通知所有参加磋商的供应商。</w:t>
      </w:r>
    </w:p>
    <w:p w14:paraId="5666219E">
      <w:pPr>
        <w:spacing w:line="360" w:lineRule="auto"/>
        <w:ind w:firstLine="420" w:firstLineChars="200"/>
        <w:rPr>
          <w:rFonts w:hint="eastAsia" w:ascii="宋体" w:hAnsi="宋体" w:cs="宋体"/>
          <w:szCs w:val="21"/>
        </w:rPr>
      </w:pPr>
      <w:r>
        <w:rPr>
          <w:rFonts w:hint="eastAsia" w:ascii="宋体" w:hAnsi="宋体" w:cs="宋体"/>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CF36C71">
      <w:pPr>
        <w:spacing w:line="360" w:lineRule="auto"/>
        <w:ind w:firstLine="420" w:firstLineChars="200"/>
        <w:rPr>
          <w:rFonts w:hint="eastAsia" w:ascii="宋体" w:hAnsi="宋体" w:cs="宋体"/>
          <w:szCs w:val="21"/>
        </w:rPr>
      </w:pPr>
      <w:r>
        <w:rPr>
          <w:rFonts w:hint="eastAsia" w:ascii="宋体" w:hAnsi="宋体" w:cs="宋体"/>
          <w:szCs w:val="21"/>
        </w:rPr>
        <w:t>4.5磋商中，</w:t>
      </w:r>
      <w:r>
        <w:rPr>
          <w:rFonts w:hint="eastAsia" w:ascii="宋体" w:hAnsi="宋体" w:cs="宋体"/>
          <w:spacing w:val="-6"/>
          <w:szCs w:val="21"/>
        </w:rPr>
        <w:t>磋商的任何一方不得透露与磋商有关的其他供应商的技术资料、价格和其他信息。</w:t>
      </w:r>
    </w:p>
    <w:p w14:paraId="1DE84290">
      <w:pPr>
        <w:widowControl/>
        <w:tabs>
          <w:tab w:val="left" w:pos="540"/>
        </w:tabs>
        <w:spacing w:line="360" w:lineRule="auto"/>
        <w:ind w:firstLine="420" w:firstLineChars="200"/>
        <w:jc w:val="left"/>
        <w:rPr>
          <w:rFonts w:hint="eastAsia" w:ascii="仿宋" w:hAnsi="仿宋" w:eastAsia="仿宋" w:cs="仿宋_GB2312"/>
          <w:b/>
        </w:rPr>
      </w:pPr>
      <w:r>
        <w:rPr>
          <w:rFonts w:hint="eastAsia" w:ascii="宋体" w:hAnsi="宋体" w:cs="宋体"/>
          <w:szCs w:val="21"/>
        </w:rPr>
        <w:t>4.6磋商小组应对磋商过程和重要磋商内容进行记录，作为评标报告一部分，磋商小组在记录上签字确认。</w:t>
      </w:r>
      <w:r>
        <w:rPr>
          <w:rFonts w:hint="eastAsia" w:ascii="仿宋" w:hAnsi="仿宋" w:eastAsia="仿宋" w:cs="仿宋_GB2312"/>
          <w:b/>
        </w:rPr>
        <w:t>主要内容包括：</w:t>
      </w:r>
    </w:p>
    <w:p w14:paraId="6DE07980">
      <w:pPr>
        <w:pStyle w:val="24"/>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（1）按照相关规定进行公示的，公示情况说明；</w:t>
      </w:r>
    </w:p>
    <w:p w14:paraId="643629E1">
      <w:pPr>
        <w:pStyle w:val="24"/>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（2）磋商日期和地点，磋商人员名单；</w:t>
      </w:r>
    </w:p>
    <w:p w14:paraId="453FCF4C">
      <w:pPr>
        <w:pStyle w:val="24"/>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（3）合同主要条款及价格商定情况。</w:t>
      </w:r>
    </w:p>
    <w:p w14:paraId="0C2112A2">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4.7磋商过程中重新提交的响应文件，供应商可以在开启前补充、修改。</w:t>
      </w:r>
    </w:p>
    <w:p w14:paraId="01D70D2C">
      <w:pPr>
        <w:tabs>
          <w:tab w:val="left" w:pos="2835"/>
        </w:tabs>
        <w:spacing w:line="360" w:lineRule="auto"/>
        <w:ind w:firstLine="420" w:firstLineChars="200"/>
        <w:rPr>
          <w:rFonts w:hint="eastAsia" w:ascii="宋体" w:hAnsi="宋体" w:cs="宋体"/>
          <w:szCs w:val="21"/>
        </w:rPr>
      </w:pPr>
      <w:r>
        <w:rPr>
          <w:rFonts w:hint="eastAsia" w:ascii="宋体" w:hAnsi="宋体" w:cs="宋体"/>
          <w:szCs w:val="21"/>
        </w:rPr>
        <w:t>4.8</w:t>
      </w:r>
      <w:r>
        <w:rPr>
          <w:rFonts w:hint="eastAsia" w:ascii="宋体" w:hAnsi="宋体"/>
          <w:szCs w:val="21"/>
        </w:rPr>
        <w:t>对磋商过程提交的响应文件进行有效性、完整性和响应程度审查，通过审查的合格供应商不足3家的，采购人或者采购代理机构应当重新开展采购活动。</w:t>
      </w:r>
    </w:p>
    <w:p w14:paraId="4BC7B76F">
      <w:pPr>
        <w:ind w:firstLine="200"/>
        <w:rPr>
          <w:rFonts w:hint="eastAsia" w:ascii="宋体" w:hAnsi="宋体" w:cs="宋体"/>
          <w:szCs w:val="21"/>
        </w:rPr>
      </w:pPr>
      <w:r>
        <w:rPr>
          <w:rFonts w:hint="eastAsia" w:ascii="黑体" w:hAnsi="黑体" w:eastAsia="黑体" w:cs="宋体"/>
          <w:b/>
          <w:bCs/>
          <w:sz w:val="24"/>
        </w:rPr>
        <w:t>5. 最后报价</w:t>
      </w:r>
    </w:p>
    <w:p w14:paraId="0B835309">
      <w:pPr>
        <w:spacing w:line="360" w:lineRule="auto"/>
        <w:ind w:firstLine="420" w:firstLineChars="200"/>
        <w:rPr>
          <w:rFonts w:hint="eastAsia" w:ascii="宋体" w:hAnsi="宋体" w:cs="宋体"/>
          <w:szCs w:val="21"/>
        </w:rPr>
      </w:pPr>
      <w:r>
        <w:rPr>
          <w:rFonts w:hint="eastAsia" w:ascii="宋体" w:hAnsi="宋体" w:cs="宋体"/>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508E5D71">
      <w:pPr>
        <w:spacing w:line="360" w:lineRule="auto"/>
        <w:ind w:firstLine="420" w:firstLineChars="200"/>
        <w:rPr>
          <w:rFonts w:hint="eastAsia" w:ascii="宋体" w:hAnsi="宋体" w:cs="宋体"/>
          <w:szCs w:val="21"/>
        </w:rPr>
      </w:pPr>
      <w:r>
        <w:rPr>
          <w:rFonts w:hint="eastAsia" w:ascii="宋体" w:hAnsi="宋体" w:cs="宋体"/>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4234CB4">
      <w:pPr>
        <w:spacing w:line="360" w:lineRule="auto"/>
        <w:ind w:firstLine="420" w:firstLineChars="200"/>
        <w:rPr>
          <w:rFonts w:hint="eastAsia" w:ascii="宋体" w:hAnsi="宋体" w:cs="宋体"/>
          <w:szCs w:val="21"/>
        </w:rPr>
      </w:pPr>
      <w:r>
        <w:rPr>
          <w:rFonts w:hint="eastAsia" w:ascii="宋体" w:hAnsi="宋体" w:cs="宋体"/>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78A8F76B">
      <w:pPr>
        <w:spacing w:line="360" w:lineRule="auto"/>
        <w:ind w:firstLine="420" w:firstLineChars="200"/>
        <w:rPr>
          <w:rFonts w:hint="eastAsia" w:ascii="宋体" w:hAnsi="宋体" w:cs="宋体"/>
          <w:szCs w:val="21"/>
        </w:rPr>
      </w:pPr>
      <w:r>
        <w:rPr>
          <w:rFonts w:hint="eastAsia" w:ascii="宋体" w:hAnsi="宋体" w:cs="宋体"/>
          <w:szCs w:val="21"/>
        </w:rPr>
        <w:t>5.4已经提交响应文件的供应商，在提交最后报价之前，可以根据磋商情况退出磋商，退出磋商的供应商的响应文件按无效响应处理。</w:t>
      </w:r>
    </w:p>
    <w:p w14:paraId="7AC62F1A">
      <w:pPr>
        <w:spacing w:line="360" w:lineRule="auto"/>
        <w:ind w:firstLine="420" w:firstLineChars="200"/>
        <w:rPr>
          <w:rFonts w:hint="eastAsia" w:ascii="宋体" w:hAnsi="宋体" w:cs="宋体"/>
          <w:szCs w:val="21"/>
        </w:rPr>
      </w:pPr>
      <w:r>
        <w:rPr>
          <w:rFonts w:hint="eastAsia" w:ascii="宋体" w:hAnsi="宋体" w:cs="宋体"/>
          <w:szCs w:val="21"/>
        </w:rPr>
        <w:t>5.5供应商未在规定时间内提交最后报价的，视同退出磋商。</w:t>
      </w:r>
    </w:p>
    <w:p w14:paraId="0AFB5199">
      <w:pPr>
        <w:spacing w:line="360" w:lineRule="auto"/>
        <w:ind w:firstLine="420" w:firstLineChars="200"/>
        <w:rPr>
          <w:rFonts w:hint="eastAsia" w:ascii="宋体" w:hAnsi="宋体" w:cs="宋体"/>
          <w:szCs w:val="21"/>
        </w:rPr>
      </w:pPr>
      <w:r>
        <w:rPr>
          <w:rFonts w:hint="eastAsia" w:ascii="宋体" w:hAnsi="宋体" w:cs="宋体"/>
          <w:szCs w:val="21"/>
        </w:rPr>
        <w:t>5.6磋商小组收齐某一分标最后报价后统一开启，磋商小组对最后报价进行有效性、完整性和响应程度的审查。</w:t>
      </w:r>
    </w:p>
    <w:p w14:paraId="2728AA88">
      <w:pPr>
        <w:spacing w:line="360" w:lineRule="auto"/>
        <w:ind w:firstLine="420" w:firstLineChars="200"/>
        <w:rPr>
          <w:rFonts w:hint="eastAsia" w:ascii="宋体" w:hAnsi="宋体" w:cs="宋体"/>
          <w:szCs w:val="21"/>
        </w:rPr>
      </w:pPr>
      <w:r>
        <w:rPr>
          <w:rFonts w:hint="eastAsia" w:ascii="宋体" w:hAnsi="宋体" w:cs="宋体"/>
          <w:szCs w:val="21"/>
        </w:rPr>
        <w:t xml:space="preserve">5.7最终响应文件的报价出现前后不一致的，按照本章第3.4条的规定修正。 </w:t>
      </w:r>
    </w:p>
    <w:p w14:paraId="0E9A15E5">
      <w:pPr>
        <w:spacing w:line="360" w:lineRule="auto"/>
        <w:ind w:firstLine="420" w:firstLineChars="200"/>
        <w:rPr>
          <w:rFonts w:hint="eastAsia" w:ascii="宋体" w:hAnsi="宋体" w:cs="宋体"/>
          <w:szCs w:val="21"/>
        </w:rPr>
      </w:pPr>
      <w:r>
        <w:rPr>
          <w:rFonts w:hint="eastAsia" w:ascii="宋体" w:hAnsi="宋体" w:cs="宋体"/>
          <w:szCs w:val="21"/>
        </w:rPr>
        <w:t>5.8修正后的最终报价出现下列情形的，按无效响应处理：</w:t>
      </w:r>
    </w:p>
    <w:p w14:paraId="5E92F5C7">
      <w:pPr>
        <w:spacing w:line="360" w:lineRule="auto"/>
        <w:ind w:firstLine="420" w:firstLineChars="200"/>
        <w:rPr>
          <w:rFonts w:hint="eastAsia" w:ascii="宋体" w:hAnsi="宋体" w:cs="宋体"/>
          <w:szCs w:val="21"/>
        </w:rPr>
      </w:pPr>
      <w:r>
        <w:rPr>
          <w:rFonts w:hint="eastAsia" w:ascii="宋体" w:hAnsi="宋体" w:cs="宋体"/>
          <w:szCs w:val="21"/>
        </w:rPr>
        <w:t>（1）供应商不确认的（全流程电子化评标采取在线确认）；</w:t>
      </w:r>
    </w:p>
    <w:p w14:paraId="71B70BF0">
      <w:pPr>
        <w:spacing w:line="360" w:lineRule="auto"/>
        <w:ind w:firstLine="420" w:firstLineChars="200"/>
        <w:rPr>
          <w:rFonts w:hint="eastAsia" w:ascii="宋体" w:hAnsi="宋体" w:cs="宋体"/>
          <w:szCs w:val="21"/>
        </w:rPr>
      </w:pPr>
      <w:r>
        <w:rPr>
          <w:rFonts w:hint="eastAsia" w:ascii="宋体" w:hAnsi="宋体" w:cs="宋体"/>
          <w:szCs w:val="21"/>
        </w:rPr>
        <w:t>（2）经供应商确认修正后的响应报价（包含首次报价、最后报价）超过所竞标分标规定的采购预算金额或者最高限价的（如本项目公布了最高限价）；</w:t>
      </w:r>
    </w:p>
    <w:p w14:paraId="3B7B583B">
      <w:pPr>
        <w:spacing w:line="360" w:lineRule="auto"/>
        <w:ind w:firstLine="420" w:firstLineChars="200"/>
        <w:rPr>
          <w:rFonts w:hint="eastAsia" w:ascii="宋体" w:hAnsi="宋体" w:cs="宋体"/>
          <w:szCs w:val="21"/>
        </w:rPr>
      </w:pPr>
      <w:r>
        <w:rPr>
          <w:rFonts w:hint="eastAsia" w:ascii="宋体" w:hAnsi="宋体" w:cs="宋体"/>
          <w:szCs w:val="21"/>
        </w:rPr>
        <w:t>（3）经供应商确认修正后的响应报价（包含首次报价、最后报价）超过分项采购预算金额或者最高限价的（如本项目公布了最高限价）。</w:t>
      </w:r>
    </w:p>
    <w:p w14:paraId="6B0703C8">
      <w:pPr>
        <w:spacing w:line="360" w:lineRule="auto"/>
        <w:ind w:firstLine="420" w:firstLineChars="200"/>
        <w:rPr>
          <w:rFonts w:hint="eastAsia" w:ascii="宋体" w:hAnsi="宋体" w:cs="宋体"/>
          <w:szCs w:val="21"/>
        </w:rPr>
      </w:pPr>
      <w:r>
        <w:rPr>
          <w:rFonts w:hint="eastAsia" w:ascii="宋体" w:hAnsi="宋体" w:cs="宋体"/>
          <w:szCs w:val="21"/>
        </w:rPr>
        <w:t>5.9经供应商确认修正后的最后报价作为评审及签订合同的依据。</w:t>
      </w:r>
    </w:p>
    <w:p w14:paraId="67DC6D58">
      <w:pPr>
        <w:spacing w:line="360" w:lineRule="auto"/>
        <w:ind w:firstLine="420" w:firstLineChars="200"/>
        <w:rPr>
          <w:rFonts w:hint="eastAsia" w:ascii="宋体" w:hAnsi="宋体" w:cs="宋体"/>
          <w:szCs w:val="21"/>
        </w:rPr>
      </w:pPr>
      <w:r>
        <w:rPr>
          <w:rFonts w:hint="eastAsia" w:ascii="宋体" w:hAnsi="宋体" w:cs="宋体"/>
          <w:szCs w:val="21"/>
        </w:rPr>
        <w:t>5.10供应商出现最后报价按无效响应处理或者响应文件按无效处理时</w:t>
      </w:r>
      <w:r>
        <w:rPr>
          <w:rFonts w:hint="eastAsia" w:ascii="宋体" w:hAnsi="宋体"/>
          <w:sz w:val="22"/>
          <w:szCs w:val="22"/>
        </w:rPr>
        <w:t>，磋商小组应当告知有关供应商</w:t>
      </w:r>
      <w:r>
        <w:rPr>
          <w:rFonts w:hint="eastAsia" w:ascii="宋体" w:hAnsi="宋体" w:cs="宋体"/>
          <w:szCs w:val="21"/>
        </w:rPr>
        <w:t>。</w:t>
      </w:r>
    </w:p>
    <w:p w14:paraId="73C49DD6">
      <w:pPr>
        <w:spacing w:line="360" w:lineRule="auto"/>
        <w:ind w:firstLine="420" w:firstLineChars="200"/>
        <w:rPr>
          <w:rFonts w:hint="eastAsia" w:ascii="宋体" w:hAnsi="宋体" w:cs="宋体"/>
          <w:szCs w:val="21"/>
        </w:rPr>
      </w:pPr>
      <w:r>
        <w:rPr>
          <w:rFonts w:hint="eastAsia" w:ascii="宋体" w:hAnsi="宋体" w:cs="宋体"/>
          <w:szCs w:val="21"/>
        </w:rPr>
        <w:t>5.11最后报价结束后，磋商小组不得再与供应商进行任何形式的商谈。</w:t>
      </w:r>
    </w:p>
    <w:p w14:paraId="2F0BCD06">
      <w:pPr>
        <w:ind w:firstLine="200"/>
        <w:rPr>
          <w:rFonts w:hint="eastAsia" w:ascii="黑体" w:hAnsi="黑体" w:eastAsia="黑体" w:cs="宋体"/>
          <w:b/>
          <w:bCs/>
          <w:sz w:val="24"/>
        </w:rPr>
      </w:pPr>
      <w:r>
        <w:rPr>
          <w:rFonts w:hint="eastAsia" w:ascii="黑体" w:hAnsi="黑体" w:eastAsia="黑体" w:cs="宋体"/>
          <w:b/>
          <w:bCs/>
          <w:sz w:val="24"/>
        </w:rPr>
        <w:t>6.比较与评价</w:t>
      </w:r>
    </w:p>
    <w:p w14:paraId="6CAF6FBB">
      <w:pPr>
        <w:spacing w:line="360" w:lineRule="auto"/>
        <w:ind w:firstLine="420" w:firstLineChars="200"/>
        <w:rPr>
          <w:rFonts w:hint="eastAsia" w:ascii="宋体" w:hAnsi="宋体" w:cs="宋体"/>
          <w:szCs w:val="21"/>
        </w:rPr>
      </w:pPr>
      <w:r>
        <w:rPr>
          <w:rFonts w:hint="eastAsia" w:ascii="宋体" w:hAnsi="宋体" w:cs="宋体"/>
          <w:szCs w:val="21"/>
        </w:rPr>
        <w:t>6.1评审方法：综合评分法。</w:t>
      </w:r>
    </w:p>
    <w:p w14:paraId="59EE38CF">
      <w:pPr>
        <w:spacing w:line="360" w:lineRule="auto"/>
        <w:ind w:firstLine="420" w:firstLineChars="200"/>
        <w:rPr>
          <w:rFonts w:hint="eastAsia" w:ascii="宋体" w:hAnsi="宋体" w:cs="宋体"/>
          <w:szCs w:val="21"/>
        </w:rPr>
      </w:pPr>
      <w:r>
        <w:rPr>
          <w:rFonts w:hint="eastAsia" w:ascii="宋体" w:hAnsi="宋体" w:cs="宋体"/>
          <w:szCs w:val="21"/>
        </w:rPr>
        <w:t>6.2经磋商确定最终采购需求和提交最后报价的供应商后，由磋商小组采用综合评分法对提交最后报价的供应商的响应文件和最后报价进行综合评分。</w:t>
      </w:r>
    </w:p>
    <w:p w14:paraId="6FFC186B">
      <w:pPr>
        <w:spacing w:line="360" w:lineRule="auto"/>
        <w:ind w:firstLine="420" w:firstLineChars="200"/>
        <w:rPr>
          <w:rFonts w:hint="eastAsia" w:ascii="宋体" w:hAnsi="宋体" w:cs="宋体"/>
          <w:szCs w:val="21"/>
        </w:rPr>
      </w:pPr>
      <w:r>
        <w:rPr>
          <w:rFonts w:hint="eastAsia" w:ascii="宋体" w:hAnsi="宋体" w:cs="宋体"/>
          <w:szCs w:val="21"/>
        </w:rPr>
        <w:t>6.3评审时，磋商小组各成员应当独立对每个有效响应的文件进行评价、打分，然后汇总每个供应商每项评分因素的得分。</w:t>
      </w:r>
    </w:p>
    <w:p w14:paraId="0FBC70D9">
      <w:pPr>
        <w:numPr>
          <w:ilvl w:val="0"/>
          <w:numId w:val="6"/>
        </w:numPr>
        <w:spacing w:line="360" w:lineRule="auto"/>
        <w:ind w:firstLine="420" w:firstLineChars="200"/>
        <w:rPr>
          <w:rFonts w:hint="eastAsia" w:ascii="宋体" w:hAnsi="宋体" w:cs="宋体"/>
          <w:szCs w:val="21"/>
        </w:rPr>
      </w:pPr>
      <w:r>
        <w:rPr>
          <w:rFonts w:hint="eastAsia" w:ascii="宋体" w:hAnsi="宋体" w:cs="宋体"/>
          <w:szCs w:val="21"/>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03AA16A3">
      <w:pPr>
        <w:widowControl/>
        <w:spacing w:line="360" w:lineRule="auto"/>
        <w:ind w:left="420" w:leftChars="200"/>
        <w:jc w:val="left"/>
        <w:rPr>
          <w:rFonts w:hint="eastAsia" w:hAnsi="宋体"/>
          <w:b/>
          <w:bCs/>
          <w:color w:val="auto"/>
        </w:rPr>
      </w:pPr>
      <w:r>
        <w:rPr>
          <w:rFonts w:hint="eastAsia" w:hAnsi="宋体"/>
          <w:b/>
          <w:bCs/>
          <w:color w:val="auto"/>
          <w:lang w:eastAsia="zh-CN"/>
        </w:rPr>
        <w:t>（</w:t>
      </w:r>
      <w:r>
        <w:rPr>
          <w:rFonts w:hint="eastAsia" w:hAnsi="宋体"/>
          <w:b/>
          <w:bCs/>
          <w:color w:val="auto"/>
          <w:lang w:val="en-US" w:eastAsia="zh-CN"/>
        </w:rPr>
        <w:t>2</w:t>
      </w:r>
      <w:r>
        <w:rPr>
          <w:rFonts w:hint="eastAsia" w:hAnsi="宋体"/>
          <w:b/>
          <w:bCs/>
          <w:color w:val="auto"/>
          <w:lang w:eastAsia="zh-CN"/>
        </w:rPr>
        <w:t>）</w:t>
      </w:r>
      <w:r>
        <w:rPr>
          <w:rFonts w:hint="eastAsia" w:hAnsi="宋体"/>
          <w:b/>
          <w:bCs/>
          <w:color w:val="auto"/>
        </w:rPr>
        <w:t>异常低价情形：</w:t>
      </w:r>
    </w:p>
    <w:p w14:paraId="1AC2123F">
      <w:pPr>
        <w:widowControl/>
        <w:spacing w:line="360" w:lineRule="auto"/>
        <w:ind w:left="420" w:leftChars="200"/>
        <w:jc w:val="left"/>
        <w:rPr>
          <w:rFonts w:hint="eastAsia" w:hAnsi="宋体"/>
          <w:color w:val="auto"/>
        </w:rPr>
      </w:pPr>
      <w:r>
        <w:rPr>
          <w:rFonts w:hint="eastAsia" w:hAnsi="宋体"/>
          <w:color w:val="auto"/>
        </w:rPr>
        <w:t>1）投标报价低于全部通过符合性审查供应商投标报价平均值</w:t>
      </w:r>
      <w:r>
        <w:rPr>
          <w:rFonts w:hint="eastAsia" w:hAnsi="宋体"/>
          <w:color w:val="auto"/>
          <w:u w:val="single"/>
        </w:rPr>
        <w:t xml:space="preserve"> 50％</w:t>
      </w:r>
      <w:r>
        <w:rPr>
          <w:rFonts w:hint="eastAsia" w:hAnsi="宋体"/>
          <w:color w:val="auto"/>
        </w:rPr>
        <w:t>的（注：此处由采购人根据项目实际情况填写，填写范围不得低于50％，最高不得超过65％）；</w:t>
      </w:r>
    </w:p>
    <w:p w14:paraId="1B990247">
      <w:pPr>
        <w:widowControl/>
        <w:spacing w:line="360" w:lineRule="auto"/>
        <w:ind w:left="420" w:leftChars="200"/>
        <w:jc w:val="left"/>
        <w:rPr>
          <w:rFonts w:hint="eastAsia" w:hAnsi="宋体"/>
          <w:color w:val="auto"/>
        </w:rPr>
      </w:pPr>
      <w:r>
        <w:rPr>
          <w:rFonts w:hint="eastAsia" w:hAnsi="宋体"/>
          <w:color w:val="auto"/>
        </w:rPr>
        <w:t>2）投标报价低于通过符合性审查的次低报价供应商投标报价</w:t>
      </w:r>
      <w:r>
        <w:rPr>
          <w:rFonts w:hint="eastAsia" w:hAnsi="宋体"/>
          <w:color w:val="auto"/>
          <w:u w:val="single"/>
        </w:rPr>
        <w:t xml:space="preserve"> 50％</w:t>
      </w:r>
      <w:r>
        <w:rPr>
          <w:rFonts w:hint="eastAsia" w:hAnsi="宋体"/>
          <w:color w:val="auto"/>
        </w:rPr>
        <w:t>的（注：此处由采购人根据项目实际情况填写，填写范围不得低于50％，最高不得超过65％）；</w:t>
      </w:r>
    </w:p>
    <w:p w14:paraId="75740FC6">
      <w:pPr>
        <w:widowControl/>
        <w:spacing w:line="360" w:lineRule="auto"/>
        <w:ind w:left="420" w:leftChars="200"/>
        <w:jc w:val="left"/>
        <w:rPr>
          <w:rFonts w:hint="eastAsia" w:hAnsi="宋体"/>
          <w:color w:val="auto"/>
        </w:rPr>
      </w:pPr>
      <w:r>
        <w:rPr>
          <w:rFonts w:hint="eastAsia" w:hAnsi="宋体"/>
          <w:color w:val="auto"/>
        </w:rPr>
        <w:t xml:space="preserve">3）投标报价低于采购项目最高限价 </w:t>
      </w:r>
      <w:r>
        <w:rPr>
          <w:rFonts w:hint="eastAsia" w:hAnsi="宋体"/>
          <w:color w:val="auto"/>
          <w:u w:val="single"/>
        </w:rPr>
        <w:t>45％</w:t>
      </w:r>
      <w:r>
        <w:rPr>
          <w:rFonts w:hint="eastAsia" w:hAnsi="宋体"/>
          <w:color w:val="auto"/>
        </w:rPr>
        <w:t>的（注：此处由采购人根据项目实际情况填写，填写范围不得低于45％，最高不得超过65％）；</w:t>
      </w:r>
    </w:p>
    <w:p w14:paraId="43F08492">
      <w:pPr>
        <w:spacing w:line="360" w:lineRule="auto"/>
        <w:ind w:firstLine="420" w:firstLineChars="200"/>
        <w:rPr>
          <w:rFonts w:hint="eastAsia" w:hAnsi="宋体"/>
          <w:color w:val="auto"/>
        </w:rPr>
      </w:pPr>
      <w:r>
        <w:rPr>
          <w:rFonts w:hint="eastAsia" w:hAnsi="宋体"/>
          <w:color w:val="auto"/>
        </w:rPr>
        <w:t>4）评审委员会基于专业判断，认为供应商报价过低，有可能影响产品质量或者不能诚信履约的其他情形。相关法律法规对供应商报价有规定的，从其规定。</w:t>
      </w:r>
    </w:p>
    <w:p w14:paraId="5139F508">
      <w:pPr>
        <w:spacing w:line="360" w:lineRule="auto"/>
        <w:ind w:firstLine="420" w:firstLineChars="200"/>
        <w:rPr>
          <w:rFonts w:hint="eastAsia" w:hAnsi="宋体"/>
          <w:color w:val="auto"/>
        </w:rPr>
      </w:pPr>
      <w:r>
        <w:rPr>
          <w:rFonts w:hint="eastAsia" w:hAnsi="宋体"/>
          <w:color w:val="auto"/>
        </w:rPr>
        <w:t>（3）</w:t>
      </w:r>
      <w:r>
        <w:rPr>
          <w:rFonts w:hint="eastAsia" w:hAnsi="宋体"/>
          <w:b/>
          <w:bCs/>
          <w:color w:val="auto"/>
        </w:rPr>
        <w:t>异常低价审查:</w:t>
      </w:r>
      <w:r>
        <w:rPr>
          <w:rFonts w:hint="eastAsia" w:hAnsi="宋体"/>
          <w:color w:val="auto"/>
        </w:rPr>
        <w:t>按照《关于推动解决政府采购异常低价问题的通知》(财库〔2026〕2号)规定，自2026年2月1日起，政府采购评审中出现异常低价情形，评审委员会应当启动异常低价投标审查程序。本项目适用情形详见上述</w:t>
      </w:r>
      <w:r>
        <w:rPr>
          <w:rFonts w:hint="eastAsia" w:hAnsi="宋体"/>
          <w:color w:val="auto"/>
          <w:lang w:val="en-US" w:eastAsia="zh-CN"/>
        </w:rPr>
        <w:t>6.3</w:t>
      </w:r>
      <w:r>
        <w:rPr>
          <w:rFonts w:hint="eastAsia" w:hAnsi="宋体"/>
          <w:color w:val="auto"/>
        </w:rPr>
        <w:t>（2）的规定。</w:t>
      </w:r>
    </w:p>
    <w:p w14:paraId="6CDC4D0A">
      <w:pPr>
        <w:spacing w:line="360" w:lineRule="auto"/>
        <w:ind w:firstLine="422" w:firstLineChars="200"/>
        <w:rPr>
          <w:rFonts w:hint="eastAsia" w:hAnsi="宋体"/>
          <w:color w:val="auto"/>
        </w:rPr>
      </w:pPr>
      <w:r>
        <w:rPr>
          <w:rFonts w:hint="eastAsia" w:hAnsi="宋体"/>
          <w:b/>
          <w:bCs/>
          <w:color w:val="auto"/>
        </w:rPr>
        <w:t>资料要求:</w:t>
      </w:r>
      <w:r>
        <w:rPr>
          <w:rFonts w:hint="eastAsia" w:hAnsi="宋体"/>
          <w:color w:val="auto"/>
        </w:rPr>
        <w:t>评审委员会启动异常低价投标审查后，属于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1BE709C3">
      <w:pPr>
        <w:spacing w:line="360" w:lineRule="auto"/>
        <w:ind w:firstLine="422" w:firstLineChars="200"/>
        <w:rPr>
          <w:rFonts w:hint="eastAsia" w:hAnsi="宋体"/>
          <w:color w:val="auto"/>
        </w:rPr>
      </w:pPr>
      <w:r>
        <w:rPr>
          <w:rFonts w:hint="eastAsia" w:hAnsi="宋体"/>
          <w:b/>
          <w:bCs/>
          <w:color w:val="auto"/>
        </w:rPr>
        <w:t>审查要求:</w:t>
      </w:r>
      <w:r>
        <w:rPr>
          <w:rFonts w:hint="eastAsia" w:hAnsi="宋体"/>
          <w:color w:val="auto"/>
        </w:rPr>
        <w:t>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731D1417">
      <w:pPr>
        <w:spacing w:line="360" w:lineRule="auto"/>
        <w:ind w:firstLine="422" w:firstLineChars="200"/>
        <w:rPr>
          <w:rFonts w:hint="eastAsia" w:hAnsi="宋体"/>
          <w:color w:val="auto"/>
        </w:rPr>
      </w:pPr>
      <w:r>
        <w:rPr>
          <w:rFonts w:hint="eastAsia" w:hAnsi="宋体"/>
          <w:b/>
          <w:bCs/>
          <w:color w:val="auto"/>
        </w:rPr>
        <w:t>评审组织:</w:t>
      </w:r>
      <w:r>
        <w:rPr>
          <w:rFonts w:hint="eastAsia" w:hAnsi="宋体"/>
          <w:color w:val="auto"/>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700E3F0">
      <w:pPr>
        <w:spacing w:line="360" w:lineRule="auto"/>
        <w:ind w:firstLine="422" w:firstLineChars="200"/>
        <w:rPr>
          <w:rFonts w:hint="eastAsia" w:ascii="宋体" w:hAnsi="宋体" w:cs="宋体"/>
          <w:szCs w:val="21"/>
        </w:rPr>
      </w:pPr>
      <w:r>
        <w:rPr>
          <w:rFonts w:hint="eastAsia" w:hAnsi="宋体"/>
          <w:b/>
          <w:bCs/>
          <w:color w:val="auto"/>
        </w:rPr>
        <w:t>记录及归档:</w:t>
      </w:r>
      <w:r>
        <w:rPr>
          <w:rFonts w:hint="eastAsia" w:hAnsi="宋体"/>
          <w:color w:val="auto"/>
        </w:rPr>
        <w:t>异常低价投标审查的启动原因、审查意见和审查结果应当在评审报告中记录，并随供应商提供的相关书面说明及证明材料，以及评审委员会有关互联网浏览、查询历史一并归档。</w:t>
      </w:r>
    </w:p>
    <w:p w14:paraId="488A1E05">
      <w:pPr>
        <w:spacing w:line="360" w:lineRule="auto"/>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）磋商小组按照磋商文件中规定的评审标准计算各供应商的报价得分。项目评审过程中，不得去掉最后报价中的最高报价和最低报价。</w:t>
      </w:r>
    </w:p>
    <w:p w14:paraId="003DCDAC">
      <w:pPr>
        <w:spacing w:line="360" w:lineRule="auto"/>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）各供应商的得分为磋商小组所有成员的有效评分的算术平均数。</w:t>
      </w:r>
    </w:p>
    <w:p w14:paraId="3885119A">
      <w:pPr>
        <w:spacing w:line="360" w:lineRule="auto"/>
        <w:ind w:firstLine="420" w:firstLineChars="200"/>
        <w:rPr>
          <w:rFonts w:hint="eastAsia" w:ascii="宋体" w:hAnsi="宋体" w:cs="宋体"/>
          <w:szCs w:val="21"/>
        </w:rPr>
      </w:pPr>
      <w:r>
        <w:rPr>
          <w:rFonts w:hint="eastAsia" w:ascii="宋体" w:hAnsi="宋体" w:cs="宋体"/>
          <w:szCs w:val="21"/>
        </w:rPr>
        <w:t>6.4评审价为供应商的最后报价进行政策性扣除后的价格，评审价只是作为评审时使用。最终成交供应商的成交金额等于最后报价（如有修正，以确认修正后的最后报价为准）。</w:t>
      </w:r>
    </w:p>
    <w:p w14:paraId="15E433F0">
      <w:pPr>
        <w:spacing w:line="360" w:lineRule="auto"/>
        <w:ind w:firstLine="420" w:firstLineChars="200"/>
        <w:rPr>
          <w:rFonts w:hint="eastAsia" w:ascii="宋体" w:hAnsi="宋体" w:cs="宋体"/>
          <w:color w:val="000000"/>
        </w:rPr>
      </w:pPr>
      <w:r>
        <w:rPr>
          <w:rFonts w:hint="eastAsia" w:ascii="宋体" w:hAnsi="宋体" w:cs="宋体"/>
          <w:color w:val="000000"/>
          <w:szCs w:val="21"/>
        </w:rPr>
        <w:t>6.5</w:t>
      </w:r>
      <w:r>
        <w:rPr>
          <w:rFonts w:hint="eastAsia" w:ascii="宋体" w:hAnsi="宋体" w:cs="宋体"/>
          <w:color w:val="000000"/>
        </w:rPr>
        <w:t>政策性扣除计算方法。</w:t>
      </w:r>
    </w:p>
    <w:p w14:paraId="20262200">
      <w:pPr>
        <w:spacing w:line="360" w:lineRule="auto"/>
        <w:ind w:firstLine="420" w:firstLineChars="200"/>
        <w:rPr>
          <w:rFonts w:hint="eastAsia" w:ascii="宋体" w:hAnsi="宋体"/>
          <w:bCs/>
          <w:color w:val="000000"/>
          <w:szCs w:val="21"/>
          <w:highlight w:val="none"/>
        </w:rPr>
      </w:pPr>
      <w:r>
        <w:rPr>
          <w:rFonts w:hint="eastAsia" w:ascii="宋体" w:hAnsi="宋体" w:cs="宋体"/>
          <w:color w:val="000000"/>
          <w:szCs w:val="21"/>
          <w:highlight w:val="none"/>
        </w:rPr>
        <w:t>根据《政府采购促进中小企业发展管理办法》（财库〔2020〕46号）的规定，</w:t>
      </w:r>
      <w:r>
        <w:rPr>
          <w:rFonts w:hint="eastAsia"/>
          <w:highlight w:val="none"/>
        </w:rPr>
        <w:t>对于非专门面向中小企业的项目，</w:t>
      </w:r>
      <w:r>
        <w:rPr>
          <w:rFonts w:hint="eastAsia" w:ascii="宋体" w:hAnsi="宋体" w:cs="宋体"/>
          <w:color w:val="000000"/>
          <w:szCs w:val="21"/>
          <w:highlight w:val="none"/>
        </w:rPr>
        <w:t>供应商在其响应文件中提供《中小企业声明函》，</w:t>
      </w:r>
      <w:r>
        <w:rPr>
          <w:rFonts w:hint="eastAsia" w:ascii="宋体" w:hAnsi="宋体"/>
          <w:bCs/>
          <w:color w:val="000000"/>
          <w:szCs w:val="21"/>
          <w:highlight w:val="none"/>
        </w:rPr>
        <w:t>且其竞标全部货物均由小微企业提供的</w:t>
      </w:r>
      <w:r>
        <w:rPr>
          <w:rFonts w:hint="eastAsia" w:ascii="宋体" w:hAnsi="宋体" w:cs="宋体"/>
          <w:color w:val="000000"/>
          <w:szCs w:val="21"/>
          <w:highlight w:val="none"/>
        </w:rPr>
        <w:t>，</w:t>
      </w:r>
      <w:r>
        <w:rPr>
          <w:rFonts w:hint="eastAsia" w:ascii="宋体" w:hAnsi="宋体"/>
          <w:bCs/>
          <w:color w:val="000000"/>
          <w:szCs w:val="21"/>
          <w:highlight w:val="none"/>
        </w:rPr>
        <w:t>对供应商的竞标报价给予</w:t>
      </w:r>
      <w:r>
        <w:rPr>
          <w:rFonts w:hint="eastAsia"/>
          <w:highlight w:val="none"/>
          <w:u w:val="single"/>
        </w:rPr>
        <w:t xml:space="preserve"> </w:t>
      </w:r>
      <w:r>
        <w:rPr>
          <w:rFonts w:hint="eastAsia"/>
          <w:highlight w:val="none"/>
          <w:u w:val="single"/>
          <w:lang w:val="en-US" w:eastAsia="zh-CN"/>
        </w:rPr>
        <w:t>20%</w:t>
      </w:r>
      <w:r>
        <w:rPr>
          <w:rFonts w:hint="eastAsia"/>
          <w:highlight w:val="none"/>
          <w:u w:val="single"/>
        </w:rPr>
        <w:t xml:space="preserve"> </w:t>
      </w:r>
      <w:r>
        <w:rPr>
          <w:rFonts w:hint="eastAsia"/>
          <w:highlight w:val="none"/>
        </w:rPr>
        <w:t>（扣除比例范围：10%-</w:t>
      </w:r>
      <w:r>
        <w:rPr>
          <w:rFonts w:hint="eastAsia" w:ascii="宋体" w:hAnsi="宋体"/>
          <w:bCs/>
          <w:color w:val="000000"/>
          <w:szCs w:val="21"/>
          <w:highlight w:val="none"/>
        </w:rPr>
        <w:t>20%）的扣除，扣除后的价格为评审价，即评审价=竞标报价×（1-</w:t>
      </w:r>
      <w:r>
        <w:rPr>
          <w:rFonts w:hint="eastAsia" w:ascii="宋体" w:hAnsi="宋体"/>
          <w:bCs/>
          <w:color w:val="000000"/>
          <w:szCs w:val="21"/>
          <w:highlight w:val="none"/>
          <w:u w:val="single"/>
          <w:lang w:val="en-US" w:eastAsia="zh-CN"/>
        </w:rPr>
        <w:t>20%</w:t>
      </w:r>
      <w:r>
        <w:rPr>
          <w:rFonts w:hint="eastAsia" w:ascii="宋体" w:hAnsi="宋体"/>
          <w:bCs/>
          <w:color w:val="000000"/>
          <w:szCs w:val="21"/>
          <w:highlight w:val="none"/>
          <w:u w:val="single"/>
        </w:rPr>
        <w:t xml:space="preserve"> </w:t>
      </w:r>
      <w:r>
        <w:rPr>
          <w:rFonts w:hint="eastAsia" w:ascii="宋体" w:hAnsi="宋体"/>
          <w:bCs/>
          <w:color w:val="000000"/>
          <w:szCs w:val="21"/>
          <w:highlight w:val="none"/>
        </w:rPr>
        <w:t>扣除比例）。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highlight w:val="none"/>
          <w:u w:val="single"/>
          <w:lang w:val="en-US" w:eastAsia="zh-CN"/>
        </w:rPr>
        <w:t>6%</w:t>
      </w:r>
      <w:r>
        <w:rPr>
          <w:rFonts w:hint="eastAsia"/>
          <w:highlight w:val="none"/>
        </w:rPr>
        <w:t>（扣除比例范围：4%</w:t>
      </w:r>
      <w:r>
        <w:rPr>
          <w:rFonts w:hint="eastAsia" w:ascii="宋体" w:hAnsi="宋体"/>
          <w:bCs/>
          <w:color w:val="000000"/>
          <w:szCs w:val="21"/>
          <w:highlight w:val="none"/>
          <w:u w:val="single"/>
        </w:rPr>
        <w:t>-6%）</w:t>
      </w:r>
      <w:r>
        <w:rPr>
          <w:rFonts w:hint="eastAsia" w:ascii="宋体" w:hAnsi="宋体"/>
          <w:bCs/>
          <w:color w:val="000000"/>
          <w:szCs w:val="21"/>
          <w:highlight w:val="none"/>
        </w:rPr>
        <w:t>的扣除，用扣除后的价格参加评审，扣除后的价格为评审价，即评审价=竞标报价×（1-</w:t>
      </w:r>
      <w:r>
        <w:rPr>
          <w:rFonts w:hint="eastAsia" w:ascii="宋体" w:hAnsi="宋体"/>
          <w:bCs/>
          <w:color w:val="000000"/>
          <w:szCs w:val="21"/>
          <w:highlight w:val="none"/>
          <w:u w:val="single"/>
        </w:rPr>
        <w:t xml:space="preserve"> </w:t>
      </w:r>
      <w:r>
        <w:rPr>
          <w:rFonts w:hint="eastAsia" w:ascii="宋体" w:hAnsi="宋体"/>
          <w:bCs/>
          <w:color w:val="000000"/>
          <w:szCs w:val="21"/>
          <w:highlight w:val="none"/>
          <w:u w:val="single"/>
          <w:lang w:val="en-US" w:eastAsia="zh-CN"/>
        </w:rPr>
        <w:t>6%</w:t>
      </w:r>
      <w:r>
        <w:rPr>
          <w:rFonts w:hint="eastAsia" w:ascii="宋体" w:hAnsi="宋体"/>
          <w:bCs/>
          <w:color w:val="000000"/>
          <w:szCs w:val="21"/>
          <w:highlight w:val="none"/>
        </w:rPr>
        <w:t>）。</w:t>
      </w:r>
    </w:p>
    <w:p w14:paraId="66C3ECBC">
      <w:pPr>
        <w:spacing w:line="360" w:lineRule="auto"/>
        <w:ind w:firstLine="420" w:firstLineChars="200"/>
        <w:rPr>
          <w:rFonts w:hint="eastAsia" w:ascii="宋体" w:hAnsi="宋体"/>
          <w:kern w:val="0"/>
          <w:szCs w:val="21"/>
        </w:rPr>
      </w:pPr>
      <w:r>
        <w:rPr>
          <w:rFonts w:hint="eastAsia" w:ascii="宋体" w:hAnsi="宋体" w:cs="宋体"/>
          <w:szCs w:val="21"/>
          <w:highlight w:val="none"/>
        </w:rPr>
        <w:t>6.</w:t>
      </w:r>
      <w:r>
        <w:rPr>
          <w:rFonts w:hint="eastAsia" w:ascii="宋体" w:hAnsi="宋体" w:cs="宋体"/>
          <w:szCs w:val="21"/>
        </w:rPr>
        <w:t>6由磋商小组根据综合评分情况，按照评审得分由高到低顺序推荐3名以上成交候选供应商，并编写评</w:t>
      </w:r>
      <w:r>
        <w:rPr>
          <w:rFonts w:hint="eastAsia" w:ascii="宋体" w:hAnsi="宋体"/>
          <w:kern w:val="0"/>
          <w:szCs w:val="21"/>
        </w:rPr>
        <w:t>审报告。符合本章第4.3条情形的，可以推荐2家成交候选供应商。评审得分相同的，按照最后报价由低到高的顺序推荐。评审得分且最后报价相同的，按照技术指标优劣顺序推荐。</w:t>
      </w:r>
    </w:p>
    <w:p w14:paraId="4D93EF72">
      <w:pPr>
        <w:spacing w:line="360" w:lineRule="auto"/>
        <w:ind w:firstLine="420" w:firstLineChars="200"/>
        <w:rPr>
          <w:rFonts w:hint="eastAsia" w:ascii="宋体" w:hAnsi="宋体"/>
          <w:kern w:val="0"/>
          <w:szCs w:val="21"/>
        </w:rPr>
      </w:pPr>
      <w:r>
        <w:rPr>
          <w:rFonts w:hint="eastAsia" w:ascii="宋体" w:hAnsi="宋体"/>
          <w:kern w:val="0"/>
          <w:szCs w:val="21"/>
        </w:rPr>
        <w:t>6.7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C39DA0E">
      <w:pPr>
        <w:spacing w:line="360" w:lineRule="auto"/>
        <w:ind w:firstLine="200"/>
        <w:rPr>
          <w:rFonts w:hint="eastAsia" w:ascii="黑体" w:hAnsi="黑体" w:eastAsia="黑体" w:cs="宋体"/>
          <w:b/>
          <w:bCs/>
          <w:sz w:val="24"/>
        </w:rPr>
      </w:pPr>
      <w:r>
        <w:rPr>
          <w:rFonts w:hint="eastAsia" w:ascii="黑体" w:hAnsi="黑体" w:eastAsia="黑体" w:cs="宋体"/>
          <w:b/>
          <w:bCs/>
          <w:sz w:val="24"/>
        </w:rPr>
        <w:t>7.评审复核</w:t>
      </w:r>
    </w:p>
    <w:p w14:paraId="50973B6D">
      <w:pPr>
        <w:spacing w:line="360" w:lineRule="auto"/>
        <w:ind w:firstLine="420" w:firstLineChars="200"/>
        <w:rPr>
          <w:rFonts w:hint="eastAsia" w:ascii="宋体" w:hAnsi="宋体"/>
          <w:color w:val="000000"/>
          <w:szCs w:val="21"/>
        </w:rPr>
      </w:pPr>
      <w:r>
        <w:rPr>
          <w:rFonts w:hint="eastAsia" w:ascii="宋体" w:hAnsi="宋体"/>
          <w:color w:val="000000"/>
          <w:szCs w:val="21"/>
        </w:rPr>
        <w:t>7.1评审报告签署前，评审委员会要对评审结果进行复核，复核意见要体现在评审报告中。</w:t>
      </w:r>
    </w:p>
    <w:p w14:paraId="02E71E6D">
      <w:pPr>
        <w:widowControl/>
        <w:spacing w:line="360" w:lineRule="auto"/>
        <w:ind w:firstLine="420" w:firstLineChars="200"/>
        <w:jc w:val="left"/>
        <w:rPr>
          <w:rFonts w:hint="eastAsia" w:ascii="宋体" w:hAnsi="宋体"/>
          <w:kern w:val="0"/>
          <w:szCs w:val="21"/>
        </w:rPr>
      </w:pPr>
      <w:r>
        <w:rPr>
          <w:rFonts w:hint="eastAsia" w:ascii="宋体" w:hAnsi="宋体" w:cs="宋体"/>
          <w:color w:val="444444"/>
          <w:kern w:val="0"/>
          <w:szCs w:val="21"/>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1EA48863">
      <w:pPr>
        <w:ind w:firstLine="200"/>
        <w:rPr>
          <w:rFonts w:hint="eastAsia" w:ascii="黑体" w:hAnsi="黑体" w:eastAsia="黑体" w:cs="宋体"/>
          <w:b/>
          <w:bCs/>
          <w:sz w:val="24"/>
        </w:rPr>
      </w:pPr>
      <w:r>
        <w:rPr>
          <w:rFonts w:hint="eastAsia" w:ascii="黑体" w:hAnsi="黑体" w:eastAsia="黑体" w:cs="宋体"/>
          <w:b/>
          <w:bCs/>
          <w:sz w:val="24"/>
        </w:rPr>
        <w:t>8.评审标准</w:t>
      </w:r>
    </w:p>
    <w:p w14:paraId="3156BE9B">
      <w:pPr>
        <w:spacing w:line="360" w:lineRule="auto"/>
        <w:ind w:firstLine="422" w:firstLineChars="200"/>
        <w:rPr>
          <w:rFonts w:hint="eastAsia" w:ascii="宋体" w:hAnsi="宋体"/>
          <w:bCs/>
          <w:szCs w:val="21"/>
        </w:rPr>
      </w:pPr>
      <w:r>
        <w:rPr>
          <w:rFonts w:hint="eastAsia" w:ascii="宋体" w:hAnsi="宋体"/>
          <w:b/>
        </w:rPr>
        <w:t>8.</w:t>
      </w:r>
      <w:r>
        <w:rPr>
          <w:rFonts w:hint="eastAsia" w:ascii="宋体" w:hAnsi="宋体"/>
          <w:bCs/>
          <w:szCs w:val="21"/>
        </w:rPr>
        <w:t>1评审依据：磋商小组将以磋商响应文件为评审依据，对供应商的报价、技术、商务等方面内容按百分制打分。（计分方法按四舍五入取至百分位）</w:t>
      </w:r>
    </w:p>
    <w:p w14:paraId="52E7D67E">
      <w:pPr>
        <w:spacing w:line="360" w:lineRule="auto"/>
        <w:ind w:firstLine="420" w:firstLineChars="200"/>
        <w:rPr>
          <w:rFonts w:hint="eastAsia" w:ascii="宋体" w:hAnsi="宋体"/>
          <w:bCs/>
          <w:szCs w:val="21"/>
          <w:u w:val="single"/>
        </w:rPr>
      </w:pPr>
      <w:r>
        <w:rPr>
          <w:rFonts w:hint="eastAsia" w:ascii="宋体" w:hAnsi="宋体"/>
          <w:bCs/>
          <w:szCs w:val="21"/>
        </w:rPr>
        <w:t>总得分=</w:t>
      </w:r>
      <w:r>
        <w:rPr>
          <w:rFonts w:hint="eastAsia" w:ascii="宋体" w:hAnsi="宋体"/>
          <w:bCs/>
          <w:szCs w:val="21"/>
          <w:u w:val="single"/>
        </w:rPr>
        <w:t xml:space="preserve"> </w:t>
      </w:r>
      <w:r>
        <w:rPr>
          <w:rFonts w:hint="eastAsia" w:ascii="宋体" w:hAnsi="宋体"/>
          <w:bCs/>
          <w:szCs w:val="21"/>
          <w:u w:val="single"/>
          <w:lang w:val="en-US" w:eastAsia="zh-CN"/>
        </w:rPr>
        <w:t>1+2+3</w:t>
      </w:r>
      <w:r>
        <w:rPr>
          <w:rFonts w:hint="eastAsia" w:ascii="宋体" w:hAnsi="宋体"/>
          <w:bCs/>
          <w:szCs w:val="21"/>
          <w:u w:val="singl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425"/>
        <w:gridCol w:w="5927"/>
        <w:gridCol w:w="636"/>
      </w:tblGrid>
      <w:tr w14:paraId="7E6F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14:paraId="35A04390">
            <w:pPr>
              <w:spacing w:line="36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序号</w:t>
            </w:r>
          </w:p>
        </w:tc>
        <w:tc>
          <w:tcPr>
            <w:tcW w:w="1425" w:type="dxa"/>
            <w:noWrap w:val="0"/>
            <w:vAlign w:val="center"/>
          </w:tcPr>
          <w:p w14:paraId="2671D3B2">
            <w:pPr>
              <w:spacing w:line="36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评分类型</w:t>
            </w:r>
          </w:p>
        </w:tc>
        <w:tc>
          <w:tcPr>
            <w:tcW w:w="5927" w:type="dxa"/>
            <w:noWrap w:val="0"/>
            <w:vAlign w:val="center"/>
          </w:tcPr>
          <w:p w14:paraId="106E21EF">
            <w:pPr>
              <w:spacing w:line="36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评分标准</w:t>
            </w:r>
          </w:p>
        </w:tc>
        <w:tc>
          <w:tcPr>
            <w:tcW w:w="636" w:type="dxa"/>
            <w:noWrap w:val="0"/>
            <w:vAlign w:val="center"/>
          </w:tcPr>
          <w:p w14:paraId="26E91B6D">
            <w:pPr>
              <w:spacing w:line="36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分值</w:t>
            </w:r>
          </w:p>
        </w:tc>
      </w:tr>
      <w:tr w14:paraId="15B1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534" w:type="dxa"/>
            <w:noWrap w:val="0"/>
            <w:vAlign w:val="center"/>
          </w:tcPr>
          <w:p w14:paraId="3A623A77">
            <w:pPr>
              <w:spacing w:line="36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w:t>
            </w:r>
          </w:p>
        </w:tc>
        <w:tc>
          <w:tcPr>
            <w:tcW w:w="1425" w:type="dxa"/>
            <w:noWrap w:val="0"/>
            <w:vAlign w:val="center"/>
          </w:tcPr>
          <w:p w14:paraId="57646CE7">
            <w:pPr>
              <w:spacing w:line="360" w:lineRule="auto"/>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报价</w:t>
            </w:r>
            <w:r>
              <w:rPr>
                <w:rFonts w:hint="eastAsia" w:asciiTheme="minorEastAsia" w:hAnsiTheme="minorEastAsia" w:eastAsiaTheme="minorEastAsia" w:cstheme="minorEastAsia"/>
                <w:bCs/>
                <w:color w:val="auto"/>
                <w:sz w:val="21"/>
                <w:szCs w:val="21"/>
                <w:highlight w:val="none"/>
                <w:lang w:eastAsia="zh-CN"/>
              </w:rPr>
              <w:t>（满分</w:t>
            </w:r>
            <w:r>
              <w:rPr>
                <w:rFonts w:hint="eastAsia" w:asciiTheme="minorEastAsia" w:hAnsiTheme="minorEastAsia" w:eastAsiaTheme="minorEastAsia" w:cstheme="minorEastAsia"/>
                <w:bCs/>
                <w:color w:val="auto"/>
                <w:sz w:val="21"/>
                <w:szCs w:val="21"/>
                <w:highlight w:val="none"/>
                <w:lang w:val="en-US" w:eastAsia="zh-CN"/>
              </w:rPr>
              <w:t>10分</w:t>
            </w:r>
            <w:r>
              <w:rPr>
                <w:rFonts w:hint="eastAsia" w:asciiTheme="minorEastAsia" w:hAnsiTheme="minorEastAsia" w:eastAsiaTheme="minorEastAsia" w:cstheme="minorEastAsia"/>
                <w:bCs/>
                <w:color w:val="auto"/>
                <w:sz w:val="21"/>
                <w:szCs w:val="21"/>
                <w:highlight w:val="none"/>
                <w:lang w:eastAsia="zh-CN"/>
              </w:rPr>
              <w:t>）</w:t>
            </w:r>
          </w:p>
        </w:tc>
        <w:tc>
          <w:tcPr>
            <w:tcW w:w="5927" w:type="dxa"/>
            <w:noWrap w:val="0"/>
            <w:vAlign w:val="top"/>
          </w:tcPr>
          <w:p w14:paraId="090E9E9F">
            <w:pPr>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按照《关于印发&lt;政府采购促进中小企业发展管理办法&gt;的通知》(财库〔2020〕46号 ，专门面向中小企业采购的项目或者采购包，不再执行价格评审优惠的扶持政策。</w:t>
            </w:r>
          </w:p>
          <w:p w14:paraId="5BF50473">
            <w:pPr>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另：根据《关于政府采购支持监狱企业发展有关问题的通知》（财库[2014]68号、桂财采[2016]25号）规定，监狱企业视同小型、微型企业（广西区内政府采购中对监狱企业及其产品的认定，由自治区司法厅负责（需提供广西壮族自治区监狱企业产品目录）；省外应当提供由省级以上监狱管理局、戒毒管理局（含新疆生产建设兵团）出具的属于监狱企业的证明文件。）</w:t>
            </w:r>
          </w:p>
          <w:p w14:paraId="140CEBA7">
            <w:pPr>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根据《关于促进残疾人就业政府采购政策的通知》（财库【2017】141号）规定，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中标为残疾人福利性单位的，采购代理机构应当随中标、成交结果同时公告其《残疾人福利性单位声明函》，接受社会监督。</w:t>
            </w:r>
          </w:p>
          <w:p w14:paraId="055917D5">
            <w:pPr>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价格分计算公式：</w:t>
            </w:r>
          </w:p>
          <w:p w14:paraId="7B04F1CC">
            <w:pPr>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供应商价格分=(有效供应商最低报价/供应商投标报价)*</w:t>
            </w: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rPr>
              <w:t>0</w:t>
            </w:r>
          </w:p>
        </w:tc>
        <w:tc>
          <w:tcPr>
            <w:tcW w:w="636" w:type="dxa"/>
            <w:noWrap w:val="0"/>
            <w:vAlign w:val="center"/>
          </w:tcPr>
          <w:p w14:paraId="280AEAC6">
            <w:pPr>
              <w:spacing w:line="36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0~10</w:t>
            </w:r>
          </w:p>
        </w:tc>
      </w:tr>
      <w:tr w14:paraId="1906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14:paraId="0024D527">
            <w:pPr>
              <w:spacing w:line="36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w:t>
            </w:r>
          </w:p>
        </w:tc>
        <w:tc>
          <w:tcPr>
            <w:tcW w:w="1425" w:type="dxa"/>
            <w:noWrap w:val="0"/>
            <w:vAlign w:val="center"/>
          </w:tcPr>
          <w:p w14:paraId="0F9387F3">
            <w:pPr>
              <w:spacing w:line="36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技术分（满分</w:t>
            </w:r>
            <w:r>
              <w:rPr>
                <w:rFonts w:hint="eastAsia" w:asciiTheme="minorEastAsia" w:hAnsiTheme="minorEastAsia" w:eastAsiaTheme="minorEastAsia" w:cstheme="minorEastAsia"/>
                <w:bCs/>
                <w:color w:val="auto"/>
                <w:sz w:val="21"/>
                <w:szCs w:val="21"/>
                <w:highlight w:val="none"/>
                <w:lang w:val="en-US" w:eastAsia="zh-CN"/>
              </w:rPr>
              <w:t>80</w:t>
            </w:r>
            <w:r>
              <w:rPr>
                <w:rFonts w:hint="eastAsia" w:asciiTheme="minorEastAsia" w:hAnsiTheme="minorEastAsia" w:eastAsiaTheme="minorEastAsia" w:cstheme="minorEastAsia"/>
                <w:bCs/>
                <w:color w:val="auto"/>
                <w:sz w:val="21"/>
                <w:szCs w:val="21"/>
                <w:highlight w:val="none"/>
              </w:rPr>
              <w:t>分）</w:t>
            </w:r>
          </w:p>
        </w:tc>
        <w:tc>
          <w:tcPr>
            <w:tcW w:w="5927" w:type="dxa"/>
            <w:noWrap w:val="0"/>
            <w:vAlign w:val="center"/>
          </w:tcPr>
          <w:p w14:paraId="46232BB1">
            <w:pPr>
              <w:widowControl/>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bCs/>
                <w:color w:val="auto"/>
                <w:sz w:val="21"/>
                <w:szCs w:val="21"/>
                <w:highlight w:val="none"/>
              </w:rPr>
              <w:t>评分标准</w:t>
            </w:r>
          </w:p>
        </w:tc>
        <w:tc>
          <w:tcPr>
            <w:tcW w:w="636" w:type="dxa"/>
            <w:noWrap w:val="0"/>
            <w:vAlign w:val="center"/>
          </w:tcPr>
          <w:p w14:paraId="6A15E814">
            <w:pPr>
              <w:spacing w:line="360" w:lineRule="auto"/>
              <w:jc w:val="center"/>
              <w:rPr>
                <w:rFonts w:hint="eastAsia" w:asciiTheme="minorEastAsia" w:hAnsiTheme="minorEastAsia" w:eastAsiaTheme="minorEastAsia" w:cstheme="minorEastAsia"/>
                <w:bCs/>
                <w:color w:val="auto"/>
                <w:sz w:val="21"/>
                <w:szCs w:val="21"/>
                <w:highlight w:val="none"/>
              </w:rPr>
            </w:pPr>
          </w:p>
        </w:tc>
      </w:tr>
      <w:tr w14:paraId="7D2C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14:paraId="211E6819">
            <w:pPr>
              <w:spacing w:line="36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2.1</w:t>
            </w:r>
          </w:p>
        </w:tc>
        <w:tc>
          <w:tcPr>
            <w:tcW w:w="1425" w:type="dxa"/>
            <w:noWrap w:val="0"/>
            <w:vAlign w:val="center"/>
          </w:tcPr>
          <w:p w14:paraId="0A6AF98A">
            <w:pPr>
              <w:spacing w:line="360" w:lineRule="auto"/>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工作管理规章制度及规范（满分1</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tc>
        <w:tc>
          <w:tcPr>
            <w:tcW w:w="5927" w:type="dxa"/>
            <w:noWrap w:val="0"/>
            <w:vAlign w:val="top"/>
          </w:tcPr>
          <w:p w14:paraId="00FA1E5A">
            <w:pPr>
              <w:spacing w:line="360" w:lineRule="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一、</w:t>
            </w:r>
            <w:r>
              <w:rPr>
                <w:rFonts w:hint="eastAsia" w:asciiTheme="minorEastAsia" w:hAnsiTheme="minorEastAsia" w:eastAsiaTheme="minorEastAsia" w:cstheme="minorEastAsia"/>
                <w:b/>
                <w:bCs/>
                <w:color w:val="auto"/>
                <w:sz w:val="21"/>
                <w:szCs w:val="21"/>
                <w:highlight w:val="none"/>
              </w:rPr>
              <w:t>工作管理规章制度及规范（满分1</w:t>
            </w:r>
            <w:r>
              <w:rPr>
                <w:rFonts w:hint="eastAsia" w:asciiTheme="minorEastAsia" w:hAnsiTheme="minorEastAsia" w:eastAsiaTheme="minorEastAsia" w:cstheme="minorEastAsia"/>
                <w:b/>
                <w:bCs/>
                <w:color w:val="auto"/>
                <w:sz w:val="21"/>
                <w:szCs w:val="21"/>
                <w:highlight w:val="none"/>
                <w:lang w:val="en-US" w:eastAsia="zh-CN"/>
              </w:rPr>
              <w:t>6</w:t>
            </w:r>
            <w:r>
              <w:rPr>
                <w:rFonts w:hint="eastAsia" w:asciiTheme="minorEastAsia" w:hAnsiTheme="minorEastAsia" w:eastAsiaTheme="minorEastAsia" w:cstheme="minorEastAsia"/>
                <w:b/>
                <w:bCs/>
                <w:color w:val="auto"/>
                <w:sz w:val="21"/>
                <w:szCs w:val="21"/>
                <w:highlight w:val="none"/>
              </w:rPr>
              <w:t>分）</w:t>
            </w:r>
          </w:p>
          <w:p w14:paraId="0E397235">
            <w:pPr>
              <w:keepNext w:val="0"/>
              <w:keepLines w:val="0"/>
              <w:widowControl/>
              <w:suppressLineNumbers w:val="0"/>
              <w:ind w:firstLine="420" w:firstLineChars="200"/>
              <w:jc w:val="left"/>
              <w:rPr>
                <w:rFonts w:hint="eastAsia" w:asciiTheme="minorEastAsia" w:hAnsiTheme="minorEastAsia" w:eastAsiaTheme="minorEastAsia" w:cstheme="minorEastAsia"/>
                <w:color w:val="auto"/>
                <w:sz w:val="21"/>
                <w:szCs w:val="21"/>
                <w:highlight w:val="none"/>
              </w:rPr>
            </w:pPr>
          </w:p>
          <w:p w14:paraId="38E59E15">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bidi="ar"/>
              </w:rPr>
              <w:t>一档（4分）：内容简单，无明显不合理内容，但基本无针对性，无法完全适配本项目保洁及物业服务需求；</w:t>
            </w:r>
          </w:p>
          <w:p w14:paraId="65E8A398">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bidi="ar"/>
              </w:rPr>
              <w:t>二档（8分）：内容齐全（涵盖①内部管理架构；②岗位职责及规范制度；③考勤管理制度；④录用和辞退制度；⑤治安保卫制度；⑥保洁管理制度；⑦绿化管理制度；⑧档案资料管理制度，制度具备基本可实施性，能够覆盖本项目管理需求，无明显漏洞；</w:t>
            </w:r>
          </w:p>
          <w:p w14:paraId="2035138F">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三档（12分）：内容齐全（涵盖①内部管理架构；②岗位职责及规范制度；③考勤管理制度；④录用和辞退制度；⑤安全巡查制度；⑥治安保卫制度；⑦消防管理制度；⑧保洁管理制度；⑨绿化管理制度；⑩档案资料管理制度），经评委评价，制度基本贴合本项目保洁及大院物业服务场景，具有可操作性，充分结合项目人员配置与服务范围特点；</w:t>
            </w:r>
          </w:p>
          <w:p w14:paraId="72D617C4">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四档（16分）：在三档基础上，经评委评价，管理规章制度科学完善、针对性极强，可直接落地执行，同时提供有利于采购人项目实施及完善服务的其他工作管理规章制度建议，能切实保障服务质量达到采购人满意度，贴合本项目机关大院服务的特殊性要求。</w:t>
            </w:r>
          </w:p>
        </w:tc>
        <w:tc>
          <w:tcPr>
            <w:tcW w:w="636" w:type="dxa"/>
            <w:noWrap w:val="0"/>
            <w:vAlign w:val="center"/>
          </w:tcPr>
          <w:p w14:paraId="5E75BAFB">
            <w:pPr>
              <w:spacing w:line="360" w:lineRule="auto"/>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0~1</w:t>
            </w:r>
            <w:r>
              <w:rPr>
                <w:rFonts w:hint="eastAsia" w:asciiTheme="minorEastAsia" w:hAnsiTheme="minorEastAsia" w:eastAsiaTheme="minorEastAsia" w:cstheme="minorEastAsia"/>
                <w:bCs/>
                <w:color w:val="auto"/>
                <w:sz w:val="21"/>
                <w:szCs w:val="21"/>
                <w:highlight w:val="none"/>
                <w:lang w:val="en-US" w:eastAsia="zh-CN"/>
              </w:rPr>
              <w:t>6</w:t>
            </w:r>
          </w:p>
        </w:tc>
      </w:tr>
      <w:tr w14:paraId="176B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14:paraId="2CB5B569">
            <w:pPr>
              <w:spacing w:line="36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2.2</w:t>
            </w:r>
          </w:p>
        </w:tc>
        <w:tc>
          <w:tcPr>
            <w:tcW w:w="1425" w:type="dxa"/>
            <w:noWrap w:val="0"/>
            <w:vAlign w:val="center"/>
          </w:tcPr>
          <w:p w14:paraId="4DF10E19">
            <w:pPr>
              <w:pStyle w:val="27"/>
              <w:spacing w:before="33" w:line="228" w:lineRule="auto"/>
              <w:rPr>
                <w:rFonts w:hint="eastAsia" w:asciiTheme="minorEastAsia" w:hAnsiTheme="minorEastAsia" w:eastAsiaTheme="minorEastAsia" w:cstheme="minorEastAsia"/>
                <w:color w:val="auto"/>
                <w:spacing w:val="6"/>
                <w:kern w:val="2"/>
                <w:sz w:val="21"/>
                <w:szCs w:val="21"/>
                <w:highlight w:val="none"/>
                <w:lang w:val="en-US" w:eastAsia="zh-CN" w:bidi="ar-SA"/>
              </w:rPr>
            </w:pPr>
            <w:r>
              <w:rPr>
                <w:rFonts w:hint="eastAsia" w:asciiTheme="minorEastAsia" w:hAnsiTheme="minorEastAsia" w:eastAsiaTheme="minorEastAsia" w:cstheme="minorEastAsia"/>
                <w:color w:val="auto"/>
                <w:spacing w:val="6"/>
                <w:kern w:val="2"/>
                <w:sz w:val="21"/>
                <w:szCs w:val="21"/>
                <w:highlight w:val="none"/>
                <w:lang w:val="en-US" w:eastAsia="zh-CN" w:bidi="ar-SA"/>
              </w:rPr>
              <w:t>服务方案分（16分）</w:t>
            </w:r>
          </w:p>
          <w:p w14:paraId="0AD190F2">
            <w:pPr>
              <w:spacing w:line="360" w:lineRule="auto"/>
              <w:jc w:val="center"/>
              <w:rPr>
                <w:rFonts w:hint="eastAsia" w:asciiTheme="minorEastAsia" w:hAnsiTheme="minorEastAsia" w:eastAsiaTheme="minorEastAsia" w:cstheme="minorEastAsia"/>
                <w:bCs/>
                <w:color w:val="auto"/>
                <w:sz w:val="21"/>
                <w:szCs w:val="21"/>
                <w:highlight w:val="none"/>
              </w:rPr>
            </w:pPr>
          </w:p>
        </w:tc>
        <w:tc>
          <w:tcPr>
            <w:tcW w:w="5927" w:type="dxa"/>
            <w:noWrap w:val="0"/>
            <w:vAlign w:val="top"/>
          </w:tcPr>
          <w:p w14:paraId="2CA6B512">
            <w:pPr>
              <w:pStyle w:val="27"/>
              <w:spacing w:before="33" w:line="228" w:lineRule="auto"/>
              <w:ind w:left="535"/>
              <w:rPr>
                <w:rFonts w:hint="eastAsia" w:asciiTheme="minorEastAsia" w:hAnsiTheme="minorEastAsia" w:eastAsiaTheme="minorEastAsia" w:cstheme="minorEastAsia"/>
                <w:b/>
                <w:bCs/>
                <w:color w:val="auto"/>
                <w:spacing w:val="6"/>
                <w:kern w:val="2"/>
                <w:sz w:val="21"/>
                <w:szCs w:val="21"/>
                <w:highlight w:val="none"/>
                <w:lang w:val="en-US" w:eastAsia="zh-CN" w:bidi="ar-SA"/>
              </w:rPr>
            </w:pPr>
            <w:r>
              <w:rPr>
                <w:rFonts w:hint="eastAsia" w:asciiTheme="minorEastAsia" w:hAnsiTheme="minorEastAsia" w:eastAsiaTheme="minorEastAsia" w:cstheme="minorEastAsia"/>
                <w:b/>
                <w:bCs/>
                <w:color w:val="auto"/>
                <w:spacing w:val="6"/>
                <w:kern w:val="2"/>
                <w:sz w:val="21"/>
                <w:szCs w:val="21"/>
                <w:highlight w:val="none"/>
                <w:lang w:val="en-US" w:eastAsia="zh-CN" w:bidi="ar-SA"/>
              </w:rPr>
              <w:t>二、服务方案分（16分）</w:t>
            </w:r>
          </w:p>
          <w:p w14:paraId="2ED971C8">
            <w:pPr>
              <w:pStyle w:val="27"/>
              <w:spacing w:before="33" w:line="228" w:lineRule="auto"/>
              <w:ind w:left="535"/>
              <w:rPr>
                <w:rFonts w:hint="eastAsia" w:asciiTheme="minorEastAsia" w:hAnsiTheme="minorEastAsia" w:eastAsiaTheme="minorEastAsia" w:cstheme="minorEastAsia"/>
                <w:color w:val="auto"/>
                <w:spacing w:val="6"/>
                <w:kern w:val="2"/>
                <w:sz w:val="21"/>
                <w:szCs w:val="21"/>
                <w:highlight w:val="none"/>
                <w:lang w:val="en-US" w:eastAsia="zh-CN" w:bidi="ar-SA"/>
              </w:rPr>
            </w:pPr>
            <w:r>
              <w:rPr>
                <w:rFonts w:hint="eastAsia" w:asciiTheme="minorEastAsia" w:hAnsiTheme="minorEastAsia" w:eastAsiaTheme="minorEastAsia" w:cstheme="minorEastAsia"/>
                <w:color w:val="auto"/>
                <w:spacing w:val="6"/>
                <w:kern w:val="2"/>
                <w:sz w:val="21"/>
                <w:szCs w:val="21"/>
                <w:highlight w:val="none"/>
                <w:lang w:val="en-US" w:eastAsia="zh-CN" w:bidi="ar-SA"/>
              </w:rPr>
              <w:t>一档（4分）：有服务方案，项目实施内容不全面、无保障措施；</w:t>
            </w:r>
          </w:p>
          <w:p w14:paraId="3068A5C6">
            <w:pPr>
              <w:pStyle w:val="27"/>
              <w:spacing w:before="160" w:line="377" w:lineRule="auto"/>
              <w:ind w:left="111" w:right="109" w:firstLine="423"/>
              <w:jc w:val="both"/>
              <w:rPr>
                <w:rFonts w:hint="eastAsia" w:asciiTheme="minorEastAsia" w:hAnsiTheme="minorEastAsia" w:eastAsiaTheme="minorEastAsia" w:cstheme="minorEastAsia"/>
                <w:color w:val="auto"/>
                <w:spacing w:val="6"/>
                <w:kern w:val="2"/>
                <w:sz w:val="21"/>
                <w:szCs w:val="21"/>
                <w:highlight w:val="none"/>
                <w:lang w:val="en-US" w:eastAsia="zh-CN" w:bidi="ar-SA"/>
              </w:rPr>
            </w:pPr>
            <w:r>
              <w:rPr>
                <w:rFonts w:hint="eastAsia" w:asciiTheme="minorEastAsia" w:hAnsiTheme="minorEastAsia" w:eastAsiaTheme="minorEastAsia" w:cstheme="minorEastAsia"/>
                <w:color w:val="auto"/>
                <w:spacing w:val="6"/>
                <w:kern w:val="2"/>
                <w:sz w:val="21"/>
                <w:szCs w:val="21"/>
                <w:highlight w:val="none"/>
                <w:lang w:val="en-US" w:eastAsia="zh-CN" w:bidi="ar-SA"/>
              </w:rPr>
              <w:t>二档（8 分）：服务方案基本符合项目，项目实施内容、措施一般，对人员岗位配置、重点区域、重点部位的巡查计划只有简单的描述，提供有交通、治安、消防、保洁、绿化管理工作方案；</w:t>
            </w:r>
          </w:p>
          <w:p w14:paraId="6568E78B">
            <w:pPr>
              <w:pStyle w:val="27"/>
              <w:spacing w:line="377" w:lineRule="auto"/>
              <w:ind w:left="110" w:right="54" w:firstLine="420"/>
              <w:jc w:val="both"/>
              <w:rPr>
                <w:rFonts w:hint="eastAsia" w:asciiTheme="minorEastAsia" w:hAnsiTheme="minorEastAsia" w:eastAsiaTheme="minorEastAsia" w:cstheme="minorEastAsia"/>
                <w:color w:val="auto"/>
                <w:spacing w:val="6"/>
                <w:kern w:val="2"/>
                <w:sz w:val="21"/>
                <w:szCs w:val="21"/>
                <w:highlight w:val="none"/>
                <w:lang w:val="en-US" w:eastAsia="zh-CN" w:bidi="ar-SA"/>
              </w:rPr>
            </w:pPr>
            <w:r>
              <w:rPr>
                <w:rFonts w:hint="eastAsia" w:asciiTheme="minorEastAsia" w:hAnsiTheme="minorEastAsia" w:eastAsiaTheme="minorEastAsia" w:cstheme="minorEastAsia"/>
                <w:color w:val="auto"/>
                <w:spacing w:val="6"/>
                <w:kern w:val="2"/>
                <w:sz w:val="21"/>
                <w:szCs w:val="21"/>
                <w:highlight w:val="none"/>
                <w:lang w:val="en-US" w:eastAsia="zh-CN" w:bidi="ar-SA"/>
              </w:rPr>
              <w:t>三档（12分）：服务作方案符合项目实际，有具体的项目实施内容、措施，对人员岗位配置有详细的描述，有针对重点区域、重点部位的巡查计划，有大型活动维持秩序的服务方案，有交通、治安、消防、保洁、绿化管理工作方案，方案合理、可行；</w:t>
            </w:r>
          </w:p>
          <w:p w14:paraId="4BCA3FD8">
            <w:pPr>
              <w:spacing w:line="360" w:lineRule="auto"/>
              <w:ind w:firstLine="448"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四档（</w:t>
            </w:r>
            <w:r>
              <w:rPr>
                <w:rFonts w:hint="eastAsia" w:asciiTheme="minorEastAsia" w:hAnsiTheme="minorEastAsia" w:eastAsiaTheme="minorEastAsia" w:cstheme="minorEastAsia"/>
                <w:color w:val="auto"/>
                <w:spacing w:val="7"/>
                <w:sz w:val="21"/>
                <w:szCs w:val="21"/>
                <w:highlight w:val="none"/>
                <w:lang w:val="en-US" w:eastAsia="zh-CN"/>
              </w:rPr>
              <w:t>16</w:t>
            </w:r>
            <w:r>
              <w:rPr>
                <w:rFonts w:hint="eastAsia" w:asciiTheme="minorEastAsia" w:hAnsiTheme="minorEastAsia" w:eastAsiaTheme="minorEastAsia" w:cstheme="minorEastAsia"/>
                <w:color w:val="auto"/>
                <w:spacing w:val="7"/>
                <w:sz w:val="21"/>
                <w:szCs w:val="21"/>
                <w:highlight w:val="none"/>
              </w:rPr>
              <w:t>分</w:t>
            </w:r>
            <w:r>
              <w:rPr>
                <w:rFonts w:hint="eastAsia" w:asciiTheme="minorEastAsia" w:hAnsiTheme="minorEastAsia" w:eastAsiaTheme="minorEastAsia" w:cstheme="minorEastAsia"/>
                <w:color w:val="auto"/>
                <w:spacing w:val="11"/>
                <w:sz w:val="21"/>
                <w:szCs w:val="21"/>
                <w:highlight w:val="none"/>
              </w:rPr>
              <w:t>）：</w:t>
            </w:r>
            <w:r>
              <w:rPr>
                <w:rFonts w:hint="eastAsia" w:asciiTheme="minorEastAsia" w:hAnsiTheme="minorEastAsia" w:eastAsiaTheme="minorEastAsia" w:cstheme="minorEastAsia"/>
                <w:color w:val="auto"/>
                <w:spacing w:val="7"/>
                <w:sz w:val="21"/>
                <w:szCs w:val="21"/>
                <w:highlight w:val="none"/>
              </w:rPr>
              <w:t>工作方案切合实际、具体、详细、可行，内容明晰、简</w:t>
            </w:r>
            <w:r>
              <w:rPr>
                <w:rFonts w:hint="eastAsia" w:asciiTheme="minorEastAsia" w:hAnsiTheme="minorEastAsia" w:eastAsiaTheme="minorEastAsia" w:cstheme="minorEastAsia"/>
                <w:color w:val="auto"/>
                <w:spacing w:val="10"/>
                <w:sz w:val="21"/>
                <w:szCs w:val="21"/>
                <w:highlight w:val="none"/>
              </w:rPr>
              <w:t>练；项目实施内容、措施具体有针对性，人员岗位配置设置、工作要求、岗</w:t>
            </w:r>
            <w:r>
              <w:rPr>
                <w:rFonts w:hint="eastAsia" w:asciiTheme="minorEastAsia" w:hAnsiTheme="minorEastAsia" w:eastAsiaTheme="minorEastAsia" w:cstheme="minorEastAsia"/>
                <w:color w:val="auto"/>
                <w:spacing w:val="6"/>
                <w:sz w:val="21"/>
                <w:szCs w:val="21"/>
                <w:highlight w:val="none"/>
              </w:rPr>
              <w:t>位操作规程的流程详细可行，各岗位人员工作安排计划合理可行，重点区域、</w:t>
            </w:r>
            <w:r>
              <w:rPr>
                <w:rFonts w:hint="eastAsia" w:asciiTheme="minorEastAsia" w:hAnsiTheme="minorEastAsia" w:eastAsiaTheme="minorEastAsia" w:cstheme="minorEastAsia"/>
                <w:color w:val="auto"/>
                <w:spacing w:val="10"/>
                <w:sz w:val="21"/>
                <w:szCs w:val="21"/>
                <w:highlight w:val="none"/>
              </w:rPr>
              <w:t>重点部位的巡查计划安排合理，有大型活动维持秩序的服务方案，有非常完善、可行的交通、治安、消防</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lang w:val="en-US" w:eastAsia="zh-CN"/>
              </w:rPr>
              <w:t>保洁、绿化管理</w:t>
            </w:r>
            <w:r>
              <w:rPr>
                <w:rFonts w:hint="eastAsia" w:asciiTheme="minorEastAsia" w:hAnsiTheme="minorEastAsia" w:eastAsiaTheme="minorEastAsia" w:cstheme="minorEastAsia"/>
                <w:color w:val="auto"/>
                <w:spacing w:val="8"/>
                <w:sz w:val="21"/>
                <w:szCs w:val="21"/>
                <w:highlight w:val="none"/>
              </w:rPr>
              <w:t>工作方案</w:t>
            </w:r>
            <w:r>
              <w:rPr>
                <w:rFonts w:hint="eastAsia" w:asciiTheme="minorEastAsia" w:hAnsiTheme="minorEastAsia" w:eastAsiaTheme="minorEastAsia" w:cstheme="minorEastAsia"/>
                <w:color w:val="auto"/>
                <w:spacing w:val="10"/>
                <w:sz w:val="21"/>
                <w:szCs w:val="21"/>
                <w:highlight w:val="none"/>
              </w:rPr>
              <w:t>，其组织管理体系科学完整，能</w:t>
            </w:r>
            <w:r>
              <w:rPr>
                <w:rFonts w:hint="eastAsia" w:asciiTheme="minorEastAsia" w:hAnsiTheme="minorEastAsia" w:eastAsiaTheme="minorEastAsia" w:cstheme="minorEastAsia"/>
                <w:color w:val="auto"/>
                <w:spacing w:val="8"/>
                <w:sz w:val="21"/>
                <w:szCs w:val="21"/>
                <w:highlight w:val="none"/>
              </w:rPr>
              <w:t>够有效实施管理工作。</w:t>
            </w:r>
          </w:p>
        </w:tc>
        <w:tc>
          <w:tcPr>
            <w:tcW w:w="636" w:type="dxa"/>
            <w:noWrap w:val="0"/>
            <w:vAlign w:val="center"/>
          </w:tcPr>
          <w:p w14:paraId="64F8BC59">
            <w:pPr>
              <w:spacing w:line="360" w:lineRule="auto"/>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0~</w:t>
            </w:r>
            <w:r>
              <w:rPr>
                <w:rFonts w:hint="eastAsia" w:asciiTheme="minorEastAsia" w:hAnsiTheme="minorEastAsia" w:eastAsiaTheme="minorEastAsia" w:cstheme="minorEastAsia"/>
                <w:bCs/>
                <w:color w:val="auto"/>
                <w:sz w:val="21"/>
                <w:szCs w:val="21"/>
                <w:highlight w:val="none"/>
                <w:lang w:val="en-US" w:eastAsia="zh-CN"/>
              </w:rPr>
              <w:t>16</w:t>
            </w:r>
          </w:p>
        </w:tc>
      </w:tr>
      <w:tr w14:paraId="5A45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8" w:hRule="atLeast"/>
        </w:trPr>
        <w:tc>
          <w:tcPr>
            <w:tcW w:w="534" w:type="dxa"/>
            <w:noWrap w:val="0"/>
            <w:vAlign w:val="center"/>
          </w:tcPr>
          <w:p w14:paraId="25A0E375">
            <w:pPr>
              <w:spacing w:line="36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vertAlign w:val="baseline"/>
                <w:lang w:val="en-US" w:eastAsia="zh-CN"/>
              </w:rPr>
              <w:t>2.</w:t>
            </w:r>
            <w:r>
              <w:rPr>
                <w:rFonts w:hint="eastAsia" w:asciiTheme="minorEastAsia" w:hAnsiTheme="minorEastAsia" w:eastAsiaTheme="minorEastAsia" w:cstheme="minorEastAsia"/>
                <w:bCs/>
                <w:color w:val="auto"/>
                <w:sz w:val="21"/>
                <w:szCs w:val="21"/>
                <w:highlight w:val="none"/>
                <w:vertAlign w:val="baseline"/>
                <w:lang w:eastAsia="zh-CN"/>
              </w:rPr>
              <w:t>3</w:t>
            </w:r>
          </w:p>
        </w:tc>
        <w:tc>
          <w:tcPr>
            <w:tcW w:w="1425" w:type="dxa"/>
            <w:noWrap w:val="0"/>
            <w:vAlign w:val="center"/>
          </w:tcPr>
          <w:p w14:paraId="1FFEB5CB">
            <w:pPr>
              <w:pStyle w:val="27"/>
              <w:spacing w:before="33" w:line="228" w:lineRule="auto"/>
              <w:rPr>
                <w:rFonts w:hint="eastAsia" w:asciiTheme="minorEastAsia" w:hAnsiTheme="minorEastAsia" w:eastAsiaTheme="minorEastAsia" w:cstheme="minorEastAsia"/>
                <w:color w:val="auto"/>
                <w:spacing w:val="6"/>
                <w:kern w:val="2"/>
                <w:sz w:val="21"/>
                <w:szCs w:val="21"/>
                <w:highlight w:val="none"/>
                <w:lang w:val="en-US" w:eastAsia="zh-CN" w:bidi="ar-SA"/>
              </w:rPr>
            </w:pPr>
            <w:r>
              <w:rPr>
                <w:rFonts w:hint="eastAsia" w:asciiTheme="minorEastAsia" w:hAnsiTheme="minorEastAsia" w:eastAsiaTheme="minorEastAsia" w:cstheme="minorEastAsia"/>
                <w:color w:val="auto"/>
                <w:spacing w:val="6"/>
                <w:kern w:val="2"/>
                <w:sz w:val="21"/>
                <w:szCs w:val="21"/>
                <w:highlight w:val="none"/>
                <w:lang w:val="en-US" w:eastAsia="zh-CN" w:bidi="ar-SA"/>
              </w:rPr>
              <w:t>应急事件处理方案（12分）</w:t>
            </w:r>
          </w:p>
          <w:p w14:paraId="796179D6">
            <w:pPr>
              <w:spacing w:line="360" w:lineRule="auto"/>
              <w:jc w:val="center"/>
              <w:rPr>
                <w:rFonts w:hint="eastAsia" w:asciiTheme="minorEastAsia" w:hAnsiTheme="minorEastAsia" w:eastAsiaTheme="minorEastAsia" w:cstheme="minorEastAsia"/>
                <w:bCs/>
                <w:color w:val="auto"/>
                <w:sz w:val="21"/>
                <w:szCs w:val="21"/>
                <w:highlight w:val="none"/>
              </w:rPr>
            </w:pPr>
          </w:p>
        </w:tc>
        <w:tc>
          <w:tcPr>
            <w:tcW w:w="5927" w:type="dxa"/>
            <w:noWrap w:val="0"/>
            <w:vAlign w:val="top"/>
          </w:tcPr>
          <w:p w14:paraId="2222AE9D">
            <w:pPr>
              <w:pStyle w:val="27"/>
              <w:spacing w:before="35" w:line="377" w:lineRule="auto"/>
              <w:ind w:left="118" w:right="38" w:firstLine="438"/>
              <w:rPr>
                <w:rFonts w:hint="eastAsia" w:asciiTheme="minorEastAsia" w:hAnsiTheme="minorEastAsia" w:eastAsiaTheme="minorEastAsia" w:cstheme="minorEastAsia"/>
                <w:b/>
                <w:bCs/>
                <w:color w:val="auto"/>
                <w:spacing w:val="10"/>
                <w:kern w:val="2"/>
                <w:sz w:val="21"/>
                <w:szCs w:val="21"/>
                <w:highlight w:val="none"/>
                <w:lang w:val="en-US" w:eastAsia="zh-CN" w:bidi="ar-SA"/>
              </w:rPr>
            </w:pPr>
            <w:r>
              <w:rPr>
                <w:rFonts w:hint="eastAsia" w:asciiTheme="minorEastAsia" w:hAnsiTheme="minorEastAsia" w:eastAsiaTheme="minorEastAsia" w:cstheme="minorEastAsia"/>
                <w:b/>
                <w:bCs/>
                <w:color w:val="auto"/>
                <w:spacing w:val="10"/>
                <w:kern w:val="2"/>
                <w:sz w:val="21"/>
                <w:szCs w:val="21"/>
                <w:highlight w:val="none"/>
                <w:lang w:val="en-US" w:eastAsia="zh-CN" w:bidi="ar-SA"/>
              </w:rPr>
              <w:t>三、应急事件处理方案（12分）</w:t>
            </w:r>
          </w:p>
          <w:p w14:paraId="403E7194">
            <w:pPr>
              <w:pStyle w:val="27"/>
              <w:spacing w:before="35" w:line="377" w:lineRule="auto"/>
              <w:ind w:left="118" w:right="38" w:firstLine="438"/>
              <w:rPr>
                <w:rFonts w:hint="eastAsia" w:asciiTheme="minorEastAsia" w:hAnsiTheme="minorEastAsia" w:eastAsiaTheme="minorEastAsia" w:cstheme="minorEastAsia"/>
                <w:color w:val="auto"/>
                <w:spacing w:val="10"/>
                <w:kern w:val="2"/>
                <w:sz w:val="21"/>
                <w:szCs w:val="21"/>
                <w:highlight w:val="none"/>
                <w:lang w:val="en-US" w:eastAsia="zh-CN" w:bidi="ar-SA"/>
              </w:rPr>
            </w:pPr>
            <w:r>
              <w:rPr>
                <w:rFonts w:hint="eastAsia" w:asciiTheme="minorEastAsia" w:hAnsiTheme="minorEastAsia" w:eastAsiaTheme="minorEastAsia" w:cstheme="minorEastAsia"/>
                <w:color w:val="auto"/>
                <w:spacing w:val="9"/>
                <w:sz w:val="21"/>
                <w:szCs w:val="21"/>
                <w:highlight w:val="none"/>
              </w:rPr>
              <w:t>由</w:t>
            </w:r>
            <w:r>
              <w:rPr>
                <w:rFonts w:hint="eastAsia" w:asciiTheme="minorEastAsia" w:hAnsiTheme="minorEastAsia" w:eastAsiaTheme="minorEastAsia" w:cstheme="minorEastAsia"/>
                <w:color w:val="auto"/>
                <w:spacing w:val="10"/>
                <w:kern w:val="2"/>
                <w:sz w:val="21"/>
                <w:szCs w:val="21"/>
                <w:highlight w:val="none"/>
                <w:lang w:val="en-US" w:eastAsia="zh-CN" w:bidi="ar-SA"/>
              </w:rPr>
              <w:t>评标委员会按照投标人提交的应急事件处理方案打分包括但不限于大型活动的场地保障方案、治安、消防、自然灾害等各类突发事件的处理预案。</w:t>
            </w:r>
          </w:p>
          <w:p w14:paraId="17E7D954">
            <w:pPr>
              <w:pStyle w:val="27"/>
              <w:spacing w:before="1" w:line="377" w:lineRule="auto"/>
              <w:ind w:left="111" w:right="109" w:firstLine="423"/>
              <w:rPr>
                <w:rFonts w:hint="eastAsia" w:asciiTheme="minorEastAsia" w:hAnsiTheme="minorEastAsia" w:eastAsiaTheme="minorEastAsia" w:cstheme="minorEastAsia"/>
                <w:color w:val="auto"/>
                <w:spacing w:val="10"/>
                <w:kern w:val="2"/>
                <w:sz w:val="21"/>
                <w:szCs w:val="21"/>
                <w:highlight w:val="none"/>
                <w:lang w:val="en-US" w:eastAsia="zh-CN" w:bidi="ar-SA"/>
              </w:rPr>
            </w:pPr>
            <w:r>
              <w:rPr>
                <w:rFonts w:hint="eastAsia" w:asciiTheme="minorEastAsia" w:hAnsiTheme="minorEastAsia" w:eastAsiaTheme="minorEastAsia" w:cstheme="minorEastAsia"/>
                <w:color w:val="auto"/>
                <w:spacing w:val="10"/>
                <w:kern w:val="2"/>
                <w:sz w:val="21"/>
                <w:szCs w:val="21"/>
                <w:highlight w:val="none"/>
                <w:lang w:val="en-US" w:eastAsia="zh-CN" w:bidi="ar-SA"/>
              </w:rPr>
              <w:t>一档（4 分） ：包含有的简单的应急机制，无具体应对实施计划及应对措施，内容过于简单。</w:t>
            </w:r>
          </w:p>
          <w:p w14:paraId="3A5FE9E8">
            <w:pPr>
              <w:spacing w:line="360" w:lineRule="auto"/>
              <w:ind w:firstLine="460" w:firstLineChars="200"/>
              <w:rPr>
                <w:rFonts w:hint="eastAsia" w:asciiTheme="minorEastAsia" w:hAnsiTheme="minorEastAsia" w:eastAsiaTheme="minorEastAsia" w:cstheme="minorEastAsia"/>
                <w:color w:val="auto"/>
                <w:spacing w:val="10"/>
                <w:kern w:val="2"/>
                <w:sz w:val="21"/>
                <w:szCs w:val="21"/>
                <w:highlight w:val="none"/>
                <w:lang w:val="en-US" w:eastAsia="zh-CN" w:bidi="ar-SA"/>
              </w:rPr>
            </w:pPr>
            <w:r>
              <w:rPr>
                <w:rFonts w:hint="eastAsia" w:asciiTheme="minorEastAsia" w:hAnsiTheme="minorEastAsia" w:eastAsiaTheme="minorEastAsia" w:cstheme="minorEastAsia"/>
                <w:color w:val="auto"/>
                <w:spacing w:val="10"/>
                <w:kern w:val="2"/>
                <w:sz w:val="21"/>
                <w:szCs w:val="21"/>
                <w:highlight w:val="none"/>
                <w:lang w:val="en-US" w:eastAsia="zh-CN" w:bidi="ar-SA"/>
              </w:rPr>
              <w:t>二档（8 分） ：包含有应急</w:t>
            </w:r>
            <w:r>
              <w:rPr>
                <w:rFonts w:hint="eastAsia" w:asciiTheme="minorEastAsia" w:hAnsiTheme="minorEastAsia" w:eastAsiaTheme="minorEastAsia" w:cstheme="minorEastAsia"/>
                <w:color w:val="auto"/>
                <w:spacing w:val="10"/>
                <w:sz w:val="21"/>
                <w:szCs w:val="21"/>
                <w:highlight w:val="none"/>
                <w:lang w:val="en-US" w:eastAsia="zh-CN"/>
              </w:rPr>
              <w:t>机制</w:t>
            </w:r>
            <w:r>
              <w:rPr>
                <w:rFonts w:hint="eastAsia" w:asciiTheme="minorEastAsia" w:hAnsiTheme="minorEastAsia" w:eastAsiaTheme="minorEastAsia" w:cstheme="minorEastAsia"/>
                <w:color w:val="auto"/>
                <w:spacing w:val="10"/>
                <w:kern w:val="2"/>
                <w:sz w:val="21"/>
                <w:szCs w:val="21"/>
                <w:highlight w:val="none"/>
                <w:lang w:val="en-US" w:eastAsia="zh-CN" w:bidi="ar-SA"/>
              </w:rPr>
              <w:t>，有具体的应对实施计划及应对措施，方案内容较完整。</w:t>
            </w:r>
          </w:p>
          <w:p w14:paraId="5AE3C7BF">
            <w:pPr>
              <w:spacing w:line="360" w:lineRule="auto"/>
              <w:ind w:firstLine="460" w:firstLineChars="200"/>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10"/>
                <w:kern w:val="2"/>
                <w:sz w:val="21"/>
                <w:szCs w:val="21"/>
                <w:highlight w:val="none"/>
                <w:lang w:val="en-US" w:eastAsia="zh-CN" w:bidi="ar-SA"/>
              </w:rPr>
              <w:t>三档（12分）：应急方案能结合项目的实际情况，对采购人举办的重大活动有具体的应急方案及应对措施；对处置群体性事件（如突发治安、消防、车辆突发事件）的应急处理方案符合实际、有针对自然灾害突发制定的专项应急方案、措施、有应对突发性公共卫生事件的应急预案，且方案具体可行学合理、针对性强。</w:t>
            </w:r>
          </w:p>
        </w:tc>
        <w:tc>
          <w:tcPr>
            <w:tcW w:w="636" w:type="dxa"/>
            <w:noWrap w:val="0"/>
            <w:vAlign w:val="center"/>
          </w:tcPr>
          <w:p w14:paraId="1472084A">
            <w:pPr>
              <w:spacing w:line="360" w:lineRule="auto"/>
              <w:jc w:val="center"/>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color w:val="auto"/>
                <w:sz w:val="21"/>
                <w:szCs w:val="21"/>
                <w:highlight w:val="none"/>
                <w:vertAlign w:val="baseline"/>
                <w:lang w:eastAsia="zh-CN"/>
              </w:rPr>
              <w:t>0~</w:t>
            </w:r>
            <w:r>
              <w:rPr>
                <w:rFonts w:hint="eastAsia" w:asciiTheme="minorEastAsia" w:hAnsiTheme="minorEastAsia" w:eastAsiaTheme="minorEastAsia" w:cstheme="minorEastAsia"/>
                <w:bCs/>
                <w:color w:val="auto"/>
                <w:sz w:val="21"/>
                <w:szCs w:val="21"/>
                <w:highlight w:val="none"/>
                <w:vertAlign w:val="baseline"/>
                <w:lang w:val="en-US" w:eastAsia="zh-CN"/>
              </w:rPr>
              <w:t>12</w:t>
            </w:r>
          </w:p>
        </w:tc>
      </w:tr>
      <w:tr w14:paraId="54B2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6" w:hRule="atLeast"/>
        </w:trPr>
        <w:tc>
          <w:tcPr>
            <w:tcW w:w="534" w:type="dxa"/>
            <w:noWrap w:val="0"/>
            <w:vAlign w:val="center"/>
          </w:tcPr>
          <w:p w14:paraId="686D717C">
            <w:pPr>
              <w:spacing w:line="36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vertAlign w:val="baseline"/>
                <w:lang w:val="en-US" w:eastAsia="zh-CN"/>
              </w:rPr>
              <w:t>2.</w:t>
            </w:r>
            <w:r>
              <w:rPr>
                <w:rFonts w:hint="eastAsia" w:asciiTheme="minorEastAsia" w:hAnsiTheme="minorEastAsia" w:eastAsiaTheme="minorEastAsia" w:cstheme="minorEastAsia"/>
                <w:bCs/>
                <w:color w:val="auto"/>
                <w:sz w:val="21"/>
                <w:szCs w:val="21"/>
                <w:highlight w:val="none"/>
                <w:vertAlign w:val="baseline"/>
                <w:lang w:eastAsia="zh-CN"/>
              </w:rPr>
              <w:t>4</w:t>
            </w:r>
          </w:p>
        </w:tc>
        <w:tc>
          <w:tcPr>
            <w:tcW w:w="1425" w:type="dxa"/>
            <w:noWrap w:val="0"/>
            <w:vAlign w:val="center"/>
          </w:tcPr>
          <w:p w14:paraId="0D6947D3">
            <w:pPr>
              <w:pStyle w:val="27"/>
              <w:spacing w:before="33" w:line="228" w:lineRule="auto"/>
              <w:rPr>
                <w:rFonts w:hint="eastAsia" w:asciiTheme="minorEastAsia" w:hAnsiTheme="minorEastAsia" w:eastAsiaTheme="minorEastAsia" w:cstheme="minorEastAsia"/>
                <w:b w:val="0"/>
                <w:bCs w:val="0"/>
                <w:color w:val="auto"/>
                <w:spacing w:val="6"/>
                <w:kern w:val="2"/>
                <w:sz w:val="21"/>
                <w:szCs w:val="21"/>
                <w:highlight w:val="none"/>
                <w:lang w:val="en-US" w:eastAsia="zh-CN" w:bidi="ar-SA"/>
              </w:rPr>
            </w:pPr>
            <w:r>
              <w:rPr>
                <w:rFonts w:hint="eastAsia" w:asciiTheme="minorEastAsia" w:hAnsiTheme="minorEastAsia" w:eastAsiaTheme="minorEastAsia" w:cstheme="minorEastAsia"/>
                <w:b w:val="0"/>
                <w:bCs w:val="0"/>
                <w:color w:val="auto"/>
                <w:spacing w:val="6"/>
                <w:kern w:val="2"/>
                <w:sz w:val="21"/>
                <w:szCs w:val="21"/>
                <w:highlight w:val="none"/>
                <w:lang w:val="en-US" w:eastAsia="zh-CN" w:bidi="ar-SA"/>
              </w:rPr>
              <w:t>人员培训方案（12分）</w:t>
            </w:r>
          </w:p>
          <w:p w14:paraId="5CE99F4F">
            <w:pPr>
              <w:spacing w:line="360" w:lineRule="auto"/>
              <w:jc w:val="center"/>
              <w:rPr>
                <w:rFonts w:hint="eastAsia" w:asciiTheme="minorEastAsia" w:hAnsiTheme="minorEastAsia" w:eastAsiaTheme="minorEastAsia" w:cstheme="minorEastAsia"/>
                <w:b/>
                <w:bCs/>
                <w:color w:val="auto"/>
                <w:sz w:val="21"/>
                <w:szCs w:val="21"/>
                <w:highlight w:val="none"/>
              </w:rPr>
            </w:pPr>
          </w:p>
        </w:tc>
        <w:tc>
          <w:tcPr>
            <w:tcW w:w="5927" w:type="dxa"/>
            <w:noWrap w:val="0"/>
            <w:vAlign w:val="top"/>
          </w:tcPr>
          <w:p w14:paraId="192898BF">
            <w:pPr>
              <w:pStyle w:val="27"/>
              <w:spacing w:before="65" w:line="228" w:lineRule="auto"/>
              <w:ind w:left="123"/>
              <w:rPr>
                <w:rFonts w:hint="eastAsia" w:asciiTheme="minorEastAsia" w:hAnsiTheme="minorEastAsia" w:eastAsiaTheme="minorEastAsia" w:cstheme="minorEastAsia"/>
                <w:b/>
                <w:bCs/>
                <w:color w:val="auto"/>
                <w:spacing w:val="10"/>
                <w:kern w:val="2"/>
                <w:sz w:val="21"/>
                <w:szCs w:val="21"/>
                <w:highlight w:val="none"/>
                <w:lang w:val="en-US" w:eastAsia="zh-CN" w:bidi="ar-SA"/>
              </w:rPr>
            </w:pPr>
            <w:r>
              <w:rPr>
                <w:rFonts w:hint="eastAsia" w:asciiTheme="minorEastAsia" w:hAnsiTheme="minorEastAsia" w:eastAsiaTheme="minorEastAsia" w:cstheme="minorEastAsia"/>
                <w:b/>
                <w:bCs/>
                <w:color w:val="auto"/>
                <w:spacing w:val="10"/>
                <w:kern w:val="2"/>
                <w:sz w:val="21"/>
                <w:szCs w:val="21"/>
                <w:highlight w:val="none"/>
                <w:lang w:val="en-US" w:eastAsia="zh-CN" w:bidi="ar-SA"/>
              </w:rPr>
              <w:t>四、人员培训方案（12分）</w:t>
            </w:r>
          </w:p>
          <w:p w14:paraId="65D0B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val="en-US" w:eastAsia="zh-CN" w:bidi="ar"/>
              </w:rPr>
              <w:t>一档（3 分）：培训方案内容简单，未结合本项目实际，内容不够具体、明确，针对性与可操作性不足。</w:t>
            </w:r>
          </w:p>
          <w:p w14:paraId="181A57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val="en-US" w:eastAsia="zh-CN" w:bidi="ar"/>
              </w:rPr>
              <w:t>二档（6 分）：培训方案涵盖</w:t>
            </w:r>
            <w:r>
              <w:rPr>
                <w:rStyle w:val="21"/>
                <w:rFonts w:hint="eastAsia" w:asciiTheme="minorEastAsia" w:hAnsiTheme="minorEastAsia" w:eastAsiaTheme="minorEastAsia" w:cstheme="minorEastAsia"/>
                <w:b w:val="0"/>
                <w:bCs w:val="0"/>
                <w:color w:val="auto"/>
                <w:kern w:val="0"/>
                <w:sz w:val="21"/>
                <w:szCs w:val="21"/>
                <w:highlight w:val="none"/>
                <w:lang w:val="en-US" w:eastAsia="zh-CN" w:bidi="ar"/>
              </w:rPr>
              <w:t>职业道德、言行规范、基础保洁业务技能、公共秩序维护、简易应急预案演练</w:t>
            </w:r>
            <w:r>
              <w:rPr>
                <w:rFonts w:hint="eastAsia" w:asciiTheme="minorEastAsia" w:hAnsiTheme="minorEastAsia" w:eastAsiaTheme="minorEastAsia" w:cstheme="minorEastAsia"/>
                <w:b w:val="0"/>
                <w:bCs w:val="0"/>
                <w:color w:val="auto"/>
                <w:kern w:val="0"/>
                <w:sz w:val="21"/>
                <w:szCs w:val="21"/>
                <w:highlight w:val="none"/>
                <w:lang w:val="en-US" w:eastAsia="zh-CN" w:bidi="ar"/>
              </w:rPr>
              <w:t>等内容，方案具体、条理清晰，结合项目服务需求制定合理的培训时间安排。</w:t>
            </w:r>
          </w:p>
          <w:p w14:paraId="059214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val="en-US" w:eastAsia="zh-CN" w:bidi="ar"/>
              </w:rPr>
              <w:t>三档（9 分）：培训方案可根据项目</w:t>
            </w:r>
            <w:r>
              <w:rPr>
                <w:rStyle w:val="21"/>
                <w:rFonts w:hint="eastAsia" w:asciiTheme="minorEastAsia" w:hAnsiTheme="minorEastAsia" w:eastAsiaTheme="minorEastAsia" w:cstheme="minorEastAsia"/>
                <w:b w:val="0"/>
                <w:bCs w:val="0"/>
                <w:color w:val="auto"/>
                <w:kern w:val="0"/>
                <w:sz w:val="21"/>
                <w:szCs w:val="21"/>
                <w:highlight w:val="none"/>
                <w:lang w:val="en-US" w:eastAsia="zh-CN" w:bidi="ar"/>
              </w:rPr>
              <w:t>针对性制定培训计划</w:t>
            </w:r>
            <w:r>
              <w:rPr>
                <w:rFonts w:hint="eastAsia" w:asciiTheme="minorEastAsia" w:hAnsiTheme="minorEastAsia" w:eastAsiaTheme="minorEastAsia" w:cstheme="minorEastAsia"/>
                <w:b w:val="0"/>
                <w:bCs w:val="0"/>
                <w:color w:val="auto"/>
                <w:kern w:val="0"/>
                <w:sz w:val="21"/>
                <w:szCs w:val="21"/>
                <w:highlight w:val="none"/>
                <w:lang w:val="en-US" w:eastAsia="zh-CN" w:bidi="ar"/>
              </w:rPr>
              <w:t>；培训内容包含职业道德、岗位业务技能、应急预案演练、消防安全、急救知识等，时间安排合理，且建立培训成果考核机制。</w:t>
            </w:r>
          </w:p>
          <w:p w14:paraId="1D71D5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b/>
                <w:bCs/>
                <w:color w:val="auto"/>
                <w:spacing w:val="5"/>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bidi="ar"/>
              </w:rPr>
              <w:t>四档（12 分）：培训方案紧密贴合本项目</w:t>
            </w:r>
            <w:r>
              <w:rPr>
                <w:rStyle w:val="21"/>
                <w:rFonts w:hint="eastAsia" w:asciiTheme="minorEastAsia" w:hAnsiTheme="minorEastAsia" w:eastAsiaTheme="minorEastAsia" w:cstheme="minorEastAsia"/>
                <w:b w:val="0"/>
                <w:bCs w:val="0"/>
                <w:color w:val="auto"/>
                <w:kern w:val="0"/>
                <w:sz w:val="21"/>
                <w:szCs w:val="21"/>
                <w:highlight w:val="none"/>
                <w:lang w:val="en-US" w:eastAsia="zh-CN" w:bidi="ar"/>
              </w:rPr>
              <w:t>楼宇保洁、车辆管理、秩序安防、消防应急、绿化管养、档案管理、突发事件处置</w:t>
            </w:r>
            <w:r>
              <w:rPr>
                <w:rFonts w:hint="eastAsia" w:asciiTheme="minorEastAsia" w:hAnsiTheme="minorEastAsia" w:eastAsiaTheme="minorEastAsia" w:cstheme="minorEastAsia"/>
                <w:b w:val="0"/>
                <w:bCs w:val="0"/>
                <w:color w:val="auto"/>
                <w:kern w:val="0"/>
                <w:sz w:val="21"/>
                <w:szCs w:val="21"/>
                <w:highlight w:val="none"/>
                <w:lang w:val="en-US" w:eastAsia="zh-CN" w:bidi="ar"/>
              </w:rPr>
              <w:t>全维度服务需求，构建分岗位、分层次、全周期系统化培训体系；培训内容全面专业，培训计划科学详实、时间投入合理，具备完善的培训考核、效果跟踪及复盘改进机制，可全面保障人员适配项目服务要求。</w:t>
            </w:r>
          </w:p>
        </w:tc>
        <w:tc>
          <w:tcPr>
            <w:tcW w:w="636" w:type="dxa"/>
            <w:noWrap w:val="0"/>
            <w:vAlign w:val="center"/>
          </w:tcPr>
          <w:p w14:paraId="1F6F14A4">
            <w:pPr>
              <w:spacing w:line="36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vertAlign w:val="baseline"/>
                <w:lang w:eastAsia="zh-CN"/>
              </w:rPr>
              <w:t>0~1</w:t>
            </w:r>
            <w:r>
              <w:rPr>
                <w:rFonts w:hint="eastAsia" w:asciiTheme="minorEastAsia" w:hAnsiTheme="minorEastAsia" w:eastAsiaTheme="minorEastAsia" w:cstheme="minorEastAsia"/>
                <w:bCs/>
                <w:color w:val="auto"/>
                <w:sz w:val="21"/>
                <w:szCs w:val="21"/>
                <w:highlight w:val="none"/>
                <w:vertAlign w:val="baseline"/>
                <w:lang w:val="en-US" w:eastAsia="zh-CN"/>
              </w:rPr>
              <w:t>2</w:t>
            </w:r>
          </w:p>
        </w:tc>
      </w:tr>
      <w:tr w14:paraId="4FF9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14:paraId="2AECF977">
            <w:pPr>
              <w:spacing w:line="360" w:lineRule="auto"/>
              <w:jc w:val="center"/>
              <w:rPr>
                <w:rFonts w:hint="eastAsia" w:asciiTheme="minorEastAsia" w:hAnsiTheme="minorEastAsia" w:eastAsiaTheme="minorEastAsia" w:cstheme="minorEastAsia"/>
                <w:bCs/>
                <w:color w:val="auto"/>
                <w:sz w:val="21"/>
                <w:szCs w:val="21"/>
                <w:highlight w:val="none"/>
                <w:vertAlign w:val="baseline"/>
                <w:lang w:val="en-US" w:eastAsia="zh-CN"/>
              </w:rPr>
            </w:pPr>
            <w:r>
              <w:rPr>
                <w:rFonts w:hint="eastAsia" w:asciiTheme="minorEastAsia" w:hAnsiTheme="minorEastAsia" w:eastAsiaTheme="minorEastAsia" w:cstheme="minorEastAsia"/>
                <w:bCs/>
                <w:color w:val="auto"/>
                <w:sz w:val="21"/>
                <w:szCs w:val="21"/>
                <w:highlight w:val="none"/>
                <w:vertAlign w:val="baseline"/>
                <w:lang w:val="en-US" w:eastAsia="zh-CN"/>
              </w:rPr>
              <w:t>2.5</w:t>
            </w:r>
          </w:p>
        </w:tc>
        <w:tc>
          <w:tcPr>
            <w:tcW w:w="1425" w:type="dxa"/>
            <w:noWrap w:val="0"/>
            <w:vAlign w:val="center"/>
          </w:tcPr>
          <w:p w14:paraId="7B970E03">
            <w:pPr>
              <w:spacing w:line="36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人员</w:t>
            </w:r>
            <w:r>
              <w:rPr>
                <w:rFonts w:hint="eastAsia" w:asciiTheme="minorEastAsia" w:hAnsiTheme="minorEastAsia" w:eastAsiaTheme="minorEastAsia" w:cstheme="minorEastAsia"/>
                <w:color w:val="auto"/>
                <w:sz w:val="21"/>
                <w:szCs w:val="21"/>
                <w:highlight w:val="none"/>
              </w:rPr>
              <w:t>稳定</w:t>
            </w:r>
            <w:r>
              <w:rPr>
                <w:rFonts w:hint="eastAsia" w:asciiTheme="minorEastAsia" w:hAnsiTheme="minorEastAsia" w:eastAsiaTheme="minorEastAsia" w:cstheme="minorEastAsia"/>
                <w:color w:val="auto"/>
                <w:sz w:val="21"/>
                <w:szCs w:val="21"/>
                <w:highlight w:val="none"/>
                <w:lang w:val="en-US" w:eastAsia="zh-CN"/>
              </w:rPr>
              <w:t>保障</w:t>
            </w:r>
            <w:r>
              <w:rPr>
                <w:rFonts w:hint="eastAsia" w:asciiTheme="minorEastAsia" w:hAnsiTheme="minorEastAsia" w:eastAsiaTheme="minorEastAsia" w:cstheme="minorEastAsia"/>
                <w:color w:val="auto"/>
                <w:sz w:val="21"/>
                <w:szCs w:val="21"/>
                <w:highlight w:val="none"/>
              </w:rPr>
              <w:t>的措施</w:t>
            </w:r>
            <w:r>
              <w:rPr>
                <w:rFonts w:hint="eastAsia" w:asciiTheme="minorEastAsia" w:hAnsiTheme="minorEastAsia" w:eastAsiaTheme="minorEastAsia" w:cstheme="minorEastAsia"/>
                <w:color w:val="auto"/>
                <w:spacing w:val="-2"/>
                <w:sz w:val="21"/>
                <w:szCs w:val="21"/>
                <w:highlight w:val="none"/>
              </w:rPr>
              <w:t>（</w:t>
            </w:r>
            <w:r>
              <w:rPr>
                <w:rFonts w:hint="eastAsia" w:asciiTheme="minorEastAsia" w:hAnsiTheme="minorEastAsia" w:eastAsiaTheme="minorEastAsia" w:cstheme="minorEastAsia"/>
                <w:color w:val="auto"/>
                <w:spacing w:val="-2"/>
                <w:sz w:val="21"/>
                <w:szCs w:val="21"/>
                <w:highlight w:val="none"/>
                <w:lang w:val="en-US" w:eastAsia="zh-CN"/>
              </w:rPr>
              <w:t>12</w:t>
            </w:r>
            <w:r>
              <w:rPr>
                <w:rFonts w:hint="eastAsia" w:asciiTheme="minorEastAsia" w:hAnsiTheme="minorEastAsia" w:eastAsiaTheme="minorEastAsia" w:cstheme="minorEastAsia"/>
                <w:color w:val="auto"/>
                <w:spacing w:val="-2"/>
                <w:sz w:val="21"/>
                <w:szCs w:val="21"/>
                <w:highlight w:val="none"/>
              </w:rPr>
              <w:t>分）</w:t>
            </w:r>
          </w:p>
        </w:tc>
        <w:tc>
          <w:tcPr>
            <w:tcW w:w="5927" w:type="dxa"/>
            <w:noWrap w:val="0"/>
            <w:vAlign w:val="top"/>
          </w:tcPr>
          <w:p w14:paraId="6512269B">
            <w:pPr>
              <w:keepNext w:val="0"/>
              <w:keepLines w:val="0"/>
              <w:widowControl/>
              <w:suppressLineNumbers w:val="0"/>
              <w:spacing w:line="360" w:lineRule="auto"/>
              <w:ind w:firstLine="422" w:firstLineChars="200"/>
              <w:jc w:val="left"/>
              <w:rPr>
                <w:rFonts w:hint="eastAsia"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eastAsiaTheme="minorEastAsia" w:cstheme="minorEastAsia"/>
                <w:b/>
                <w:bCs/>
                <w:color w:val="auto"/>
                <w:sz w:val="21"/>
                <w:szCs w:val="21"/>
                <w:highlight w:val="none"/>
                <w:lang w:val="en-US" w:eastAsia="zh-CN"/>
              </w:rPr>
              <w:t>五、人员</w:t>
            </w:r>
            <w:r>
              <w:rPr>
                <w:rFonts w:hint="eastAsia" w:asciiTheme="minorEastAsia" w:hAnsiTheme="minorEastAsia" w:eastAsiaTheme="minorEastAsia" w:cstheme="minorEastAsia"/>
                <w:b/>
                <w:bCs/>
                <w:color w:val="auto"/>
                <w:sz w:val="21"/>
                <w:szCs w:val="21"/>
                <w:highlight w:val="none"/>
              </w:rPr>
              <w:t>稳定</w:t>
            </w:r>
            <w:r>
              <w:rPr>
                <w:rFonts w:hint="eastAsia" w:asciiTheme="minorEastAsia" w:hAnsiTheme="minorEastAsia" w:eastAsiaTheme="minorEastAsia" w:cstheme="minorEastAsia"/>
                <w:b/>
                <w:bCs/>
                <w:color w:val="auto"/>
                <w:sz w:val="21"/>
                <w:szCs w:val="21"/>
                <w:highlight w:val="none"/>
                <w:lang w:val="en-US" w:eastAsia="zh-CN"/>
              </w:rPr>
              <w:t>保障</w:t>
            </w:r>
            <w:r>
              <w:rPr>
                <w:rFonts w:hint="eastAsia" w:asciiTheme="minorEastAsia" w:hAnsiTheme="minorEastAsia" w:eastAsiaTheme="minorEastAsia" w:cstheme="minorEastAsia"/>
                <w:b/>
                <w:bCs/>
                <w:color w:val="auto"/>
                <w:sz w:val="21"/>
                <w:szCs w:val="21"/>
                <w:highlight w:val="none"/>
              </w:rPr>
              <w:t>的措施</w:t>
            </w:r>
            <w:r>
              <w:rPr>
                <w:rFonts w:hint="eastAsia" w:asciiTheme="minorEastAsia" w:hAnsiTheme="minorEastAsia" w:eastAsiaTheme="minorEastAsia" w:cstheme="minorEastAsia"/>
                <w:b/>
                <w:bCs/>
                <w:color w:val="auto"/>
                <w:spacing w:val="-2"/>
                <w:sz w:val="21"/>
                <w:szCs w:val="21"/>
                <w:highlight w:val="none"/>
              </w:rPr>
              <w:t>（</w:t>
            </w:r>
            <w:r>
              <w:rPr>
                <w:rFonts w:hint="eastAsia" w:asciiTheme="minorEastAsia" w:hAnsiTheme="minorEastAsia" w:eastAsiaTheme="minorEastAsia" w:cstheme="minorEastAsia"/>
                <w:b/>
                <w:bCs/>
                <w:color w:val="auto"/>
                <w:spacing w:val="-2"/>
                <w:sz w:val="21"/>
                <w:szCs w:val="21"/>
                <w:highlight w:val="none"/>
                <w:lang w:val="en-US" w:eastAsia="zh-CN"/>
              </w:rPr>
              <w:t>12</w:t>
            </w:r>
            <w:r>
              <w:rPr>
                <w:rFonts w:hint="eastAsia" w:asciiTheme="minorEastAsia" w:hAnsiTheme="minorEastAsia" w:eastAsiaTheme="minorEastAsia" w:cstheme="minorEastAsia"/>
                <w:b/>
                <w:bCs/>
                <w:color w:val="auto"/>
                <w:spacing w:val="-2"/>
                <w:sz w:val="21"/>
                <w:szCs w:val="21"/>
                <w:highlight w:val="none"/>
              </w:rPr>
              <w:t>分）</w:t>
            </w:r>
          </w:p>
          <w:p w14:paraId="251F92A4">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bidi="ar"/>
              </w:rPr>
              <w:t>一档（3分）：方案内容简略，未结合本项目实际情况，内容不够具体明确，针对性与可操作性均存在不足。</w:t>
            </w:r>
          </w:p>
          <w:p w14:paraId="280BDF2F">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bidi="ar"/>
              </w:rPr>
              <w:t>二档（6分）：内容不够齐全，已结合本项目保洁、秩序维护、绿化等各岗位实际制定措施，措施具备可实施性且无不合理内容，能够满足队伍基本稳定的需求（涵盖①人员流失控制方案；②人员流失时及时补齐的方案；③人员录用及考核、淘汰机制）。</w:t>
            </w:r>
          </w:p>
          <w:p w14:paraId="584B05E5">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三档（9分）：内容齐全（包含①人员流失控制方案；②人员流失时及时补齐的方案；③人员录用及考核、淘汰机制；④人员激励机制；⑤人员变更方案），经评委评价，措施较为常规，未充分结合楼宇保洁、秩序安防、绿化管养等岗位的特殊性，对人员稳定的保障效果一般。</w:t>
            </w:r>
          </w:p>
          <w:p w14:paraId="44EF2AA6">
            <w:pPr>
              <w:keepNext w:val="0"/>
              <w:keepLines w:val="0"/>
              <w:widowControl/>
              <w:suppressLineNumbers w:val="0"/>
              <w:spacing w:line="360" w:lineRule="auto"/>
              <w:jc w:val="left"/>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四档（12分）：在三档基础上（包含①人员流失控制方案；②人员流失时及时补齐的方案；③人员录用及考核、淘汰机制；④人员激励机制；⑤人员变更方案；⑥人员工资福利承诺及计划），经评委评价，稳定本项目全体服务队伍（包括秩序维护员、保洁员、绿化员、项目主管、消防安全员等）的措施多元且全面；薪酬福利方案贴合本地政务服务岗位标准，具有较强竞争力；建立了分岗位的三级晋升体系及清晰的职业发展通道，可有效保障各岗位人员素质质量及稳定性。</w:t>
            </w:r>
          </w:p>
        </w:tc>
        <w:tc>
          <w:tcPr>
            <w:tcW w:w="636" w:type="dxa"/>
            <w:noWrap w:val="0"/>
            <w:vAlign w:val="center"/>
          </w:tcPr>
          <w:p w14:paraId="742A5CC1">
            <w:pPr>
              <w:spacing w:line="360" w:lineRule="auto"/>
              <w:jc w:val="center"/>
              <w:rPr>
                <w:rFonts w:hint="eastAsia" w:asciiTheme="minorEastAsia" w:hAnsiTheme="minorEastAsia" w:eastAsiaTheme="minorEastAsia" w:cstheme="minorEastAsia"/>
                <w:bCs/>
                <w:color w:val="auto"/>
                <w:sz w:val="21"/>
                <w:szCs w:val="21"/>
                <w:highlight w:val="none"/>
                <w:vertAlign w:val="baseline"/>
                <w:lang w:eastAsia="zh-CN"/>
              </w:rPr>
            </w:pPr>
            <w:r>
              <w:rPr>
                <w:rFonts w:hint="eastAsia" w:asciiTheme="minorEastAsia" w:hAnsiTheme="minorEastAsia" w:eastAsiaTheme="minorEastAsia" w:cstheme="minorEastAsia"/>
                <w:bCs/>
                <w:color w:val="auto"/>
                <w:sz w:val="21"/>
                <w:szCs w:val="21"/>
                <w:highlight w:val="none"/>
                <w:vertAlign w:val="baseline"/>
                <w:lang w:eastAsia="zh-CN"/>
              </w:rPr>
              <w:t>0~1</w:t>
            </w:r>
            <w:r>
              <w:rPr>
                <w:rFonts w:hint="eastAsia" w:asciiTheme="minorEastAsia" w:hAnsiTheme="minorEastAsia" w:eastAsiaTheme="minorEastAsia" w:cstheme="minorEastAsia"/>
                <w:bCs/>
                <w:color w:val="auto"/>
                <w:sz w:val="21"/>
                <w:szCs w:val="21"/>
                <w:highlight w:val="none"/>
                <w:vertAlign w:val="baseline"/>
                <w:lang w:val="en-US" w:eastAsia="zh-CN"/>
              </w:rPr>
              <w:t>2</w:t>
            </w:r>
          </w:p>
        </w:tc>
      </w:tr>
      <w:tr w14:paraId="3107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14:paraId="318B42A9">
            <w:pPr>
              <w:spacing w:line="36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vertAlign w:val="baseline"/>
                <w:lang w:val="en-US" w:eastAsia="zh-CN"/>
              </w:rPr>
              <w:t>2.6</w:t>
            </w:r>
          </w:p>
        </w:tc>
        <w:tc>
          <w:tcPr>
            <w:tcW w:w="1425" w:type="dxa"/>
            <w:noWrap w:val="0"/>
            <w:vAlign w:val="center"/>
          </w:tcPr>
          <w:p w14:paraId="4948A778">
            <w:pPr>
              <w:pStyle w:val="27"/>
              <w:spacing w:before="31" w:line="378" w:lineRule="auto"/>
              <w:ind w:right="54"/>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服务承诺（12分）</w:t>
            </w:r>
          </w:p>
          <w:p w14:paraId="28281F6A">
            <w:pPr>
              <w:spacing w:line="360" w:lineRule="auto"/>
              <w:jc w:val="center"/>
              <w:rPr>
                <w:rFonts w:hint="eastAsia" w:asciiTheme="minorEastAsia" w:hAnsiTheme="minorEastAsia" w:eastAsiaTheme="minorEastAsia" w:cstheme="minorEastAsia"/>
                <w:bCs/>
                <w:color w:val="auto"/>
                <w:sz w:val="21"/>
                <w:szCs w:val="21"/>
                <w:highlight w:val="none"/>
                <w:lang w:eastAsia="zh-CN"/>
              </w:rPr>
            </w:pPr>
          </w:p>
        </w:tc>
        <w:tc>
          <w:tcPr>
            <w:tcW w:w="5927" w:type="dxa"/>
            <w:noWrap w:val="0"/>
            <w:vAlign w:val="top"/>
          </w:tcPr>
          <w:p w14:paraId="5B63BD61">
            <w:pPr>
              <w:pStyle w:val="27"/>
              <w:spacing w:before="31" w:line="378" w:lineRule="auto"/>
              <w:ind w:left="111" w:right="54" w:firstLine="423"/>
              <w:rPr>
                <w:rFonts w:hint="eastAsia"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eastAsiaTheme="minorEastAsia" w:cstheme="minorEastAsia"/>
                <w:b/>
                <w:bCs/>
                <w:color w:val="auto"/>
                <w:kern w:val="0"/>
                <w:sz w:val="21"/>
                <w:szCs w:val="21"/>
                <w:highlight w:val="none"/>
                <w:lang w:val="en-US" w:eastAsia="zh-CN" w:bidi="ar"/>
              </w:rPr>
              <w:t>六、服务承诺（12分）</w:t>
            </w:r>
          </w:p>
          <w:p w14:paraId="05A34E03">
            <w:pPr>
              <w:pStyle w:val="27"/>
              <w:spacing w:before="31" w:line="378" w:lineRule="auto"/>
              <w:ind w:left="111" w:right="54" w:firstLine="423"/>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一档（3 分）：服务质量承诺内容简单、不完整、有缺漏、可操作性低，服务承诺无具体保障措施，无针对性。</w:t>
            </w:r>
          </w:p>
          <w:p w14:paraId="22DDAFAC">
            <w:pPr>
              <w:pStyle w:val="27"/>
              <w:spacing w:before="1" w:line="376" w:lineRule="auto"/>
              <w:ind w:left="113" w:right="109" w:firstLine="421"/>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二档（6 分） ：服务质量承诺内容较为完整，涵盖服务质量、服务效率等方面，具备基本的服务保障措施和管理流程，方案整体合理可行。</w:t>
            </w:r>
          </w:p>
          <w:p w14:paraId="489CBD39">
            <w:pPr>
              <w:pStyle w:val="27"/>
              <w:spacing w:before="1" w:line="377" w:lineRule="auto"/>
              <w:ind w:left="116" w:right="38" w:firstLine="414"/>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三档（9 分） ：服务质量承诺内容全面、条理清晰，在服务质量、服务效率和服务承诺方案方面设置合理、可执行性强，具备较为完善的保障机制。</w:t>
            </w:r>
          </w:p>
          <w:p w14:paraId="0E9CAC33">
            <w:pPr>
              <w:spacing w:line="360" w:lineRule="auto"/>
              <w:ind w:firstLine="420" w:firstLineChars="2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四档（12分）：服务质量承诺内容系统完整、描述明确具体，服务质量和服务效率标准合理且具备优质保障，方案针对性强，能配合采购人开展服务质量检查，定期实施客户满意度调查，及时响应并解决客户诉求，对管理问题积极沟通并持续改进。</w:t>
            </w:r>
          </w:p>
        </w:tc>
        <w:tc>
          <w:tcPr>
            <w:tcW w:w="636" w:type="dxa"/>
            <w:noWrap w:val="0"/>
            <w:vAlign w:val="center"/>
          </w:tcPr>
          <w:p w14:paraId="21135233">
            <w:pPr>
              <w:spacing w:line="360" w:lineRule="auto"/>
              <w:jc w:val="center"/>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color w:val="auto"/>
                <w:sz w:val="21"/>
                <w:szCs w:val="21"/>
                <w:highlight w:val="none"/>
                <w:vertAlign w:val="baseline"/>
                <w:lang w:eastAsia="zh-CN"/>
              </w:rPr>
              <w:t>0~</w:t>
            </w:r>
            <w:r>
              <w:rPr>
                <w:rFonts w:hint="eastAsia" w:asciiTheme="minorEastAsia" w:hAnsiTheme="minorEastAsia" w:eastAsiaTheme="minorEastAsia" w:cstheme="minorEastAsia"/>
                <w:bCs/>
                <w:color w:val="auto"/>
                <w:sz w:val="21"/>
                <w:szCs w:val="21"/>
                <w:highlight w:val="none"/>
                <w:vertAlign w:val="baseline"/>
                <w:lang w:val="en-US" w:eastAsia="zh-CN"/>
              </w:rPr>
              <w:t>12</w:t>
            </w:r>
          </w:p>
        </w:tc>
      </w:tr>
      <w:tr w14:paraId="50DF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14:paraId="7CC77451">
            <w:pPr>
              <w:spacing w:line="36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vertAlign w:val="baseline"/>
                <w:lang w:val="en-US" w:eastAsia="zh-CN"/>
              </w:rPr>
              <w:t>3</w:t>
            </w:r>
          </w:p>
        </w:tc>
        <w:tc>
          <w:tcPr>
            <w:tcW w:w="1425" w:type="dxa"/>
            <w:noWrap w:val="0"/>
            <w:vAlign w:val="center"/>
          </w:tcPr>
          <w:p w14:paraId="53F4703A">
            <w:pPr>
              <w:spacing w:line="36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vertAlign w:val="baseline"/>
                <w:lang w:eastAsia="zh-CN"/>
              </w:rPr>
              <w:t>商务分（满分</w:t>
            </w:r>
            <w:r>
              <w:rPr>
                <w:rFonts w:hint="eastAsia" w:asciiTheme="minorEastAsia" w:hAnsiTheme="minorEastAsia" w:eastAsiaTheme="minorEastAsia" w:cstheme="minorEastAsia"/>
                <w:bCs/>
                <w:color w:val="auto"/>
                <w:sz w:val="21"/>
                <w:szCs w:val="21"/>
                <w:highlight w:val="none"/>
                <w:vertAlign w:val="baseline"/>
                <w:lang w:val="en-US" w:eastAsia="zh-CN"/>
              </w:rPr>
              <w:t>10分</w:t>
            </w:r>
            <w:r>
              <w:rPr>
                <w:rFonts w:hint="eastAsia" w:asciiTheme="minorEastAsia" w:hAnsiTheme="minorEastAsia" w:eastAsiaTheme="minorEastAsia" w:cstheme="minorEastAsia"/>
                <w:bCs/>
                <w:color w:val="auto"/>
                <w:sz w:val="21"/>
                <w:szCs w:val="21"/>
                <w:highlight w:val="none"/>
                <w:vertAlign w:val="baseline"/>
                <w:lang w:eastAsia="zh-CN"/>
              </w:rPr>
              <w:t>）</w:t>
            </w:r>
          </w:p>
        </w:tc>
        <w:tc>
          <w:tcPr>
            <w:tcW w:w="5927" w:type="dxa"/>
            <w:noWrap w:val="0"/>
            <w:vAlign w:val="center"/>
          </w:tcPr>
          <w:p w14:paraId="56E616AB">
            <w:pPr>
              <w:spacing w:line="36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vertAlign w:val="baseline"/>
                <w:lang w:eastAsia="zh-CN"/>
              </w:rPr>
              <w:t>评分标准</w:t>
            </w:r>
          </w:p>
        </w:tc>
        <w:tc>
          <w:tcPr>
            <w:tcW w:w="636" w:type="dxa"/>
            <w:noWrap w:val="0"/>
            <w:vAlign w:val="center"/>
          </w:tcPr>
          <w:p w14:paraId="79B56A23">
            <w:pPr>
              <w:spacing w:line="360" w:lineRule="auto"/>
              <w:jc w:val="center"/>
              <w:rPr>
                <w:rFonts w:hint="eastAsia" w:asciiTheme="minorEastAsia" w:hAnsiTheme="minorEastAsia" w:eastAsiaTheme="minorEastAsia" w:cstheme="minorEastAsia"/>
                <w:bCs/>
                <w:color w:val="auto"/>
                <w:sz w:val="21"/>
                <w:szCs w:val="21"/>
                <w:highlight w:val="none"/>
              </w:rPr>
            </w:pPr>
          </w:p>
        </w:tc>
      </w:tr>
      <w:tr w14:paraId="06CC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4" w:hRule="atLeast"/>
        </w:trPr>
        <w:tc>
          <w:tcPr>
            <w:tcW w:w="534" w:type="dxa"/>
            <w:noWrap w:val="0"/>
            <w:vAlign w:val="center"/>
          </w:tcPr>
          <w:p w14:paraId="64191445">
            <w:pPr>
              <w:spacing w:line="360" w:lineRule="auto"/>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3.</w:t>
            </w:r>
            <w:r>
              <w:rPr>
                <w:rFonts w:hint="eastAsia" w:asciiTheme="minorEastAsia" w:hAnsiTheme="minorEastAsia" w:eastAsiaTheme="minorEastAsia" w:cstheme="minorEastAsia"/>
                <w:bCs/>
                <w:color w:val="auto"/>
                <w:sz w:val="21"/>
                <w:szCs w:val="21"/>
                <w:highlight w:val="none"/>
                <w:lang w:val="en-US" w:eastAsia="zh-CN"/>
              </w:rPr>
              <w:t>1</w:t>
            </w:r>
          </w:p>
        </w:tc>
        <w:tc>
          <w:tcPr>
            <w:tcW w:w="1425" w:type="dxa"/>
            <w:noWrap w:val="0"/>
            <w:vAlign w:val="center"/>
          </w:tcPr>
          <w:p w14:paraId="6D0BC2E8">
            <w:pPr>
              <w:spacing w:line="36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商务资信</w:t>
            </w:r>
          </w:p>
        </w:tc>
        <w:tc>
          <w:tcPr>
            <w:tcW w:w="5927" w:type="dxa"/>
            <w:noWrap w:val="0"/>
            <w:vAlign w:val="top"/>
          </w:tcPr>
          <w:p w14:paraId="4534127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rPr>
              <w:t>供应商同时通过质量管理体系、环境管理体系、职业健康安全管理体系认证，且在有效期内的：</w:t>
            </w:r>
          </w:p>
          <w:p w14:paraId="0F78693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质量管理体系认证证书（ISO9001） 得 1 分；</w:t>
            </w:r>
          </w:p>
          <w:p w14:paraId="6C4A928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 </w:t>
            </w:r>
            <w:r>
              <w:rPr>
                <w:rFonts w:hint="eastAsia" w:asciiTheme="minorEastAsia" w:hAnsiTheme="minorEastAsia" w:eastAsiaTheme="minorEastAsia" w:cstheme="minorEastAsia"/>
                <w:bCs/>
                <w:color w:val="auto"/>
                <w:sz w:val="21"/>
                <w:szCs w:val="21"/>
                <w:highlight w:val="none"/>
                <w:lang w:val="en-US" w:eastAsia="zh-CN"/>
              </w:rPr>
              <w:t xml:space="preserve">  </w:t>
            </w:r>
            <w:r>
              <w:rPr>
                <w:rFonts w:hint="eastAsia" w:asciiTheme="minorEastAsia" w:hAnsiTheme="minorEastAsia" w:eastAsiaTheme="minorEastAsia" w:cstheme="minorEastAsia"/>
                <w:bCs/>
                <w:color w:val="auto"/>
                <w:sz w:val="21"/>
                <w:szCs w:val="21"/>
                <w:highlight w:val="none"/>
              </w:rPr>
              <w:t>环境管理体系认证证书（ISO14001） 得 1 分；</w:t>
            </w:r>
          </w:p>
          <w:p w14:paraId="27B21773">
            <w:pPr>
              <w:keepNext w:val="0"/>
              <w:keepLines w:val="0"/>
              <w:pageBreakBefore w:val="0"/>
              <w:widowControl w:val="0"/>
              <w:kinsoku/>
              <w:wordWrap/>
              <w:overflowPunct/>
              <w:topLinePunct w:val="0"/>
              <w:autoSpaceDE/>
              <w:autoSpaceDN/>
              <w:bidi w:val="0"/>
              <w:adjustRightInd/>
              <w:snapToGrid/>
              <w:spacing w:line="400" w:lineRule="exact"/>
              <w:ind w:left="210" w:leftChars="100" w:firstLine="210" w:firstLineChars="1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职业健康安全管理体系认证证书（ISO45001） 得 1 分</w:t>
            </w:r>
          </w:p>
          <w:p w14:paraId="29039FA5">
            <w:pPr>
              <w:keepNext w:val="0"/>
              <w:keepLines w:val="0"/>
              <w:pageBreakBefore w:val="0"/>
              <w:widowControl w:val="0"/>
              <w:kinsoku/>
              <w:wordWrap/>
              <w:overflowPunct/>
              <w:topLinePunct w:val="0"/>
              <w:autoSpaceDE/>
              <w:autoSpaceDN/>
              <w:bidi w:val="0"/>
              <w:adjustRightInd/>
              <w:snapToGrid/>
              <w:spacing w:line="400" w:lineRule="exact"/>
              <w:ind w:left="210" w:leftChars="100" w:firstLine="210" w:firstLineChars="1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投标文件须提供认证证书复印件加盖公章；证书须在国家认证认可监督管理委员会官网可查询；证书在投标有效期内有效。</w:t>
            </w:r>
          </w:p>
        </w:tc>
        <w:tc>
          <w:tcPr>
            <w:tcW w:w="636" w:type="dxa"/>
            <w:noWrap w:val="0"/>
            <w:vAlign w:val="center"/>
          </w:tcPr>
          <w:p w14:paraId="49A33037">
            <w:pPr>
              <w:spacing w:line="360" w:lineRule="auto"/>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0~</w:t>
            </w:r>
            <w:r>
              <w:rPr>
                <w:rFonts w:hint="eastAsia" w:asciiTheme="minorEastAsia" w:hAnsiTheme="minorEastAsia" w:eastAsiaTheme="minorEastAsia" w:cstheme="minorEastAsia"/>
                <w:bCs/>
                <w:color w:val="auto"/>
                <w:sz w:val="21"/>
                <w:szCs w:val="21"/>
                <w:highlight w:val="none"/>
                <w:lang w:val="en-US" w:eastAsia="zh-CN"/>
              </w:rPr>
              <w:t>3</w:t>
            </w:r>
          </w:p>
        </w:tc>
      </w:tr>
      <w:tr w14:paraId="1B6E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14:paraId="2493F4C7">
            <w:pPr>
              <w:spacing w:line="360" w:lineRule="auto"/>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3.</w:t>
            </w:r>
            <w:r>
              <w:rPr>
                <w:rFonts w:hint="eastAsia" w:asciiTheme="minorEastAsia" w:hAnsiTheme="minorEastAsia" w:eastAsiaTheme="minorEastAsia" w:cstheme="minorEastAsia"/>
                <w:bCs/>
                <w:color w:val="auto"/>
                <w:sz w:val="21"/>
                <w:szCs w:val="21"/>
                <w:highlight w:val="none"/>
                <w:lang w:val="en-US" w:eastAsia="zh-CN"/>
              </w:rPr>
              <w:t>2</w:t>
            </w:r>
          </w:p>
        </w:tc>
        <w:tc>
          <w:tcPr>
            <w:tcW w:w="1425" w:type="dxa"/>
            <w:noWrap w:val="0"/>
            <w:vAlign w:val="center"/>
          </w:tcPr>
          <w:p w14:paraId="687A84AC">
            <w:pPr>
              <w:spacing w:line="36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商务资信</w:t>
            </w:r>
          </w:p>
        </w:tc>
        <w:tc>
          <w:tcPr>
            <w:tcW w:w="5927" w:type="dxa"/>
            <w:noWrap w:val="0"/>
            <w:vAlign w:val="top"/>
          </w:tcPr>
          <w:p w14:paraId="5BBB4DB9">
            <w:pPr>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rPr>
              <w:t>） 投标人202</w:t>
            </w: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年以来承接过类似项目，每项得</w:t>
            </w: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rPr>
              <w:t>分，满分</w:t>
            </w: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分（凭合同和中标通知书复印件，原件备查）</w:t>
            </w:r>
          </w:p>
        </w:tc>
        <w:tc>
          <w:tcPr>
            <w:tcW w:w="636" w:type="dxa"/>
            <w:noWrap w:val="0"/>
            <w:vAlign w:val="center"/>
          </w:tcPr>
          <w:p w14:paraId="170E39F0">
            <w:pPr>
              <w:spacing w:line="360" w:lineRule="auto"/>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0~</w:t>
            </w:r>
            <w:r>
              <w:rPr>
                <w:rFonts w:hint="eastAsia" w:asciiTheme="minorEastAsia" w:hAnsiTheme="minorEastAsia" w:eastAsiaTheme="minorEastAsia" w:cstheme="minorEastAsia"/>
                <w:bCs/>
                <w:color w:val="auto"/>
                <w:sz w:val="21"/>
                <w:szCs w:val="21"/>
                <w:highlight w:val="none"/>
                <w:lang w:val="en-US" w:eastAsia="zh-CN"/>
              </w:rPr>
              <w:t>3</w:t>
            </w:r>
          </w:p>
        </w:tc>
      </w:tr>
      <w:tr w14:paraId="0BDD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534" w:type="dxa"/>
            <w:noWrap w:val="0"/>
            <w:vAlign w:val="center"/>
          </w:tcPr>
          <w:p w14:paraId="53B26016">
            <w:pPr>
              <w:spacing w:line="360" w:lineRule="auto"/>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3.3</w:t>
            </w:r>
          </w:p>
        </w:tc>
        <w:tc>
          <w:tcPr>
            <w:tcW w:w="1425" w:type="dxa"/>
            <w:noWrap w:val="0"/>
            <w:vAlign w:val="center"/>
          </w:tcPr>
          <w:p w14:paraId="28B2FFAB">
            <w:pPr>
              <w:spacing w:line="360" w:lineRule="auto"/>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商务资信</w:t>
            </w:r>
          </w:p>
        </w:tc>
        <w:tc>
          <w:tcPr>
            <w:tcW w:w="5927" w:type="dxa"/>
            <w:noWrap w:val="0"/>
            <w:vAlign w:val="top"/>
          </w:tcPr>
          <w:p w14:paraId="516015C2">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Theme="minorEastAsia" w:hAnsiTheme="minorEastAsia" w:eastAsiaTheme="minorEastAsia" w:cstheme="minorEastAsia"/>
                <w:b w:val="0"/>
                <w:bCs/>
                <w:color w:val="auto"/>
                <w:kern w:val="0"/>
                <w:sz w:val="21"/>
                <w:szCs w:val="21"/>
                <w:highlight w:val="none"/>
                <w:lang w:val="en-US"/>
              </w:rPr>
            </w:pPr>
            <w:r>
              <w:rPr>
                <w:rStyle w:val="21"/>
                <w:rFonts w:hint="eastAsia" w:asciiTheme="minorEastAsia" w:hAnsiTheme="minorEastAsia" w:eastAsiaTheme="minorEastAsia" w:cstheme="minorEastAsia"/>
                <w:b w:val="0"/>
                <w:bCs/>
                <w:color w:val="auto"/>
                <w:sz w:val="21"/>
                <w:szCs w:val="21"/>
                <w:highlight w:val="none"/>
              </w:rPr>
              <w:t>拟投入本项目的项目经理须具有国家承认的本科及以上学历，且具有 5 年以上物业管理相关工作经验</w:t>
            </w:r>
            <w:r>
              <w:rPr>
                <w:rFonts w:hint="eastAsia" w:asciiTheme="minorEastAsia" w:hAnsiTheme="minorEastAsia" w:eastAsiaTheme="minorEastAsia" w:cstheme="minorEastAsia"/>
                <w:b w:val="0"/>
                <w:bCs/>
                <w:color w:val="auto"/>
                <w:kern w:val="0"/>
                <w:sz w:val="21"/>
                <w:szCs w:val="21"/>
                <w:highlight w:val="none"/>
                <w:lang w:val="en-US" w:eastAsia="zh-CN"/>
              </w:rPr>
              <w:t>，持有</w:t>
            </w:r>
            <w:r>
              <w:rPr>
                <w:rFonts w:hint="eastAsia" w:asciiTheme="minorEastAsia" w:hAnsiTheme="minorEastAsia" w:eastAsiaTheme="minorEastAsia" w:cstheme="minorEastAsia"/>
                <w:b w:val="0"/>
                <w:bCs/>
                <w:color w:val="auto"/>
                <w:spacing w:val="-1"/>
                <w:sz w:val="21"/>
                <w:szCs w:val="21"/>
                <w:highlight w:val="none"/>
                <w:lang w:val="en-US" w:eastAsia="zh-CN"/>
              </w:rPr>
              <w:t>CPR+AED心肺复苏培训合格证书的得1分。</w:t>
            </w:r>
          </w:p>
          <w:p w14:paraId="7B91C40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kern w:val="0"/>
                <w:sz w:val="21"/>
                <w:szCs w:val="21"/>
                <w:highlight w:val="none"/>
              </w:rPr>
              <w:t>投标文件中须提供人员身份证</w:t>
            </w:r>
            <w:r>
              <w:rPr>
                <w:rFonts w:hint="eastAsia" w:asciiTheme="minorEastAsia" w:hAnsiTheme="minorEastAsia" w:eastAsiaTheme="minorEastAsia" w:cstheme="minorEastAsia"/>
                <w:b w:val="0"/>
                <w:bCs/>
                <w:color w:val="auto"/>
                <w:kern w:val="0"/>
                <w:sz w:val="21"/>
                <w:szCs w:val="21"/>
                <w:highlight w:val="none"/>
                <w:lang w:val="en-US" w:eastAsia="zh-CN"/>
              </w:rPr>
              <w:t>、学历证书、</w:t>
            </w:r>
            <w:r>
              <w:rPr>
                <w:rFonts w:hint="eastAsia" w:asciiTheme="minorEastAsia" w:hAnsiTheme="minorEastAsia" w:eastAsiaTheme="minorEastAsia" w:cstheme="minorEastAsia"/>
                <w:b w:val="0"/>
                <w:bCs/>
                <w:color w:val="auto"/>
                <w:spacing w:val="-1"/>
                <w:sz w:val="21"/>
                <w:szCs w:val="21"/>
                <w:highlight w:val="none"/>
                <w:lang w:val="en-US" w:eastAsia="zh-CN"/>
              </w:rPr>
              <w:t>CPR+AED心肺复苏培训合格证书</w:t>
            </w:r>
            <w:r>
              <w:rPr>
                <w:rFonts w:hint="eastAsia" w:asciiTheme="minorEastAsia" w:hAnsiTheme="minorEastAsia" w:eastAsiaTheme="minorEastAsia" w:cstheme="minorEastAsia"/>
                <w:b w:val="0"/>
                <w:bCs/>
                <w:color w:val="auto"/>
                <w:kern w:val="0"/>
                <w:sz w:val="21"/>
                <w:szCs w:val="21"/>
                <w:highlight w:val="none"/>
              </w:rPr>
              <w:t>复印件，同时须提供</w:t>
            </w:r>
            <w:r>
              <w:rPr>
                <w:rFonts w:hint="eastAsia" w:asciiTheme="minorEastAsia" w:hAnsiTheme="minorEastAsia" w:eastAsiaTheme="minorEastAsia" w:cstheme="minorEastAsia"/>
                <w:b w:val="0"/>
                <w:bCs/>
                <w:color w:val="auto"/>
                <w:kern w:val="0"/>
                <w:sz w:val="21"/>
                <w:szCs w:val="21"/>
                <w:highlight w:val="none"/>
                <w:lang w:val="en-US" w:eastAsia="zh-CN"/>
              </w:rPr>
              <w:t>5年物业管理经验的证明文件、</w:t>
            </w:r>
            <w:r>
              <w:rPr>
                <w:rFonts w:hint="eastAsia" w:asciiTheme="minorEastAsia" w:hAnsiTheme="minorEastAsia" w:eastAsiaTheme="minorEastAsia" w:cstheme="minorEastAsia"/>
                <w:b w:val="0"/>
                <w:bCs/>
                <w:color w:val="auto"/>
                <w:kern w:val="0"/>
                <w:sz w:val="21"/>
                <w:szCs w:val="21"/>
                <w:highlight w:val="none"/>
              </w:rPr>
              <w:t>投标人为其缴纳的投标截止时间前半年内的任意一个月的社保证明</w:t>
            </w:r>
            <w:r>
              <w:rPr>
                <w:rFonts w:hint="eastAsia" w:asciiTheme="minorEastAsia" w:hAnsiTheme="minorEastAsia" w:eastAsiaTheme="minorEastAsia" w:cstheme="minorEastAsia"/>
                <w:b w:val="0"/>
                <w:bCs/>
                <w:color w:val="auto"/>
                <w:kern w:val="0"/>
                <w:sz w:val="21"/>
                <w:szCs w:val="21"/>
                <w:highlight w:val="none"/>
                <w:lang w:val="en-US" w:eastAsia="zh-CN"/>
              </w:rPr>
              <w:t>,</w:t>
            </w:r>
            <w:r>
              <w:rPr>
                <w:rFonts w:hint="eastAsia" w:asciiTheme="minorEastAsia" w:hAnsiTheme="minorEastAsia" w:eastAsiaTheme="minorEastAsia" w:cstheme="minorEastAsia"/>
                <w:b w:val="0"/>
                <w:bCs/>
                <w:color w:val="auto"/>
                <w:kern w:val="0"/>
                <w:sz w:val="21"/>
                <w:szCs w:val="21"/>
                <w:highlight w:val="none"/>
              </w:rPr>
              <w:t>不提供或不符合的不得分</w:t>
            </w:r>
            <w:r>
              <w:rPr>
                <w:rFonts w:hint="eastAsia" w:asciiTheme="minorEastAsia" w:hAnsiTheme="minorEastAsia" w:eastAsiaTheme="minorEastAsia" w:cstheme="minorEastAsia"/>
                <w:b w:val="0"/>
                <w:bCs/>
                <w:color w:val="auto"/>
                <w:kern w:val="0"/>
                <w:sz w:val="21"/>
                <w:szCs w:val="21"/>
                <w:highlight w:val="none"/>
                <w:lang w:eastAsia="zh-CN"/>
              </w:rPr>
              <w:t>）</w:t>
            </w:r>
            <w:r>
              <w:rPr>
                <w:rFonts w:hint="eastAsia" w:asciiTheme="minorEastAsia" w:hAnsiTheme="minorEastAsia" w:eastAsiaTheme="minorEastAsia" w:cstheme="minorEastAsia"/>
                <w:b w:val="0"/>
                <w:bCs/>
                <w:color w:val="auto"/>
                <w:kern w:val="0"/>
                <w:sz w:val="21"/>
                <w:szCs w:val="21"/>
                <w:highlight w:val="none"/>
              </w:rPr>
              <w:t>。</w:t>
            </w:r>
          </w:p>
        </w:tc>
        <w:tc>
          <w:tcPr>
            <w:tcW w:w="636" w:type="dxa"/>
            <w:noWrap w:val="0"/>
            <w:vAlign w:val="center"/>
          </w:tcPr>
          <w:p w14:paraId="1A193156">
            <w:pPr>
              <w:spacing w:line="360" w:lineRule="auto"/>
              <w:jc w:val="center"/>
              <w:rPr>
                <w:rFonts w:hint="eastAsia" w:asciiTheme="minorEastAsia" w:hAnsiTheme="minorEastAsia" w:eastAsiaTheme="minorEastAsia" w:cstheme="minorEastAsia"/>
                <w:b/>
                <w:bCs w:val="0"/>
                <w:color w:val="auto"/>
                <w:sz w:val="21"/>
                <w:szCs w:val="21"/>
                <w:highlight w:val="none"/>
                <w:lang w:val="en-US" w:eastAsia="zh-CN"/>
              </w:rPr>
            </w:pPr>
            <w:r>
              <w:rPr>
                <w:rFonts w:hint="eastAsia" w:asciiTheme="minorEastAsia" w:hAnsiTheme="minorEastAsia" w:eastAsiaTheme="minorEastAsia" w:cstheme="minorEastAsia"/>
                <w:b/>
                <w:bCs w:val="0"/>
                <w:color w:val="auto"/>
                <w:sz w:val="21"/>
                <w:szCs w:val="21"/>
                <w:highlight w:val="none"/>
              </w:rPr>
              <w:t>0~</w:t>
            </w:r>
            <w:r>
              <w:rPr>
                <w:rFonts w:hint="eastAsia" w:asciiTheme="minorEastAsia" w:hAnsiTheme="minorEastAsia" w:eastAsiaTheme="minorEastAsia" w:cstheme="minorEastAsia"/>
                <w:b/>
                <w:bCs w:val="0"/>
                <w:color w:val="auto"/>
                <w:sz w:val="21"/>
                <w:szCs w:val="21"/>
                <w:highlight w:val="none"/>
                <w:lang w:val="en-US" w:eastAsia="zh-CN"/>
              </w:rPr>
              <w:t>1</w:t>
            </w:r>
          </w:p>
        </w:tc>
      </w:tr>
      <w:tr w14:paraId="2635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14:paraId="0F899EFC">
            <w:pPr>
              <w:spacing w:line="360" w:lineRule="auto"/>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3.4</w:t>
            </w:r>
          </w:p>
        </w:tc>
        <w:tc>
          <w:tcPr>
            <w:tcW w:w="1425" w:type="dxa"/>
            <w:noWrap w:val="0"/>
            <w:vAlign w:val="center"/>
          </w:tcPr>
          <w:p w14:paraId="3E66C6AD">
            <w:pPr>
              <w:spacing w:line="360" w:lineRule="auto"/>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商务资信</w:t>
            </w:r>
          </w:p>
        </w:tc>
        <w:tc>
          <w:tcPr>
            <w:tcW w:w="5927" w:type="dxa"/>
            <w:noWrap w:val="0"/>
            <w:vAlign w:val="top"/>
          </w:tcPr>
          <w:p w14:paraId="2A75631B">
            <w:pPr>
              <w:spacing w:line="360" w:lineRule="auto"/>
              <w:ind w:firstLine="420" w:firstLineChars="200"/>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rPr>
              <w:t>拟投入</w:t>
            </w:r>
            <w:r>
              <w:rPr>
                <w:rFonts w:hint="eastAsia" w:asciiTheme="minorEastAsia" w:hAnsiTheme="minorEastAsia" w:eastAsiaTheme="minorEastAsia" w:cstheme="minorEastAsia"/>
                <w:b w:val="0"/>
                <w:bCs/>
                <w:color w:val="auto"/>
                <w:sz w:val="21"/>
                <w:szCs w:val="21"/>
                <w:highlight w:val="none"/>
                <w:lang w:val="en-US" w:eastAsia="zh-CN"/>
              </w:rPr>
              <w:t>的安保人员持有安保员资格证率达100%的得</w:t>
            </w:r>
            <w:bookmarkStart w:id="278" w:name="_GoBack"/>
            <w:bookmarkEnd w:id="278"/>
            <w:r>
              <w:rPr>
                <w:rFonts w:hint="eastAsia" w:asciiTheme="minorEastAsia" w:hAnsiTheme="minorEastAsia" w:eastAsiaTheme="minorEastAsia" w:cstheme="minorEastAsia"/>
                <w:b w:val="0"/>
                <w:bCs/>
                <w:color w:val="auto"/>
                <w:sz w:val="21"/>
                <w:szCs w:val="21"/>
                <w:highlight w:val="none"/>
                <w:lang w:val="en-US" w:eastAsia="zh-CN"/>
              </w:rPr>
              <w:t>3分，安保员资格证率低于100%高于或等于80%的得2分，安保员资格证率低于80%高于或等于50%的得1分，低于50%的不得分。</w:t>
            </w:r>
          </w:p>
          <w:p w14:paraId="4A4AAD3C">
            <w:pPr>
              <w:spacing w:line="360" w:lineRule="auto"/>
              <w:ind w:firstLine="420" w:firstLineChars="200"/>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kern w:val="0"/>
                <w:sz w:val="21"/>
                <w:szCs w:val="21"/>
                <w:highlight w:val="none"/>
              </w:rPr>
              <w:t>投标文件中须提供由公安</w:t>
            </w:r>
            <w:r>
              <w:rPr>
                <w:rFonts w:hint="eastAsia" w:asciiTheme="minorEastAsia" w:hAnsiTheme="minorEastAsia" w:eastAsiaTheme="minorEastAsia" w:cstheme="minorEastAsia"/>
                <w:b w:val="0"/>
                <w:bCs/>
                <w:color w:val="auto"/>
                <w:kern w:val="0"/>
                <w:sz w:val="21"/>
                <w:szCs w:val="21"/>
                <w:highlight w:val="none"/>
                <w:lang w:val="en-US" w:eastAsia="zh-CN"/>
              </w:rPr>
              <w:t>部门</w:t>
            </w:r>
            <w:r>
              <w:rPr>
                <w:rFonts w:hint="eastAsia" w:asciiTheme="minorEastAsia" w:hAnsiTheme="minorEastAsia" w:eastAsiaTheme="minorEastAsia" w:cstheme="minorEastAsia"/>
                <w:b w:val="0"/>
                <w:bCs/>
                <w:color w:val="auto"/>
                <w:kern w:val="0"/>
                <w:sz w:val="21"/>
                <w:szCs w:val="21"/>
                <w:highlight w:val="none"/>
              </w:rPr>
              <w:t>印发的安保员资格证复印件并加盖公章</w:t>
            </w:r>
            <w:r>
              <w:rPr>
                <w:rFonts w:hint="eastAsia" w:asciiTheme="minorEastAsia" w:hAnsiTheme="minorEastAsia" w:eastAsiaTheme="minorEastAsia" w:cstheme="minorEastAsia"/>
                <w:b w:val="0"/>
                <w:bCs/>
                <w:color w:val="auto"/>
                <w:kern w:val="0"/>
                <w:sz w:val="21"/>
                <w:szCs w:val="21"/>
                <w:highlight w:val="none"/>
                <w:lang w:eastAsia="zh-CN"/>
              </w:rPr>
              <w:t>。</w:t>
            </w:r>
          </w:p>
        </w:tc>
        <w:tc>
          <w:tcPr>
            <w:tcW w:w="636" w:type="dxa"/>
            <w:noWrap w:val="0"/>
            <w:vAlign w:val="center"/>
          </w:tcPr>
          <w:p w14:paraId="7501291C">
            <w:pPr>
              <w:spacing w:line="360" w:lineRule="auto"/>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0~</w:t>
            </w:r>
            <w:r>
              <w:rPr>
                <w:rFonts w:hint="eastAsia" w:asciiTheme="minorEastAsia" w:hAnsiTheme="minorEastAsia" w:eastAsiaTheme="minorEastAsia" w:cstheme="minorEastAsia"/>
                <w:bCs/>
                <w:color w:val="auto"/>
                <w:sz w:val="21"/>
                <w:szCs w:val="21"/>
                <w:highlight w:val="none"/>
                <w:lang w:val="en-US" w:eastAsia="zh-CN"/>
              </w:rPr>
              <w:t>3</w:t>
            </w:r>
          </w:p>
        </w:tc>
      </w:tr>
      <w:tr w14:paraId="74ED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14:paraId="46283BF1">
            <w:pPr>
              <w:spacing w:line="360" w:lineRule="auto"/>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3.</w:t>
            </w:r>
            <w:r>
              <w:rPr>
                <w:rFonts w:hint="eastAsia" w:asciiTheme="minorEastAsia" w:hAnsiTheme="minorEastAsia" w:eastAsiaTheme="minorEastAsia" w:cstheme="minorEastAsia"/>
                <w:bCs/>
                <w:color w:val="auto"/>
                <w:sz w:val="21"/>
                <w:szCs w:val="21"/>
                <w:highlight w:val="none"/>
                <w:lang w:val="en-US" w:eastAsia="zh-CN"/>
              </w:rPr>
              <w:t>5</w:t>
            </w:r>
          </w:p>
        </w:tc>
        <w:tc>
          <w:tcPr>
            <w:tcW w:w="1425" w:type="dxa"/>
            <w:noWrap w:val="0"/>
            <w:vAlign w:val="center"/>
          </w:tcPr>
          <w:p w14:paraId="2B91312A">
            <w:pPr>
              <w:spacing w:line="36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商务资信</w:t>
            </w:r>
          </w:p>
        </w:tc>
        <w:tc>
          <w:tcPr>
            <w:tcW w:w="5927" w:type="dxa"/>
            <w:noWrap w:val="0"/>
            <w:vAlign w:val="top"/>
          </w:tcPr>
          <w:p w14:paraId="73D5515A">
            <w:pPr>
              <w:adjustRightInd w:val="0"/>
              <w:spacing w:line="360" w:lineRule="auto"/>
              <w:ind w:right="33" w:firstLine="420" w:firstLineChars="200"/>
              <w:textAlignment w:val="baseline"/>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投标人在截标日前1年内在政府采购活动中存在违约违规情形的（以财政部门出具的书面材料为评分依据），每次扣除3分，最高扣分6分扣完为止。</w:t>
            </w:r>
          </w:p>
        </w:tc>
        <w:tc>
          <w:tcPr>
            <w:tcW w:w="636" w:type="dxa"/>
            <w:noWrap w:val="0"/>
            <w:vAlign w:val="center"/>
          </w:tcPr>
          <w:p w14:paraId="2C68E967">
            <w:pPr>
              <w:spacing w:line="36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-6~0</w:t>
            </w:r>
          </w:p>
        </w:tc>
      </w:tr>
    </w:tbl>
    <w:p w14:paraId="28690DA0">
      <w:pPr>
        <w:pStyle w:val="13"/>
        <w:spacing w:line="360" w:lineRule="auto"/>
        <w:ind w:firstLine="400" w:firstLineChars="200"/>
        <w:rPr>
          <w:rFonts w:hint="eastAsia" w:hAnsi="宋体"/>
          <w:bCs/>
        </w:rPr>
      </w:pPr>
      <w:r>
        <w:rPr>
          <w:rFonts w:hint="eastAsia" w:hAnsi="宋体"/>
          <w:bCs/>
        </w:rPr>
        <w:t>8.2商务技术评审因素为客观评分项的，应在评分项目或评分标准中予以标注为“客观分”。对供应商的客观评分项目，各评审专家评分应当一致。</w:t>
      </w:r>
    </w:p>
    <w:p w14:paraId="10A30B41">
      <w:pPr>
        <w:spacing w:line="360" w:lineRule="auto"/>
        <w:ind w:firstLine="420" w:firstLineChars="200"/>
        <w:rPr>
          <w:rFonts w:hint="eastAsia" w:ascii="宋体" w:hAnsi="宋体" w:cs="宋体"/>
          <w:color w:val="000000"/>
        </w:rPr>
      </w:pPr>
      <w:bookmarkStart w:id="81" w:name="_Toc80205935"/>
      <w:r>
        <w:rPr>
          <w:rFonts w:hint="eastAsia" w:ascii="宋体" w:hAnsi="宋体" w:cs="宋体"/>
          <w:color w:val="000000"/>
        </w:rPr>
        <w:t>8.3.终止竞争性磋商采购活动</w:t>
      </w:r>
    </w:p>
    <w:p w14:paraId="27245A70">
      <w:pPr>
        <w:spacing w:line="360" w:lineRule="auto"/>
        <w:ind w:firstLine="420" w:firstLineChars="200"/>
        <w:rPr>
          <w:rFonts w:hint="eastAsia" w:ascii="宋体" w:hAnsi="宋体" w:cs="宋体"/>
          <w:color w:val="000000"/>
        </w:rPr>
      </w:pPr>
      <w:r>
        <w:rPr>
          <w:rFonts w:hint="eastAsia" w:ascii="宋体" w:hAnsi="宋体" w:cs="宋体"/>
          <w:color w:val="000000"/>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78D3807B">
      <w:pPr>
        <w:pStyle w:val="3"/>
        <w:spacing w:before="0" w:after="0" w:line="360" w:lineRule="auto"/>
        <w:ind w:firstLine="640" w:firstLineChars="200"/>
        <w:jc w:val="center"/>
        <w:rPr>
          <w:rFonts w:hint="eastAsia" w:ascii="宋体" w:hAnsi="宋体" w:cs="宋体"/>
          <w:b w:val="0"/>
        </w:rPr>
      </w:pPr>
    </w:p>
    <w:p w14:paraId="6D0BE737">
      <w:pPr>
        <w:pStyle w:val="3"/>
        <w:spacing w:before="0" w:after="0" w:line="360" w:lineRule="auto"/>
        <w:ind w:firstLine="640" w:firstLineChars="200"/>
        <w:jc w:val="center"/>
        <w:rPr>
          <w:rFonts w:hint="eastAsia" w:ascii="宋体" w:hAnsi="宋体"/>
          <w:b w:val="0"/>
        </w:rPr>
      </w:pPr>
      <w:bookmarkStart w:id="82" w:name="_Toc80886939"/>
      <w:r>
        <w:rPr>
          <w:rFonts w:hint="eastAsia" w:ascii="宋体" w:hAnsi="宋体"/>
          <w:b w:val="0"/>
        </w:rPr>
        <w:t>第二节 评标报告</w:t>
      </w:r>
      <w:bookmarkEnd w:id="81"/>
      <w:bookmarkEnd w:id="82"/>
    </w:p>
    <w:p w14:paraId="4875DD18">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1.成交标准</w:t>
      </w:r>
    </w:p>
    <w:p w14:paraId="39EE9486">
      <w:pPr>
        <w:spacing w:line="360" w:lineRule="auto"/>
        <w:ind w:firstLine="420" w:firstLineChars="200"/>
        <w:rPr>
          <w:rFonts w:hint="eastAsia" w:ascii="宋体" w:hAnsi="宋体" w:cs="宋体"/>
          <w:sz w:val="24"/>
        </w:rPr>
      </w:pPr>
      <w:r>
        <w:rPr>
          <w:rFonts w:hint="eastAsia" w:ascii="宋体" w:hAnsi="宋体"/>
          <w:bCs/>
          <w:szCs w:val="21"/>
        </w:rPr>
        <w:t>由磋商小组根据综合评分情况，按照评审得分由高到低顺序推荐3名以上成交候选供应商</w:t>
      </w:r>
      <w:r>
        <w:rPr>
          <w:rFonts w:hint="eastAsia" w:ascii="宋体" w:hAnsi="宋体" w:cs="宋体"/>
          <w:color w:val="000000"/>
        </w:rPr>
        <w:t>,并在线编写电子评审报告</w:t>
      </w:r>
      <w:r>
        <w:rPr>
          <w:rFonts w:hint="eastAsia" w:ascii="宋体" w:hAnsi="宋体"/>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172043C">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2.评标争议事项处理</w:t>
      </w:r>
    </w:p>
    <w:p w14:paraId="05977894">
      <w:pPr>
        <w:pStyle w:val="24"/>
        <w:spacing w:before="0"/>
        <w:ind w:firstLine="420"/>
        <w:rPr>
          <w:rFonts w:hint="eastAsia" w:ascii="宋体" w:hAnsi="宋体" w:cs="宋体"/>
          <w:color w:val="000000"/>
          <w:kern w:val="2"/>
          <w:sz w:val="21"/>
          <w:szCs w:val="24"/>
        </w:rPr>
      </w:pPr>
      <w:r>
        <w:rPr>
          <w:rFonts w:hint="eastAsia" w:ascii="宋体" w:hAnsi="宋体" w:cs="宋体"/>
          <w:color w:val="000000"/>
          <w:kern w:val="2"/>
          <w:sz w:val="21"/>
          <w:szCs w:val="24"/>
        </w:rPr>
        <w:t>磋商小组成员对需要共同认定的事项存在争议的，应当按照少数服从多数的原则作出结论。持不同意见的磋商小组成员应当在评标报告上签署不同意见及理由，否则视为同意评标报告。</w:t>
      </w:r>
    </w:p>
    <w:p w14:paraId="6F70D829">
      <w:pPr>
        <w:pStyle w:val="3"/>
        <w:spacing w:before="0" w:after="0" w:line="360" w:lineRule="auto"/>
        <w:ind w:firstLine="640" w:firstLineChars="200"/>
        <w:jc w:val="center"/>
        <w:rPr>
          <w:rFonts w:hint="eastAsia" w:ascii="宋体" w:hAnsi="宋体" w:cs="宋体"/>
          <w:b w:val="0"/>
        </w:rPr>
      </w:pPr>
      <w:bookmarkStart w:id="83" w:name="_Toc80205936"/>
      <w:bookmarkStart w:id="84" w:name="_Toc80886940"/>
      <w:r>
        <w:rPr>
          <w:rFonts w:hint="eastAsia" w:ascii="宋体" w:hAnsi="宋体"/>
          <w:b w:val="0"/>
        </w:rPr>
        <w:t>第三节 评审过程的保密与录像</w:t>
      </w:r>
      <w:bookmarkEnd w:id="83"/>
      <w:bookmarkEnd w:id="84"/>
    </w:p>
    <w:p w14:paraId="16AA7C18">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1.保密。</w:t>
      </w:r>
    </w:p>
    <w:p w14:paraId="3830DFD3">
      <w:pPr>
        <w:widowControl/>
        <w:spacing w:line="360" w:lineRule="auto"/>
        <w:ind w:firstLine="420" w:firstLineChars="200"/>
        <w:rPr>
          <w:rFonts w:hint="eastAsia" w:ascii="宋体" w:hAnsi="宋体" w:cs="宋体"/>
          <w:color w:val="000000"/>
        </w:rPr>
      </w:pPr>
      <w:r>
        <w:rPr>
          <w:rFonts w:hint="eastAsia" w:ascii="宋体" w:hAnsi="宋体" w:cs="宋体"/>
          <w:color w:val="000000"/>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10E3FC90">
      <w:pPr>
        <w:widowControl/>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2.录音录像。</w:t>
      </w:r>
    </w:p>
    <w:p w14:paraId="0652C9B1">
      <w:pPr>
        <w:spacing w:line="360" w:lineRule="auto"/>
        <w:ind w:firstLine="420" w:firstLineChars="200"/>
        <w:rPr>
          <w:rFonts w:hint="eastAsia" w:ascii="宋体" w:hAnsi="宋体" w:cs="宋体"/>
          <w:color w:val="000000"/>
        </w:rPr>
      </w:pPr>
      <w:r>
        <w:rPr>
          <w:rFonts w:hint="eastAsia" w:ascii="宋体" w:hAnsi="宋体" w:cs="宋体"/>
          <w:color w:val="000000"/>
        </w:rPr>
        <w:t>采购代理机构对评审工作现场及操作屏幕进行全过程录音录像，录音录像资料作为采购项目文件随其他文件一并存档。</w:t>
      </w:r>
    </w:p>
    <w:p w14:paraId="2B38BF82">
      <w:pPr>
        <w:spacing w:line="400" w:lineRule="exact"/>
        <w:ind w:firstLine="420" w:firstLineChars="200"/>
        <w:rPr>
          <w:rFonts w:hint="eastAsia" w:ascii="宋体" w:hAnsi="宋体" w:cs="宋体"/>
        </w:rPr>
      </w:pPr>
    </w:p>
    <w:p w14:paraId="33C9C4D3">
      <w:pPr>
        <w:spacing w:line="400" w:lineRule="exact"/>
        <w:ind w:firstLine="420" w:firstLineChars="200"/>
        <w:rPr>
          <w:rFonts w:hint="eastAsia" w:ascii="宋体" w:hAnsi="宋体" w:cs="宋体"/>
        </w:rPr>
      </w:pPr>
    </w:p>
    <w:p w14:paraId="7EEAF161">
      <w:pPr>
        <w:pStyle w:val="3"/>
        <w:rPr>
          <w:rFonts w:hint="eastAsia" w:cs="宋体"/>
        </w:rPr>
      </w:pPr>
    </w:p>
    <w:p w14:paraId="73305DA4">
      <w:pPr>
        <w:pStyle w:val="3"/>
        <w:jc w:val="center"/>
      </w:pPr>
      <w:r>
        <w:rPr>
          <w:b w:val="0"/>
          <w:bCs w:val="0"/>
        </w:rPr>
        <w:br w:type="page"/>
      </w:r>
    </w:p>
    <w:p w14:paraId="36629D28">
      <w:pPr>
        <w:pStyle w:val="3"/>
        <w:jc w:val="center"/>
      </w:pPr>
    </w:p>
    <w:p w14:paraId="73EB7416">
      <w:pPr>
        <w:pStyle w:val="3"/>
        <w:jc w:val="center"/>
      </w:pPr>
    </w:p>
    <w:p w14:paraId="502C0F5F">
      <w:pPr>
        <w:pStyle w:val="3"/>
        <w:jc w:val="center"/>
      </w:pPr>
    </w:p>
    <w:p w14:paraId="135B30A3">
      <w:pPr>
        <w:pStyle w:val="3"/>
        <w:jc w:val="center"/>
      </w:pPr>
    </w:p>
    <w:p w14:paraId="6C81FD5B">
      <w:pPr>
        <w:pStyle w:val="3"/>
        <w:jc w:val="center"/>
      </w:pPr>
    </w:p>
    <w:p w14:paraId="7F0DA715">
      <w:pPr>
        <w:pStyle w:val="2"/>
        <w:jc w:val="center"/>
      </w:pPr>
      <w:bookmarkStart w:id="85" w:name="_Toc80886941"/>
      <w:r>
        <w:rPr>
          <w:rFonts w:hint="eastAsia"/>
        </w:rPr>
        <w:t>第五章</w:t>
      </w:r>
      <w:r>
        <w:t xml:space="preserve"> </w:t>
      </w:r>
      <w:r>
        <w:rPr>
          <w:rFonts w:hint="eastAsia"/>
        </w:rPr>
        <w:t>响应文件格式</w:t>
      </w:r>
      <w:bookmarkEnd w:id="85"/>
    </w:p>
    <w:p w14:paraId="6C55D3C7">
      <w:pPr>
        <w:widowControl/>
        <w:spacing w:line="576" w:lineRule="auto"/>
        <w:jc w:val="left"/>
        <w:rPr>
          <w:b/>
          <w:bCs/>
          <w:kern w:val="44"/>
          <w:sz w:val="44"/>
          <w:szCs w:val="44"/>
        </w:rPr>
        <w:sectPr>
          <w:pgSz w:w="11910" w:h="16840"/>
          <w:pgMar w:top="1340" w:right="1500" w:bottom="280" w:left="1680" w:header="720" w:footer="720" w:gutter="0"/>
          <w:pgNumType w:fmt="decimal"/>
          <w:cols w:space="720" w:num="1"/>
        </w:sectPr>
      </w:pPr>
    </w:p>
    <w:p w14:paraId="18B72C48">
      <w:pPr>
        <w:pStyle w:val="3"/>
        <w:jc w:val="center"/>
        <w:rPr>
          <w:rFonts w:ascii="宋体" w:hAnsi="宋体"/>
          <w:b w:val="0"/>
        </w:rPr>
      </w:pPr>
      <w:bookmarkStart w:id="86" w:name="_Toc80886942"/>
      <w:bookmarkStart w:id="87" w:name="_Toc80205938"/>
      <w:r>
        <w:rPr>
          <w:rFonts w:hint="eastAsia" w:ascii="宋体" w:hAnsi="宋体"/>
          <w:b w:val="0"/>
        </w:rPr>
        <w:t>第一节 封面格式</w:t>
      </w:r>
      <w:bookmarkEnd w:id="86"/>
      <w:bookmarkEnd w:id="87"/>
    </w:p>
    <w:p w14:paraId="36ABAA1C">
      <w:pPr>
        <w:snapToGrid w:val="0"/>
        <w:spacing w:before="120" w:beforeLines="50" w:after="50"/>
        <w:rPr>
          <w:rFonts w:hint="eastAsia" w:ascii="宋体" w:hAnsi="宋体"/>
          <w:sz w:val="24"/>
          <w:szCs w:val="20"/>
        </w:rPr>
      </w:pPr>
    </w:p>
    <w:p w14:paraId="4DCC9678">
      <w:pPr>
        <w:snapToGrid w:val="0"/>
        <w:spacing w:before="120" w:beforeLines="50" w:after="50"/>
        <w:jc w:val="center"/>
        <w:rPr>
          <w:rFonts w:hint="eastAsia" w:ascii="宋体" w:hAnsi="宋体"/>
          <w:bCs/>
          <w:sz w:val="24"/>
          <w:szCs w:val="20"/>
        </w:rPr>
      </w:pPr>
    </w:p>
    <w:p w14:paraId="02B4DF42">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响  应  文  件</w:t>
      </w:r>
    </w:p>
    <w:p w14:paraId="546542C9">
      <w:pPr>
        <w:snapToGrid w:val="0"/>
        <w:spacing w:before="120" w:beforeLines="50" w:after="50"/>
        <w:rPr>
          <w:rFonts w:hint="eastAsia" w:ascii="宋体" w:hAnsi="宋体"/>
          <w:bCs/>
          <w:sz w:val="24"/>
          <w:szCs w:val="20"/>
        </w:rPr>
      </w:pPr>
    </w:p>
    <w:p w14:paraId="42CF15F2">
      <w:pPr>
        <w:snapToGrid w:val="0"/>
        <w:spacing w:before="120" w:beforeLines="50" w:after="50"/>
        <w:rPr>
          <w:rFonts w:hint="eastAsia" w:ascii="宋体" w:hAnsi="宋体"/>
          <w:bCs/>
          <w:sz w:val="24"/>
          <w:szCs w:val="20"/>
        </w:rPr>
      </w:pPr>
    </w:p>
    <w:p w14:paraId="6C6823DD">
      <w:pPr>
        <w:snapToGrid w:val="0"/>
        <w:spacing w:before="120" w:beforeLines="50" w:after="50"/>
        <w:rPr>
          <w:rFonts w:hint="eastAsia" w:ascii="仿宋_GB2312" w:hAnsi="仿宋_GB2312" w:eastAsia="仿宋_GB2312" w:cs="仿宋_GB2312"/>
          <w:bCs/>
          <w:sz w:val="32"/>
          <w:szCs w:val="32"/>
        </w:rPr>
      </w:pPr>
    </w:p>
    <w:p w14:paraId="3EA8F3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宋体" w:hAnsi="宋体" w:cs="仿宋_GB2312"/>
          <w:bCs/>
          <w:sz w:val="32"/>
          <w:szCs w:val="32"/>
        </w:rPr>
      </w:pPr>
      <w:r>
        <w:rPr>
          <w:rFonts w:hint="eastAsia" w:ascii="宋体" w:hAnsi="宋体" w:eastAsia="宋体" w:cs="仿宋_GB2312"/>
          <w:b w:val="0"/>
          <w:bCs/>
          <w:kern w:val="2"/>
          <w:sz w:val="32"/>
          <w:szCs w:val="32"/>
          <w:lang w:val="en-US" w:eastAsia="zh-CN" w:bidi="ar-SA"/>
        </w:rPr>
        <w:t>项目名称：</w:t>
      </w:r>
      <w:r>
        <w:rPr>
          <w:rFonts w:hint="eastAsia" w:ascii="宋体" w:hAnsi="宋体" w:cs="仿宋_GB2312"/>
          <w:b w:val="0"/>
          <w:bCs/>
          <w:kern w:val="2"/>
          <w:sz w:val="32"/>
          <w:szCs w:val="32"/>
          <w:lang w:val="en-US" w:eastAsia="zh-CN" w:bidi="ar-SA"/>
        </w:rPr>
        <w:t>上林县委县政府机关大院物业服务项目(重)</w:t>
      </w:r>
    </w:p>
    <w:p w14:paraId="77482A7A">
      <w:pPr>
        <w:snapToGrid w:val="0"/>
        <w:spacing w:before="120" w:beforeLines="50" w:after="50"/>
        <w:ind w:firstLine="480" w:firstLineChars="150"/>
        <w:rPr>
          <w:rFonts w:hint="eastAsia" w:ascii="宋体" w:hAnsi="宋体" w:cs="仿宋_GB2312"/>
          <w:bCs/>
          <w:sz w:val="32"/>
          <w:szCs w:val="32"/>
        </w:rPr>
      </w:pPr>
      <w:r>
        <w:rPr>
          <w:rFonts w:hint="eastAsia" w:ascii="宋体" w:hAnsi="宋体" w:cs="仿宋_GB2312"/>
          <w:bCs/>
          <w:sz w:val="32"/>
          <w:szCs w:val="32"/>
        </w:rPr>
        <w:t>项目编号：</w:t>
      </w:r>
      <w:r>
        <w:rPr>
          <w:rFonts w:hint="eastAsia" w:ascii="宋体" w:hAnsi="宋体" w:cs="仿宋_GB2312"/>
          <w:b w:val="0"/>
          <w:bCs/>
          <w:kern w:val="2"/>
          <w:sz w:val="32"/>
          <w:szCs w:val="32"/>
          <w:lang w:val="en-US" w:eastAsia="zh-CN" w:bidi="ar-SA"/>
        </w:rPr>
        <w:t>NNZC2026-C3-250033-SLXZ</w:t>
      </w:r>
    </w:p>
    <w:p w14:paraId="20EE8CF3">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14:paraId="40D07BCB">
      <w:pPr>
        <w:snapToGrid w:val="0"/>
        <w:spacing w:before="120" w:beforeLines="50" w:after="50"/>
        <w:rPr>
          <w:rFonts w:hint="eastAsia" w:ascii="宋体" w:hAnsi="宋体" w:cs="仿宋_GB2312"/>
          <w:bCs/>
          <w:sz w:val="32"/>
          <w:szCs w:val="32"/>
        </w:rPr>
      </w:pPr>
    </w:p>
    <w:p w14:paraId="0F01C2B3">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2B844F99">
      <w:pPr>
        <w:snapToGrid w:val="0"/>
        <w:spacing w:before="120" w:beforeLines="50" w:after="50"/>
        <w:rPr>
          <w:rFonts w:hint="eastAsia" w:ascii="宋体" w:hAnsi="宋体" w:cs="仿宋_GB2312"/>
          <w:bCs/>
          <w:sz w:val="32"/>
          <w:szCs w:val="32"/>
        </w:rPr>
      </w:pPr>
    </w:p>
    <w:p w14:paraId="17F5570E">
      <w:pPr>
        <w:snapToGrid w:val="0"/>
        <w:spacing w:before="120" w:beforeLines="50" w:after="50"/>
        <w:ind w:firstLine="480" w:firstLineChars="150"/>
        <w:jc w:val="center"/>
        <w:rPr>
          <w:rFonts w:hint="eastAsia" w:ascii="宋体" w:hAnsi="宋体" w:cs="仿宋_GB2312"/>
          <w:bCs/>
          <w:sz w:val="32"/>
          <w:szCs w:val="32"/>
        </w:rPr>
      </w:pPr>
      <w:r>
        <w:rPr>
          <w:rFonts w:hint="eastAsia" w:ascii="宋体" w:hAnsi="宋体" w:cs="仿宋_GB2312"/>
          <w:bCs/>
          <w:sz w:val="32"/>
          <w:szCs w:val="32"/>
        </w:rPr>
        <w:t>首次响应文件提交截止时间前不得解密</w:t>
      </w:r>
    </w:p>
    <w:p w14:paraId="3699E379">
      <w:pPr>
        <w:snapToGrid w:val="0"/>
        <w:spacing w:before="120" w:beforeLines="50" w:after="50"/>
        <w:ind w:firstLine="5440" w:firstLineChars="1700"/>
        <w:jc w:val="center"/>
        <w:rPr>
          <w:rFonts w:hint="eastAsia" w:ascii="宋体" w:hAnsi="宋体" w:cs="仿宋_GB2312"/>
          <w:bCs/>
          <w:sz w:val="32"/>
          <w:szCs w:val="32"/>
        </w:rPr>
      </w:pPr>
    </w:p>
    <w:p w14:paraId="352ECCAD">
      <w:pPr>
        <w:snapToGrid w:val="0"/>
        <w:spacing w:before="120" w:beforeLines="50" w:after="50"/>
        <w:ind w:firstLine="645"/>
        <w:jc w:val="center"/>
        <w:rPr>
          <w:rFonts w:hint="eastAsia" w:ascii="宋体" w:hAnsi="宋体" w:cs="仿宋_GB2312"/>
          <w:bCs/>
          <w:sz w:val="32"/>
          <w:szCs w:val="32"/>
        </w:rPr>
      </w:pPr>
      <w:r>
        <w:rPr>
          <w:rFonts w:hint="eastAsia" w:ascii="宋体" w:hAnsi="宋体" w:cs="仿宋_GB2312"/>
          <w:bCs/>
          <w:sz w:val="32"/>
          <w:szCs w:val="32"/>
        </w:rPr>
        <w:t>年    月    日</w:t>
      </w:r>
    </w:p>
    <w:p w14:paraId="64773170">
      <w:pPr>
        <w:widowControl/>
        <w:jc w:val="left"/>
        <w:sectPr>
          <w:pgSz w:w="11910" w:h="16840"/>
          <w:pgMar w:top="1340" w:right="1500" w:bottom="280" w:left="1680" w:header="720" w:footer="720" w:gutter="0"/>
          <w:pgNumType w:fmt="decimal"/>
          <w:cols w:space="720" w:num="1"/>
        </w:sectPr>
      </w:pPr>
    </w:p>
    <w:p w14:paraId="71CABBCB">
      <w:pPr>
        <w:pStyle w:val="3"/>
        <w:jc w:val="center"/>
        <w:rPr>
          <w:rFonts w:hint="eastAsia" w:ascii="宋体" w:hAnsi="宋体" w:cs="宋体"/>
          <w:bCs w:val="0"/>
        </w:rPr>
      </w:pPr>
      <w:bookmarkStart w:id="88" w:name="_Toc80205939"/>
      <w:bookmarkStart w:id="89" w:name="_Toc80886943"/>
      <w:r>
        <w:rPr>
          <w:rFonts w:hint="eastAsia" w:ascii="宋体" w:hAnsi="宋体"/>
          <w:bCs w:val="0"/>
        </w:rPr>
        <w:t>第二节 资格证明文件格式</w:t>
      </w:r>
      <w:bookmarkEnd w:id="88"/>
      <w:bookmarkEnd w:id="89"/>
    </w:p>
    <w:p w14:paraId="74C2E36A">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14:paraId="0AC4DFA9">
      <w:pPr>
        <w:snapToGrid w:val="0"/>
        <w:spacing w:before="120" w:beforeLines="50" w:after="50"/>
        <w:rPr>
          <w:rFonts w:hint="eastAsia" w:ascii="宋体" w:hAnsi="宋体"/>
          <w:sz w:val="24"/>
          <w:szCs w:val="20"/>
        </w:rPr>
      </w:pPr>
    </w:p>
    <w:p w14:paraId="2F2B2F5B">
      <w:pPr>
        <w:snapToGrid w:val="0"/>
        <w:spacing w:before="120" w:beforeLines="50" w:after="50"/>
        <w:rPr>
          <w:rFonts w:hint="eastAsia" w:ascii="宋体" w:hAnsi="宋体"/>
          <w:sz w:val="24"/>
          <w:szCs w:val="20"/>
        </w:rPr>
      </w:pPr>
    </w:p>
    <w:p w14:paraId="74CA9E73">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件（封面）</w:t>
      </w:r>
    </w:p>
    <w:p w14:paraId="24C93158">
      <w:pPr>
        <w:snapToGrid w:val="0"/>
        <w:spacing w:before="120" w:beforeLines="50" w:after="50"/>
        <w:rPr>
          <w:rFonts w:hint="eastAsia" w:ascii="宋体" w:hAnsi="宋体"/>
          <w:bCs/>
          <w:sz w:val="24"/>
          <w:szCs w:val="20"/>
        </w:rPr>
      </w:pPr>
    </w:p>
    <w:p w14:paraId="54F972F0">
      <w:pPr>
        <w:snapToGrid w:val="0"/>
        <w:spacing w:before="120" w:beforeLines="50" w:after="50"/>
        <w:rPr>
          <w:rFonts w:hint="eastAsia" w:ascii="宋体" w:hAnsi="宋体"/>
          <w:bCs/>
          <w:sz w:val="24"/>
          <w:szCs w:val="20"/>
        </w:rPr>
      </w:pPr>
    </w:p>
    <w:p w14:paraId="1F451E84">
      <w:pPr>
        <w:snapToGrid w:val="0"/>
        <w:spacing w:before="120" w:beforeLines="50" w:after="50"/>
        <w:rPr>
          <w:rFonts w:hint="eastAsia" w:ascii="宋体" w:hAnsi="宋体"/>
          <w:bCs/>
          <w:sz w:val="24"/>
          <w:szCs w:val="20"/>
        </w:rPr>
      </w:pPr>
    </w:p>
    <w:p w14:paraId="26B76C27">
      <w:pPr>
        <w:snapToGrid w:val="0"/>
        <w:spacing w:before="120" w:beforeLines="50" w:after="50"/>
        <w:rPr>
          <w:rFonts w:hint="eastAsia" w:ascii="宋体" w:hAnsi="宋体"/>
          <w:bCs/>
          <w:sz w:val="24"/>
          <w:szCs w:val="20"/>
        </w:rPr>
      </w:pPr>
    </w:p>
    <w:p w14:paraId="2E1584CF">
      <w:pPr>
        <w:snapToGrid w:val="0"/>
        <w:spacing w:before="120" w:beforeLines="50" w:after="50"/>
        <w:rPr>
          <w:rFonts w:hint="eastAsia" w:ascii="宋体" w:hAnsi="宋体"/>
          <w:bCs/>
          <w:sz w:val="24"/>
          <w:szCs w:val="20"/>
        </w:rPr>
      </w:pPr>
    </w:p>
    <w:p w14:paraId="56810E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宋体" w:hAnsi="宋体" w:cs="仿宋_GB2312"/>
          <w:bCs/>
          <w:sz w:val="32"/>
          <w:szCs w:val="32"/>
        </w:rPr>
      </w:pPr>
      <w:r>
        <w:rPr>
          <w:rFonts w:hint="eastAsia" w:ascii="宋体" w:hAnsi="宋体" w:eastAsia="宋体" w:cs="仿宋_GB2312"/>
          <w:b w:val="0"/>
          <w:bCs/>
          <w:kern w:val="2"/>
          <w:sz w:val="32"/>
          <w:szCs w:val="32"/>
          <w:lang w:val="en-US" w:eastAsia="zh-CN" w:bidi="ar-SA"/>
        </w:rPr>
        <w:t>项目名称：</w:t>
      </w:r>
      <w:r>
        <w:rPr>
          <w:rFonts w:hint="eastAsia" w:ascii="宋体" w:hAnsi="宋体" w:cs="仿宋_GB2312"/>
          <w:b w:val="0"/>
          <w:bCs/>
          <w:kern w:val="2"/>
          <w:sz w:val="32"/>
          <w:szCs w:val="32"/>
          <w:lang w:val="en-US" w:eastAsia="zh-CN" w:bidi="ar-SA"/>
        </w:rPr>
        <w:t>上林县委县政府机关大院物业服务项目(重)</w:t>
      </w:r>
    </w:p>
    <w:p w14:paraId="34370462">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r>
        <w:rPr>
          <w:rFonts w:hint="eastAsia" w:ascii="宋体" w:hAnsi="宋体" w:cs="仿宋_GB2312"/>
          <w:b w:val="0"/>
          <w:bCs/>
          <w:kern w:val="2"/>
          <w:sz w:val="32"/>
          <w:szCs w:val="32"/>
          <w:lang w:val="en-US" w:eastAsia="zh-CN" w:bidi="ar-SA"/>
        </w:rPr>
        <w:t>NNZC2026-C3-250033-SLXZ</w:t>
      </w:r>
      <w:r>
        <w:rPr>
          <w:rFonts w:hint="eastAsia" w:ascii="宋体" w:hAnsi="宋体" w:cs="仿宋_GB2312"/>
          <w:bCs/>
          <w:sz w:val="32"/>
          <w:szCs w:val="32"/>
        </w:rPr>
        <w:t xml:space="preserve"> </w:t>
      </w:r>
    </w:p>
    <w:p w14:paraId="3B248D7F">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14:paraId="524F9C0F">
      <w:pPr>
        <w:snapToGrid w:val="0"/>
        <w:spacing w:before="120" w:beforeLines="50" w:after="50"/>
        <w:ind w:firstLine="720" w:firstLineChars="225"/>
        <w:rPr>
          <w:rFonts w:hint="eastAsia" w:ascii="宋体" w:hAnsi="宋体" w:cs="仿宋_GB2312"/>
          <w:bCs/>
          <w:sz w:val="32"/>
          <w:szCs w:val="32"/>
        </w:rPr>
      </w:pPr>
    </w:p>
    <w:p w14:paraId="392BD61A">
      <w:pPr>
        <w:pStyle w:val="6"/>
        <w:snapToGrid w:val="0"/>
        <w:spacing w:before="50" w:after="50"/>
        <w:ind w:firstLine="720" w:firstLineChars="225"/>
        <w:rPr>
          <w:rFonts w:hint="eastAsia" w:ascii="宋体" w:hAnsi="宋体" w:cs="仿宋_GB2312"/>
          <w:bCs/>
          <w:sz w:val="32"/>
          <w:szCs w:val="32"/>
        </w:rPr>
      </w:pPr>
      <w:r>
        <w:rPr>
          <w:rFonts w:hint="eastAsia" w:ascii="宋体" w:hAnsi="宋体" w:cs="仿宋_GB2312"/>
          <w:bCs/>
          <w:sz w:val="32"/>
          <w:szCs w:val="32"/>
        </w:rPr>
        <w:t>供应商名称：</w:t>
      </w:r>
    </w:p>
    <w:p w14:paraId="212E6325">
      <w:pPr>
        <w:pStyle w:val="6"/>
        <w:snapToGrid w:val="0"/>
        <w:spacing w:before="50" w:after="50"/>
        <w:ind w:firstLine="720" w:firstLineChars="225"/>
        <w:rPr>
          <w:rFonts w:hint="eastAsia" w:ascii="宋体" w:hAnsi="宋体" w:cs="仿宋_GB2312"/>
          <w:bCs/>
          <w:sz w:val="32"/>
          <w:szCs w:val="32"/>
        </w:rPr>
      </w:pPr>
    </w:p>
    <w:p w14:paraId="28ACF3E5">
      <w:pPr>
        <w:pStyle w:val="6"/>
        <w:snapToGrid w:val="0"/>
        <w:spacing w:before="50" w:after="50"/>
        <w:ind w:firstLine="720" w:firstLineChars="225"/>
        <w:rPr>
          <w:rFonts w:hint="eastAsia" w:ascii="宋体" w:hAnsi="宋体" w:cs="仿宋_GB2312"/>
          <w:bCs/>
          <w:sz w:val="32"/>
          <w:szCs w:val="32"/>
        </w:rPr>
      </w:pPr>
    </w:p>
    <w:p w14:paraId="3569C089">
      <w:pPr>
        <w:pStyle w:val="6"/>
        <w:snapToGrid w:val="0"/>
        <w:spacing w:before="50" w:after="50"/>
        <w:ind w:firstLine="720" w:firstLineChars="225"/>
        <w:rPr>
          <w:rFonts w:hint="eastAsia" w:ascii="宋体" w:hAnsi="宋体" w:cs="仿宋_GB2312"/>
          <w:bCs/>
          <w:sz w:val="32"/>
          <w:szCs w:val="32"/>
        </w:rPr>
      </w:pPr>
    </w:p>
    <w:p w14:paraId="61085071">
      <w:pPr>
        <w:pStyle w:val="6"/>
        <w:snapToGrid w:val="0"/>
        <w:spacing w:before="50" w:after="50"/>
        <w:ind w:firstLine="1280" w:firstLineChars="400"/>
        <w:rPr>
          <w:rFonts w:hint="eastAsia" w:ascii="宋体" w:hAnsi="宋体" w:cs="仿宋_GB2312"/>
          <w:bCs/>
          <w:sz w:val="32"/>
          <w:szCs w:val="32"/>
        </w:rPr>
      </w:pPr>
    </w:p>
    <w:p w14:paraId="5E1B82D9">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49D6596C">
      <w:pPr>
        <w:snapToGrid w:val="0"/>
        <w:spacing w:before="120" w:beforeLines="50" w:after="50" w:line="360" w:lineRule="auto"/>
        <w:jc w:val="left"/>
        <w:rPr>
          <w:rFonts w:hint="eastAsia" w:ascii="宋体" w:hAnsi="宋体"/>
          <w:b/>
          <w:bCs/>
          <w:sz w:val="32"/>
          <w:szCs w:val="32"/>
        </w:rPr>
      </w:pPr>
      <w:r>
        <w:rPr>
          <w:rFonts w:hint="eastAsia" w:ascii="宋体" w:hAnsi="宋体"/>
          <w:sz w:val="24"/>
        </w:rPr>
        <w:br w:type="page"/>
      </w:r>
      <w:r>
        <w:rPr>
          <w:rFonts w:hint="eastAsia" w:ascii="宋体" w:hAnsi="宋体"/>
          <w:b/>
          <w:bCs/>
          <w:sz w:val="32"/>
          <w:szCs w:val="32"/>
        </w:rPr>
        <w:t xml:space="preserve"> </w:t>
      </w:r>
    </w:p>
    <w:p w14:paraId="409F7C75">
      <w:pPr>
        <w:jc w:val="center"/>
        <w:rPr>
          <w:rFonts w:hint="eastAsia" w:ascii="仿宋_GB2312" w:hAnsi="仿宋" w:eastAsia="仿宋_GB2312" w:cs="仿宋_GB2312"/>
          <w:b/>
          <w:kern w:val="0"/>
          <w:sz w:val="36"/>
          <w:szCs w:val="36"/>
        </w:rPr>
      </w:pPr>
      <w:r>
        <w:rPr>
          <w:rFonts w:hint="eastAsia" w:ascii="仿宋_GB2312" w:hAnsi="仿宋" w:eastAsia="仿宋_GB2312" w:cs="仿宋_GB2312"/>
          <w:b/>
          <w:kern w:val="0"/>
          <w:sz w:val="36"/>
          <w:szCs w:val="36"/>
        </w:rPr>
        <w:t>资格证明文件目录</w:t>
      </w:r>
    </w:p>
    <w:p w14:paraId="0D927E65">
      <w:pPr>
        <w:snapToGrid w:val="0"/>
        <w:spacing w:line="360" w:lineRule="auto"/>
        <w:rPr>
          <w:rFonts w:hint="eastAsia" w:ascii="仿宋_GB2312" w:hAnsi="仿宋" w:eastAsia="仿宋_GB2312" w:cs="仿宋_GB2312"/>
          <w:kern w:val="0"/>
          <w:sz w:val="24"/>
        </w:rPr>
      </w:pPr>
    </w:p>
    <w:p w14:paraId="05D0CAE7">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营业执照(或事业法人登记证或其他工商等登记证明材料)复印件（供应商为自然人的，须提供</w:t>
      </w:r>
      <w:r>
        <w:rPr>
          <w:rFonts w:hint="eastAsia" w:ascii="仿宋_GB2312" w:hAnsi="仿宋" w:eastAsia="仿宋_GB2312" w:cs="Helvetica"/>
          <w:kern w:val="0"/>
          <w:sz w:val="24"/>
        </w:rPr>
        <w:t>自然人的身份证明</w:t>
      </w:r>
      <w:r>
        <w:rPr>
          <w:rFonts w:hint="eastAsia" w:ascii="仿宋_GB2312" w:hAnsi="仿宋" w:eastAsia="仿宋_GB2312"/>
          <w:sz w:val="24"/>
        </w:rPr>
        <w:t>）</w:t>
      </w:r>
      <w:r>
        <w:rPr>
          <w:rFonts w:hint="eastAsia" w:ascii="仿宋_GB2312" w:hAnsi="仿宋" w:eastAsia="仿宋_GB2312" w:cs="仿宋_GB2312"/>
          <w:kern w:val="0"/>
          <w:sz w:val="24"/>
        </w:rPr>
        <w:t>…………………………………………（页码）</w:t>
      </w:r>
    </w:p>
    <w:p w14:paraId="40AA10E6">
      <w:pPr>
        <w:snapToGrid w:val="0"/>
        <w:spacing w:line="360" w:lineRule="auto"/>
        <w:rPr>
          <w:rFonts w:hint="eastAsia" w:ascii="仿宋_GB2312" w:hAnsi="仿宋" w:eastAsia="仿宋_GB2312" w:cs="仿宋_GB2312"/>
          <w:kern w:val="0"/>
          <w:sz w:val="24"/>
          <w:lang w:eastAsia="zh-CN"/>
        </w:rPr>
      </w:pPr>
      <w:r>
        <w:rPr>
          <w:rFonts w:hint="eastAsia" w:ascii="仿宋_GB2312" w:hAnsi="仿宋" w:eastAsia="仿宋_GB2312" w:cs="仿宋_GB2312"/>
          <w:kern w:val="0"/>
          <w:sz w:val="24"/>
        </w:rPr>
        <w:t>二、符合参与政府采购活动的资格条件依法缴纳税收</w:t>
      </w:r>
      <w:r>
        <w:rPr>
          <w:rFonts w:hint="eastAsia" w:ascii="仿宋_GB2312" w:hAnsi="仿宋" w:eastAsia="仿宋_GB2312" w:cs="仿宋_GB2312"/>
          <w:kern w:val="0"/>
          <w:sz w:val="24"/>
          <w:lang w:eastAsia="zh-CN"/>
        </w:rPr>
        <w:t>的相关材料</w:t>
      </w:r>
      <w:r>
        <w:rPr>
          <w:rFonts w:hint="eastAsia" w:ascii="仿宋_GB2312" w:hAnsi="仿宋" w:eastAsia="仿宋_GB2312" w:cs="仿宋_GB2312"/>
          <w:kern w:val="0"/>
          <w:sz w:val="24"/>
        </w:rPr>
        <w:t>…………（页码）</w:t>
      </w:r>
    </w:p>
    <w:p w14:paraId="351544EA">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lang w:eastAsia="zh-CN"/>
        </w:rPr>
        <w:t>三、</w:t>
      </w:r>
      <w:r>
        <w:rPr>
          <w:rFonts w:hint="eastAsia" w:ascii="仿宋_GB2312" w:hAnsi="仿宋" w:eastAsia="仿宋_GB2312" w:cs="仿宋_GB2312"/>
          <w:kern w:val="0"/>
          <w:sz w:val="24"/>
        </w:rPr>
        <w:t>符合参与政府采购活动的资格条件依法缴纳社会保障资金等方面的材料…………………………………………………………………………………（页码）</w:t>
      </w:r>
    </w:p>
    <w:p w14:paraId="44357E29">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lang w:eastAsia="zh-CN"/>
        </w:rPr>
        <w:t>四</w:t>
      </w:r>
      <w:r>
        <w:rPr>
          <w:rFonts w:hint="eastAsia" w:ascii="仿宋_GB2312" w:hAnsi="仿宋" w:eastAsia="仿宋_GB2312" w:cs="仿宋_GB2312"/>
          <w:kern w:val="0"/>
          <w:sz w:val="24"/>
        </w:rPr>
        <w:t>、财务状况报告方面的材料…………………………………………………（页码）</w:t>
      </w:r>
    </w:p>
    <w:p w14:paraId="65D848B6">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lang w:eastAsia="zh-CN"/>
        </w:rPr>
        <w:t>五</w:t>
      </w:r>
      <w:r>
        <w:rPr>
          <w:rFonts w:hint="eastAsia" w:ascii="仿宋_GB2312" w:hAnsi="仿宋" w:eastAsia="仿宋_GB2312" w:cs="仿宋_GB2312"/>
          <w:sz w:val="24"/>
        </w:rPr>
        <w:t>、供应商直接控股</w:t>
      </w:r>
      <w:r>
        <w:rPr>
          <w:rFonts w:hint="eastAsia" w:ascii="仿宋_GB2312" w:hAnsi="仿宋" w:eastAsia="仿宋_GB2312" w:cs="仿宋_GB2312"/>
          <w:sz w:val="24"/>
          <w:lang w:eastAsia="zh-CN"/>
        </w:rPr>
        <w:t>、管理关系</w:t>
      </w:r>
      <w:r>
        <w:rPr>
          <w:rFonts w:hint="eastAsia" w:ascii="仿宋_GB2312" w:hAnsi="仿宋" w:eastAsia="仿宋_GB2312" w:cs="仿宋_GB2312"/>
          <w:sz w:val="24"/>
        </w:rPr>
        <w:t>信息</w:t>
      </w:r>
      <w:r>
        <w:rPr>
          <w:rFonts w:hint="eastAsia" w:ascii="仿宋_GB2312" w:hAnsi="仿宋" w:eastAsia="仿宋_GB2312" w:cs="仿宋_GB2312"/>
          <w:sz w:val="24"/>
          <w:lang w:eastAsia="zh-CN"/>
        </w:rPr>
        <w:t>表</w:t>
      </w:r>
      <w:r>
        <w:rPr>
          <w:rFonts w:hint="eastAsia" w:ascii="仿宋_GB2312" w:hAnsi="仿宋" w:eastAsia="仿宋_GB2312" w:cs="仿宋_GB2312"/>
          <w:kern w:val="0"/>
          <w:sz w:val="24"/>
        </w:rPr>
        <w:t>………………………………………（页码）</w:t>
      </w:r>
    </w:p>
    <w:p w14:paraId="5C31BEAD">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六、资格声明函…………………………………………………………………（页码）</w:t>
      </w:r>
    </w:p>
    <w:p w14:paraId="533142E1">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七、中小企业声明函……………………………………………………………（页码）</w:t>
      </w:r>
    </w:p>
    <w:p w14:paraId="69B9D925">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rPr>
        <w:t>八、除招标文件规定必须提供以外，投标人认为需要提供的其他证明材料</w:t>
      </w:r>
      <w:r>
        <w:rPr>
          <w:rFonts w:hint="eastAsia" w:ascii="仿宋_GB2312" w:hAnsi="仿宋" w:eastAsia="仿宋_GB2312" w:cs="仿宋_GB2312"/>
          <w:kern w:val="0"/>
          <w:sz w:val="24"/>
        </w:rPr>
        <w:t>（页码）</w:t>
      </w:r>
    </w:p>
    <w:p w14:paraId="71E17B77">
      <w:pPr>
        <w:spacing w:line="360" w:lineRule="auto"/>
        <w:rPr>
          <w:rFonts w:hint="eastAsia" w:ascii="仿宋_GB2312" w:hAnsi="仿宋_GB2312" w:eastAsia="仿宋_GB2312" w:cs="仿宋_GB2312"/>
          <w:b/>
          <w:bCs/>
          <w:sz w:val="24"/>
        </w:rPr>
      </w:pPr>
    </w:p>
    <w:p w14:paraId="2E4826CF">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注：以上目录是编制供应商响应文件的基本格式要求，各供应商可根据自身情况进一步细化。</w:t>
      </w:r>
    </w:p>
    <w:p w14:paraId="3816A309">
      <w:pPr>
        <w:snapToGrid w:val="0"/>
        <w:spacing w:before="120" w:beforeLines="50" w:after="50" w:line="360" w:lineRule="auto"/>
        <w:ind w:left="142" w:firstLine="420" w:firstLineChars="200"/>
        <w:jc w:val="left"/>
        <w:rPr>
          <w:rFonts w:hint="eastAsia" w:ascii="宋体" w:hAnsi="宋体"/>
          <w:szCs w:val="21"/>
        </w:rPr>
      </w:pPr>
    </w:p>
    <w:p w14:paraId="3DDD01DA">
      <w:pPr>
        <w:spacing w:line="300" w:lineRule="auto"/>
        <w:rPr>
          <w:rFonts w:hint="eastAsia" w:ascii="宋体" w:hAnsi="宋体"/>
          <w:szCs w:val="21"/>
        </w:rPr>
      </w:pPr>
    </w:p>
    <w:p w14:paraId="24FEB5E2">
      <w:pPr>
        <w:spacing w:line="300" w:lineRule="auto"/>
        <w:rPr>
          <w:rFonts w:hint="eastAsia" w:ascii="宋体" w:hAnsi="宋体"/>
          <w:szCs w:val="21"/>
        </w:rPr>
      </w:pPr>
    </w:p>
    <w:p w14:paraId="69278292">
      <w:pPr>
        <w:spacing w:line="300" w:lineRule="auto"/>
        <w:rPr>
          <w:rFonts w:hint="eastAsia" w:ascii="宋体" w:hAnsi="宋体"/>
          <w:szCs w:val="21"/>
        </w:rPr>
      </w:pPr>
    </w:p>
    <w:p w14:paraId="5F1F43A5">
      <w:pPr>
        <w:spacing w:line="300" w:lineRule="auto"/>
        <w:rPr>
          <w:rFonts w:hint="eastAsia" w:ascii="宋体" w:hAnsi="宋体"/>
          <w:szCs w:val="21"/>
        </w:rPr>
      </w:pPr>
    </w:p>
    <w:p w14:paraId="57F881B2">
      <w:pPr>
        <w:spacing w:line="300" w:lineRule="auto"/>
        <w:rPr>
          <w:rFonts w:hint="eastAsia" w:ascii="宋体" w:hAnsi="宋体"/>
          <w:szCs w:val="21"/>
        </w:rPr>
      </w:pPr>
    </w:p>
    <w:p w14:paraId="498D6DE5">
      <w:pPr>
        <w:spacing w:line="300" w:lineRule="auto"/>
        <w:rPr>
          <w:rFonts w:hint="eastAsia" w:ascii="宋体" w:hAnsi="宋体"/>
          <w:szCs w:val="21"/>
        </w:rPr>
      </w:pPr>
    </w:p>
    <w:p w14:paraId="1B9431C3">
      <w:pPr>
        <w:spacing w:line="300" w:lineRule="auto"/>
        <w:rPr>
          <w:rFonts w:hint="eastAsia" w:ascii="宋体" w:hAnsi="宋体"/>
          <w:szCs w:val="21"/>
        </w:rPr>
      </w:pPr>
    </w:p>
    <w:p w14:paraId="7DACCAB4">
      <w:pPr>
        <w:spacing w:line="300" w:lineRule="auto"/>
        <w:rPr>
          <w:rFonts w:hint="eastAsia" w:ascii="宋体" w:hAnsi="宋体"/>
          <w:szCs w:val="21"/>
        </w:rPr>
      </w:pPr>
    </w:p>
    <w:p w14:paraId="431B4AE8">
      <w:pPr>
        <w:spacing w:line="300" w:lineRule="auto"/>
        <w:rPr>
          <w:rFonts w:hint="eastAsia" w:ascii="宋体" w:hAnsi="宋体"/>
          <w:szCs w:val="21"/>
        </w:rPr>
      </w:pPr>
    </w:p>
    <w:p w14:paraId="1603F00D">
      <w:pPr>
        <w:pStyle w:val="13"/>
        <w:spacing w:line="360" w:lineRule="auto"/>
        <w:ind w:firstLine="400" w:firstLineChars="200"/>
        <w:rPr>
          <w:rFonts w:hint="eastAsia" w:ascii="仿宋" w:hAnsi="仿宋" w:eastAsia="仿宋" w:cs="仿宋_GB2312"/>
          <w:b/>
          <w:sz w:val="30"/>
          <w:szCs w:val="30"/>
        </w:rPr>
      </w:pPr>
      <w:r>
        <w:rPr>
          <w:rFonts w:hint="eastAsia" w:hAnsi="宋体"/>
        </w:rPr>
        <w:br w:type="page"/>
      </w:r>
      <w:r>
        <w:rPr>
          <w:rFonts w:hint="eastAsia" w:hAnsi="宋体"/>
        </w:rPr>
        <w:t xml:space="preserve">   </w:t>
      </w:r>
      <w:r>
        <w:rPr>
          <w:rFonts w:hint="eastAsia" w:ascii="仿宋" w:hAnsi="仿宋" w:eastAsia="仿宋" w:cs="仿宋_GB2312"/>
          <w:b/>
          <w:sz w:val="30"/>
          <w:szCs w:val="30"/>
        </w:rPr>
        <w:t>一、营业执照(或事业法人登记证或其他工商等登记证明材料)复印件（供应商为自然人的，提供自然人的身份证明）</w:t>
      </w:r>
    </w:p>
    <w:p w14:paraId="57E0C542">
      <w:pPr>
        <w:pStyle w:val="13"/>
        <w:spacing w:line="360" w:lineRule="auto"/>
        <w:ind w:firstLine="602" w:firstLineChars="200"/>
        <w:rPr>
          <w:rFonts w:hint="eastAsia" w:ascii="仿宋" w:hAnsi="仿宋" w:eastAsia="仿宋" w:cs="仿宋_GB2312"/>
          <w:b/>
          <w:sz w:val="30"/>
          <w:szCs w:val="30"/>
        </w:rPr>
      </w:pPr>
    </w:p>
    <w:p w14:paraId="1C061B85">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53ED3112">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6966EA71">
      <w:pPr>
        <w:snapToGrid w:val="0"/>
        <w:spacing w:before="120" w:beforeLines="50" w:after="50"/>
        <w:rPr>
          <w:rFonts w:hint="eastAsia" w:ascii="宋体" w:hAnsi="宋体"/>
          <w:sz w:val="24"/>
          <w:szCs w:val="20"/>
        </w:rPr>
      </w:pPr>
    </w:p>
    <w:p w14:paraId="00DB5651">
      <w:pPr>
        <w:pStyle w:val="13"/>
        <w:numPr>
          <w:ilvl w:val="0"/>
          <w:numId w:val="7"/>
        </w:numPr>
        <w:spacing w:line="360" w:lineRule="auto"/>
        <w:ind w:firstLine="602" w:firstLineChars="200"/>
        <w:rPr>
          <w:rFonts w:hint="eastAsia" w:ascii="仿宋" w:hAnsi="仿宋" w:eastAsia="仿宋" w:cs="仿宋_GB2312"/>
          <w:b/>
          <w:sz w:val="30"/>
          <w:szCs w:val="30"/>
          <w:lang w:eastAsia="zh-CN"/>
        </w:rPr>
      </w:pPr>
      <w:r>
        <w:rPr>
          <w:rFonts w:hint="eastAsia" w:ascii="仿宋" w:hAnsi="仿宋" w:eastAsia="仿宋" w:cs="仿宋_GB2312"/>
          <w:b/>
          <w:sz w:val="30"/>
          <w:szCs w:val="30"/>
        </w:rPr>
        <w:t>符合参与政府采购活动的资格条件依法缴纳税收</w:t>
      </w:r>
      <w:r>
        <w:rPr>
          <w:rFonts w:hint="eastAsia" w:ascii="仿宋" w:hAnsi="仿宋" w:eastAsia="仿宋" w:cs="仿宋_GB2312"/>
          <w:b/>
          <w:sz w:val="30"/>
          <w:szCs w:val="30"/>
          <w:lang w:eastAsia="zh-CN"/>
        </w:rPr>
        <w:t>的相关材料。</w:t>
      </w:r>
    </w:p>
    <w:p w14:paraId="3EF83A14">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11726F46">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6C39A9A4">
      <w:pPr>
        <w:pStyle w:val="13"/>
        <w:numPr>
          <w:ilvl w:val="0"/>
          <w:numId w:val="0"/>
        </w:numPr>
        <w:spacing w:line="360" w:lineRule="auto"/>
        <w:rPr>
          <w:rFonts w:hint="eastAsia" w:ascii="仿宋" w:hAnsi="仿宋" w:eastAsia="仿宋" w:cs="仿宋_GB2312"/>
          <w:b/>
          <w:sz w:val="30"/>
          <w:szCs w:val="30"/>
        </w:rPr>
      </w:pPr>
    </w:p>
    <w:p w14:paraId="55E48515">
      <w:pPr>
        <w:pStyle w:val="13"/>
        <w:numPr>
          <w:ilvl w:val="0"/>
          <w:numId w:val="0"/>
        </w:numPr>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lang w:eastAsia="zh-CN"/>
        </w:rPr>
        <w:t>三、</w:t>
      </w:r>
      <w:r>
        <w:rPr>
          <w:rFonts w:hint="eastAsia" w:ascii="仿宋" w:hAnsi="仿宋" w:eastAsia="仿宋" w:cs="仿宋_GB2312"/>
          <w:b/>
          <w:sz w:val="30"/>
          <w:szCs w:val="30"/>
        </w:rPr>
        <w:t>符合参与政府采购活动的资格条件依法缴纳社会保障资金等方面的材料</w:t>
      </w:r>
    </w:p>
    <w:p w14:paraId="39219520">
      <w:pPr>
        <w:spacing w:line="300" w:lineRule="auto"/>
        <w:rPr>
          <w:rFonts w:hint="eastAsia" w:ascii="宋体" w:hAnsi="宋体"/>
          <w:szCs w:val="21"/>
        </w:rPr>
      </w:pPr>
    </w:p>
    <w:p w14:paraId="6A64F4B7">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3C6DA2FD">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3D24E584">
      <w:pPr>
        <w:spacing w:line="300" w:lineRule="auto"/>
        <w:rPr>
          <w:rFonts w:hint="eastAsia" w:ascii="宋体" w:hAnsi="宋体"/>
          <w:szCs w:val="21"/>
        </w:rPr>
      </w:pPr>
    </w:p>
    <w:p w14:paraId="3918E3F4">
      <w:pPr>
        <w:spacing w:line="300" w:lineRule="auto"/>
        <w:ind w:firstLine="596" w:firstLineChars="198"/>
        <w:rPr>
          <w:rFonts w:hint="eastAsia" w:ascii="仿宋" w:hAnsi="仿宋" w:eastAsia="仿宋" w:cs="仿宋_GB2312"/>
          <w:b/>
          <w:kern w:val="0"/>
          <w:sz w:val="30"/>
          <w:szCs w:val="30"/>
        </w:rPr>
      </w:pPr>
      <w:r>
        <w:rPr>
          <w:rFonts w:hint="eastAsia" w:ascii="仿宋" w:hAnsi="仿宋" w:eastAsia="仿宋" w:cs="仿宋_GB2312"/>
          <w:b/>
          <w:kern w:val="0"/>
          <w:sz w:val="30"/>
          <w:szCs w:val="30"/>
          <w:lang w:eastAsia="zh-CN"/>
        </w:rPr>
        <w:t>四</w:t>
      </w:r>
      <w:r>
        <w:rPr>
          <w:rFonts w:hint="eastAsia" w:ascii="仿宋" w:hAnsi="仿宋" w:eastAsia="仿宋" w:cs="仿宋_GB2312"/>
          <w:b/>
          <w:kern w:val="0"/>
          <w:sz w:val="30"/>
          <w:szCs w:val="30"/>
        </w:rPr>
        <w:t>、财务状况报告方面的材料</w:t>
      </w:r>
    </w:p>
    <w:p w14:paraId="288FC63E">
      <w:pPr>
        <w:spacing w:line="300" w:lineRule="auto"/>
        <w:rPr>
          <w:rFonts w:hint="eastAsia" w:ascii="宋体" w:hAnsi="宋体"/>
          <w:szCs w:val="21"/>
        </w:rPr>
      </w:pPr>
    </w:p>
    <w:p w14:paraId="3058DFDB">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64CF8A7B">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5854BE07">
      <w:pPr>
        <w:spacing w:line="320" w:lineRule="exact"/>
        <w:jc w:val="left"/>
        <w:rPr>
          <w:rFonts w:hint="eastAsia" w:ascii="宋体" w:hAnsi="宋体"/>
          <w:szCs w:val="21"/>
        </w:rPr>
      </w:pPr>
      <w:r>
        <w:rPr>
          <w:rFonts w:hint="eastAsia" w:ascii="宋体" w:hAnsi="宋体"/>
          <w:szCs w:val="21"/>
        </w:rPr>
        <w:t xml:space="preserve"> </w:t>
      </w:r>
    </w:p>
    <w:p w14:paraId="3EFD5139">
      <w:pPr>
        <w:snapToGrid w:val="0"/>
        <w:spacing w:before="120" w:beforeLines="50" w:after="50" w:line="360" w:lineRule="auto"/>
        <w:jc w:val="center"/>
        <w:rPr>
          <w:rFonts w:hint="eastAsia" w:ascii="宋体" w:hAnsi="宋体"/>
          <w:b/>
          <w:sz w:val="24"/>
        </w:rPr>
      </w:pPr>
    </w:p>
    <w:p w14:paraId="378CE41C">
      <w:pPr>
        <w:spacing w:line="360" w:lineRule="auto"/>
        <w:ind w:firstLine="596" w:firstLineChars="198"/>
        <w:rPr>
          <w:rFonts w:hint="eastAsia" w:ascii="仿宋" w:hAnsi="仿宋" w:eastAsia="仿宋" w:cs="仿宋_GB2312"/>
          <w:b/>
          <w:kern w:val="0"/>
          <w:sz w:val="30"/>
          <w:szCs w:val="30"/>
        </w:rPr>
      </w:pPr>
      <w:r>
        <w:rPr>
          <w:rFonts w:hint="eastAsia" w:ascii="仿宋" w:hAnsi="仿宋" w:eastAsia="仿宋" w:cs="仿宋_GB2312"/>
          <w:b/>
          <w:kern w:val="0"/>
          <w:sz w:val="30"/>
          <w:szCs w:val="30"/>
          <w:lang w:eastAsia="zh-CN"/>
        </w:rPr>
        <w:t>五</w:t>
      </w:r>
      <w:r>
        <w:rPr>
          <w:rFonts w:hint="eastAsia" w:ascii="仿宋" w:hAnsi="仿宋" w:eastAsia="仿宋" w:cs="仿宋_GB2312"/>
          <w:b/>
          <w:kern w:val="0"/>
          <w:sz w:val="30"/>
          <w:szCs w:val="30"/>
        </w:rPr>
        <w:t>、</w:t>
      </w:r>
      <w:r>
        <w:rPr>
          <w:rFonts w:hint="eastAsia" w:ascii="仿宋" w:hAnsi="仿宋" w:eastAsia="仿宋" w:cs="仿宋_GB2312"/>
          <w:b/>
          <w:kern w:val="0"/>
          <w:sz w:val="30"/>
          <w:szCs w:val="30"/>
          <w:lang w:val="en-US" w:eastAsia="zh-CN"/>
        </w:rPr>
        <w:t>1.</w:t>
      </w:r>
      <w:r>
        <w:rPr>
          <w:rFonts w:hint="eastAsia" w:ascii="仿宋" w:hAnsi="仿宋" w:eastAsia="仿宋" w:cs="仿宋_GB2312"/>
          <w:b/>
          <w:kern w:val="0"/>
          <w:sz w:val="30"/>
          <w:szCs w:val="30"/>
        </w:rPr>
        <w:t>供应商直接控股股东信息</w:t>
      </w:r>
    </w:p>
    <w:p w14:paraId="324D966C">
      <w:pPr>
        <w:spacing w:line="360" w:lineRule="auto"/>
        <w:jc w:val="center"/>
        <w:rPr>
          <w:rFonts w:hint="eastAsia" w:ascii="宋体" w:hAnsi="宋体"/>
          <w:b/>
          <w:sz w:val="24"/>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215E4A3">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39FAC5">
            <w:pPr>
              <w:widowControl/>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ACE866">
            <w:pPr>
              <w:widowControl/>
              <w:spacing w:line="360" w:lineRule="auto"/>
              <w:jc w:val="center"/>
              <w:rPr>
                <w:rFonts w:hint="eastAsia" w:ascii="宋体" w:hAnsi="宋体" w:cs="宋体"/>
                <w:b/>
                <w:bCs/>
                <w:kern w:val="0"/>
                <w:sz w:val="24"/>
              </w:rPr>
            </w:pPr>
            <w:r>
              <w:rPr>
                <w:rFonts w:hint="eastAsia" w:ascii="宋体" w:hAnsi="宋体" w:cs="宋体"/>
                <w:b/>
                <w:bCs/>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A6CBB3">
            <w:pPr>
              <w:widowControl/>
              <w:spacing w:line="360" w:lineRule="auto"/>
              <w:jc w:val="center"/>
              <w:rPr>
                <w:rFonts w:hint="eastAsia" w:ascii="宋体" w:hAnsi="宋体" w:cs="宋体"/>
                <w:b/>
                <w:bCs/>
                <w:kern w:val="0"/>
                <w:sz w:val="24"/>
              </w:rPr>
            </w:pPr>
            <w:r>
              <w:rPr>
                <w:rFonts w:hint="eastAsia" w:ascii="宋体" w:hAnsi="宋体" w:cs="宋体"/>
                <w:b/>
                <w:bCs/>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BADC86">
            <w:pPr>
              <w:widowControl/>
              <w:spacing w:line="360" w:lineRule="auto"/>
              <w:jc w:val="center"/>
              <w:rPr>
                <w:rFonts w:hint="eastAsia" w:ascii="宋体" w:hAnsi="宋体" w:cs="宋体"/>
                <w:b/>
                <w:bCs/>
                <w:kern w:val="0"/>
                <w:sz w:val="24"/>
              </w:rPr>
            </w:pPr>
            <w:r>
              <w:rPr>
                <w:rFonts w:hint="eastAsia" w:ascii="宋体" w:hAnsi="宋体" w:cs="宋体"/>
                <w:b/>
                <w:bCs/>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3710D9">
            <w:pPr>
              <w:widowControl/>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14:paraId="62DA709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88F77C">
            <w:pPr>
              <w:widowControl/>
              <w:spacing w:line="360" w:lineRule="auto"/>
              <w:jc w:val="center"/>
              <w:rPr>
                <w:rFonts w:hint="eastAsia" w:ascii="宋体" w:hAnsi="宋体" w:cs="宋体"/>
                <w:kern w:val="0"/>
                <w:sz w:val="24"/>
              </w:rPr>
            </w:pPr>
            <w:r>
              <w:rPr>
                <w:rFonts w:hint="eastAsia" w:ascii="宋体" w:hAnsi="宋体" w:cs="宋体"/>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A3AEBE">
            <w:pPr>
              <w:widowControl/>
              <w:spacing w:line="360" w:lineRule="auto"/>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E5B2D7">
            <w:pPr>
              <w:widowControl/>
              <w:spacing w:line="360" w:lineRule="auto"/>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650165">
            <w:pPr>
              <w:widowControl/>
              <w:spacing w:line="360" w:lineRule="auto"/>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6FF1EB">
            <w:pPr>
              <w:widowControl/>
              <w:spacing w:line="360" w:lineRule="auto"/>
              <w:jc w:val="center"/>
              <w:rPr>
                <w:rFonts w:hint="eastAsia" w:ascii="宋体" w:hAnsi="宋体" w:cs="宋体"/>
                <w:kern w:val="0"/>
                <w:sz w:val="24"/>
              </w:rPr>
            </w:pPr>
          </w:p>
        </w:tc>
      </w:tr>
      <w:tr w14:paraId="3DA0FFE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460A19">
            <w:pPr>
              <w:widowControl/>
              <w:spacing w:line="360" w:lineRule="auto"/>
              <w:jc w:val="center"/>
              <w:rPr>
                <w:rFonts w:hint="eastAsia" w:ascii="宋体" w:hAnsi="宋体" w:cs="宋体"/>
                <w:kern w:val="0"/>
                <w:sz w:val="24"/>
              </w:rPr>
            </w:pPr>
            <w:r>
              <w:rPr>
                <w:rFonts w:hint="eastAsia" w:ascii="宋体" w:hAnsi="宋体" w:cs="宋体"/>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CB2F37">
            <w:pPr>
              <w:widowControl/>
              <w:spacing w:line="360" w:lineRule="auto"/>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730633">
            <w:pPr>
              <w:widowControl/>
              <w:spacing w:line="360" w:lineRule="auto"/>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E25551">
            <w:pPr>
              <w:widowControl/>
              <w:spacing w:line="360" w:lineRule="auto"/>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F6C36F">
            <w:pPr>
              <w:widowControl/>
              <w:spacing w:line="360" w:lineRule="auto"/>
              <w:jc w:val="center"/>
              <w:rPr>
                <w:rFonts w:hint="eastAsia" w:ascii="宋体" w:hAnsi="宋体" w:cs="宋体"/>
                <w:kern w:val="0"/>
                <w:sz w:val="24"/>
              </w:rPr>
            </w:pPr>
          </w:p>
        </w:tc>
      </w:tr>
      <w:tr w14:paraId="2CE144C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47ACB3">
            <w:pPr>
              <w:widowControl/>
              <w:spacing w:line="360" w:lineRule="auto"/>
              <w:jc w:val="center"/>
              <w:rPr>
                <w:rFonts w:hint="eastAsia" w:ascii="宋体" w:hAnsi="宋体" w:cs="宋体"/>
                <w:kern w:val="0"/>
                <w:sz w:val="24"/>
              </w:rPr>
            </w:pPr>
            <w:r>
              <w:rPr>
                <w:rFonts w:hint="eastAsia" w:ascii="宋体" w:hAnsi="宋体" w:cs="宋体"/>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14A691">
            <w:pPr>
              <w:widowControl/>
              <w:spacing w:line="360" w:lineRule="auto"/>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768723">
            <w:pPr>
              <w:widowControl/>
              <w:spacing w:line="360" w:lineRule="auto"/>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F241D3">
            <w:pPr>
              <w:widowControl/>
              <w:spacing w:line="360" w:lineRule="auto"/>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B1427D">
            <w:pPr>
              <w:widowControl/>
              <w:spacing w:line="360" w:lineRule="auto"/>
              <w:jc w:val="center"/>
              <w:rPr>
                <w:rFonts w:hint="eastAsia" w:ascii="宋体" w:hAnsi="宋体" w:cs="宋体"/>
                <w:kern w:val="0"/>
                <w:sz w:val="24"/>
              </w:rPr>
            </w:pPr>
          </w:p>
        </w:tc>
      </w:tr>
      <w:tr w14:paraId="34D1400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321730">
            <w:pPr>
              <w:widowControl/>
              <w:spacing w:line="360" w:lineRule="auto"/>
              <w:jc w:val="center"/>
              <w:rPr>
                <w:rFonts w:hint="eastAsia" w:ascii="宋体" w:hAnsi="宋体" w:cs="宋体"/>
                <w:kern w:val="0"/>
                <w:sz w:val="24"/>
              </w:rPr>
            </w:pPr>
            <w:r>
              <w:rPr>
                <w:rFonts w:hint="eastAsia" w:ascii="宋体" w:hAnsi="宋体" w:cs="宋体"/>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892E49">
            <w:pPr>
              <w:widowControl/>
              <w:spacing w:line="360" w:lineRule="auto"/>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A7B5B5">
            <w:pPr>
              <w:widowControl/>
              <w:spacing w:line="360" w:lineRule="auto"/>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880A38">
            <w:pPr>
              <w:widowControl/>
              <w:spacing w:line="360" w:lineRule="auto"/>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ED619B">
            <w:pPr>
              <w:widowControl/>
              <w:spacing w:line="360" w:lineRule="auto"/>
              <w:jc w:val="center"/>
              <w:rPr>
                <w:rFonts w:hint="eastAsia" w:ascii="宋体" w:hAnsi="宋体" w:cs="宋体"/>
                <w:kern w:val="0"/>
                <w:sz w:val="24"/>
              </w:rPr>
            </w:pPr>
          </w:p>
        </w:tc>
      </w:tr>
    </w:tbl>
    <w:p w14:paraId="237E0183">
      <w:pPr>
        <w:spacing w:line="360" w:lineRule="auto"/>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注：</w:t>
      </w:r>
    </w:p>
    <w:p w14:paraId="4BC7F074">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D863113">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2.本表所指的控股关系仅限于直接控股关系，不包括间接的控股关系。公司实际控制人与公司之间的关系不属于本表所指的直接控股关系。</w:t>
      </w:r>
    </w:p>
    <w:p w14:paraId="7A878C9F">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3.供应商不存在直接控股股东的，则填“无”。</w:t>
      </w:r>
    </w:p>
    <w:p w14:paraId="5B9D2789">
      <w:pPr>
        <w:snapToGrid w:val="0"/>
        <w:spacing w:line="360" w:lineRule="auto"/>
        <w:jc w:val="left"/>
        <w:rPr>
          <w:rFonts w:hint="eastAsia" w:ascii="宋体" w:hAnsi="宋体" w:cs="宋体"/>
          <w:sz w:val="24"/>
        </w:rPr>
      </w:pPr>
    </w:p>
    <w:p w14:paraId="29FFA3A6">
      <w:pPr>
        <w:snapToGrid w:val="0"/>
        <w:spacing w:line="360" w:lineRule="auto"/>
        <w:jc w:val="left"/>
        <w:rPr>
          <w:rFonts w:hint="eastAsia" w:ascii="宋体" w:hAnsi="宋体" w:cs="宋体"/>
          <w:sz w:val="24"/>
        </w:rPr>
      </w:pPr>
    </w:p>
    <w:p w14:paraId="163B7EC9">
      <w:pPr>
        <w:snapToGrid w:val="0"/>
        <w:spacing w:line="360" w:lineRule="auto"/>
        <w:jc w:val="left"/>
        <w:rPr>
          <w:rFonts w:hint="eastAsia" w:ascii="宋体" w:hAnsi="宋体" w:cs="宋体"/>
          <w:sz w:val="24"/>
        </w:rPr>
      </w:pPr>
    </w:p>
    <w:p w14:paraId="6AFCC999">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430C37EC">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6B94CFFE">
      <w:pPr>
        <w:snapToGrid w:val="0"/>
        <w:rPr>
          <w:rFonts w:hint="eastAsia" w:ascii="仿宋" w:hAnsi="仿宋" w:eastAsia="仿宋" w:cs="仿宋_GB2312"/>
          <w:b/>
          <w:kern w:val="0"/>
          <w:sz w:val="30"/>
          <w:szCs w:val="30"/>
        </w:rPr>
      </w:pPr>
    </w:p>
    <w:p w14:paraId="159581E4">
      <w:pPr>
        <w:snapToGrid w:val="0"/>
        <w:ind w:firstLine="897" w:firstLineChars="298"/>
        <w:rPr>
          <w:rFonts w:hint="eastAsia" w:ascii="仿宋" w:hAnsi="仿宋" w:eastAsia="仿宋" w:cs="仿宋_GB2312"/>
          <w:b/>
          <w:kern w:val="0"/>
          <w:sz w:val="30"/>
          <w:szCs w:val="30"/>
        </w:rPr>
      </w:pPr>
      <w:r>
        <w:rPr>
          <w:rFonts w:hint="eastAsia" w:ascii="仿宋" w:hAnsi="仿宋" w:eastAsia="仿宋" w:cs="仿宋_GB2312"/>
          <w:b/>
          <w:kern w:val="0"/>
          <w:sz w:val="30"/>
          <w:szCs w:val="30"/>
          <w:lang w:val="en-US" w:eastAsia="zh-CN"/>
        </w:rPr>
        <w:t>2.</w:t>
      </w:r>
      <w:r>
        <w:rPr>
          <w:rFonts w:hint="eastAsia" w:ascii="仿宋" w:hAnsi="仿宋" w:eastAsia="仿宋" w:cs="仿宋_GB2312"/>
          <w:b/>
          <w:kern w:val="0"/>
          <w:sz w:val="30"/>
          <w:szCs w:val="30"/>
        </w:rPr>
        <w:t>供应商直接管理关系信息表</w:t>
      </w:r>
    </w:p>
    <w:p w14:paraId="5E3341D6">
      <w:pPr>
        <w:snapToGrid w:val="0"/>
        <w:spacing w:line="360" w:lineRule="auto"/>
        <w:jc w:val="center"/>
        <w:rPr>
          <w:rFonts w:hint="eastAsia" w:ascii="宋体" w:hAnsi="宋体"/>
          <w:b/>
          <w:sz w:val="24"/>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D1B65F8">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89222B">
            <w:pPr>
              <w:widowControl/>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C15807">
            <w:pPr>
              <w:widowControl/>
              <w:spacing w:line="360" w:lineRule="auto"/>
              <w:jc w:val="center"/>
              <w:rPr>
                <w:rFonts w:hint="eastAsia" w:ascii="宋体" w:hAnsi="宋体" w:cs="宋体"/>
                <w:b/>
                <w:bCs/>
                <w:kern w:val="0"/>
                <w:sz w:val="24"/>
              </w:rPr>
            </w:pPr>
            <w:r>
              <w:rPr>
                <w:rFonts w:hint="eastAsia" w:ascii="宋体" w:hAnsi="宋体" w:cs="宋体"/>
                <w:b/>
                <w:bCs/>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0A8401">
            <w:pPr>
              <w:widowControl/>
              <w:spacing w:line="360" w:lineRule="auto"/>
              <w:jc w:val="center"/>
              <w:rPr>
                <w:rFonts w:hint="eastAsia" w:ascii="宋体" w:hAnsi="宋体" w:cs="宋体"/>
                <w:b/>
                <w:bCs/>
                <w:kern w:val="0"/>
                <w:sz w:val="24"/>
              </w:rPr>
            </w:pPr>
            <w:r>
              <w:rPr>
                <w:rFonts w:hint="eastAsia" w:ascii="宋体" w:hAnsi="宋体" w:cs="宋体"/>
                <w:b/>
                <w:bCs/>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A5CE59">
            <w:pPr>
              <w:widowControl/>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14:paraId="2220ABB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282AD9">
            <w:pPr>
              <w:widowControl/>
              <w:spacing w:line="360" w:lineRule="auto"/>
              <w:jc w:val="center"/>
              <w:rPr>
                <w:rFonts w:hint="eastAsia" w:ascii="宋体" w:hAnsi="宋体" w:cs="宋体"/>
                <w:kern w:val="0"/>
                <w:sz w:val="24"/>
              </w:rPr>
            </w:pPr>
            <w:r>
              <w:rPr>
                <w:rFonts w:hint="eastAsia" w:ascii="宋体" w:hAnsi="宋体" w:cs="宋体"/>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0B31B1">
            <w:pPr>
              <w:widowControl/>
              <w:spacing w:line="360" w:lineRule="auto"/>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0DD2D3">
            <w:pPr>
              <w:widowControl/>
              <w:spacing w:line="360" w:lineRule="auto"/>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584AD1">
            <w:pPr>
              <w:widowControl/>
              <w:spacing w:line="360" w:lineRule="auto"/>
              <w:jc w:val="center"/>
              <w:rPr>
                <w:rFonts w:hint="eastAsia" w:ascii="宋体" w:hAnsi="宋体" w:cs="宋体"/>
                <w:kern w:val="0"/>
                <w:sz w:val="24"/>
              </w:rPr>
            </w:pPr>
          </w:p>
        </w:tc>
      </w:tr>
      <w:tr w14:paraId="15443BA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B6C7AD">
            <w:pPr>
              <w:widowControl/>
              <w:spacing w:line="360" w:lineRule="auto"/>
              <w:jc w:val="center"/>
              <w:rPr>
                <w:rFonts w:hint="eastAsia" w:ascii="宋体" w:hAnsi="宋体" w:cs="宋体"/>
                <w:kern w:val="0"/>
                <w:sz w:val="24"/>
              </w:rPr>
            </w:pPr>
            <w:r>
              <w:rPr>
                <w:rFonts w:hint="eastAsia" w:ascii="宋体" w:hAnsi="宋体" w:cs="宋体"/>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97331A">
            <w:pPr>
              <w:widowControl/>
              <w:spacing w:line="360" w:lineRule="auto"/>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CF8D16">
            <w:pPr>
              <w:widowControl/>
              <w:spacing w:line="360" w:lineRule="auto"/>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22787C">
            <w:pPr>
              <w:widowControl/>
              <w:spacing w:line="360" w:lineRule="auto"/>
              <w:jc w:val="center"/>
              <w:rPr>
                <w:rFonts w:hint="eastAsia" w:ascii="宋体" w:hAnsi="宋体" w:cs="宋体"/>
                <w:kern w:val="0"/>
                <w:sz w:val="24"/>
              </w:rPr>
            </w:pPr>
          </w:p>
        </w:tc>
      </w:tr>
      <w:tr w14:paraId="74378C4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F0B935">
            <w:pPr>
              <w:widowControl/>
              <w:spacing w:line="360" w:lineRule="auto"/>
              <w:jc w:val="center"/>
              <w:rPr>
                <w:rFonts w:hint="eastAsia" w:ascii="宋体" w:hAnsi="宋体" w:cs="宋体"/>
                <w:kern w:val="0"/>
                <w:sz w:val="24"/>
              </w:rPr>
            </w:pPr>
            <w:r>
              <w:rPr>
                <w:rFonts w:hint="eastAsia" w:ascii="宋体" w:hAnsi="宋体" w:cs="宋体"/>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C3F44C">
            <w:pPr>
              <w:widowControl/>
              <w:spacing w:line="360" w:lineRule="auto"/>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5EE21E">
            <w:pPr>
              <w:widowControl/>
              <w:spacing w:line="360" w:lineRule="auto"/>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9A6566">
            <w:pPr>
              <w:widowControl/>
              <w:spacing w:line="360" w:lineRule="auto"/>
              <w:jc w:val="center"/>
              <w:rPr>
                <w:rFonts w:hint="eastAsia" w:ascii="宋体" w:hAnsi="宋体" w:cs="宋体"/>
                <w:kern w:val="0"/>
                <w:sz w:val="24"/>
              </w:rPr>
            </w:pPr>
          </w:p>
        </w:tc>
      </w:tr>
      <w:tr w14:paraId="55F3C7A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1E0FD2">
            <w:pPr>
              <w:widowControl/>
              <w:spacing w:line="360" w:lineRule="auto"/>
              <w:jc w:val="center"/>
              <w:rPr>
                <w:rFonts w:hint="eastAsia" w:ascii="宋体" w:hAnsi="宋体" w:cs="宋体"/>
                <w:kern w:val="0"/>
                <w:sz w:val="24"/>
              </w:rPr>
            </w:pPr>
            <w:r>
              <w:rPr>
                <w:rFonts w:hint="eastAsia" w:ascii="宋体" w:hAnsi="宋体" w:cs="宋体"/>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5F587D">
            <w:pPr>
              <w:widowControl/>
              <w:spacing w:line="360" w:lineRule="auto"/>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762A16">
            <w:pPr>
              <w:widowControl/>
              <w:spacing w:line="360" w:lineRule="auto"/>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5FD905">
            <w:pPr>
              <w:widowControl/>
              <w:spacing w:line="360" w:lineRule="auto"/>
              <w:jc w:val="center"/>
              <w:rPr>
                <w:rFonts w:hint="eastAsia" w:ascii="宋体" w:hAnsi="宋体" w:cs="宋体"/>
                <w:kern w:val="0"/>
                <w:sz w:val="24"/>
              </w:rPr>
            </w:pPr>
          </w:p>
        </w:tc>
      </w:tr>
    </w:tbl>
    <w:p w14:paraId="323D59BC">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注：</w:t>
      </w:r>
    </w:p>
    <w:p w14:paraId="2BB5AB5E">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1.管理关系：是指不具有出资持股关系的其他单位之间存在的管理与被管理关系，如一些上下级关系的事业单位和团体组织。</w:t>
      </w:r>
    </w:p>
    <w:p w14:paraId="1579A51B">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2.本表所指的管理关系仅限于直接管理关系，不包括间接的管理关系。</w:t>
      </w:r>
    </w:p>
    <w:p w14:paraId="297098F1">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3.供应商不存在直接管理关系的，则填“无”。</w:t>
      </w:r>
    </w:p>
    <w:p w14:paraId="53B343C6">
      <w:pPr>
        <w:spacing w:line="360" w:lineRule="auto"/>
        <w:jc w:val="left"/>
        <w:rPr>
          <w:rFonts w:hint="eastAsia"/>
          <w:sz w:val="24"/>
        </w:rPr>
      </w:pPr>
    </w:p>
    <w:p w14:paraId="774131F0">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0C1165B7">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25501BFA">
      <w:pPr>
        <w:spacing w:line="360" w:lineRule="auto"/>
        <w:ind w:right="480" w:firstLine="240" w:firstLineChars="100"/>
        <w:contextualSpacing/>
        <w:jc w:val="center"/>
        <w:rPr>
          <w:rFonts w:hint="eastAsia" w:ascii="宋体" w:hAnsi="宋体"/>
          <w:sz w:val="28"/>
          <w:szCs w:val="28"/>
        </w:rPr>
      </w:pPr>
      <w:r>
        <w:rPr>
          <w:rFonts w:hint="eastAsia" w:ascii="宋体" w:hAnsi="宋体"/>
          <w:sz w:val="24"/>
        </w:rPr>
        <w:t xml:space="preserve">                                  </w:t>
      </w:r>
    </w:p>
    <w:p w14:paraId="04448B20">
      <w:pPr>
        <w:spacing w:line="320" w:lineRule="exact"/>
        <w:ind w:firstLine="560" w:firstLineChars="200"/>
        <w:jc w:val="left"/>
        <w:rPr>
          <w:rFonts w:hint="eastAsia" w:ascii="宋体" w:hAnsi="宋体"/>
          <w:sz w:val="28"/>
          <w:szCs w:val="28"/>
        </w:rPr>
      </w:pPr>
      <w:r>
        <w:rPr>
          <w:rFonts w:hint="eastAsia" w:ascii="宋体" w:hAnsi="宋体"/>
          <w:sz w:val="28"/>
          <w:szCs w:val="28"/>
        </w:rPr>
        <w:br w:type="page"/>
      </w:r>
      <w:r>
        <w:rPr>
          <w:rFonts w:hint="eastAsia" w:ascii="仿宋" w:hAnsi="仿宋" w:eastAsia="仿宋" w:cs="仿宋_GB2312"/>
          <w:b/>
          <w:kern w:val="0"/>
          <w:sz w:val="30"/>
          <w:szCs w:val="30"/>
        </w:rPr>
        <w:t>六、资格声明函</w:t>
      </w:r>
    </w:p>
    <w:p w14:paraId="34597B17">
      <w:pPr>
        <w:spacing w:line="320" w:lineRule="exact"/>
        <w:jc w:val="center"/>
        <w:rPr>
          <w:rFonts w:hint="eastAsia" w:ascii="宋体" w:hAnsi="宋体"/>
          <w:b/>
          <w:sz w:val="32"/>
          <w:szCs w:val="32"/>
        </w:rPr>
      </w:pPr>
    </w:p>
    <w:p w14:paraId="09FE41DA">
      <w:pPr>
        <w:spacing w:line="320" w:lineRule="exact"/>
        <w:jc w:val="center"/>
        <w:rPr>
          <w:rFonts w:hint="eastAsia" w:ascii="宋体" w:hAnsi="宋体"/>
          <w:b/>
          <w:sz w:val="32"/>
          <w:szCs w:val="32"/>
        </w:rPr>
      </w:pPr>
      <w:r>
        <w:rPr>
          <w:rFonts w:hint="eastAsia" w:ascii="宋体" w:hAnsi="宋体"/>
          <w:b/>
          <w:sz w:val="32"/>
          <w:szCs w:val="32"/>
        </w:rPr>
        <w:t>资格声明函</w:t>
      </w:r>
    </w:p>
    <w:p w14:paraId="2B91AAA6">
      <w:pPr>
        <w:spacing w:line="320" w:lineRule="exact"/>
        <w:jc w:val="center"/>
        <w:rPr>
          <w:rFonts w:hint="eastAsia" w:ascii="宋体" w:hAnsi="宋体"/>
          <w:sz w:val="24"/>
          <w:szCs w:val="20"/>
        </w:rPr>
      </w:pPr>
    </w:p>
    <w:p w14:paraId="13A90BE8">
      <w:pPr>
        <w:spacing w:line="360" w:lineRule="auto"/>
        <w:rPr>
          <w:rFonts w:hint="eastAsia" w:ascii="仿宋_GB2312" w:hAnsi="宋体" w:eastAsia="仿宋_GB2312" w:cs="宋体"/>
          <w:sz w:val="24"/>
        </w:rPr>
      </w:pPr>
      <w:r>
        <w:rPr>
          <w:rFonts w:hint="eastAsia" w:ascii="仿宋_GB2312" w:hAnsi="宋体" w:eastAsia="仿宋_GB2312" w:cs="宋体"/>
          <w:sz w:val="24"/>
        </w:rPr>
        <w:t>致：</w:t>
      </w:r>
      <w:r>
        <w:rPr>
          <w:rFonts w:hint="eastAsia" w:ascii="仿宋_GB2312" w:hAnsi="宋体" w:eastAsia="仿宋_GB2312" w:cs="宋体"/>
          <w:sz w:val="24"/>
          <w:u w:val="single"/>
          <w:lang w:eastAsia="zh-CN"/>
        </w:rPr>
        <w:t>上林县政府集中采购中心</w:t>
      </w:r>
      <w:r>
        <w:rPr>
          <w:rFonts w:hint="eastAsia" w:ascii="仿宋_GB2312" w:hAnsi="宋体" w:eastAsia="仿宋_GB2312" w:cs="宋体"/>
          <w:sz w:val="24"/>
        </w:rPr>
        <w:t>：</w:t>
      </w:r>
    </w:p>
    <w:p w14:paraId="5AE17F40">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u w:val="single"/>
        </w:rPr>
        <w:t>（供应商名称）</w:t>
      </w:r>
      <w:r>
        <w:rPr>
          <w:rFonts w:hint="eastAsia" w:ascii="仿宋_GB2312" w:hAnsi="宋体" w:eastAsia="仿宋_GB2312" w:cs="宋体"/>
          <w:sz w:val="24"/>
        </w:rPr>
        <w:t>系中华人民共和国合法供应商，经营地址</w:t>
      </w:r>
      <w:r>
        <w:rPr>
          <w:rFonts w:hint="eastAsia" w:ascii="仿宋_GB2312" w:hAnsi="宋体" w:eastAsia="仿宋_GB2312" w:cs="宋体"/>
          <w:sz w:val="24"/>
          <w:u w:val="single"/>
        </w:rPr>
        <w:t xml:space="preserve">                              </w:t>
      </w:r>
      <w:r>
        <w:rPr>
          <w:rFonts w:hint="eastAsia" w:ascii="仿宋_GB2312" w:hAnsi="宋体" w:eastAsia="仿宋_GB2312" w:cs="宋体"/>
          <w:sz w:val="24"/>
        </w:rPr>
        <w:t>。</w:t>
      </w:r>
    </w:p>
    <w:p w14:paraId="4735AF94">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我方愿意参加贵方组织的</w:t>
      </w:r>
      <w:r>
        <w:rPr>
          <w:rFonts w:hint="eastAsia" w:ascii="仿宋_GB2312" w:hAnsi="宋体" w:eastAsia="仿宋_GB2312" w:cs="宋体"/>
          <w:sz w:val="24"/>
          <w:u w:val="single"/>
          <w:lang w:eastAsia="zh-CN"/>
        </w:rPr>
        <w:t>上林县委县政府机关大院物业服务项目(重)</w:t>
      </w:r>
      <w:r>
        <w:rPr>
          <w:rFonts w:hint="eastAsia" w:ascii="仿宋_GB2312" w:hAnsi="宋体" w:eastAsia="仿宋_GB2312" w:cs="宋体"/>
          <w:sz w:val="24"/>
        </w:rPr>
        <w:t>的竞标，为便于贵方公正、择优地确定成交供应商及其竞标产品和服务，我方就本次竞标有关事项郑重声明如下：</w:t>
      </w:r>
    </w:p>
    <w:p w14:paraId="54E01BBD">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1.我方向贵方提交的所有响应文件、资料都是准确的和真实的。</w:t>
      </w:r>
    </w:p>
    <w:p w14:paraId="4FA774A7">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181E444">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3.在此，我方宣布同意如下：</w:t>
      </w:r>
    </w:p>
    <w:p w14:paraId="65822E4A">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（1）将按磋商文件的约定履行合同责任和义务；</w:t>
      </w:r>
    </w:p>
    <w:p w14:paraId="024DE293">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（2）已详细审查全部磋商文件，包括澄清或者更正公告（如有）；</w:t>
      </w:r>
    </w:p>
    <w:p w14:paraId="7FD1454E">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（3）同意提供按照贵方可能要求的与谈判有关的一切数据或者资料；</w:t>
      </w:r>
    </w:p>
    <w:p w14:paraId="13994B09">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（4）响应磋商文件规定的竞标有效期。</w:t>
      </w:r>
    </w:p>
    <w:p w14:paraId="4E1A7AE1">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2D95AA87">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22278F0">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0A550FB">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□我方本次响应文件</w:t>
      </w:r>
      <w:r>
        <w:rPr>
          <w:rFonts w:hint="eastAsia" w:ascii="仿宋_GB2312" w:hAnsi="宋体" w:eastAsia="仿宋_GB2312" w:cs="宋体"/>
          <w:kern w:val="0"/>
          <w:sz w:val="24"/>
        </w:rPr>
        <w:t>内容中</w:t>
      </w:r>
      <w:r>
        <w:rPr>
          <w:rFonts w:hint="eastAsia" w:ascii="仿宋_GB2312" w:hAnsi="宋体" w:eastAsia="仿宋_GB2312" w:cs="宋体"/>
          <w:sz w:val="24"/>
        </w:rPr>
        <w:t>未</w:t>
      </w:r>
      <w:r>
        <w:rPr>
          <w:rFonts w:hint="eastAsia" w:ascii="仿宋_GB2312" w:hAnsi="宋体" w:eastAsia="仿宋_GB2312" w:cs="宋体"/>
          <w:kern w:val="0"/>
          <w:sz w:val="24"/>
        </w:rPr>
        <w:t>涉及商业秘密；</w:t>
      </w:r>
    </w:p>
    <w:p w14:paraId="042DD853">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□我方本次响应文件</w:t>
      </w:r>
      <w:r>
        <w:rPr>
          <w:rFonts w:hint="eastAsia" w:ascii="仿宋_GB2312" w:hAnsi="宋体" w:eastAsia="仿宋_GB2312" w:cs="宋体"/>
          <w:kern w:val="0"/>
          <w:sz w:val="24"/>
        </w:rPr>
        <w:t>涉及商业秘密的内容有：</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w:t>
      </w:r>
    </w:p>
    <w:p w14:paraId="5998E32D">
      <w:pPr>
        <w:pStyle w:val="13"/>
        <w:spacing w:line="360" w:lineRule="auto"/>
        <w:ind w:firstLine="480" w:firstLineChars="200"/>
        <w:rPr>
          <w:rFonts w:hint="eastAsia" w:ascii="仿宋_GB2312" w:hAnsi="宋体" w:eastAsia="仿宋_GB2312" w:cs="宋体"/>
          <w:sz w:val="24"/>
          <w:szCs w:val="24"/>
          <w:u w:val="single"/>
        </w:rPr>
      </w:pPr>
      <w:r>
        <w:rPr>
          <w:rFonts w:hint="eastAsia" w:ascii="仿宋_GB2312" w:hAnsi="宋体" w:eastAsia="仿宋_GB2312" w:cs="宋体"/>
          <w:sz w:val="24"/>
          <w:szCs w:val="24"/>
        </w:rPr>
        <w:t>7.与本磋商有关的一切正式往来信函请寄：</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邮政编号：</w:t>
      </w:r>
      <w:r>
        <w:rPr>
          <w:rFonts w:hint="eastAsia" w:ascii="仿宋_GB2312" w:hAnsi="宋体" w:eastAsia="仿宋_GB2312" w:cs="宋体"/>
          <w:sz w:val="24"/>
          <w:szCs w:val="24"/>
          <w:u w:val="single"/>
        </w:rPr>
        <w:t xml:space="preserve">        </w:t>
      </w:r>
    </w:p>
    <w:p w14:paraId="0DD46D0B">
      <w:pPr>
        <w:pStyle w:val="13"/>
        <w:spacing w:line="360"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电话/传真：</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电子函件：</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14:paraId="18CE16E9">
      <w:pPr>
        <w:pStyle w:val="11"/>
        <w:tabs>
          <w:tab w:val="left" w:pos="939"/>
        </w:tabs>
        <w:spacing w:line="360" w:lineRule="auto"/>
        <w:ind w:left="141" w:leftChars="67" w:firstLine="360" w:firstLineChars="150"/>
        <w:rPr>
          <w:rFonts w:hint="eastAsia" w:ascii="仿宋_GB2312" w:hAnsi="宋体" w:eastAsia="仿宋_GB2312" w:cs="宋体"/>
          <w:sz w:val="24"/>
        </w:rPr>
      </w:pPr>
      <w:r>
        <w:rPr>
          <w:rFonts w:hint="eastAsia" w:ascii="仿宋_GB2312" w:hAnsi="宋体" w:eastAsia="仿宋_GB2312" w:cs="宋体"/>
          <w:sz w:val="24"/>
        </w:rPr>
        <w:t>开户银行：</w:t>
      </w:r>
      <w:r>
        <w:rPr>
          <w:rFonts w:hint="eastAsia" w:ascii="仿宋_GB2312" w:hAnsi="宋体" w:eastAsia="仿宋_GB2312" w:cs="宋体"/>
          <w:sz w:val="24"/>
          <w:u w:val="single"/>
        </w:rPr>
        <w:t xml:space="preserve">                         </w:t>
      </w:r>
      <w:r>
        <w:rPr>
          <w:rFonts w:hint="eastAsia" w:ascii="仿宋_GB2312" w:hAnsi="宋体" w:eastAsia="仿宋_GB2312" w:cs="宋体"/>
          <w:sz w:val="24"/>
        </w:rPr>
        <w:t xml:space="preserve">  帐号：</w:t>
      </w:r>
      <w:r>
        <w:rPr>
          <w:rFonts w:hint="eastAsia" w:ascii="仿宋_GB2312" w:hAnsi="宋体" w:eastAsia="仿宋_GB2312" w:cs="宋体"/>
          <w:sz w:val="24"/>
          <w:u w:val="single"/>
        </w:rPr>
        <w:t xml:space="preserve">                               </w:t>
      </w:r>
    </w:p>
    <w:p w14:paraId="0DBEEB5F">
      <w:pPr>
        <w:pStyle w:val="11"/>
        <w:tabs>
          <w:tab w:val="left" w:pos="939"/>
        </w:tabs>
        <w:spacing w:line="360" w:lineRule="auto"/>
        <w:ind w:left="0" w:leftChars="0" w:firstLine="480" w:firstLineChars="200"/>
        <w:rPr>
          <w:rFonts w:hint="eastAsia" w:ascii="仿宋_GB2312" w:hAnsi="宋体" w:eastAsia="仿宋_GB2312" w:cs="宋体"/>
          <w:sz w:val="24"/>
        </w:rPr>
      </w:pPr>
      <w:r>
        <w:rPr>
          <w:rFonts w:hint="eastAsia" w:ascii="仿宋_GB2312" w:hAnsi="宋体" w:eastAsia="仿宋_GB2312" w:cs="宋体"/>
          <w:sz w:val="24"/>
        </w:rPr>
        <w:t>8.以上事项如有虚假或者隐瞒，我方愿意承担一切后果，并不再寻求任何旨在减轻或者免除法律责任的辩解。</w:t>
      </w:r>
    </w:p>
    <w:p w14:paraId="78FE82E6">
      <w:pPr>
        <w:pStyle w:val="11"/>
        <w:tabs>
          <w:tab w:val="left" w:pos="939"/>
        </w:tabs>
        <w:spacing w:line="360" w:lineRule="auto"/>
        <w:ind w:left="141" w:leftChars="67" w:firstLine="360" w:firstLineChars="150"/>
        <w:rPr>
          <w:rFonts w:hint="eastAsia" w:ascii="仿宋_GB2312" w:hAnsi="宋体" w:eastAsia="仿宋_GB2312" w:cs="宋体"/>
          <w:sz w:val="24"/>
        </w:rPr>
      </w:pPr>
      <w:r>
        <w:rPr>
          <w:rFonts w:hint="eastAsia" w:ascii="仿宋_GB2312" w:hAnsi="宋体" w:eastAsia="仿宋_GB2312" w:cs="宋体"/>
          <w:sz w:val="24"/>
        </w:rPr>
        <w:t>特此承诺。</w:t>
      </w:r>
    </w:p>
    <w:p w14:paraId="49D35289">
      <w:pPr>
        <w:pStyle w:val="11"/>
        <w:tabs>
          <w:tab w:val="left" w:pos="939"/>
        </w:tabs>
        <w:spacing w:line="360" w:lineRule="auto"/>
        <w:ind w:left="0" w:leftChars="0" w:firstLine="480" w:firstLineChars="200"/>
        <w:rPr>
          <w:rFonts w:hint="eastAsia" w:ascii="宋体" w:hAnsi="宋体" w:cs="宋体"/>
          <w:sz w:val="24"/>
        </w:rPr>
      </w:pPr>
      <w:r>
        <w:rPr>
          <w:rFonts w:hint="eastAsia" w:ascii="仿宋_GB2312" w:hAnsi="宋体" w:eastAsia="仿宋_GB2312" w:cs="宋体"/>
          <w:sz w:val="24"/>
        </w:rPr>
        <w:t>注：如为联合体竞标，盖章处须加盖联合体各方公章并由联合体各方法定代表人签署，否则其响应文件按无效响应处理。</w:t>
      </w:r>
    </w:p>
    <w:p w14:paraId="2D0F2A85">
      <w:pPr>
        <w:pStyle w:val="11"/>
        <w:tabs>
          <w:tab w:val="left" w:pos="939"/>
        </w:tabs>
        <w:spacing w:line="360" w:lineRule="auto"/>
        <w:ind w:left="0" w:leftChars="0" w:firstLine="480" w:firstLineChars="200"/>
        <w:rPr>
          <w:rFonts w:hint="eastAsia" w:ascii="宋体" w:hAnsi="宋体" w:cs="宋体"/>
          <w:sz w:val="24"/>
        </w:rPr>
      </w:pPr>
    </w:p>
    <w:p w14:paraId="3E8CB0AC">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71B783EC">
      <w:pPr>
        <w:autoSpaceDE w:val="0"/>
        <w:autoSpaceDN w:val="0"/>
        <w:spacing w:line="360" w:lineRule="auto"/>
        <w:ind w:firstLine="6120" w:firstLineChars="25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6C3C9286">
      <w:pPr>
        <w:widowControl/>
        <w:spacing w:line="360" w:lineRule="auto"/>
        <w:jc w:val="left"/>
        <w:rPr>
          <w:rFonts w:ascii="仿宋_GB2312" w:hAnsi="仿宋" w:eastAsia="仿宋_GB2312" w:cs="仿宋_GB2312"/>
          <w:kern w:val="0"/>
          <w:sz w:val="24"/>
          <w:lang w:val="zh-CN"/>
        </w:rPr>
        <w:sectPr>
          <w:pgSz w:w="11910" w:h="16840"/>
          <w:pgMar w:top="1340" w:right="1500" w:bottom="280" w:left="1680" w:header="720" w:footer="720" w:gutter="0"/>
          <w:pgNumType w:fmt="decimal"/>
          <w:cols w:space="720" w:num="1"/>
        </w:sectPr>
      </w:pPr>
    </w:p>
    <w:p w14:paraId="5E16E2DA">
      <w:pPr>
        <w:pStyle w:val="13"/>
        <w:jc w:val="center"/>
        <w:rPr>
          <w:rFonts w:hint="eastAsia" w:ascii="Times New Roman" w:hAnsi="Times New Roman"/>
          <w:b/>
          <w:sz w:val="30"/>
          <w:szCs w:val="30"/>
        </w:rPr>
      </w:pPr>
      <w:r>
        <w:rPr>
          <w:rFonts w:hint="eastAsia" w:ascii="Times New Roman" w:hAnsi="Times New Roman"/>
          <w:b/>
          <w:bCs/>
          <w:sz w:val="30"/>
          <w:szCs w:val="30"/>
        </w:rPr>
        <w:t>七、</w:t>
      </w:r>
      <w:r>
        <w:rPr>
          <w:rFonts w:hint="eastAsia" w:ascii="Times New Roman" w:hAnsi="Times New Roman"/>
          <w:b/>
          <w:sz w:val="30"/>
          <w:szCs w:val="30"/>
        </w:rPr>
        <w:t>中小企业声明函</w:t>
      </w:r>
    </w:p>
    <w:p w14:paraId="19D50DFF">
      <w:pPr>
        <w:pStyle w:val="10"/>
        <w:spacing w:line="240" w:lineRule="auto"/>
        <w:ind w:firstLine="0"/>
        <w:rPr>
          <w:rFonts w:ascii="Times New Roman" w:hAnsi="Times New Roman"/>
          <w:sz w:val="21"/>
          <w:szCs w:val="21"/>
        </w:rPr>
      </w:pPr>
      <w:r>
        <w:rPr>
          <w:rFonts w:hint="eastAsia" w:ascii="Times New Roman" w:hAnsi="宋体"/>
          <w:sz w:val="21"/>
          <w:szCs w:val="21"/>
        </w:rPr>
        <w:t>说明：</w:t>
      </w:r>
    </w:p>
    <w:p w14:paraId="215F3EC6">
      <w:pPr>
        <w:pStyle w:val="10"/>
        <w:spacing w:line="240" w:lineRule="auto"/>
        <w:ind w:firstLine="420" w:firstLineChars="200"/>
        <w:rPr>
          <w:rFonts w:ascii="Times New Roman" w:hAnsi="Times New Roman"/>
          <w:sz w:val="21"/>
          <w:szCs w:val="21"/>
        </w:rPr>
      </w:pPr>
      <w:r>
        <w:rPr>
          <w:rFonts w:ascii="Times New Roman" w:hAnsi="Times New Roman"/>
          <w:sz w:val="21"/>
          <w:szCs w:val="21"/>
        </w:rPr>
        <w:t>1</w:t>
      </w:r>
      <w:r>
        <w:rPr>
          <w:rFonts w:hint="eastAsia" w:ascii="Times New Roman" w:hAnsi="宋体"/>
          <w:sz w:val="21"/>
          <w:szCs w:val="21"/>
        </w:rPr>
        <w:t>、本声明函主要供参加政府采购活动的中小企业填写，非中小企业无需填写。</w:t>
      </w:r>
    </w:p>
    <w:p w14:paraId="18E56406">
      <w:pPr>
        <w:pStyle w:val="10"/>
        <w:spacing w:line="240" w:lineRule="auto"/>
        <w:ind w:firstLine="420" w:firstLineChars="200"/>
        <w:rPr>
          <w:rFonts w:ascii="Times New Roman" w:hAnsi="宋体"/>
          <w:sz w:val="21"/>
          <w:szCs w:val="21"/>
        </w:rPr>
      </w:pPr>
      <w:r>
        <w:rPr>
          <w:rFonts w:ascii="Times New Roman" w:hAnsi="Times New Roman"/>
          <w:sz w:val="21"/>
          <w:szCs w:val="21"/>
        </w:rPr>
        <w:t>2</w:t>
      </w:r>
      <w:r>
        <w:rPr>
          <w:rFonts w:hint="eastAsia" w:ascii="Times New Roman" w:hAnsi="宋体"/>
          <w:sz w:val="21"/>
          <w:szCs w:val="21"/>
        </w:rPr>
        <w:t>、小型、微型企业提供中型企业提供的服务的，视同为中型企业。</w:t>
      </w:r>
    </w:p>
    <w:p w14:paraId="0B8F2649">
      <w:pPr>
        <w:pStyle w:val="10"/>
        <w:spacing w:line="240" w:lineRule="auto"/>
        <w:ind w:firstLine="420" w:firstLineChars="200"/>
        <w:rPr>
          <w:rFonts w:ascii="Times New Roman" w:hAnsi="宋体"/>
          <w:sz w:val="21"/>
          <w:szCs w:val="21"/>
        </w:rPr>
      </w:pPr>
    </w:p>
    <w:p w14:paraId="09FB8391">
      <w:pPr>
        <w:pStyle w:val="9"/>
        <w:spacing w:line="500" w:lineRule="exact"/>
        <w:ind w:right="142" w:firstLine="420" w:firstLineChars="200"/>
        <w:rPr>
          <w:rFonts w:ascii="宋体" w:hAnsi="宋体"/>
        </w:rPr>
      </w:pPr>
      <w:r>
        <w:rPr>
          <w:rFonts w:hint="eastAsia" w:ascii="宋体" w:hAnsi="宋体"/>
        </w:rPr>
        <w:t>本公司（联合体）郑重声明，根据《政府采购促进中小企业发展管理办法》（财库﹝2020﹞46号）的规定，本公司（联合体）参加</w:t>
      </w:r>
      <w:r>
        <w:rPr>
          <w:rFonts w:hint="eastAsia" w:ascii="宋体" w:hAnsi="宋体"/>
          <w:u w:val="single"/>
          <w:lang w:eastAsia="zh-CN"/>
        </w:rPr>
        <w:t>上林县</w:t>
      </w:r>
      <w:r>
        <w:rPr>
          <w:rFonts w:hint="eastAsia" w:ascii="宋体" w:hAnsi="宋体"/>
          <w:u w:val="single"/>
        </w:rPr>
        <w:t>机关后勤服务中心</w:t>
      </w:r>
      <w:r>
        <w:rPr>
          <w:rFonts w:hint="eastAsia" w:ascii="宋体" w:hAnsi="宋体"/>
        </w:rPr>
        <w:t>的</w:t>
      </w:r>
      <w:r>
        <w:rPr>
          <w:rFonts w:hint="eastAsia" w:ascii="宋体" w:hAnsi="宋体"/>
          <w:u w:val="single"/>
          <w:lang w:eastAsia="zh-CN"/>
        </w:rPr>
        <w:t>2026年-2029年上林县政府大院物业管理服务采购项目</w:t>
      </w:r>
      <w:r>
        <w:rPr>
          <w:rFonts w:hint="eastAsia" w:ascii="宋体" w:hAnsi="宋体"/>
          <w:u w:val="single"/>
        </w:rPr>
        <w:t xml:space="preserve"> </w:t>
      </w:r>
      <w:r>
        <w:rPr>
          <w:rFonts w:hint="eastAsia" w:ascii="宋体" w:hAnsi="宋体"/>
        </w:rPr>
        <w:t>采购活动，</w:t>
      </w:r>
      <w:r>
        <w:rPr>
          <w:rFonts w:hint="eastAsia" w:ascii="宋体" w:hAnsi="宋体"/>
          <w:b/>
          <w:bCs/>
        </w:rPr>
        <w:t>服务全部由符合政策要求的中小企业承接</w:t>
      </w:r>
      <w:r>
        <w:rPr>
          <w:rFonts w:hint="eastAsia" w:ascii="宋体" w:hAnsi="宋体"/>
        </w:rPr>
        <w:t>。相关企业（含联合体中的中小企业、签订分包意向协议的中小企业）的具体情况如下：</w:t>
      </w:r>
    </w:p>
    <w:p w14:paraId="28DBF2E2">
      <w:pPr>
        <w:tabs>
          <w:tab w:val="left" w:pos="1384"/>
          <w:tab w:val="left" w:pos="4562"/>
          <w:tab w:val="left" w:pos="6803"/>
        </w:tabs>
        <w:spacing w:before="13" w:line="500" w:lineRule="exact"/>
        <w:ind w:right="142" w:firstLine="600" w:firstLineChars="286"/>
        <w:rPr>
          <w:rFonts w:hint="eastAsia" w:ascii="宋体" w:hAnsi="宋体"/>
          <w:szCs w:val="21"/>
        </w:rPr>
      </w:pPr>
      <w:r>
        <w:rPr>
          <w:rFonts w:hint="eastAsia" w:ascii="宋体" w:hAnsi="宋体"/>
          <w:szCs w:val="21"/>
        </w:rPr>
        <w:t>1.</w:t>
      </w:r>
      <w:r>
        <w:rPr>
          <w:rFonts w:hint="eastAsia" w:ascii="宋体" w:hAnsi="宋体"/>
          <w:szCs w:val="21"/>
          <w:u w:val="single"/>
        </w:rPr>
        <w:t>（标的名称）</w:t>
      </w:r>
      <w:r>
        <w:rPr>
          <w:rFonts w:hint="eastAsia" w:ascii="宋体" w:hAnsi="宋体"/>
          <w:szCs w:val="21"/>
        </w:rPr>
        <w:t>，属于</w:t>
      </w:r>
      <w:r>
        <w:rPr>
          <w:rFonts w:hint="eastAsia" w:ascii="宋体" w:hAnsi="宋体"/>
          <w:szCs w:val="21"/>
          <w:u w:val="single"/>
        </w:rPr>
        <w:t>（采购文件中明确的所属行业）</w:t>
      </w:r>
      <w:r>
        <w:rPr>
          <w:rFonts w:hint="eastAsia" w:ascii="宋体" w:hAnsi="宋体"/>
          <w:szCs w:val="21"/>
        </w:rPr>
        <w:t>；</w:t>
      </w:r>
      <w:r>
        <w:rPr>
          <w:rFonts w:hint="eastAsia" w:ascii="宋体" w:hAnsi="宋体"/>
          <w:b/>
          <w:bCs/>
          <w:szCs w:val="21"/>
        </w:rPr>
        <w:t>承接企业</w:t>
      </w:r>
      <w:r>
        <w:rPr>
          <w:rFonts w:hint="eastAsia" w:ascii="宋体" w:hAnsi="宋体"/>
          <w:szCs w:val="21"/>
        </w:rPr>
        <w:t>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hint="eastAsia" w:ascii="宋体" w:hAnsi="宋体"/>
          <w:szCs w:val="21"/>
        </w:rPr>
        <w:t>人，营业收入为</w:t>
      </w:r>
      <w:r>
        <w:rPr>
          <w:rFonts w:hint="eastAsia" w:ascii="宋体" w:hAnsi="宋体"/>
          <w:szCs w:val="21"/>
          <w:u w:val="single"/>
        </w:rPr>
        <w:t xml:space="preserve">      </w:t>
      </w:r>
      <w:r>
        <w:rPr>
          <w:rFonts w:hint="eastAsia" w:ascii="宋体" w:hAnsi="宋体"/>
          <w:szCs w:val="21"/>
        </w:rPr>
        <w:t>万元，资产总额为</w:t>
      </w:r>
      <w:r>
        <w:rPr>
          <w:rFonts w:hint="eastAsia" w:ascii="宋体" w:hAnsi="宋体"/>
          <w:szCs w:val="21"/>
          <w:u w:val="single"/>
        </w:rPr>
        <w:t xml:space="preserve">      </w:t>
      </w:r>
      <w:r>
        <w:rPr>
          <w:rFonts w:hint="eastAsia" w:ascii="宋体" w:hAnsi="宋体"/>
          <w:szCs w:val="21"/>
        </w:rPr>
        <w:t>万元，属于</w:t>
      </w:r>
      <w:r>
        <w:rPr>
          <w:rFonts w:hint="eastAsia" w:ascii="宋体" w:hAnsi="宋体"/>
          <w:szCs w:val="21"/>
          <w:u w:val="single"/>
        </w:rPr>
        <w:t>（中型企业、小型企业、微型企业）</w:t>
      </w:r>
      <w:r>
        <w:rPr>
          <w:rFonts w:hint="eastAsia" w:ascii="宋体" w:hAnsi="宋体"/>
          <w:szCs w:val="21"/>
        </w:rPr>
        <w:t>；</w:t>
      </w:r>
    </w:p>
    <w:p w14:paraId="103E85F1">
      <w:pPr>
        <w:tabs>
          <w:tab w:val="left" w:pos="1065"/>
          <w:tab w:val="left" w:pos="4262"/>
          <w:tab w:val="left" w:pos="6477"/>
        </w:tabs>
        <w:spacing w:before="20" w:line="500" w:lineRule="exact"/>
        <w:ind w:right="84" w:firstLine="600" w:firstLineChars="286"/>
        <w:rPr>
          <w:rFonts w:hint="eastAsia" w:ascii="宋体" w:hAnsi="宋体"/>
          <w:szCs w:val="21"/>
          <w:u w:val="single"/>
        </w:rPr>
      </w:pPr>
      <w:r>
        <w:rPr>
          <w:rFonts w:hint="eastAsia" w:ascii="宋体" w:hAnsi="宋体"/>
          <w:szCs w:val="21"/>
        </w:rPr>
        <w:t>2.</w:t>
      </w:r>
      <w:r>
        <w:rPr>
          <w:rFonts w:hint="eastAsia" w:ascii="宋体" w:hAnsi="宋体"/>
          <w:szCs w:val="21"/>
          <w:u w:val="single"/>
        </w:rPr>
        <w:t>（标的名称）</w:t>
      </w:r>
      <w:r>
        <w:rPr>
          <w:rFonts w:hint="eastAsia" w:ascii="宋体" w:hAnsi="宋体"/>
          <w:szCs w:val="21"/>
        </w:rPr>
        <w:t>，属于</w:t>
      </w:r>
      <w:r>
        <w:rPr>
          <w:rFonts w:hint="eastAsia" w:ascii="宋体" w:hAnsi="宋体"/>
          <w:szCs w:val="21"/>
          <w:u w:val="single"/>
        </w:rPr>
        <w:t>（采购文件中明确的所属行业）</w:t>
      </w:r>
      <w:r>
        <w:rPr>
          <w:rFonts w:hint="eastAsia" w:ascii="宋体" w:hAnsi="宋体"/>
          <w:szCs w:val="21"/>
        </w:rPr>
        <w:t>；</w:t>
      </w:r>
      <w:r>
        <w:rPr>
          <w:rFonts w:hint="eastAsia" w:ascii="宋体" w:hAnsi="宋体"/>
          <w:b/>
          <w:bCs/>
          <w:szCs w:val="21"/>
        </w:rPr>
        <w:t>承接企业</w:t>
      </w:r>
      <w:r>
        <w:rPr>
          <w:rFonts w:hint="eastAsia" w:ascii="宋体" w:hAnsi="宋体"/>
          <w:szCs w:val="21"/>
        </w:rPr>
        <w:t>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hint="eastAsia" w:ascii="宋体" w:hAnsi="宋体"/>
          <w:szCs w:val="21"/>
        </w:rPr>
        <w:t>人，营业收入为</w:t>
      </w:r>
      <w:r>
        <w:rPr>
          <w:rFonts w:hint="eastAsia" w:ascii="宋体" w:hAnsi="宋体"/>
          <w:szCs w:val="21"/>
          <w:u w:val="single"/>
        </w:rPr>
        <w:t xml:space="preserve">      </w:t>
      </w:r>
      <w:r>
        <w:rPr>
          <w:rFonts w:hint="eastAsia" w:ascii="宋体" w:hAnsi="宋体"/>
          <w:szCs w:val="21"/>
        </w:rPr>
        <w:t>万元，资产总额为</w:t>
      </w:r>
      <w:r>
        <w:rPr>
          <w:rFonts w:hint="eastAsia" w:ascii="宋体" w:hAnsi="宋体"/>
          <w:szCs w:val="21"/>
          <w:u w:val="single"/>
        </w:rPr>
        <w:t xml:space="preserve">      </w:t>
      </w:r>
      <w:r>
        <w:rPr>
          <w:rFonts w:hint="eastAsia" w:ascii="宋体" w:hAnsi="宋体"/>
          <w:szCs w:val="21"/>
        </w:rPr>
        <w:t>万元，属于</w:t>
      </w:r>
      <w:r>
        <w:rPr>
          <w:rFonts w:hint="eastAsia" w:ascii="宋体" w:hAnsi="宋体"/>
          <w:szCs w:val="21"/>
          <w:u w:val="single"/>
        </w:rPr>
        <w:t>（中型企业、小型企业、微型企业）</w:t>
      </w:r>
      <w:r>
        <w:rPr>
          <w:rFonts w:hint="eastAsia" w:ascii="宋体" w:hAnsi="宋体"/>
          <w:szCs w:val="21"/>
        </w:rPr>
        <w:t>；</w:t>
      </w:r>
    </w:p>
    <w:p w14:paraId="20602FE4">
      <w:pPr>
        <w:pStyle w:val="9"/>
        <w:spacing w:before="34" w:line="500" w:lineRule="exact"/>
        <w:ind w:left="765" w:right="142" w:hanging="5"/>
        <w:rPr>
          <w:rFonts w:hint="eastAsia" w:ascii="宋体" w:hAnsi="宋体"/>
        </w:rPr>
      </w:pPr>
      <w:r>
        <w:rPr>
          <w:rFonts w:hint="eastAsia" w:ascii="宋体" w:hAnsi="宋体"/>
        </w:rPr>
        <w:t xml:space="preserve">…… </w:t>
      </w:r>
    </w:p>
    <w:p w14:paraId="4759DE39">
      <w:pPr>
        <w:pStyle w:val="9"/>
        <w:spacing w:before="34" w:line="500" w:lineRule="exact"/>
        <w:ind w:right="142" w:firstLine="420" w:firstLineChars="200"/>
        <w:rPr>
          <w:rFonts w:hint="eastAsia" w:ascii="宋体" w:hAnsi="宋体"/>
        </w:rPr>
      </w:pPr>
      <w:r>
        <w:rPr>
          <w:rFonts w:hint="eastAsia" w:ascii="宋体" w:hAnsi="宋体"/>
        </w:rPr>
        <w:t>以上企业，不属于大企业的分支机构，不存在控股股东为大企业的情形，也不存在与大企业的负责人为同一人的情形。</w:t>
      </w:r>
    </w:p>
    <w:p w14:paraId="24BE9243">
      <w:pPr>
        <w:pStyle w:val="9"/>
        <w:spacing w:before="34" w:line="500" w:lineRule="exact"/>
        <w:ind w:right="142" w:firstLine="420" w:firstLineChars="200"/>
        <w:rPr>
          <w:rFonts w:hint="eastAsia" w:ascii="宋体" w:hAnsi="宋体"/>
        </w:rPr>
      </w:pPr>
      <w:r>
        <w:rPr>
          <w:rFonts w:hint="eastAsia" w:ascii="宋体" w:hAnsi="宋体"/>
        </w:rPr>
        <w:t>本企业对上述声明内容的真实性负责。如有虚假，将依法承担相应责任。</w:t>
      </w:r>
    </w:p>
    <w:p w14:paraId="67387C8E">
      <w:pPr>
        <w:pStyle w:val="13"/>
        <w:spacing w:line="360" w:lineRule="auto"/>
        <w:ind w:firstLine="400" w:firstLineChars="200"/>
        <w:rPr>
          <w:rFonts w:hint="eastAsia" w:hAnsi="宋体"/>
          <w:szCs w:val="21"/>
        </w:rPr>
      </w:pPr>
    </w:p>
    <w:p w14:paraId="0F68B625">
      <w:pPr>
        <w:pStyle w:val="13"/>
        <w:spacing w:line="360" w:lineRule="auto"/>
        <w:ind w:firstLine="400" w:firstLineChars="200"/>
        <w:rPr>
          <w:rFonts w:hint="eastAsia" w:hAnsi="宋体"/>
          <w:szCs w:val="21"/>
        </w:rPr>
      </w:pPr>
    </w:p>
    <w:p w14:paraId="5D4F37BE">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271D615F">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2B1AC0D5">
      <w:pPr>
        <w:pStyle w:val="13"/>
        <w:spacing w:line="360" w:lineRule="auto"/>
        <w:ind w:firstLine="400" w:firstLineChars="200"/>
        <w:rPr>
          <w:rFonts w:hint="eastAsia" w:hAnsi="宋体"/>
          <w:szCs w:val="21"/>
        </w:rPr>
      </w:pPr>
    </w:p>
    <w:p w14:paraId="4B492029">
      <w:pPr>
        <w:snapToGrid w:val="0"/>
        <w:spacing w:before="50" w:after="165" w:afterLines="50" w:line="360" w:lineRule="auto"/>
        <w:jc w:val="left"/>
        <w:rPr>
          <w:rFonts w:hint="eastAsia" w:hAnsi="宋体" w:cs="宋体"/>
          <w:sz w:val="20"/>
        </w:rPr>
      </w:pPr>
      <w:r>
        <w:rPr>
          <w:rFonts w:hint="eastAsia" w:hAnsi="宋体" w:cs="宋体"/>
          <w:sz w:val="20"/>
        </w:rPr>
        <w:t>注：</w:t>
      </w:r>
    </w:p>
    <w:p w14:paraId="14B79358">
      <w:pPr>
        <w:numPr>
          <w:ilvl w:val="0"/>
          <w:numId w:val="8"/>
        </w:numPr>
        <w:snapToGrid w:val="0"/>
        <w:spacing w:before="50" w:after="165" w:afterLines="50" w:line="360" w:lineRule="auto"/>
        <w:jc w:val="left"/>
        <w:rPr>
          <w:sz w:val="20"/>
        </w:rPr>
      </w:pPr>
      <w:r>
        <w:rPr>
          <w:rFonts w:hint="eastAsia"/>
          <w:sz w:val="20"/>
        </w:rPr>
        <w:t>从业人员、营业收入、资产总额填报上一年度数据，无上一年度数据的新成立企业可不填报。</w:t>
      </w:r>
    </w:p>
    <w:p w14:paraId="15E8DFA7">
      <w:pPr>
        <w:snapToGrid w:val="0"/>
        <w:spacing w:before="50" w:after="165" w:afterLines="50" w:line="360" w:lineRule="auto"/>
        <w:ind w:firstLine="300" w:firstLineChars="150"/>
        <w:jc w:val="left"/>
        <w:rPr>
          <w:rFonts w:hint="eastAsia" w:eastAsia="宋体"/>
          <w:sz w:val="20"/>
          <w:lang w:eastAsia="zh-CN"/>
        </w:rPr>
        <w:sectPr>
          <w:pgSz w:w="11906" w:h="16838"/>
          <w:pgMar w:top="1134" w:right="1134" w:bottom="1134" w:left="1134" w:header="720" w:footer="720" w:gutter="0"/>
          <w:pgNumType w:fmt="decimal"/>
          <w:cols w:space="720" w:num="1"/>
          <w:docGrid w:type="lines" w:linePitch="331" w:charSpace="0"/>
        </w:sectPr>
      </w:pPr>
      <w:r>
        <w:rPr>
          <w:sz w:val="20"/>
        </w:rPr>
        <w:t>2</w:t>
      </w:r>
      <w:r>
        <w:rPr>
          <w:rFonts w:hint="eastAsia"/>
          <w:sz w:val="20"/>
        </w:rPr>
        <w:t>、请根据自己的真实情况出具《中小企业声明函》。依法享受中小企业优惠政策的，采购人或者采购代理机构在公告中标结果时，同时公告其《中小企业声明函》，接受社会监督</w:t>
      </w:r>
      <w:r>
        <w:rPr>
          <w:rFonts w:hint="eastAsia"/>
          <w:sz w:val="20"/>
          <w:lang w:eastAsia="zh-CN"/>
        </w:rPr>
        <w:t>。</w:t>
      </w:r>
    </w:p>
    <w:p w14:paraId="2720CBE5">
      <w:pPr>
        <w:autoSpaceDE w:val="0"/>
        <w:autoSpaceDN w:val="0"/>
        <w:spacing w:line="360" w:lineRule="auto"/>
        <w:rPr>
          <w:rFonts w:hint="eastAsia" w:ascii="仿宋_GB2312" w:hAnsi="仿宋" w:eastAsia="仿宋_GB2312" w:cs="仿宋_GB2312"/>
          <w:kern w:val="0"/>
          <w:sz w:val="24"/>
          <w:lang w:val="zh-CN"/>
        </w:rPr>
      </w:pPr>
    </w:p>
    <w:p w14:paraId="5659FB42">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八、</w:t>
      </w:r>
      <w:r>
        <w:rPr>
          <w:rFonts w:hint="eastAsia" w:ascii="Times New Roman" w:hAnsi="Times New Roman"/>
          <w:b/>
          <w:bCs/>
          <w:sz w:val="30"/>
          <w:szCs w:val="30"/>
        </w:rPr>
        <w:t>除招标文件规定必须提供以外，投标人认为需要提供的其他证明材料</w:t>
      </w:r>
    </w:p>
    <w:p w14:paraId="56DD9F7C">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114B5704">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4AB4AF0B">
      <w:pPr>
        <w:widowControl/>
        <w:spacing w:line="360" w:lineRule="auto"/>
        <w:jc w:val="left"/>
        <w:rPr>
          <w:rFonts w:ascii="仿宋_GB2312" w:hAnsi="仿宋" w:eastAsia="仿宋_GB2312" w:cs="仿宋_GB2312"/>
          <w:kern w:val="0"/>
          <w:sz w:val="24"/>
          <w:lang w:val="zh-CN"/>
        </w:rPr>
        <w:sectPr>
          <w:pgSz w:w="11910" w:h="16840"/>
          <w:pgMar w:top="1340" w:right="1500" w:bottom="280" w:left="1680" w:header="720" w:footer="720" w:gutter="0"/>
          <w:pgNumType w:fmt="decimal"/>
          <w:cols w:space="720" w:num="1"/>
        </w:sectPr>
      </w:pPr>
    </w:p>
    <w:p w14:paraId="2C785990">
      <w:pPr>
        <w:pStyle w:val="3"/>
        <w:jc w:val="center"/>
        <w:rPr>
          <w:rFonts w:hint="eastAsia" w:ascii="宋体" w:hAnsi="宋体" w:cs="宋体"/>
          <w:b w:val="0"/>
        </w:rPr>
      </w:pPr>
      <w:bookmarkStart w:id="90" w:name="_Toc80886944"/>
      <w:bookmarkStart w:id="91" w:name="_Toc80205940"/>
      <w:r>
        <w:rPr>
          <w:rFonts w:hint="eastAsia" w:ascii="宋体" w:hAnsi="宋体"/>
          <w:b w:val="0"/>
          <w:bCs w:val="0"/>
        </w:rPr>
        <w:t xml:space="preserve">第三节 </w:t>
      </w:r>
      <w:r>
        <w:rPr>
          <w:rFonts w:hint="eastAsia" w:ascii="宋体" w:hAnsi="宋体"/>
          <w:b w:val="0"/>
        </w:rPr>
        <w:t>商务技术文件格式</w:t>
      </w:r>
      <w:bookmarkEnd w:id="90"/>
      <w:bookmarkEnd w:id="91"/>
    </w:p>
    <w:p w14:paraId="47ADA0CA">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14:paraId="3159E043">
      <w:pPr>
        <w:snapToGrid w:val="0"/>
        <w:spacing w:before="120" w:beforeLines="50" w:after="50"/>
        <w:rPr>
          <w:rFonts w:hint="eastAsia" w:ascii="宋体" w:hAnsi="宋体"/>
          <w:sz w:val="24"/>
          <w:szCs w:val="20"/>
        </w:rPr>
      </w:pPr>
    </w:p>
    <w:p w14:paraId="13383557">
      <w:pPr>
        <w:snapToGrid w:val="0"/>
        <w:spacing w:before="120" w:beforeLines="50" w:after="50"/>
        <w:rPr>
          <w:rFonts w:hint="eastAsia" w:ascii="宋体" w:hAnsi="宋体"/>
          <w:sz w:val="24"/>
          <w:szCs w:val="20"/>
        </w:rPr>
      </w:pPr>
    </w:p>
    <w:p w14:paraId="33352AC8">
      <w:pPr>
        <w:snapToGrid w:val="0"/>
        <w:spacing w:before="120" w:beforeLines="50" w:after="50"/>
        <w:rPr>
          <w:rFonts w:hint="eastAsia" w:ascii="宋体" w:hAnsi="宋体"/>
          <w:sz w:val="24"/>
          <w:szCs w:val="20"/>
        </w:rPr>
      </w:pPr>
    </w:p>
    <w:p w14:paraId="1040EE81">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  务  技  术  文  件（封面）</w:t>
      </w:r>
    </w:p>
    <w:p w14:paraId="3111B5A6">
      <w:pPr>
        <w:snapToGrid w:val="0"/>
        <w:spacing w:before="120" w:beforeLines="50" w:after="50"/>
        <w:rPr>
          <w:rFonts w:hint="eastAsia" w:ascii="宋体" w:hAnsi="宋体"/>
          <w:bCs/>
          <w:sz w:val="24"/>
          <w:szCs w:val="20"/>
        </w:rPr>
      </w:pPr>
    </w:p>
    <w:p w14:paraId="6D960F91">
      <w:pPr>
        <w:snapToGrid w:val="0"/>
        <w:spacing w:before="120" w:beforeLines="50" w:after="50"/>
        <w:rPr>
          <w:rFonts w:hint="eastAsia" w:ascii="宋体" w:hAnsi="宋体"/>
          <w:bCs/>
          <w:sz w:val="24"/>
          <w:szCs w:val="20"/>
        </w:rPr>
      </w:pPr>
    </w:p>
    <w:p w14:paraId="16CE1379">
      <w:pPr>
        <w:snapToGrid w:val="0"/>
        <w:spacing w:before="120" w:beforeLines="50" w:after="50"/>
        <w:rPr>
          <w:rFonts w:hint="eastAsia" w:ascii="宋体" w:hAnsi="宋体"/>
          <w:bCs/>
          <w:sz w:val="24"/>
          <w:szCs w:val="20"/>
        </w:rPr>
      </w:pPr>
    </w:p>
    <w:p w14:paraId="7E6C7226">
      <w:pPr>
        <w:snapToGrid w:val="0"/>
        <w:spacing w:before="120" w:beforeLines="50" w:after="50"/>
        <w:rPr>
          <w:rFonts w:hint="eastAsia" w:ascii="宋体" w:hAnsi="宋体"/>
          <w:bCs/>
          <w:sz w:val="24"/>
          <w:szCs w:val="20"/>
        </w:rPr>
      </w:pPr>
    </w:p>
    <w:p w14:paraId="337A1B12">
      <w:pPr>
        <w:snapToGrid w:val="0"/>
        <w:spacing w:before="120" w:beforeLines="50" w:after="50"/>
        <w:rPr>
          <w:rFonts w:hint="eastAsia" w:ascii="宋体" w:hAnsi="宋体"/>
          <w:bCs/>
          <w:sz w:val="24"/>
          <w:szCs w:val="20"/>
        </w:rPr>
      </w:pPr>
    </w:p>
    <w:p w14:paraId="4C6D3F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宋体" w:hAnsi="宋体" w:cs="仿宋_GB2312"/>
          <w:bCs/>
          <w:sz w:val="32"/>
          <w:szCs w:val="32"/>
        </w:rPr>
      </w:pPr>
      <w:r>
        <w:rPr>
          <w:rFonts w:hint="eastAsia" w:ascii="宋体" w:hAnsi="宋体" w:eastAsia="宋体" w:cs="仿宋_GB2312"/>
          <w:b w:val="0"/>
          <w:bCs/>
          <w:kern w:val="2"/>
          <w:sz w:val="32"/>
          <w:szCs w:val="32"/>
          <w:lang w:val="en-US" w:eastAsia="zh-CN" w:bidi="ar-SA"/>
        </w:rPr>
        <w:t>项目名称：</w:t>
      </w:r>
      <w:r>
        <w:rPr>
          <w:rFonts w:hint="eastAsia" w:ascii="宋体" w:hAnsi="宋体" w:cs="仿宋_GB2312"/>
          <w:b w:val="0"/>
          <w:bCs/>
          <w:kern w:val="2"/>
          <w:sz w:val="32"/>
          <w:szCs w:val="32"/>
          <w:lang w:val="en-US" w:eastAsia="zh-CN" w:bidi="ar-SA"/>
        </w:rPr>
        <w:t>上林县委县政府机关大院物业服务项目(重)</w:t>
      </w:r>
    </w:p>
    <w:p w14:paraId="0D145CD2">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项目编号：</w:t>
      </w:r>
      <w:r>
        <w:rPr>
          <w:rFonts w:hint="eastAsia" w:ascii="宋体" w:hAnsi="宋体" w:cs="仿宋_GB2312"/>
          <w:b w:val="0"/>
          <w:bCs/>
          <w:kern w:val="2"/>
          <w:sz w:val="32"/>
          <w:szCs w:val="32"/>
          <w:lang w:val="en-US" w:eastAsia="zh-CN" w:bidi="ar-SA"/>
        </w:rPr>
        <w:t>NNZC2026-C3-250033-SLXZ</w:t>
      </w:r>
      <w:r>
        <w:rPr>
          <w:rFonts w:hint="eastAsia" w:ascii="宋体" w:hAnsi="宋体" w:cs="仿宋_GB2312"/>
          <w:bCs/>
          <w:sz w:val="32"/>
          <w:szCs w:val="32"/>
        </w:rPr>
        <w:t xml:space="preserve"> </w:t>
      </w:r>
    </w:p>
    <w:p w14:paraId="4E966953">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14:paraId="5C1954DE">
      <w:pPr>
        <w:snapToGrid w:val="0"/>
        <w:spacing w:before="120" w:beforeLines="50" w:after="50"/>
        <w:ind w:firstLine="720" w:firstLineChars="225"/>
        <w:rPr>
          <w:rFonts w:hint="eastAsia" w:ascii="宋体" w:hAnsi="宋体" w:cs="仿宋_GB2312"/>
          <w:bCs/>
          <w:sz w:val="32"/>
          <w:szCs w:val="32"/>
        </w:rPr>
      </w:pPr>
    </w:p>
    <w:p w14:paraId="65E35B02">
      <w:pPr>
        <w:pStyle w:val="6"/>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4A6FD19E">
      <w:pPr>
        <w:pStyle w:val="6"/>
        <w:snapToGrid w:val="0"/>
        <w:spacing w:before="50" w:after="50"/>
        <w:ind w:firstLine="720" w:firstLineChars="225"/>
        <w:rPr>
          <w:rFonts w:hint="eastAsia" w:ascii="宋体" w:hAnsi="宋体" w:cs="仿宋_GB2312"/>
          <w:bCs/>
          <w:sz w:val="32"/>
          <w:szCs w:val="32"/>
        </w:rPr>
      </w:pPr>
    </w:p>
    <w:p w14:paraId="2F1E97AD">
      <w:pPr>
        <w:pStyle w:val="6"/>
        <w:snapToGrid w:val="0"/>
        <w:spacing w:before="50" w:after="50"/>
        <w:ind w:firstLine="720" w:firstLineChars="225"/>
        <w:rPr>
          <w:rFonts w:hint="eastAsia" w:ascii="宋体" w:hAnsi="宋体" w:cs="仿宋_GB2312"/>
          <w:bCs/>
          <w:sz w:val="32"/>
          <w:szCs w:val="32"/>
        </w:rPr>
      </w:pPr>
    </w:p>
    <w:p w14:paraId="41C3F34A">
      <w:pPr>
        <w:pStyle w:val="6"/>
        <w:snapToGrid w:val="0"/>
        <w:spacing w:before="50" w:after="50"/>
        <w:ind w:firstLine="1280" w:firstLineChars="400"/>
        <w:rPr>
          <w:rFonts w:hint="eastAsia" w:ascii="宋体" w:hAnsi="宋体" w:cs="仿宋_GB2312"/>
          <w:bCs/>
          <w:sz w:val="32"/>
          <w:szCs w:val="32"/>
        </w:rPr>
      </w:pPr>
    </w:p>
    <w:p w14:paraId="57894AA9">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12031CD5">
      <w:pPr>
        <w:widowControl/>
        <w:spacing w:line="360" w:lineRule="auto"/>
        <w:jc w:val="left"/>
        <w:rPr>
          <w:rFonts w:ascii="宋体" w:hAnsi="宋体"/>
          <w:b/>
          <w:bCs/>
          <w:sz w:val="32"/>
          <w:szCs w:val="32"/>
        </w:rPr>
        <w:sectPr>
          <w:pgSz w:w="11910" w:h="16840"/>
          <w:pgMar w:top="1340" w:right="1500" w:bottom="280" w:left="1680" w:header="720" w:footer="720" w:gutter="0"/>
          <w:pgNumType w:fmt="decimal"/>
          <w:cols w:space="720" w:num="1"/>
        </w:sectPr>
      </w:pPr>
    </w:p>
    <w:p w14:paraId="2CFCC3A1">
      <w:pPr>
        <w:jc w:val="center"/>
        <w:rPr>
          <w:rFonts w:hint="eastAsia" w:ascii="仿宋_GB2312" w:hAnsi="仿宋" w:eastAsia="仿宋_GB2312" w:cs="仿宋_GB2312"/>
          <w:b/>
          <w:kern w:val="0"/>
          <w:sz w:val="28"/>
          <w:szCs w:val="28"/>
        </w:rPr>
      </w:pPr>
      <w:r>
        <w:rPr>
          <w:rFonts w:hint="eastAsia" w:ascii="仿宋_GB2312" w:hAnsi="仿宋" w:eastAsia="仿宋_GB2312" w:cs="仿宋_GB2312"/>
          <w:b/>
          <w:kern w:val="0"/>
          <w:sz w:val="28"/>
          <w:szCs w:val="28"/>
        </w:rPr>
        <w:t>商务技术文件目录</w:t>
      </w:r>
    </w:p>
    <w:p w14:paraId="6E9812CF">
      <w:pPr>
        <w:jc w:val="center"/>
        <w:rPr>
          <w:rFonts w:hint="eastAsia" w:ascii="仿宋_GB2312" w:hAnsi="仿宋" w:eastAsia="仿宋_GB2312" w:cs="仿宋_GB2312"/>
          <w:b/>
          <w:kern w:val="0"/>
          <w:sz w:val="28"/>
          <w:szCs w:val="28"/>
        </w:rPr>
      </w:pPr>
    </w:p>
    <w:p w14:paraId="68C11CB1">
      <w:pPr>
        <w:pStyle w:val="25"/>
        <w:spacing w:line="360" w:lineRule="auto"/>
        <w:rPr>
          <w:rFonts w:hint="eastAsia" w:cs="仿宋_GB2312"/>
        </w:rPr>
      </w:pPr>
      <w:r>
        <w:rPr>
          <w:rFonts w:hint="eastAsia" w:cs="仿宋_GB2312"/>
        </w:rPr>
        <w:t>一、无串标行为承诺函………………………………………………………（页码）</w:t>
      </w:r>
    </w:p>
    <w:p w14:paraId="31CEC09C">
      <w:pPr>
        <w:pStyle w:val="25"/>
        <w:spacing w:line="360" w:lineRule="auto"/>
        <w:rPr>
          <w:rFonts w:hint="eastAsia" w:cs="仿宋_GB2312"/>
        </w:rPr>
      </w:pPr>
      <w:r>
        <w:rPr>
          <w:rFonts w:hint="eastAsia" w:cs="仿宋_GB2312"/>
        </w:rPr>
        <w:t>二、法定代表人身份证明及法定代表人有效身份证正反面复印件………（页码）</w:t>
      </w:r>
    </w:p>
    <w:p w14:paraId="04221E47">
      <w:pPr>
        <w:pStyle w:val="25"/>
        <w:spacing w:line="360" w:lineRule="auto"/>
        <w:rPr>
          <w:rFonts w:hint="eastAsia" w:cs="仿宋_GB2312"/>
        </w:rPr>
      </w:pPr>
      <w:r>
        <w:rPr>
          <w:rFonts w:hint="eastAsia" w:cs="仿宋_GB2312"/>
        </w:rPr>
        <w:t>三、法定代表人授权委托书（如有委托时）………………………………（页码）</w:t>
      </w:r>
    </w:p>
    <w:p w14:paraId="4CE757EA">
      <w:pPr>
        <w:pStyle w:val="25"/>
        <w:spacing w:line="360" w:lineRule="auto"/>
        <w:rPr>
          <w:rFonts w:hint="eastAsia" w:cs="仿宋_GB2312"/>
        </w:rPr>
      </w:pPr>
      <w:r>
        <w:rPr>
          <w:rFonts w:hint="eastAsia" w:cs="仿宋_GB2312"/>
        </w:rPr>
        <w:t>四、</w:t>
      </w:r>
      <w:r>
        <w:rPr>
          <w:rFonts w:hint="eastAsia" w:cs="仿宋_GB2312"/>
          <w:lang w:val="zh-CN"/>
        </w:rPr>
        <w:t>商务条款偏离表………………………………</w:t>
      </w:r>
      <w:r>
        <w:rPr>
          <w:rFonts w:hint="eastAsia" w:cs="仿宋_GB2312"/>
        </w:rPr>
        <w:t>…………………………（页码）</w:t>
      </w:r>
    </w:p>
    <w:p w14:paraId="6853C226">
      <w:pPr>
        <w:pStyle w:val="25"/>
        <w:spacing w:line="360" w:lineRule="auto"/>
        <w:rPr>
          <w:rFonts w:hint="eastAsia" w:cs="仿宋_GB2312"/>
        </w:rPr>
      </w:pPr>
      <w:bookmarkStart w:id="92" w:name="OLE_LINK7"/>
      <w:bookmarkStart w:id="93" w:name="OLE_LINK6"/>
      <w:bookmarkStart w:id="94" w:name="OLE_LINK5"/>
      <w:r>
        <w:rPr>
          <w:rFonts w:hint="eastAsia" w:cs="仿宋_GB2312"/>
        </w:rPr>
        <w:t>五、竞标人情况介绍</w:t>
      </w:r>
      <w:r>
        <w:rPr>
          <w:rFonts w:hint="eastAsia" w:cs="仿宋_GB2312"/>
          <w:lang w:val="zh-CN"/>
        </w:rPr>
        <w:t>………………………………</w:t>
      </w:r>
      <w:r>
        <w:rPr>
          <w:rFonts w:hint="eastAsia" w:cs="仿宋_GB2312"/>
        </w:rPr>
        <w:t>…………………………（页码）</w:t>
      </w:r>
    </w:p>
    <w:p w14:paraId="590280E8">
      <w:pPr>
        <w:pStyle w:val="25"/>
        <w:spacing w:line="360" w:lineRule="auto"/>
        <w:rPr>
          <w:rFonts w:hint="eastAsia" w:cs="仿宋_GB2312"/>
        </w:rPr>
      </w:pPr>
      <w:r>
        <w:rPr>
          <w:rFonts w:hint="eastAsia" w:cs="仿宋_GB2312"/>
        </w:rPr>
        <w:t>六、供应商类似业绩的证明文件（如有）</w:t>
      </w:r>
      <w:r>
        <w:rPr>
          <w:rFonts w:hint="eastAsia" w:cs="仿宋_GB2312"/>
          <w:lang w:val="zh-CN"/>
        </w:rPr>
        <w:t>…………………………</w:t>
      </w:r>
      <w:r>
        <w:rPr>
          <w:rFonts w:hint="eastAsia" w:cs="仿宋_GB2312"/>
        </w:rPr>
        <w:t>（页码）</w:t>
      </w:r>
      <w:bookmarkEnd w:id="92"/>
      <w:bookmarkEnd w:id="93"/>
    </w:p>
    <w:p w14:paraId="6360DFCE">
      <w:pPr>
        <w:pStyle w:val="25"/>
        <w:spacing w:line="360" w:lineRule="auto"/>
        <w:rPr>
          <w:rFonts w:hint="eastAsia" w:cs="仿宋_GB2312"/>
        </w:rPr>
      </w:pPr>
      <w:r>
        <w:rPr>
          <w:rFonts w:hint="eastAsia" w:cs="仿宋_GB2312"/>
          <w:lang w:eastAsia="zh-CN"/>
        </w:rPr>
        <w:t>七、</w:t>
      </w:r>
      <w:r>
        <w:rPr>
          <w:rFonts w:hint="eastAsia" w:cs="仿宋_GB2312"/>
        </w:rPr>
        <w:t>项目实施人员一览表（如有）</w:t>
      </w:r>
      <w:r>
        <w:rPr>
          <w:rFonts w:hint="eastAsia" w:cs="仿宋_GB2312"/>
          <w:lang w:val="zh-CN"/>
        </w:rPr>
        <w:t>………</w:t>
      </w:r>
      <w:r>
        <w:rPr>
          <w:rFonts w:hint="eastAsia" w:cs="仿宋_GB2312"/>
        </w:rPr>
        <w:t>…………………………（页码）</w:t>
      </w:r>
    </w:p>
    <w:p w14:paraId="39C7F59F">
      <w:pPr>
        <w:pStyle w:val="25"/>
        <w:spacing w:line="360" w:lineRule="auto"/>
        <w:rPr>
          <w:rFonts w:hint="eastAsia" w:cs="仿宋_GB2312"/>
          <w:lang w:eastAsia="zh-CN"/>
        </w:rPr>
      </w:pPr>
      <w:r>
        <w:rPr>
          <w:rFonts w:hint="eastAsia" w:ascii="宋体" w:hAnsi="宋体"/>
          <w:color w:val="000000"/>
          <w:szCs w:val="21"/>
          <w:lang w:eastAsia="zh-CN"/>
        </w:rPr>
        <w:t>八、</w:t>
      </w:r>
      <w:r>
        <w:rPr>
          <w:rFonts w:hint="eastAsia" w:ascii="宋体" w:hAnsi="宋体"/>
          <w:color w:val="000000"/>
          <w:szCs w:val="21"/>
        </w:rPr>
        <w:t>投标人认为需要提供的其他证明材料</w:t>
      </w:r>
      <w:r>
        <w:rPr>
          <w:rFonts w:hint="eastAsia" w:cs="仿宋_GB2312"/>
          <w:lang w:val="zh-CN"/>
        </w:rPr>
        <w:t>………</w:t>
      </w:r>
      <w:r>
        <w:rPr>
          <w:rFonts w:hint="eastAsia" w:cs="仿宋_GB2312"/>
        </w:rPr>
        <w:t>…………………………（页码）</w:t>
      </w:r>
    </w:p>
    <w:bookmarkEnd w:id="94"/>
    <w:p w14:paraId="114ABC2E">
      <w:pPr>
        <w:pStyle w:val="25"/>
        <w:spacing w:line="360" w:lineRule="auto"/>
        <w:rPr>
          <w:rFonts w:hint="eastAsia" w:cs="仿宋_GB2312"/>
        </w:rPr>
      </w:pPr>
      <w:r>
        <w:rPr>
          <w:rFonts w:hint="eastAsia" w:cs="仿宋_GB2312"/>
          <w:lang w:eastAsia="zh-CN"/>
        </w:rPr>
        <w:t>九</w:t>
      </w:r>
      <w:r>
        <w:rPr>
          <w:rFonts w:hint="eastAsia" w:cs="仿宋_GB2312"/>
        </w:rPr>
        <w:t>、服务需求偏离表…………………………………………………………（页码）</w:t>
      </w:r>
    </w:p>
    <w:p w14:paraId="76130C43">
      <w:pPr>
        <w:pStyle w:val="25"/>
        <w:spacing w:line="360" w:lineRule="auto"/>
        <w:rPr>
          <w:rFonts w:hint="eastAsia" w:cs="仿宋_GB2312"/>
        </w:rPr>
      </w:pPr>
      <w:r>
        <w:rPr>
          <w:rFonts w:hint="eastAsia" w:cs="仿宋_GB2312"/>
          <w:lang w:eastAsia="zh-CN"/>
        </w:rPr>
        <w:t>十</w:t>
      </w:r>
      <w:r>
        <w:rPr>
          <w:rFonts w:hint="eastAsia" w:cs="仿宋_GB2312"/>
        </w:rPr>
        <w:t>、工作管理规章制度及规范………………………………………………（页码）</w:t>
      </w:r>
    </w:p>
    <w:p w14:paraId="0AA47C56">
      <w:pPr>
        <w:pStyle w:val="25"/>
        <w:spacing w:line="360" w:lineRule="auto"/>
        <w:rPr>
          <w:rFonts w:hint="eastAsia" w:cs="仿宋_GB2312"/>
        </w:rPr>
      </w:pPr>
      <w:r>
        <w:rPr>
          <w:rFonts w:hint="eastAsia" w:cs="仿宋_GB2312"/>
          <w:lang w:eastAsia="zh-CN"/>
        </w:rPr>
        <w:t>十一</w:t>
      </w:r>
      <w:r>
        <w:rPr>
          <w:rFonts w:hint="eastAsia" w:cs="仿宋_GB2312"/>
        </w:rPr>
        <w:t>、服务方案……………………………</w:t>
      </w:r>
      <w:r>
        <w:rPr>
          <w:rFonts w:hint="eastAsia" w:cs="仿宋_GB2312"/>
          <w:lang w:val="zh-CN"/>
        </w:rPr>
        <w:t>………</w:t>
      </w:r>
      <w:r>
        <w:rPr>
          <w:rFonts w:hint="eastAsia" w:cs="仿宋_GB2312"/>
        </w:rPr>
        <w:t>…………………………（页码）</w:t>
      </w:r>
    </w:p>
    <w:p w14:paraId="608E2439">
      <w:pPr>
        <w:pStyle w:val="25"/>
        <w:spacing w:line="360" w:lineRule="auto"/>
        <w:rPr>
          <w:rFonts w:hint="eastAsia" w:cs="仿宋_GB2312"/>
        </w:rPr>
      </w:pPr>
      <w:r>
        <w:rPr>
          <w:rFonts w:hint="eastAsia" w:cs="仿宋_GB2312"/>
        </w:rPr>
        <w:t>十</w:t>
      </w:r>
      <w:r>
        <w:rPr>
          <w:rFonts w:hint="eastAsia" w:cs="仿宋_GB2312"/>
          <w:lang w:eastAsia="zh-CN"/>
        </w:rPr>
        <w:t>二</w:t>
      </w:r>
      <w:r>
        <w:rPr>
          <w:rFonts w:hint="eastAsia" w:cs="仿宋_GB2312"/>
        </w:rPr>
        <w:t>、</w:t>
      </w:r>
      <w:r>
        <w:rPr>
          <w:rFonts w:hint="eastAsia" w:cs="仿宋_GB2312"/>
          <w:lang w:val="en-US" w:eastAsia="zh-CN"/>
        </w:rPr>
        <w:t>应急事件处理方案</w:t>
      </w:r>
      <w:r>
        <w:rPr>
          <w:rFonts w:hint="eastAsia" w:cs="仿宋_GB2312"/>
          <w:lang w:val="zh-CN"/>
        </w:rPr>
        <w:t>………………………</w:t>
      </w:r>
      <w:r>
        <w:rPr>
          <w:rFonts w:hint="eastAsia" w:cs="仿宋_GB2312"/>
        </w:rPr>
        <w:t>……………………………（页码）</w:t>
      </w:r>
    </w:p>
    <w:p w14:paraId="287787FC">
      <w:pPr>
        <w:pStyle w:val="25"/>
        <w:spacing w:line="360" w:lineRule="auto"/>
        <w:rPr>
          <w:rFonts w:hint="eastAsia" w:cs="仿宋_GB2312"/>
        </w:rPr>
      </w:pPr>
      <w:r>
        <w:rPr>
          <w:rFonts w:hint="eastAsia" w:cs="仿宋_GB2312"/>
        </w:rPr>
        <w:t>十</w:t>
      </w:r>
      <w:r>
        <w:rPr>
          <w:rFonts w:hint="eastAsia" w:cs="仿宋_GB2312"/>
          <w:lang w:eastAsia="zh-CN"/>
        </w:rPr>
        <w:t>三</w:t>
      </w:r>
      <w:r>
        <w:rPr>
          <w:rFonts w:hint="eastAsia" w:cs="仿宋_GB2312"/>
        </w:rPr>
        <w:t>、</w:t>
      </w:r>
      <w:r>
        <w:rPr>
          <w:rFonts w:hint="eastAsia" w:cs="仿宋_GB2312"/>
          <w:lang w:val="en-US" w:eastAsia="zh-CN"/>
        </w:rPr>
        <w:t>人员培训方案</w:t>
      </w:r>
      <w:r>
        <w:rPr>
          <w:rFonts w:hint="eastAsia" w:cs="仿宋_GB2312"/>
          <w:lang w:val="zh-CN"/>
        </w:rPr>
        <w:t>………………</w:t>
      </w:r>
      <w:r>
        <w:rPr>
          <w:rFonts w:hint="eastAsia" w:cs="仿宋_GB2312"/>
        </w:rPr>
        <w:t>………</w:t>
      </w:r>
      <w:r>
        <w:rPr>
          <w:rFonts w:hint="eastAsia" w:cs="仿宋_GB2312"/>
          <w:lang w:val="zh-CN"/>
        </w:rPr>
        <w:t>………</w:t>
      </w:r>
      <w:r>
        <w:rPr>
          <w:rFonts w:hint="eastAsia" w:cs="仿宋_GB2312"/>
        </w:rPr>
        <w:t>…………………………（页码）</w:t>
      </w:r>
    </w:p>
    <w:p w14:paraId="4FC8CF07">
      <w:pPr>
        <w:pStyle w:val="25"/>
        <w:spacing w:line="360" w:lineRule="auto"/>
        <w:rPr>
          <w:rFonts w:hint="eastAsia" w:cs="仿宋_GB2312"/>
        </w:rPr>
      </w:pPr>
      <w:r>
        <w:rPr>
          <w:rFonts w:hint="eastAsia" w:cs="仿宋_GB2312"/>
          <w:lang w:val="en-US" w:eastAsia="zh-CN"/>
        </w:rPr>
        <w:t>十四、人员</w:t>
      </w:r>
      <w:r>
        <w:rPr>
          <w:rFonts w:hint="eastAsia" w:cs="仿宋_GB2312"/>
        </w:rPr>
        <w:t>稳定</w:t>
      </w:r>
      <w:r>
        <w:rPr>
          <w:rFonts w:hint="eastAsia" w:cs="仿宋_GB2312"/>
          <w:lang w:val="en-US" w:eastAsia="zh-CN"/>
        </w:rPr>
        <w:t>保障</w:t>
      </w:r>
      <w:r>
        <w:rPr>
          <w:rFonts w:hint="eastAsia" w:cs="仿宋_GB2312"/>
        </w:rPr>
        <w:t>的措施</w:t>
      </w:r>
      <w:r>
        <w:rPr>
          <w:rFonts w:hint="eastAsia" w:cs="仿宋_GB2312"/>
          <w:lang w:val="zh-CN"/>
        </w:rPr>
        <w:t>………………………</w:t>
      </w:r>
      <w:r>
        <w:rPr>
          <w:rFonts w:hint="eastAsia" w:cs="仿宋_GB2312"/>
        </w:rPr>
        <w:t>…………………………（页码）</w:t>
      </w:r>
    </w:p>
    <w:p w14:paraId="2E90C81C">
      <w:pPr>
        <w:pStyle w:val="25"/>
        <w:spacing w:line="360" w:lineRule="auto"/>
        <w:rPr>
          <w:rFonts w:hint="eastAsia" w:cs="仿宋_GB2312"/>
        </w:rPr>
      </w:pPr>
      <w:r>
        <w:rPr>
          <w:rFonts w:hint="eastAsia" w:cs="仿宋_GB2312"/>
          <w:lang w:eastAsia="zh-CN"/>
        </w:rPr>
        <w:t>十五、</w:t>
      </w:r>
      <w:r>
        <w:rPr>
          <w:rFonts w:hint="eastAsia" w:cs="仿宋_GB2312"/>
          <w:lang w:val="en-US" w:eastAsia="zh-CN"/>
        </w:rPr>
        <w:t>服务承诺</w:t>
      </w:r>
      <w:r>
        <w:rPr>
          <w:rFonts w:hint="eastAsia" w:cs="仿宋_GB2312"/>
        </w:rPr>
        <w:t>……………………………</w:t>
      </w:r>
      <w:r>
        <w:rPr>
          <w:rFonts w:hint="eastAsia" w:cs="仿宋_GB2312"/>
          <w:lang w:val="zh-CN"/>
        </w:rPr>
        <w:t>………</w:t>
      </w:r>
      <w:r>
        <w:rPr>
          <w:rFonts w:hint="eastAsia" w:cs="仿宋_GB2312"/>
        </w:rPr>
        <w:t>…………………………（页码）</w:t>
      </w:r>
    </w:p>
    <w:p w14:paraId="4F6D07E0">
      <w:pPr>
        <w:pStyle w:val="25"/>
        <w:spacing w:line="360" w:lineRule="auto"/>
        <w:rPr>
          <w:rFonts w:hint="eastAsia" w:cs="仿宋_GB2312"/>
        </w:rPr>
      </w:pPr>
      <w:r>
        <w:rPr>
          <w:rFonts w:hint="eastAsia" w:cs="仿宋_GB2312"/>
          <w:lang w:eastAsia="zh-CN"/>
        </w:rPr>
        <w:t>十六、投标人认为需要提供的其他证明资料</w:t>
      </w:r>
      <w:r>
        <w:rPr>
          <w:rFonts w:hint="eastAsia" w:cs="仿宋_GB2312"/>
        </w:rPr>
        <w:t>………</w:t>
      </w:r>
      <w:r>
        <w:rPr>
          <w:rFonts w:hint="eastAsia" w:cs="仿宋_GB2312"/>
          <w:lang w:val="zh-CN"/>
        </w:rPr>
        <w:t>………</w:t>
      </w:r>
      <w:r>
        <w:rPr>
          <w:rFonts w:hint="eastAsia" w:cs="仿宋_GB2312"/>
        </w:rPr>
        <w:t>………………（页码）</w:t>
      </w:r>
    </w:p>
    <w:p w14:paraId="02CA76C4">
      <w:pPr>
        <w:pStyle w:val="25"/>
        <w:spacing w:line="360" w:lineRule="auto"/>
        <w:rPr>
          <w:rFonts w:hint="eastAsia" w:eastAsia="仿宋_GB2312" w:cs="仿宋_GB2312"/>
          <w:lang w:eastAsia="zh-CN"/>
        </w:rPr>
      </w:pPr>
    </w:p>
    <w:p w14:paraId="6BD9D444">
      <w:pPr>
        <w:spacing w:line="360" w:lineRule="auto"/>
        <w:rPr>
          <w:rFonts w:hint="eastAsia" w:ascii="仿宋_GB2312" w:hAnsi="仿宋" w:eastAsia="仿宋_GB2312" w:cs="仿宋_GB2312"/>
          <w:b/>
          <w:bCs/>
          <w:sz w:val="24"/>
        </w:rPr>
      </w:pPr>
      <w:r>
        <w:rPr>
          <w:rFonts w:hint="eastAsia" w:ascii="仿宋_GB2312" w:hAnsi="仿宋" w:eastAsia="仿宋_GB2312" w:cs="仿宋_GB2312"/>
          <w:b/>
          <w:bCs/>
          <w:sz w:val="24"/>
        </w:rPr>
        <w:t>注：以上目录是基本格式要求，各供应商可根据自身情况进一步向下增加内容或细化。</w:t>
      </w:r>
    </w:p>
    <w:p w14:paraId="23328508">
      <w:pPr>
        <w:spacing w:line="400" w:lineRule="exact"/>
        <w:rPr>
          <w:rFonts w:hint="eastAsia" w:ascii="仿宋_GB2312" w:hAnsi="仿宋_GB2312" w:eastAsia="仿宋_GB2312" w:cs="仿宋_GB2312"/>
          <w:sz w:val="32"/>
          <w:szCs w:val="32"/>
        </w:rPr>
      </w:pPr>
    </w:p>
    <w:p w14:paraId="66841294">
      <w:pPr>
        <w:spacing w:line="520" w:lineRule="exact"/>
        <w:ind w:firstLine="880" w:firstLineChars="2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仿宋" w:hAnsi="仿宋" w:eastAsia="仿宋" w:cs="仿宋_GB2312"/>
          <w:b/>
          <w:sz w:val="30"/>
          <w:szCs w:val="30"/>
        </w:rPr>
        <w:t>一、无串标行为承诺函</w:t>
      </w:r>
    </w:p>
    <w:p w14:paraId="581B016F">
      <w:pPr>
        <w:spacing w:line="520" w:lineRule="exact"/>
        <w:jc w:val="center"/>
        <w:rPr>
          <w:rFonts w:hint="eastAsia" w:ascii="方正小标宋简体" w:hAnsi="方正小标宋简体" w:eastAsia="方正小标宋简体" w:cs="方正小标宋简体"/>
          <w:sz w:val="44"/>
          <w:szCs w:val="44"/>
        </w:rPr>
      </w:pPr>
    </w:p>
    <w:p w14:paraId="488B4AFE">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无串通竞标行为的承诺函</w:t>
      </w:r>
    </w:p>
    <w:p w14:paraId="7536F336">
      <w:pPr>
        <w:spacing w:line="520" w:lineRule="exact"/>
        <w:ind w:firstLine="640" w:firstLineChars="200"/>
        <w:rPr>
          <w:rFonts w:hint="eastAsia" w:ascii="仿宋_GB2312" w:hAnsi="仿宋_GB2312" w:eastAsia="仿宋_GB2312" w:cs="仿宋_GB2312"/>
          <w:sz w:val="32"/>
          <w:szCs w:val="32"/>
        </w:rPr>
      </w:pPr>
    </w:p>
    <w:p w14:paraId="5B213A29">
      <w:pPr>
        <w:spacing w:line="360" w:lineRule="auto"/>
        <w:ind w:firstLine="482" w:firstLineChars="200"/>
        <w:rPr>
          <w:rFonts w:hint="eastAsia" w:ascii="宋体" w:hAnsi="宋体" w:cs="仿宋_GB2312"/>
          <w:b/>
          <w:bCs/>
          <w:sz w:val="24"/>
        </w:rPr>
      </w:pPr>
      <w:r>
        <w:rPr>
          <w:rFonts w:hint="eastAsia" w:ascii="宋体" w:hAnsi="宋体" w:cs="仿宋_GB2312"/>
          <w:b/>
          <w:bCs/>
          <w:sz w:val="24"/>
        </w:rPr>
        <w:t>一、我方承诺无下列相互串通竞标的情形：</w:t>
      </w:r>
    </w:p>
    <w:p w14:paraId="4E8F24B2">
      <w:pPr>
        <w:spacing w:line="360" w:lineRule="auto"/>
        <w:ind w:firstLine="480" w:firstLineChars="200"/>
        <w:rPr>
          <w:rFonts w:hint="eastAsia" w:ascii="宋体" w:hAnsi="宋体" w:cs="仿宋_GB2312"/>
          <w:sz w:val="24"/>
        </w:rPr>
      </w:pPr>
      <w:r>
        <w:rPr>
          <w:rFonts w:hint="eastAsia" w:ascii="宋体" w:hAnsi="宋体" w:cs="仿宋_GB2312"/>
          <w:sz w:val="24"/>
        </w:rPr>
        <w:t>1.不同供应商的响应文件由同一单位或者个人编制；</w:t>
      </w:r>
      <w:r>
        <w:rPr>
          <w:rFonts w:hint="eastAsia" w:ascii="宋体" w:hAnsi="宋体"/>
          <w:color w:val="000000"/>
          <w:sz w:val="24"/>
        </w:rPr>
        <w:t>或者不同供应商报名的</w:t>
      </w:r>
      <w:r>
        <w:rPr>
          <w:rFonts w:hint="eastAsia" w:ascii="宋体" w:hAnsi="宋体"/>
          <w:sz w:val="24"/>
        </w:rPr>
        <w:t>IP地址一致的；或者编制响应文件硬件设备CPU编号、硬盘编号、网卡地址一致的情况。</w:t>
      </w:r>
      <w:r>
        <w:rPr>
          <w:rFonts w:hint="eastAsia" w:ascii="宋体" w:hAnsi="宋体" w:cs="仿宋_GB2312"/>
          <w:sz w:val="24"/>
        </w:rPr>
        <w:t xml:space="preserve">  </w:t>
      </w:r>
    </w:p>
    <w:p w14:paraId="24A5DA81">
      <w:pPr>
        <w:spacing w:line="360" w:lineRule="auto"/>
        <w:ind w:firstLine="480" w:firstLineChars="200"/>
        <w:rPr>
          <w:rFonts w:hint="eastAsia" w:ascii="宋体" w:hAnsi="宋体" w:cs="仿宋_GB2312"/>
          <w:sz w:val="24"/>
        </w:rPr>
      </w:pPr>
      <w:r>
        <w:rPr>
          <w:rFonts w:hint="eastAsia" w:ascii="宋体" w:hAnsi="宋体" w:cs="仿宋_GB2312"/>
          <w:sz w:val="24"/>
        </w:rPr>
        <w:t>2.不同供应商委托同一单位或者个人办理竞标事宜；</w:t>
      </w:r>
    </w:p>
    <w:p w14:paraId="67054A53">
      <w:pPr>
        <w:spacing w:line="360" w:lineRule="auto"/>
        <w:ind w:firstLine="480" w:firstLineChars="200"/>
        <w:rPr>
          <w:rFonts w:hint="eastAsia" w:ascii="宋体" w:hAnsi="宋体" w:cs="仿宋_GB2312"/>
          <w:sz w:val="24"/>
        </w:rPr>
      </w:pPr>
      <w:r>
        <w:rPr>
          <w:rFonts w:hint="eastAsia" w:ascii="宋体" w:hAnsi="宋体" w:cs="仿宋_GB2312"/>
          <w:sz w:val="24"/>
        </w:rPr>
        <w:t>3.不同供应商的响应文件载明的项目管理员为同一个人；</w:t>
      </w:r>
    </w:p>
    <w:p w14:paraId="6B23CC66">
      <w:pPr>
        <w:spacing w:line="360" w:lineRule="auto"/>
        <w:ind w:firstLine="480" w:firstLineChars="200"/>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同供应商的响应文件异常一致或者响应报价呈规律性差异；</w:t>
      </w:r>
    </w:p>
    <w:p w14:paraId="132EFC15">
      <w:pPr>
        <w:spacing w:line="360" w:lineRule="auto"/>
        <w:ind w:firstLine="480" w:firstLineChars="200"/>
        <w:rPr>
          <w:rFonts w:hint="eastAsia" w:ascii="宋体" w:hAnsi="宋体" w:cs="仿宋_GB2312"/>
          <w:sz w:val="24"/>
        </w:rPr>
      </w:pPr>
      <w:r>
        <w:rPr>
          <w:rFonts w:hint="eastAsia" w:ascii="宋体" w:hAnsi="宋体" w:cs="仿宋_GB2312"/>
          <w:sz w:val="24"/>
        </w:rPr>
        <w:t>5.不同供应商的响应文件相互混装；</w:t>
      </w:r>
    </w:p>
    <w:p w14:paraId="2910F042">
      <w:pPr>
        <w:spacing w:line="360" w:lineRule="auto"/>
        <w:ind w:firstLine="480" w:firstLineChars="200"/>
        <w:rPr>
          <w:rFonts w:hint="eastAsia" w:ascii="宋体" w:hAnsi="宋体" w:cs="仿宋_GB2312"/>
          <w:sz w:val="24"/>
        </w:rPr>
      </w:pPr>
      <w:r>
        <w:rPr>
          <w:rFonts w:hint="eastAsia" w:ascii="宋体" w:hAnsi="宋体" w:cs="仿宋_GB2312"/>
          <w:sz w:val="24"/>
        </w:rPr>
        <w:t>6.不同供应商的磋商保证金从同一单位或者个人账户转出。</w:t>
      </w:r>
    </w:p>
    <w:p w14:paraId="17A9B374">
      <w:pPr>
        <w:spacing w:line="360" w:lineRule="auto"/>
        <w:ind w:firstLine="482" w:firstLineChars="200"/>
        <w:rPr>
          <w:rFonts w:hint="eastAsia" w:ascii="宋体" w:hAnsi="宋体" w:cs="仿宋_GB2312"/>
          <w:b/>
          <w:bCs/>
          <w:sz w:val="24"/>
        </w:rPr>
      </w:pPr>
      <w:r>
        <w:rPr>
          <w:rFonts w:hint="eastAsia" w:ascii="宋体" w:hAnsi="宋体" w:cs="仿宋_GB2312"/>
          <w:b/>
          <w:bCs/>
          <w:sz w:val="24"/>
        </w:rPr>
        <w:t>二、我方承诺无下列恶意串通的情形：</w:t>
      </w:r>
    </w:p>
    <w:p w14:paraId="06AE83F9">
      <w:pPr>
        <w:spacing w:line="360" w:lineRule="auto"/>
        <w:ind w:firstLine="480" w:firstLineChars="200"/>
        <w:rPr>
          <w:rFonts w:hint="eastAsia" w:ascii="宋体" w:hAnsi="宋体" w:cs="仿宋_GB2312"/>
          <w:sz w:val="24"/>
        </w:rPr>
      </w:pPr>
      <w:r>
        <w:rPr>
          <w:rFonts w:hint="eastAsia" w:ascii="宋体" w:hAnsi="宋体" w:cs="仿宋_GB2312"/>
          <w:sz w:val="24"/>
        </w:rPr>
        <w:t>1.供应商直接或者间接从采购人或者采购代理机构处获得其他供应商的相关信息并修改其响应文件；</w:t>
      </w:r>
    </w:p>
    <w:p w14:paraId="108B51A3">
      <w:pPr>
        <w:spacing w:line="360" w:lineRule="auto"/>
        <w:ind w:firstLine="480" w:firstLineChars="200"/>
        <w:rPr>
          <w:rFonts w:hint="eastAsia" w:ascii="宋体" w:hAnsi="宋体" w:cs="仿宋_GB2312"/>
          <w:sz w:val="24"/>
        </w:rPr>
      </w:pPr>
      <w:r>
        <w:rPr>
          <w:rFonts w:hint="eastAsia" w:ascii="宋体" w:hAnsi="宋体" w:cs="仿宋_GB2312"/>
          <w:sz w:val="24"/>
        </w:rPr>
        <w:t>2.供应商按照采购人或者采购代理机构的授意撤换、修改响应文件；</w:t>
      </w:r>
    </w:p>
    <w:p w14:paraId="7DFD9E7C">
      <w:pPr>
        <w:spacing w:line="360" w:lineRule="auto"/>
        <w:ind w:firstLine="480" w:firstLineChars="200"/>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14:paraId="290D0DBD">
      <w:pPr>
        <w:spacing w:line="360" w:lineRule="auto"/>
        <w:ind w:firstLine="480" w:firstLineChars="200"/>
        <w:rPr>
          <w:rFonts w:hint="eastAsia" w:ascii="宋体" w:hAnsi="宋体" w:cs="仿宋_GB2312"/>
          <w:sz w:val="24"/>
        </w:rPr>
      </w:pPr>
      <w:r>
        <w:rPr>
          <w:rFonts w:hint="eastAsia" w:ascii="宋体" w:hAnsi="宋体" w:cs="仿宋_GB2312"/>
          <w:sz w:val="24"/>
        </w:rPr>
        <w:t>4.属于同一集团、协会、商会等组织成员的供应商按照该组织要求协同参加政府采购活动；</w:t>
      </w:r>
    </w:p>
    <w:p w14:paraId="4F805A61">
      <w:pPr>
        <w:spacing w:line="360" w:lineRule="auto"/>
        <w:ind w:firstLine="480" w:firstLineChars="200"/>
        <w:rPr>
          <w:rFonts w:hint="eastAsia" w:ascii="宋体" w:hAnsi="宋体" w:cs="仿宋_GB2312"/>
          <w:sz w:val="24"/>
        </w:rPr>
      </w:pPr>
      <w:r>
        <w:rPr>
          <w:rFonts w:hint="eastAsia" w:ascii="宋体" w:hAnsi="宋体" w:cs="仿宋_GB2312"/>
          <w:sz w:val="24"/>
        </w:rPr>
        <w:t>5.供应商之间事先约定一致抬高或者压低响应报价，或者在竞争性磋商项目中事先约定轮流以高价位或者低价位成交，或者事先约定由某一特定供应商成交，然后再参加竞标；</w:t>
      </w:r>
    </w:p>
    <w:p w14:paraId="1EFF2513">
      <w:pPr>
        <w:spacing w:line="360" w:lineRule="auto"/>
        <w:ind w:firstLine="480" w:firstLineChars="200"/>
        <w:rPr>
          <w:rFonts w:hint="eastAsia" w:ascii="宋体" w:hAnsi="宋体" w:cs="仿宋_GB2312"/>
          <w:sz w:val="24"/>
        </w:rPr>
      </w:pPr>
      <w:r>
        <w:rPr>
          <w:rFonts w:hint="eastAsia" w:ascii="宋体" w:hAnsi="宋体" w:cs="仿宋_GB2312"/>
          <w:sz w:val="24"/>
        </w:rPr>
        <w:t>6.供应商之间商定部分供应商放弃参加政府采购活动或者放弃成交；</w:t>
      </w:r>
    </w:p>
    <w:p w14:paraId="15B3DAB6">
      <w:pPr>
        <w:spacing w:line="360" w:lineRule="auto"/>
        <w:ind w:firstLine="480" w:firstLineChars="200"/>
        <w:rPr>
          <w:rFonts w:hint="eastAsia" w:ascii="宋体" w:hAnsi="宋体" w:cs="仿宋_GB2312"/>
          <w:sz w:val="24"/>
        </w:rPr>
      </w:pPr>
      <w:r>
        <w:rPr>
          <w:rFonts w:hint="eastAsia" w:ascii="宋体" w:hAnsi="宋体" w:cs="仿宋_GB2312"/>
          <w:sz w:val="24"/>
        </w:rPr>
        <w:t>7.供应商与采购人或者采购代理机构之间、供应商相互之间，为</w:t>
      </w:r>
      <w:r>
        <w:rPr>
          <w:rFonts w:hint="eastAsia" w:ascii="宋体" w:hAnsi="宋体" w:cs="仿宋_GB2312"/>
          <w:spacing w:val="-6"/>
          <w:sz w:val="24"/>
        </w:rPr>
        <w:t>谋求特定供应商成交或者排斥其他供应商的其他串通行为。</w:t>
      </w:r>
    </w:p>
    <w:p w14:paraId="73CA3F43">
      <w:pPr>
        <w:spacing w:line="360" w:lineRule="auto"/>
        <w:ind w:firstLine="482" w:firstLineChars="200"/>
        <w:rPr>
          <w:rFonts w:hint="eastAsia" w:ascii="宋体" w:hAnsi="宋体" w:cs="仿宋_GB2312"/>
          <w:b/>
          <w:bCs/>
          <w:sz w:val="24"/>
        </w:rPr>
      </w:pPr>
      <w:r>
        <w:rPr>
          <w:rFonts w:hint="eastAsia" w:ascii="宋体" w:hAnsi="宋体" w:cs="仿宋_GB2312"/>
          <w:b/>
          <w:bCs/>
          <w:sz w:val="24"/>
        </w:rPr>
        <w:t>以上情形一经核查属实，接受政府采购监管部门对我方认定存在围标串标行为，我方愿意承担一切后果，并不再寻求任何旨在减轻或者免除法律责任的辩解。</w:t>
      </w:r>
    </w:p>
    <w:p w14:paraId="5349CC3A">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79ED674D">
      <w:pPr>
        <w:spacing w:line="520" w:lineRule="exact"/>
        <w:ind w:left="239" w:leftChars="114" w:firstLine="6120" w:firstLineChars="2550"/>
        <w:jc w:val="left"/>
        <w:rPr>
          <w:rFonts w:hint="eastAsia" w:ascii="方正小标宋简体" w:hAnsi="方正小标宋简体" w:eastAsia="方正小标宋简体" w:cs="方正小标宋简体"/>
          <w:bCs/>
          <w:sz w:val="44"/>
          <w:szCs w:val="44"/>
        </w:rPr>
      </w:pPr>
      <w:r>
        <w:rPr>
          <w:rFonts w:hint="eastAsia" w:ascii="仿宋_GB2312" w:hAnsi="仿宋" w:eastAsia="仿宋_GB2312" w:cs="仿宋_GB2312"/>
          <w:kern w:val="0"/>
          <w:sz w:val="24"/>
          <w:lang w:val="zh-CN"/>
        </w:rPr>
        <w:t xml:space="preserve">日期：  年  月   日   </w:t>
      </w:r>
      <w:r>
        <w:rPr>
          <w:rFonts w:hint="eastAsia" w:ascii="宋体" w:hAnsi="宋体"/>
          <w:b/>
          <w:bCs/>
          <w:sz w:val="32"/>
          <w:szCs w:val="32"/>
        </w:rPr>
        <w:br w:type="page"/>
      </w:r>
      <w:r>
        <w:rPr>
          <w:rFonts w:hint="eastAsia" w:ascii="仿宋" w:hAnsi="仿宋" w:eastAsia="仿宋" w:cs="仿宋_GB2312"/>
          <w:b/>
          <w:sz w:val="30"/>
          <w:szCs w:val="30"/>
        </w:rPr>
        <w:t>二、法定代表人身份证明及法定代表人有效身份证正反面复印件</w:t>
      </w:r>
    </w:p>
    <w:p w14:paraId="2677AFD3">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Cs/>
          <w:sz w:val="44"/>
          <w:szCs w:val="44"/>
        </w:rPr>
        <w:t>法定代表人证明书</w:t>
      </w:r>
    </w:p>
    <w:p w14:paraId="04712A3A">
      <w:pPr>
        <w:spacing w:line="360" w:lineRule="auto"/>
        <w:ind w:left="540"/>
        <w:contextualSpacing/>
        <w:rPr>
          <w:rFonts w:hint="eastAsia" w:ascii="仿宋_GB2312" w:hAnsi="仿宋_GB2312" w:eastAsia="仿宋_GB2312" w:cs="仿宋_GB2312"/>
          <w:sz w:val="32"/>
          <w:szCs w:val="32"/>
        </w:rPr>
      </w:pPr>
    </w:p>
    <w:p w14:paraId="465AB7B8">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14:paraId="231FCB6B">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14:paraId="1116BAF7">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14:paraId="13C17E23">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14:paraId="66C9606B">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14:paraId="23A2C090">
      <w:pPr>
        <w:spacing w:line="360" w:lineRule="auto"/>
        <w:ind w:firstLine="480" w:firstLineChars="200"/>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（供应商名称）</w:t>
      </w:r>
      <w:r>
        <w:rPr>
          <w:rFonts w:hint="eastAsia" w:ascii="宋体" w:hAnsi="宋体" w:cs="仿宋_GB2312"/>
          <w:sz w:val="24"/>
        </w:rPr>
        <w:t>的法定代表人。</w:t>
      </w:r>
    </w:p>
    <w:p w14:paraId="2C618CC1">
      <w:pPr>
        <w:spacing w:line="360" w:lineRule="auto"/>
        <w:ind w:left="540"/>
        <w:contextualSpacing/>
        <w:rPr>
          <w:rFonts w:hint="eastAsia" w:ascii="宋体" w:hAnsi="宋体" w:cs="仿宋_GB2312"/>
          <w:sz w:val="24"/>
        </w:rPr>
      </w:pPr>
      <w:r>
        <w:rPr>
          <w:rFonts w:hint="eastAsia" w:ascii="宋体" w:hAnsi="宋体" w:cs="仿宋_GB2312"/>
          <w:sz w:val="24"/>
        </w:rPr>
        <w:t>特此证明。</w:t>
      </w:r>
    </w:p>
    <w:p w14:paraId="0D256506">
      <w:pPr>
        <w:spacing w:line="360" w:lineRule="auto"/>
        <w:ind w:left="540"/>
        <w:contextualSpacing/>
        <w:rPr>
          <w:rFonts w:hint="eastAsia" w:ascii="宋体" w:hAnsi="宋体" w:cs="仿宋_GB2312"/>
          <w:sz w:val="24"/>
        </w:rPr>
      </w:pPr>
    </w:p>
    <w:p w14:paraId="50BB4341">
      <w:pPr>
        <w:spacing w:line="360" w:lineRule="auto"/>
        <w:ind w:left="540"/>
        <w:contextualSpacing/>
        <w:rPr>
          <w:rFonts w:hint="eastAsia" w:ascii="宋体" w:hAnsi="宋体" w:cs="仿宋_GB2312"/>
          <w:sz w:val="24"/>
        </w:rPr>
      </w:pPr>
    </w:p>
    <w:p w14:paraId="1859F1BC">
      <w:pPr>
        <w:spacing w:line="360" w:lineRule="auto"/>
        <w:ind w:left="540"/>
        <w:contextualSpacing/>
        <w:rPr>
          <w:rFonts w:hint="eastAsia" w:ascii="宋体" w:hAnsi="宋体" w:cs="仿宋_GB2312"/>
          <w:sz w:val="24"/>
        </w:rPr>
      </w:pPr>
    </w:p>
    <w:p w14:paraId="1D9273DC">
      <w:pPr>
        <w:spacing w:line="360" w:lineRule="auto"/>
        <w:ind w:left="540"/>
        <w:contextualSpacing/>
        <w:rPr>
          <w:rFonts w:hint="eastAsia" w:ascii="宋体" w:hAnsi="宋体" w:cs="仿宋_GB2312"/>
          <w:sz w:val="24"/>
        </w:rPr>
      </w:pPr>
      <w:r>
        <w:rPr>
          <w:rFonts w:hint="eastAsia" w:ascii="宋体" w:hAnsi="宋体" w:cs="仿宋_GB2312"/>
          <w:sz w:val="24"/>
        </w:rPr>
        <w:t>附件：法定代表人有效身份证正反面复印件</w:t>
      </w:r>
    </w:p>
    <w:p w14:paraId="55D71A3A">
      <w:pPr>
        <w:spacing w:line="360" w:lineRule="auto"/>
        <w:ind w:left="540"/>
        <w:contextualSpacing/>
        <w:rPr>
          <w:rFonts w:hint="eastAsia" w:ascii="宋体" w:hAnsi="宋体" w:cs="仿宋_GB2312"/>
          <w:sz w:val="24"/>
        </w:rPr>
      </w:pPr>
    </w:p>
    <w:p w14:paraId="0561AA2C">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3C0DBBC3">
      <w:pPr>
        <w:spacing w:line="360" w:lineRule="auto"/>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14:paraId="3B7CC96C">
      <w:pPr>
        <w:spacing w:line="360" w:lineRule="auto"/>
        <w:jc w:val="left"/>
        <w:rPr>
          <w:rFonts w:hint="eastAsia" w:ascii="宋体" w:hAnsi="宋体" w:cs="仿宋_GB2312"/>
          <w:sz w:val="24"/>
        </w:rPr>
      </w:pPr>
    </w:p>
    <w:p w14:paraId="642EA82C">
      <w:pPr>
        <w:spacing w:line="360" w:lineRule="auto"/>
        <w:jc w:val="left"/>
        <w:rPr>
          <w:rFonts w:hint="eastAsia" w:ascii="宋体" w:hAnsi="宋体" w:cs="仿宋_GB2312"/>
          <w:sz w:val="24"/>
        </w:rPr>
      </w:pPr>
      <w:r>
        <w:rPr>
          <w:rFonts w:hint="eastAsia" w:ascii="宋体" w:hAnsi="宋体" w:cs="仿宋_GB2312"/>
          <w:sz w:val="24"/>
        </w:rPr>
        <w:t>注：1.自然人竞标的无需提供，联合体竞标的只需牵头人出具。</w:t>
      </w:r>
    </w:p>
    <w:p w14:paraId="6875FE35">
      <w:pPr>
        <w:spacing w:line="360" w:lineRule="auto"/>
        <w:ind w:firstLine="480" w:firstLineChars="200"/>
        <w:jc w:val="left"/>
        <w:rPr>
          <w:rFonts w:hint="eastAsia" w:ascii="宋体" w:hAnsi="宋体" w:cs="仿宋_GB2312"/>
          <w:sz w:val="24"/>
        </w:rPr>
      </w:pPr>
      <w:r>
        <w:rPr>
          <w:rFonts w:hint="eastAsia" w:ascii="宋体" w:hAnsi="宋体" w:cs="仿宋_GB2312"/>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664B183">
      <w:pPr>
        <w:widowControl/>
        <w:spacing w:line="360" w:lineRule="auto"/>
        <w:jc w:val="left"/>
        <w:rPr>
          <w:rFonts w:ascii="宋体" w:hAnsi="宋体" w:cs="仿宋_GB2312"/>
          <w:sz w:val="24"/>
        </w:rPr>
        <w:sectPr>
          <w:pgSz w:w="11910" w:h="16840"/>
          <w:pgMar w:top="1340" w:right="1500" w:bottom="280" w:left="1680" w:header="720" w:footer="720" w:gutter="0"/>
          <w:pgNumType w:fmt="decimal"/>
          <w:cols w:space="720" w:num="1"/>
        </w:sectPr>
      </w:pPr>
    </w:p>
    <w:tbl>
      <w:tblPr>
        <w:tblStyle w:val="19"/>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7415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7DAB7F88">
            <w:pPr>
              <w:spacing w:line="360" w:lineRule="auto"/>
              <w:rPr>
                <w:rFonts w:hint="eastAsia" w:ascii="宋体"/>
                <w:b/>
                <w:sz w:val="24"/>
              </w:rPr>
            </w:pPr>
          </w:p>
          <w:p w14:paraId="3CD07473">
            <w:pPr>
              <w:spacing w:line="360" w:lineRule="auto"/>
              <w:rPr>
                <w:rFonts w:hint="eastAsia" w:ascii="宋体"/>
                <w:b/>
                <w:sz w:val="24"/>
              </w:rPr>
            </w:pPr>
            <w:r>
              <w:rPr>
                <w:rFonts w:hint="eastAsia" w:ascii="宋体"/>
                <w:b/>
                <w:sz w:val="24"/>
              </w:rPr>
              <w:t>法定代表身份证复印件粘帖处（正、反面）</w:t>
            </w:r>
          </w:p>
        </w:tc>
      </w:tr>
    </w:tbl>
    <w:p w14:paraId="1B84546A">
      <w:pPr>
        <w:spacing w:line="360" w:lineRule="auto"/>
        <w:ind w:firstLine="482" w:firstLineChars="200"/>
        <w:jc w:val="left"/>
        <w:rPr>
          <w:rFonts w:hint="eastAsia" w:ascii="仿宋_GB2312" w:hAnsi="仿宋_GB2312" w:eastAsia="仿宋_GB2312" w:cs="仿宋_GB2312"/>
          <w:b/>
          <w:sz w:val="32"/>
          <w:szCs w:val="32"/>
        </w:rPr>
      </w:pPr>
      <w:r>
        <w:rPr>
          <w:rFonts w:hint="eastAsia" w:hAnsi="宋体"/>
          <w:b/>
          <w:color w:val="000000"/>
          <w:sz w:val="24"/>
        </w:rPr>
        <w:t>附件：</w:t>
      </w:r>
    </w:p>
    <w:p w14:paraId="3958A80E">
      <w:pPr>
        <w:adjustRightInd w:val="0"/>
        <w:snapToGrid w:val="0"/>
        <w:spacing w:line="300" w:lineRule="auto"/>
        <w:jc w:val="left"/>
        <w:rPr>
          <w:rFonts w:hint="eastAsia" w:ascii="宋体" w:hAnsi="宋体"/>
          <w:b/>
          <w:szCs w:val="21"/>
        </w:rPr>
      </w:pPr>
    </w:p>
    <w:p w14:paraId="654BFED0">
      <w:pPr>
        <w:spacing w:line="520" w:lineRule="exact"/>
        <w:ind w:firstLine="880"/>
        <w:jc w:val="left"/>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rPr>
        <w:br w:type="page"/>
      </w:r>
      <w:r>
        <w:rPr>
          <w:rFonts w:hint="eastAsia" w:ascii="仿宋" w:hAnsi="仿宋" w:eastAsia="仿宋" w:cs="仿宋_GB2312"/>
          <w:b/>
          <w:sz w:val="30"/>
          <w:szCs w:val="30"/>
        </w:rPr>
        <w:t>三、法定代表人授权委托书</w:t>
      </w:r>
    </w:p>
    <w:p w14:paraId="1741CEA6">
      <w:pPr>
        <w:spacing w:line="500" w:lineRule="exact"/>
        <w:jc w:val="center"/>
        <w:rPr>
          <w:rFonts w:hint="eastAsia" w:ascii="方正小标宋简体" w:hAnsi="方正小标宋简体" w:eastAsia="方正小标宋简体" w:cs="方正小标宋简体"/>
          <w:sz w:val="44"/>
          <w:szCs w:val="44"/>
        </w:rPr>
      </w:pPr>
    </w:p>
    <w:p w14:paraId="64813A99">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授权委托书（非联合体竞标格式）</w:t>
      </w:r>
    </w:p>
    <w:p w14:paraId="0BB24CDE">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（如有委托时）</w:t>
      </w:r>
    </w:p>
    <w:p w14:paraId="50D61C2D">
      <w:pPr>
        <w:spacing w:line="520" w:lineRule="exact"/>
        <w:rPr>
          <w:rFonts w:hint="eastAsia" w:ascii="仿宋_GB2312" w:hAnsi="仿宋_GB2312" w:eastAsia="仿宋_GB2312" w:cs="仿宋_GB2312"/>
          <w:sz w:val="32"/>
          <w:szCs w:val="32"/>
        </w:rPr>
      </w:pPr>
    </w:p>
    <w:p w14:paraId="1B053679">
      <w:pPr>
        <w:spacing w:line="360" w:lineRule="auto"/>
        <w:rPr>
          <w:rFonts w:hint="eastAsia" w:ascii="宋体" w:hAnsi="宋体" w:cs="仿宋_GB2312"/>
          <w:sz w:val="24"/>
        </w:rPr>
      </w:pPr>
      <w:r>
        <w:rPr>
          <w:rFonts w:hint="eastAsia" w:ascii="宋体" w:hAnsi="宋体" w:cs="仿宋_GB2312"/>
          <w:sz w:val="24"/>
        </w:rPr>
        <w:t>致：</w:t>
      </w:r>
      <w:r>
        <w:rPr>
          <w:rFonts w:hint="eastAsia" w:ascii="宋体" w:hAnsi="宋体" w:cs="仿宋_GB2312"/>
          <w:sz w:val="24"/>
          <w:u w:val="single"/>
          <w:lang w:eastAsia="zh-CN"/>
        </w:rPr>
        <w:t>上林县政府集中采购中心</w:t>
      </w:r>
      <w:r>
        <w:rPr>
          <w:rFonts w:hint="eastAsia" w:ascii="宋体" w:hAnsi="宋体" w:cs="仿宋_GB2312"/>
          <w:sz w:val="24"/>
        </w:rPr>
        <w:t>：</w:t>
      </w:r>
    </w:p>
    <w:p w14:paraId="318E28B0">
      <w:pPr>
        <w:spacing w:line="360" w:lineRule="auto"/>
        <w:ind w:firstLine="480" w:firstLineChars="200"/>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 </w:t>
      </w:r>
      <w:r>
        <w:rPr>
          <w:rFonts w:hint="eastAsia" w:ascii="宋体" w:hAnsi="宋体" w:cs="仿宋_GB2312"/>
          <w:sz w:val="24"/>
        </w:rPr>
        <w:t>以我方的名义参加</w:t>
      </w:r>
      <w:r>
        <w:rPr>
          <w:rFonts w:hint="eastAsia" w:ascii="宋体" w:hAnsi="宋体" w:cs="仿宋_GB2312"/>
          <w:sz w:val="24"/>
          <w:u w:val="single"/>
          <w:lang w:eastAsia="zh-CN"/>
        </w:rPr>
        <w:t>上林县委县政府机关大院物业服务项目(重)</w:t>
      </w:r>
      <w:r>
        <w:rPr>
          <w:rFonts w:hint="eastAsia" w:ascii="宋体" w:hAnsi="宋体" w:cs="仿宋_GB2312"/>
          <w:sz w:val="24"/>
        </w:rPr>
        <w:t>的竞标活动，并代表我方全权办理针对上述项目的所有采购程序和环节的具体事务和签署相关文件。</w:t>
      </w:r>
    </w:p>
    <w:p w14:paraId="334FC308">
      <w:pPr>
        <w:spacing w:line="360" w:lineRule="auto"/>
        <w:rPr>
          <w:rFonts w:hint="eastAsia" w:ascii="宋体" w:hAnsi="宋体" w:cs="仿宋_GB2312"/>
          <w:sz w:val="24"/>
        </w:rPr>
      </w:pPr>
      <w:r>
        <w:rPr>
          <w:rFonts w:hint="eastAsia" w:ascii="宋体" w:hAnsi="宋体" w:cs="仿宋_GB2312"/>
          <w:sz w:val="24"/>
        </w:rPr>
        <w:t xml:space="preserve">    我方对委托代理人的签字事项负全部责任。</w:t>
      </w:r>
    </w:p>
    <w:p w14:paraId="69948224">
      <w:pPr>
        <w:spacing w:line="360" w:lineRule="auto"/>
        <w:ind w:firstLine="480" w:firstLineChars="200"/>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7CDCFF7F">
      <w:pPr>
        <w:spacing w:line="360" w:lineRule="auto"/>
        <w:ind w:firstLine="480" w:firstLineChars="200"/>
        <w:rPr>
          <w:rFonts w:hint="eastAsia" w:ascii="宋体" w:hAnsi="宋体" w:cs="仿宋_GB2312"/>
          <w:sz w:val="24"/>
        </w:rPr>
      </w:pPr>
      <w:r>
        <w:rPr>
          <w:rFonts w:hint="eastAsia" w:ascii="宋体" w:hAnsi="宋体" w:cs="仿宋_GB2312"/>
          <w:sz w:val="24"/>
        </w:rPr>
        <w:t>委托代理人无转委托权，特此委托。</w:t>
      </w:r>
    </w:p>
    <w:p w14:paraId="1D952421">
      <w:pPr>
        <w:spacing w:line="360" w:lineRule="auto"/>
        <w:ind w:firstLine="480" w:firstLineChars="200"/>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14:paraId="5E645DA7">
      <w:pPr>
        <w:spacing w:line="360" w:lineRule="auto"/>
        <w:rPr>
          <w:rFonts w:hint="eastAsia" w:ascii="宋体" w:hAnsi="宋体" w:cs="仿宋_GB2312"/>
          <w:sz w:val="24"/>
        </w:rPr>
      </w:pPr>
    </w:p>
    <w:p w14:paraId="67207296">
      <w:pPr>
        <w:spacing w:line="360" w:lineRule="auto"/>
        <w:rPr>
          <w:rFonts w:hint="eastAsia" w:ascii="宋体" w:hAnsi="宋体" w:cs="仿宋_GB2312"/>
          <w:sz w:val="24"/>
        </w:rPr>
      </w:pPr>
      <w:r>
        <w:rPr>
          <w:rFonts w:hint="eastAsia" w:ascii="宋体" w:hAnsi="宋体" w:cs="仿宋_GB2312"/>
          <w:sz w:val="24"/>
        </w:rPr>
        <w:t xml:space="preserve">委托代理人（签字）：         法定代表人（签字或盖章）：                    </w:t>
      </w:r>
    </w:p>
    <w:p w14:paraId="00B4B087">
      <w:pPr>
        <w:spacing w:line="360" w:lineRule="auto"/>
        <w:rPr>
          <w:rFonts w:hint="eastAsia" w:ascii="宋体" w:hAnsi="宋体" w:cs="仿宋_GB2312"/>
          <w:sz w:val="24"/>
        </w:rPr>
      </w:pPr>
      <w:r>
        <w:rPr>
          <w:rFonts w:hint="eastAsia" w:ascii="宋体" w:hAnsi="宋体" w:cs="仿宋_GB2312"/>
          <w:sz w:val="24"/>
        </w:rPr>
        <w:t xml:space="preserve">委托代理人身份证号码：                              </w:t>
      </w:r>
    </w:p>
    <w:p w14:paraId="06AF6733">
      <w:pPr>
        <w:spacing w:line="360" w:lineRule="auto"/>
        <w:rPr>
          <w:rFonts w:hint="eastAsia" w:ascii="宋体" w:hAnsi="宋体" w:cs="仿宋_GB2312"/>
          <w:sz w:val="24"/>
        </w:rPr>
      </w:pPr>
      <w:r>
        <w:rPr>
          <w:rFonts w:hint="eastAsia" w:ascii="宋体" w:hAnsi="宋体" w:cs="仿宋_GB2312"/>
          <w:sz w:val="24"/>
        </w:rPr>
        <w:t xml:space="preserve">                                </w:t>
      </w:r>
    </w:p>
    <w:p w14:paraId="179F4F9E">
      <w:pPr>
        <w:spacing w:line="360" w:lineRule="auto"/>
        <w:rPr>
          <w:rFonts w:hint="eastAsia" w:ascii="宋体" w:hAnsi="宋体" w:cs="仿宋_GB2312"/>
          <w:sz w:val="24"/>
        </w:rPr>
      </w:pPr>
      <w:r>
        <w:rPr>
          <w:rFonts w:hint="eastAsia" w:ascii="宋体" w:hAnsi="宋体" w:cs="仿宋_GB2312"/>
          <w:sz w:val="24"/>
        </w:rPr>
        <w:t xml:space="preserve">                         </w:t>
      </w:r>
      <w:r>
        <w:rPr>
          <w:rFonts w:hint="eastAsia" w:ascii="仿宋_GB2312" w:hAnsi="仿宋" w:eastAsia="仿宋_GB2312" w:cs="仿宋_GB2312"/>
          <w:kern w:val="0"/>
          <w:sz w:val="24"/>
        </w:rPr>
        <w:t>供应商名称（电子签章）：</w:t>
      </w:r>
    </w:p>
    <w:p w14:paraId="1935A168">
      <w:pPr>
        <w:spacing w:line="360" w:lineRule="auto"/>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14:paraId="3DCE1EC2">
      <w:pPr>
        <w:spacing w:line="360" w:lineRule="auto"/>
        <w:rPr>
          <w:rFonts w:hint="eastAsia" w:ascii="宋体" w:hAnsi="宋体" w:cs="仿宋_GB2312"/>
          <w:sz w:val="24"/>
        </w:rPr>
      </w:pPr>
    </w:p>
    <w:p w14:paraId="628AFF37">
      <w:pPr>
        <w:spacing w:line="360" w:lineRule="auto"/>
        <w:rPr>
          <w:rFonts w:hint="eastAsia" w:ascii="宋体" w:hAnsi="宋体" w:cs="仿宋_GB2312"/>
          <w:sz w:val="24"/>
        </w:rPr>
      </w:pPr>
      <w:r>
        <w:rPr>
          <w:rFonts w:hint="eastAsia" w:ascii="宋体" w:hAnsi="宋体" w:cs="仿宋_GB2312"/>
          <w:sz w:val="24"/>
        </w:rPr>
        <w:t>注：1. 法定代表人必须在授权委托书上亲笔签字或盖章，委托代理人必须在授权委托书上亲笔签字，</w:t>
      </w:r>
      <w:r>
        <w:rPr>
          <w:rFonts w:hint="eastAsia" w:ascii="宋体" w:hAnsi="宋体" w:cs="仿宋_GB2312"/>
          <w:b/>
          <w:sz w:val="24"/>
        </w:rPr>
        <w:t>否则其响应文件按无效响应处理。</w:t>
      </w:r>
    </w:p>
    <w:p w14:paraId="118D4324">
      <w:pPr>
        <w:spacing w:line="360" w:lineRule="auto"/>
        <w:ind w:firstLine="480" w:firstLineChars="200"/>
        <w:jc w:val="left"/>
        <w:rPr>
          <w:rFonts w:hint="eastAsia" w:ascii="宋体" w:hAnsi="宋体" w:cs="仿宋_GB2312"/>
          <w:sz w:val="24"/>
        </w:rPr>
      </w:pPr>
      <w:r>
        <w:rPr>
          <w:rFonts w:hint="eastAsia" w:ascii="宋体" w:hAnsi="宋体" w:cs="仿宋_GB2312"/>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9FC8252">
      <w:pPr>
        <w:spacing w:line="360" w:lineRule="auto"/>
        <w:ind w:firstLine="480" w:firstLineChars="200"/>
        <w:jc w:val="left"/>
        <w:rPr>
          <w:rFonts w:hint="eastAsia" w:ascii="仿宋_GB2312" w:hAnsi="仿宋_GB2312" w:eastAsia="仿宋_GB2312" w:cs="仿宋_GB2312"/>
          <w:szCs w:val="21"/>
        </w:rPr>
      </w:pPr>
      <w:r>
        <w:rPr>
          <w:rFonts w:hint="eastAsia" w:ascii="宋体" w:hAnsi="宋体" w:cs="仿宋_GB2312"/>
          <w:sz w:val="24"/>
        </w:rPr>
        <w:t>3. 法人、其他组织竞标时“我方”是指“我单位”，自然人竞标时“我方”是指“本人”。</w:t>
      </w:r>
    </w:p>
    <w:p w14:paraId="007FEFA3">
      <w:pPr>
        <w:spacing w:line="500" w:lineRule="exact"/>
        <w:jc w:val="center"/>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szCs w:val="21"/>
        </w:rPr>
        <w:br w:type="page"/>
      </w:r>
      <w:r>
        <w:rPr>
          <w:rFonts w:hint="eastAsia" w:ascii="方正小标宋简体" w:hAnsi="方正小标宋简体" w:eastAsia="方正小标宋简体" w:cs="方正小标宋简体"/>
          <w:sz w:val="44"/>
          <w:szCs w:val="44"/>
        </w:rPr>
        <w:t>授权委托书（联合体竞标格式）</w:t>
      </w:r>
    </w:p>
    <w:p w14:paraId="0AD722E0">
      <w:pPr>
        <w:spacing w:line="5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（如有委托时）</w:t>
      </w:r>
    </w:p>
    <w:p w14:paraId="03BDE9AA">
      <w:pPr>
        <w:spacing w:line="500" w:lineRule="exact"/>
        <w:jc w:val="center"/>
        <w:rPr>
          <w:rFonts w:hint="eastAsia" w:ascii="方正小标宋简体" w:hAnsi="方正小标宋简体" w:eastAsia="方正小标宋简体" w:cs="方正小标宋简体"/>
          <w:sz w:val="44"/>
          <w:szCs w:val="44"/>
        </w:rPr>
      </w:pPr>
    </w:p>
    <w:p w14:paraId="6A4305C3">
      <w:pPr>
        <w:spacing w:line="500" w:lineRule="exact"/>
        <w:jc w:val="center"/>
        <w:rPr>
          <w:rFonts w:hint="eastAsia" w:ascii="仿宋_GB2312" w:hAnsi="仿宋_GB2312" w:eastAsia="仿宋_GB2312" w:cs="仿宋_GB2312"/>
          <w:sz w:val="32"/>
          <w:szCs w:val="32"/>
        </w:rPr>
      </w:pPr>
    </w:p>
    <w:p w14:paraId="6C7B4F5A">
      <w:pPr>
        <w:spacing w:line="360" w:lineRule="auto"/>
        <w:ind w:firstLine="480" w:firstLineChars="200"/>
        <w:jc w:val="left"/>
        <w:rPr>
          <w:rFonts w:hint="eastAsia" w:ascii="宋体" w:hAnsi="宋体" w:cs="仿宋_GB2312"/>
          <w:sz w:val="24"/>
        </w:rPr>
      </w:pPr>
      <w:r>
        <w:rPr>
          <w:rFonts w:hint="eastAsia" w:ascii="宋体" w:hAnsi="宋体" w:cs="仿宋_GB2312"/>
          <w:sz w:val="24"/>
        </w:rPr>
        <w:t>本授权委托书声明：根据</w:t>
      </w:r>
      <w:r>
        <w:rPr>
          <w:rFonts w:hint="eastAsia" w:ascii="宋体" w:hAnsi="宋体" w:cs="仿宋_GB2312"/>
          <w:sz w:val="24"/>
          <w:u w:val="single"/>
        </w:rPr>
        <w:t xml:space="preserve">                </w:t>
      </w:r>
      <w:r>
        <w:rPr>
          <w:rFonts w:hint="eastAsia" w:ascii="宋体" w:hAnsi="宋体" w:cs="仿宋_GB2312"/>
          <w:sz w:val="24"/>
        </w:rPr>
        <w:t>（牵头人名称）与</w:t>
      </w:r>
      <w:r>
        <w:rPr>
          <w:rFonts w:hint="eastAsia" w:ascii="宋体" w:hAnsi="宋体" w:cs="仿宋_GB2312"/>
          <w:sz w:val="24"/>
          <w:u w:val="single"/>
        </w:rPr>
        <w:t xml:space="preserve">              </w:t>
      </w:r>
      <w:r>
        <w:rPr>
          <w:rFonts w:hint="eastAsia" w:ascii="宋体" w:hAnsi="宋体" w:cs="仿宋_GB2312"/>
          <w:sz w:val="24"/>
        </w:rPr>
        <w:t>（联合体其他成员名称）签订的《联合体竞标协议书》的内容，</w:t>
      </w:r>
      <w:r>
        <w:rPr>
          <w:rFonts w:hint="eastAsia" w:ascii="宋体" w:hAnsi="宋体" w:cs="仿宋_GB2312"/>
          <w:sz w:val="24"/>
          <w:u w:val="single"/>
        </w:rPr>
        <w:t xml:space="preserve">                       </w:t>
      </w:r>
      <w:r>
        <w:rPr>
          <w:rFonts w:hint="eastAsia" w:ascii="宋体" w:hAnsi="宋体" w:cs="仿宋_GB2312"/>
          <w:sz w:val="24"/>
        </w:rPr>
        <w:t>（牵头人名称）的法定代表人</w:t>
      </w:r>
      <w:r>
        <w:rPr>
          <w:rFonts w:hint="eastAsia" w:ascii="宋体" w:hAnsi="宋体" w:cs="仿宋_GB2312"/>
          <w:sz w:val="24"/>
          <w:u w:val="single"/>
        </w:rPr>
        <w:t xml:space="preserve">      </w:t>
      </w:r>
      <w:r>
        <w:rPr>
          <w:rFonts w:hint="eastAsia" w:ascii="宋体" w:hAnsi="宋体" w:cs="仿宋_GB2312"/>
          <w:sz w:val="24"/>
        </w:rPr>
        <w:t>（姓名）现授权</w:t>
      </w:r>
      <w:r>
        <w:rPr>
          <w:rFonts w:hint="eastAsia" w:ascii="宋体" w:hAnsi="宋体" w:cs="仿宋_GB2312"/>
          <w:sz w:val="24"/>
          <w:u w:val="single"/>
        </w:rPr>
        <w:t xml:space="preserve">      </w:t>
      </w:r>
      <w:r>
        <w:rPr>
          <w:rFonts w:hint="eastAsia" w:ascii="宋体" w:hAnsi="宋体" w:cs="仿宋_GB2312"/>
          <w:sz w:val="24"/>
        </w:rPr>
        <w:t>（姓名）为联合委托代理人，并代表我方全权办理针对上述项目的所有采购程序和环节的具体事务和签署相关文件。</w:t>
      </w:r>
    </w:p>
    <w:p w14:paraId="1A3DE40E">
      <w:pPr>
        <w:spacing w:line="360" w:lineRule="auto"/>
        <w:ind w:firstLine="480" w:firstLineChars="200"/>
        <w:rPr>
          <w:rFonts w:hint="eastAsia" w:ascii="宋体" w:hAnsi="宋体" w:cs="仿宋_GB2312"/>
          <w:sz w:val="24"/>
        </w:rPr>
      </w:pPr>
      <w:r>
        <w:rPr>
          <w:rFonts w:hint="eastAsia" w:ascii="宋体" w:hAnsi="宋体" w:cs="仿宋_GB2312"/>
          <w:sz w:val="24"/>
        </w:rPr>
        <w:t>我方对委托代理人的签字事项负全部责任。</w:t>
      </w:r>
    </w:p>
    <w:p w14:paraId="3A868821">
      <w:pPr>
        <w:spacing w:line="360" w:lineRule="auto"/>
        <w:ind w:firstLine="480" w:firstLineChars="200"/>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1B53E35E">
      <w:pPr>
        <w:spacing w:line="360" w:lineRule="auto"/>
        <w:ind w:firstLine="480" w:firstLineChars="200"/>
        <w:rPr>
          <w:rFonts w:hint="eastAsia" w:ascii="宋体" w:hAnsi="宋体" w:cs="仿宋_GB2312"/>
          <w:sz w:val="24"/>
        </w:rPr>
      </w:pPr>
      <w:r>
        <w:rPr>
          <w:rFonts w:hint="eastAsia" w:ascii="宋体" w:hAnsi="宋体" w:cs="仿宋_GB2312"/>
          <w:sz w:val="24"/>
        </w:rPr>
        <w:t>委托代理人无转委托权，特此委托。</w:t>
      </w:r>
    </w:p>
    <w:p w14:paraId="28C29130">
      <w:pPr>
        <w:spacing w:line="360" w:lineRule="auto"/>
        <w:rPr>
          <w:rFonts w:hint="eastAsia" w:ascii="宋体" w:hAnsi="宋体" w:cs="仿宋_GB2312"/>
          <w:sz w:val="24"/>
        </w:rPr>
      </w:pPr>
      <w:r>
        <w:rPr>
          <w:rFonts w:hint="eastAsia" w:ascii="宋体" w:hAnsi="宋体" w:cs="仿宋_GB2312"/>
          <w:sz w:val="24"/>
        </w:rPr>
        <w:t xml:space="preserve">    </w:t>
      </w:r>
    </w:p>
    <w:p w14:paraId="4E1A5E36">
      <w:pPr>
        <w:spacing w:line="360" w:lineRule="auto"/>
        <w:ind w:firstLine="1560" w:firstLineChars="650"/>
        <w:rPr>
          <w:rFonts w:hint="eastAsia" w:ascii="宋体" w:hAnsi="宋体" w:cs="仿宋_GB2312"/>
          <w:sz w:val="24"/>
        </w:rPr>
      </w:pPr>
      <w:r>
        <w:rPr>
          <w:rFonts w:hint="eastAsia" w:ascii="宋体" w:hAnsi="宋体" w:cs="仿宋_GB2312"/>
          <w:sz w:val="24"/>
        </w:rPr>
        <w:t>牵头人法定代表人（签字或盖章）：</w:t>
      </w:r>
    </w:p>
    <w:p w14:paraId="1A0221D8">
      <w:pPr>
        <w:spacing w:line="360" w:lineRule="auto"/>
        <w:ind w:firstLine="3120" w:firstLineChars="1300"/>
        <w:rPr>
          <w:rFonts w:hint="eastAsia" w:ascii="宋体" w:hAnsi="宋体" w:cs="仿宋_GB2312"/>
          <w:sz w:val="24"/>
        </w:rPr>
      </w:pPr>
      <w:r>
        <w:rPr>
          <w:rFonts w:hint="eastAsia" w:ascii="宋体" w:hAnsi="宋体" w:cs="仿宋_GB2312"/>
          <w:sz w:val="24"/>
        </w:rPr>
        <w:t>牵头人（电子签章）：</w:t>
      </w:r>
    </w:p>
    <w:p w14:paraId="1C186C4A">
      <w:pPr>
        <w:spacing w:line="360" w:lineRule="auto"/>
        <w:ind w:firstLine="3840" w:firstLineChars="1600"/>
        <w:rPr>
          <w:rFonts w:hint="eastAsia" w:ascii="宋体" w:hAnsi="宋体" w:cs="仿宋_GB2312"/>
          <w:sz w:val="24"/>
        </w:rPr>
      </w:pPr>
      <w:r>
        <w:rPr>
          <w:rFonts w:hint="eastAsia" w:ascii="宋体" w:hAnsi="宋体" w:cs="仿宋_GB2312"/>
          <w:sz w:val="24"/>
        </w:rPr>
        <w:t>日期：    年   月   日</w:t>
      </w:r>
    </w:p>
    <w:p w14:paraId="165CD114">
      <w:pPr>
        <w:spacing w:line="360" w:lineRule="auto"/>
        <w:rPr>
          <w:rFonts w:hint="eastAsia" w:ascii="宋体" w:hAnsi="宋体" w:cs="仿宋_GB2312"/>
          <w:sz w:val="24"/>
        </w:rPr>
      </w:pPr>
    </w:p>
    <w:p w14:paraId="30759249">
      <w:pPr>
        <w:spacing w:line="360" w:lineRule="auto"/>
        <w:ind w:firstLine="3120" w:firstLineChars="1300"/>
        <w:rPr>
          <w:rFonts w:hint="eastAsia" w:ascii="宋体" w:hAnsi="宋体" w:cs="仿宋_GB2312"/>
          <w:sz w:val="24"/>
        </w:rPr>
      </w:pPr>
      <w:r>
        <w:rPr>
          <w:rFonts w:hint="eastAsia" w:ascii="宋体" w:hAnsi="宋体" w:cs="仿宋_GB2312"/>
          <w:sz w:val="24"/>
        </w:rPr>
        <w:t>被授权人（签字）：</w:t>
      </w:r>
    </w:p>
    <w:p w14:paraId="76CC3EBE">
      <w:pPr>
        <w:spacing w:line="360" w:lineRule="auto"/>
        <w:ind w:firstLine="3840" w:firstLineChars="1600"/>
        <w:rPr>
          <w:rFonts w:hint="eastAsia" w:ascii="宋体" w:hAnsi="宋体" w:cs="仿宋_GB2312"/>
          <w:sz w:val="24"/>
        </w:rPr>
      </w:pPr>
      <w:r>
        <w:rPr>
          <w:rFonts w:hint="eastAsia" w:ascii="宋体" w:hAnsi="宋体" w:cs="仿宋_GB2312"/>
          <w:sz w:val="24"/>
        </w:rPr>
        <w:t>日期：    年   月   日</w:t>
      </w:r>
    </w:p>
    <w:p w14:paraId="520FD924">
      <w:pPr>
        <w:spacing w:line="360" w:lineRule="auto"/>
        <w:rPr>
          <w:rFonts w:hint="eastAsia" w:ascii="宋体" w:hAnsi="宋体" w:cs="仿宋_GB2312"/>
          <w:sz w:val="24"/>
        </w:rPr>
      </w:pPr>
    </w:p>
    <w:p w14:paraId="5D289217">
      <w:pPr>
        <w:spacing w:line="360" w:lineRule="auto"/>
        <w:rPr>
          <w:rFonts w:hint="eastAsia" w:ascii="宋体" w:hAnsi="宋体" w:cs="仿宋_GB2312"/>
          <w:sz w:val="24"/>
        </w:rPr>
      </w:pPr>
      <w:r>
        <w:rPr>
          <w:rFonts w:hint="eastAsia" w:ascii="宋体" w:hAnsi="宋体" w:cs="仿宋_GB2312"/>
          <w:sz w:val="24"/>
        </w:rPr>
        <w:t>注：1. 法定代表人必须在授权委托书上亲笔签字或盖章，委托代理人必须在授权委托书上亲笔签字，</w:t>
      </w:r>
      <w:r>
        <w:rPr>
          <w:rFonts w:hint="eastAsia" w:ascii="宋体" w:hAnsi="宋体" w:cs="仿宋_GB2312"/>
          <w:b/>
          <w:sz w:val="24"/>
        </w:rPr>
        <w:t>否则其响应文件按无效响应处理。</w:t>
      </w:r>
    </w:p>
    <w:p w14:paraId="63050214">
      <w:pPr>
        <w:spacing w:line="360" w:lineRule="auto"/>
        <w:ind w:firstLine="480" w:firstLineChars="200"/>
        <w:jc w:val="left"/>
        <w:rPr>
          <w:rFonts w:hint="eastAsia" w:ascii="宋体" w:hAnsi="宋体" w:cs="仿宋_GB2312"/>
          <w:sz w:val="24"/>
        </w:rPr>
      </w:pPr>
      <w:r>
        <w:rPr>
          <w:rFonts w:hint="eastAsia" w:ascii="宋体" w:hAnsi="宋体" w:cs="仿宋_GB2312"/>
          <w:sz w:val="24"/>
        </w:rPr>
        <w:t>2.本授权委托书应由联合体牵头人的法定代表人按上述规定签署。</w:t>
      </w:r>
    </w:p>
    <w:p w14:paraId="427E3933">
      <w:pPr>
        <w:spacing w:line="360" w:lineRule="auto"/>
        <w:ind w:firstLine="480" w:firstLineChars="200"/>
        <w:jc w:val="left"/>
        <w:rPr>
          <w:rFonts w:hint="eastAsia" w:ascii="宋体" w:hAnsi="宋体" w:cs="仿宋_GB2312"/>
          <w:sz w:val="24"/>
        </w:rPr>
      </w:pPr>
      <w:r>
        <w:rPr>
          <w:rFonts w:hint="eastAsia" w:ascii="宋体" w:hAnsi="宋体" w:cs="仿宋_GB2312"/>
          <w:sz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DB79457">
      <w:pPr>
        <w:spacing w:line="360" w:lineRule="auto"/>
        <w:ind w:firstLine="480" w:firstLineChars="200"/>
        <w:jc w:val="left"/>
        <w:rPr>
          <w:rFonts w:hint="eastAsia" w:ascii="宋体" w:hAnsi="宋体" w:cs="仿宋_GB2312"/>
          <w:sz w:val="24"/>
        </w:rPr>
      </w:pPr>
      <w:r>
        <w:rPr>
          <w:rFonts w:hint="eastAsia" w:ascii="宋体" w:hAnsi="宋体" w:cs="仿宋_GB2312"/>
          <w:sz w:val="24"/>
        </w:rPr>
        <w:t>4.法人、其他组织竞标时“我方”是指“我单位”，自然人竞标时“我方”是指“本人”。</w:t>
      </w:r>
    </w:p>
    <w:p w14:paraId="702319D7">
      <w:pPr>
        <w:spacing w:line="360" w:lineRule="auto"/>
        <w:ind w:firstLine="420" w:firstLineChars="200"/>
        <w:jc w:val="left"/>
        <w:rPr>
          <w:rFonts w:hint="eastAsia" w:ascii="仿宋_GB2312" w:hAnsi="仿宋_GB2312" w:eastAsia="仿宋_GB2312" w:cs="仿宋_GB2312"/>
          <w:szCs w:val="21"/>
        </w:rPr>
      </w:pPr>
    </w:p>
    <w:p w14:paraId="08FD3E52">
      <w:pPr>
        <w:spacing w:line="520" w:lineRule="exact"/>
        <w:ind w:firstLine="640" w:firstLineChars="200"/>
        <w:jc w:val="left"/>
        <w:rPr>
          <w:rFonts w:hint="eastAsia" w:ascii="仿宋" w:hAnsi="仿宋" w:eastAsia="仿宋" w:cs="仿宋_GB2312"/>
          <w:b/>
          <w:sz w:val="30"/>
          <w:szCs w:val="30"/>
        </w:rPr>
      </w:pPr>
      <w:r>
        <w:rPr>
          <w:rFonts w:hint="eastAsia" w:ascii="仿宋_GB2312" w:hAnsi="仿宋_GB2312" w:eastAsia="仿宋_GB2312" w:cs="仿宋_GB2312"/>
          <w:sz w:val="32"/>
          <w:szCs w:val="32"/>
        </w:rPr>
        <w:br w:type="page"/>
      </w:r>
      <w:r>
        <w:rPr>
          <w:rFonts w:hint="eastAsia" w:ascii="仿宋" w:hAnsi="仿宋" w:eastAsia="仿宋" w:cs="仿宋_GB2312"/>
          <w:b/>
          <w:sz w:val="30"/>
          <w:szCs w:val="30"/>
        </w:rPr>
        <w:t>四、商务条款偏离表</w:t>
      </w:r>
    </w:p>
    <w:p w14:paraId="3542E289">
      <w:pPr>
        <w:spacing w:line="5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商务条款偏离表</w:t>
      </w:r>
    </w:p>
    <w:p w14:paraId="6997D0E2">
      <w:pPr>
        <w:spacing w:line="520" w:lineRule="exact"/>
        <w:rPr>
          <w:rFonts w:hint="eastAsia" w:ascii="仿宋_GB2312" w:hAnsi="仿宋_GB2312" w:eastAsia="仿宋_GB2312" w:cs="仿宋_GB2312"/>
          <w:sz w:val="32"/>
          <w:szCs w:val="32"/>
        </w:rPr>
      </w:pPr>
    </w:p>
    <w:p w14:paraId="1AE1EF58">
      <w:pPr>
        <w:spacing w:line="360" w:lineRule="auto"/>
        <w:rPr>
          <w:rFonts w:hint="eastAsia" w:ascii="宋体" w:hAnsi="宋体" w:cs="仿宋_GB2312"/>
          <w:sz w:val="24"/>
          <w:u w:val="single"/>
        </w:rPr>
      </w:pPr>
      <w:r>
        <w:rPr>
          <w:rFonts w:hint="eastAsia" w:ascii="宋体" w:hAnsi="宋体" w:cs="仿宋_GB2312"/>
          <w:sz w:val="24"/>
        </w:rPr>
        <w:t>采购项目编号：</w:t>
      </w:r>
      <w:r>
        <w:rPr>
          <w:rFonts w:hint="eastAsia" w:ascii="宋体" w:hAnsi="宋体" w:cs="仿宋_GB2312"/>
          <w:sz w:val="24"/>
          <w:u w:val="single"/>
        </w:rPr>
        <w:t xml:space="preserve"> </w:t>
      </w:r>
      <w:r>
        <w:rPr>
          <w:rFonts w:hint="eastAsia" w:ascii="宋体" w:hAnsi="宋体" w:cs="仿宋_GB2312"/>
          <w:sz w:val="24"/>
          <w:u w:val="single"/>
          <w:lang w:val="en-US" w:eastAsia="zh-CN"/>
        </w:rPr>
        <w:t>NNZC2026-C3-250033-SLXZ</w:t>
      </w:r>
      <w:r>
        <w:rPr>
          <w:rFonts w:hint="eastAsia" w:ascii="宋体" w:hAnsi="宋体" w:cs="仿宋_GB2312"/>
          <w:sz w:val="24"/>
          <w:u w:val="single"/>
        </w:rPr>
        <w:t xml:space="preserve">  </w:t>
      </w:r>
    </w:p>
    <w:p w14:paraId="3579C6F6">
      <w:pPr>
        <w:spacing w:line="360" w:lineRule="auto"/>
        <w:rPr>
          <w:rFonts w:hint="eastAsia" w:ascii="宋体" w:hAnsi="宋体" w:cs="仿宋_GB2312"/>
          <w:sz w:val="24"/>
        </w:rPr>
      </w:pPr>
      <w:r>
        <w:rPr>
          <w:rFonts w:hint="eastAsia" w:ascii="宋体" w:hAnsi="宋体" w:cs="仿宋_GB2312"/>
          <w:sz w:val="24"/>
        </w:rPr>
        <w:t>采购项目名称：</w:t>
      </w:r>
      <w:r>
        <w:rPr>
          <w:rFonts w:hint="eastAsia" w:ascii="宋体" w:hAnsi="宋体" w:cs="仿宋_GB2312"/>
          <w:sz w:val="24"/>
          <w:u w:val="single"/>
        </w:rPr>
        <w:t xml:space="preserve"> </w:t>
      </w:r>
      <w:r>
        <w:rPr>
          <w:rFonts w:hint="eastAsia" w:ascii="宋体" w:hAnsi="宋体" w:cs="仿宋_GB2312"/>
          <w:sz w:val="24"/>
          <w:u w:val="single"/>
          <w:lang w:eastAsia="zh-CN"/>
        </w:rPr>
        <w:t>上林县委县政府机关大院物业服务项目(重)</w:t>
      </w:r>
      <w:r>
        <w:rPr>
          <w:rFonts w:hint="eastAsia" w:ascii="宋体" w:hAnsi="宋体" w:cs="仿宋_GB2312"/>
          <w:sz w:val="24"/>
          <w:u w:val="single"/>
        </w:rPr>
        <w:t xml:space="preserve"> </w:t>
      </w:r>
    </w:p>
    <w:p w14:paraId="7DFDB517">
      <w:pPr>
        <w:spacing w:line="360" w:lineRule="auto"/>
        <w:rPr>
          <w:rFonts w:hint="eastAsia" w:ascii="宋体" w:hAnsi="宋体" w:cs="仿宋_GB2312"/>
          <w:sz w:val="24"/>
          <w:u w:val="single"/>
        </w:rPr>
      </w:pPr>
      <w:r>
        <w:rPr>
          <w:rFonts w:hint="eastAsia" w:ascii="宋体" w:hAnsi="宋体" w:cs="仿宋_GB2312"/>
          <w:sz w:val="24"/>
        </w:rPr>
        <w:t>分标号</w:t>
      </w:r>
      <w:r>
        <w:rPr>
          <w:rFonts w:hint="eastAsia" w:ascii="宋体" w:hAnsi="宋体"/>
          <w:szCs w:val="21"/>
        </w:rPr>
        <w:t>（此处有分标时填写具体分标号，无分标时填写“无”）</w:t>
      </w:r>
      <w:r>
        <w:rPr>
          <w:rFonts w:hint="eastAsia" w:ascii="宋体" w:hAnsi="宋体" w:cs="仿宋_GB2312"/>
          <w:sz w:val="24"/>
        </w:rPr>
        <w:t>：</w:t>
      </w:r>
      <w:r>
        <w:rPr>
          <w:rFonts w:hint="eastAsia" w:ascii="宋体" w:hAnsi="宋体" w:cs="仿宋_GB2312"/>
          <w:sz w:val="24"/>
          <w:u w:val="single"/>
        </w:rPr>
        <w:t xml:space="preserve">                       </w:t>
      </w:r>
    </w:p>
    <w:tbl>
      <w:tblPr>
        <w:tblStyle w:val="19"/>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333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6EE0CBF6">
            <w:pPr>
              <w:spacing w:line="340" w:lineRule="exact"/>
              <w:jc w:val="center"/>
              <w:rPr>
                <w:rFonts w:hint="eastAsia" w:ascii="宋体" w:hAnsi="宋体"/>
                <w:szCs w:val="21"/>
              </w:rPr>
            </w:pPr>
            <w:r>
              <w:rPr>
                <w:rFonts w:hint="eastAsia" w:ascii="宋体" w:hAnsi="宋体"/>
                <w:szCs w:val="21"/>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C9EC64D">
            <w:pPr>
              <w:spacing w:line="340" w:lineRule="exact"/>
              <w:jc w:val="center"/>
              <w:rPr>
                <w:rFonts w:hint="eastAsia" w:ascii="宋体" w:hAnsi="宋体"/>
                <w:szCs w:val="21"/>
              </w:rPr>
            </w:pPr>
            <w:r>
              <w:rPr>
                <w:rFonts w:hint="eastAsia" w:ascii="宋体" w:hAnsi="宋体"/>
                <w:szCs w:val="21"/>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FAB85A6">
            <w:pPr>
              <w:spacing w:line="340" w:lineRule="exact"/>
              <w:jc w:val="center"/>
              <w:rPr>
                <w:rFonts w:hint="eastAsia" w:ascii="宋体" w:hAnsi="宋体"/>
                <w:szCs w:val="21"/>
              </w:rPr>
            </w:pPr>
            <w:r>
              <w:rPr>
                <w:rFonts w:hint="eastAsia" w:ascii="宋体" w:hAnsi="宋体"/>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2F9948C">
            <w:pPr>
              <w:spacing w:line="340" w:lineRule="exact"/>
              <w:jc w:val="center"/>
              <w:rPr>
                <w:rFonts w:hint="eastAsia" w:ascii="宋体" w:hAnsi="宋体"/>
                <w:szCs w:val="21"/>
              </w:rPr>
            </w:pPr>
            <w:r>
              <w:rPr>
                <w:rFonts w:hint="eastAsia" w:ascii="宋体" w:hAnsi="宋体"/>
                <w:szCs w:val="21"/>
              </w:rPr>
              <w:t>偏离说明</w:t>
            </w:r>
          </w:p>
        </w:tc>
      </w:tr>
      <w:tr w14:paraId="2082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F9BACAE">
            <w:pPr>
              <w:spacing w:line="340" w:lineRule="exact"/>
              <w:rPr>
                <w:rFonts w:hint="eastAsia" w:ascii="宋体" w:hAnsi="宋体"/>
                <w:szCs w:val="21"/>
              </w:rPr>
            </w:pPr>
            <w:r>
              <w:rPr>
                <w:rFonts w:hint="eastAsia" w:ascii="宋体" w:hAnsi="宋体"/>
                <w:szCs w:val="21"/>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9C386C2">
            <w:pPr>
              <w:spacing w:line="340" w:lineRule="exact"/>
              <w:rPr>
                <w:rFonts w:hint="eastAsia" w:ascii="宋体" w:hAnsi="宋体"/>
                <w:szCs w:val="21"/>
              </w:rPr>
            </w:pPr>
            <w:r>
              <w:rPr>
                <w:rFonts w:hint="eastAsia" w:ascii="宋体" w:hAnsi="宋体"/>
                <w:szCs w:val="21"/>
              </w:rPr>
              <w:t>1  ……</w:t>
            </w:r>
          </w:p>
          <w:p w14:paraId="24910AA6">
            <w:pPr>
              <w:spacing w:line="340" w:lineRule="exact"/>
              <w:rPr>
                <w:rFonts w:hint="eastAsia" w:ascii="宋体" w:hAnsi="宋体"/>
                <w:szCs w:val="21"/>
              </w:rPr>
            </w:pPr>
            <w:r>
              <w:rPr>
                <w:rFonts w:hint="eastAsia" w:ascii="宋体" w:hAnsi="宋体"/>
                <w:szCs w:val="21"/>
              </w:rPr>
              <w:t>2  ……</w:t>
            </w:r>
          </w:p>
          <w:p w14:paraId="625C5838">
            <w:pPr>
              <w:spacing w:line="340" w:lineRule="exact"/>
              <w:rPr>
                <w:rFonts w:hint="eastAsia" w:ascii="宋体" w:hAnsi="宋体"/>
                <w:szCs w:val="21"/>
              </w:rPr>
            </w:pPr>
            <w:r>
              <w:rPr>
                <w:rFonts w:hint="eastAsia" w:ascii="宋体" w:hAnsi="宋体"/>
                <w:szCs w:val="21"/>
              </w:rPr>
              <w:t>3  ……</w:t>
            </w:r>
          </w:p>
          <w:p w14:paraId="4F2EDB45">
            <w:pPr>
              <w:spacing w:line="340" w:lineRule="exact"/>
              <w:rPr>
                <w:rFonts w:hint="eastAsia" w:ascii="宋体" w:hAnsi="宋体"/>
                <w:szCs w:val="21"/>
              </w:rPr>
            </w:pPr>
            <w:r>
              <w:rPr>
                <w:rFonts w:hint="eastAsia" w:ascii="宋体" w:hAnsi="宋体"/>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11C6BA0">
            <w:pPr>
              <w:spacing w:line="340" w:lineRule="exact"/>
              <w:rPr>
                <w:rFonts w:hint="eastAsia" w:ascii="宋体" w:hAnsi="宋体"/>
                <w:szCs w:val="21"/>
              </w:rPr>
            </w:pPr>
            <w:r>
              <w:rPr>
                <w:rFonts w:hint="eastAsia" w:ascii="宋体" w:hAnsi="宋体"/>
                <w:szCs w:val="21"/>
              </w:rPr>
              <w:t>1  ……</w:t>
            </w:r>
          </w:p>
          <w:p w14:paraId="56C7B5D6">
            <w:pPr>
              <w:spacing w:line="340" w:lineRule="exact"/>
              <w:rPr>
                <w:rFonts w:hint="eastAsia" w:ascii="宋体" w:hAnsi="宋体"/>
                <w:szCs w:val="21"/>
              </w:rPr>
            </w:pPr>
            <w:r>
              <w:rPr>
                <w:rFonts w:hint="eastAsia" w:ascii="宋体" w:hAnsi="宋体"/>
                <w:szCs w:val="21"/>
              </w:rPr>
              <w:t>2  ……</w:t>
            </w:r>
          </w:p>
          <w:p w14:paraId="7A03BA8D">
            <w:pPr>
              <w:spacing w:line="340" w:lineRule="exact"/>
              <w:rPr>
                <w:rFonts w:hint="eastAsia" w:ascii="宋体" w:hAnsi="宋体"/>
                <w:szCs w:val="21"/>
              </w:rPr>
            </w:pPr>
            <w:r>
              <w:rPr>
                <w:rFonts w:hint="eastAsia" w:ascii="宋体" w:hAnsi="宋体"/>
                <w:szCs w:val="21"/>
              </w:rPr>
              <w:t>3  ……</w:t>
            </w:r>
          </w:p>
          <w:p w14:paraId="25FB45BA">
            <w:pPr>
              <w:spacing w:line="340" w:lineRule="exact"/>
              <w:rPr>
                <w:rFonts w:hint="eastAsia" w:ascii="宋体" w:hAnsi="宋体"/>
                <w:szCs w:val="21"/>
              </w:rPr>
            </w:pPr>
            <w:r>
              <w:rPr>
                <w:rFonts w:hint="eastAsia" w:ascii="宋体" w:hAnsi="宋体"/>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3588D92">
            <w:pPr>
              <w:spacing w:line="300" w:lineRule="exact"/>
              <w:rPr>
                <w:rFonts w:hint="eastAsia" w:ascii="宋体" w:hAnsi="宋体"/>
                <w:szCs w:val="21"/>
              </w:rPr>
            </w:pPr>
          </w:p>
        </w:tc>
      </w:tr>
      <w:tr w14:paraId="4CE8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5AEF3CF">
            <w:pPr>
              <w:spacing w:line="340" w:lineRule="exact"/>
              <w:rPr>
                <w:rFonts w:hint="eastAsia" w:ascii="宋体" w:hAnsi="宋体"/>
                <w:szCs w:val="21"/>
              </w:rPr>
            </w:pPr>
            <w:r>
              <w:rPr>
                <w:rFonts w:hint="eastAsia" w:ascii="宋体" w:hAnsi="宋体"/>
                <w:szCs w:val="21"/>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CF56B62">
            <w:pPr>
              <w:spacing w:line="340" w:lineRule="exact"/>
              <w:rPr>
                <w:rFonts w:hint="eastAsia" w:ascii="宋体" w:hAnsi="宋体"/>
                <w:szCs w:val="21"/>
              </w:rPr>
            </w:pPr>
            <w:r>
              <w:rPr>
                <w:rFonts w:hint="eastAsia" w:ascii="宋体" w:hAnsi="宋体"/>
                <w:szCs w:val="21"/>
              </w:rPr>
              <w:t>1  ……</w:t>
            </w:r>
          </w:p>
          <w:p w14:paraId="6A6740A4">
            <w:pPr>
              <w:spacing w:line="340" w:lineRule="exact"/>
              <w:rPr>
                <w:rFonts w:hint="eastAsia" w:ascii="宋体" w:hAnsi="宋体"/>
                <w:szCs w:val="21"/>
              </w:rPr>
            </w:pPr>
            <w:r>
              <w:rPr>
                <w:rFonts w:hint="eastAsia" w:ascii="宋体" w:hAnsi="宋体"/>
                <w:szCs w:val="21"/>
              </w:rPr>
              <w:t>2  ……</w:t>
            </w:r>
          </w:p>
          <w:p w14:paraId="2A7CED94">
            <w:pPr>
              <w:spacing w:line="340" w:lineRule="exact"/>
              <w:rPr>
                <w:rFonts w:hint="eastAsia" w:ascii="宋体" w:hAnsi="宋体"/>
                <w:szCs w:val="21"/>
              </w:rPr>
            </w:pPr>
            <w:r>
              <w:rPr>
                <w:rFonts w:hint="eastAsia" w:ascii="宋体" w:hAnsi="宋体"/>
                <w:szCs w:val="21"/>
              </w:rPr>
              <w:t>3  ……</w:t>
            </w:r>
          </w:p>
          <w:p w14:paraId="0CBFF154">
            <w:pPr>
              <w:spacing w:line="340" w:lineRule="exact"/>
              <w:rPr>
                <w:rFonts w:hint="eastAsia" w:ascii="宋体" w:hAnsi="宋体"/>
                <w:szCs w:val="21"/>
              </w:rPr>
            </w:pPr>
            <w:r>
              <w:rPr>
                <w:rFonts w:hint="eastAsia" w:ascii="宋体" w:hAnsi="宋体"/>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BBC48E0">
            <w:pPr>
              <w:spacing w:line="340" w:lineRule="exact"/>
              <w:rPr>
                <w:rFonts w:hint="eastAsia" w:ascii="宋体" w:hAnsi="宋体"/>
                <w:szCs w:val="21"/>
              </w:rPr>
            </w:pPr>
            <w:r>
              <w:rPr>
                <w:rFonts w:hint="eastAsia" w:ascii="宋体" w:hAnsi="宋体"/>
                <w:szCs w:val="21"/>
              </w:rPr>
              <w:t>1  ……</w:t>
            </w:r>
          </w:p>
          <w:p w14:paraId="5CC35BFF">
            <w:pPr>
              <w:spacing w:line="340" w:lineRule="exact"/>
              <w:rPr>
                <w:rFonts w:hint="eastAsia" w:ascii="宋体" w:hAnsi="宋体"/>
                <w:szCs w:val="21"/>
              </w:rPr>
            </w:pPr>
            <w:r>
              <w:rPr>
                <w:rFonts w:hint="eastAsia" w:ascii="宋体" w:hAnsi="宋体"/>
                <w:szCs w:val="21"/>
              </w:rPr>
              <w:t>2  ……</w:t>
            </w:r>
          </w:p>
          <w:p w14:paraId="2DA29B17">
            <w:pPr>
              <w:spacing w:line="340" w:lineRule="exact"/>
              <w:rPr>
                <w:rFonts w:hint="eastAsia" w:ascii="宋体" w:hAnsi="宋体"/>
                <w:szCs w:val="21"/>
              </w:rPr>
            </w:pPr>
            <w:r>
              <w:rPr>
                <w:rFonts w:hint="eastAsia" w:ascii="宋体" w:hAnsi="宋体"/>
                <w:szCs w:val="21"/>
              </w:rPr>
              <w:t>3  ……</w:t>
            </w:r>
          </w:p>
          <w:p w14:paraId="6FADA01C">
            <w:pPr>
              <w:spacing w:line="340" w:lineRule="exact"/>
              <w:rPr>
                <w:rFonts w:hint="eastAsia" w:ascii="宋体" w:hAnsi="宋体"/>
                <w:szCs w:val="21"/>
              </w:rPr>
            </w:pPr>
            <w:r>
              <w:rPr>
                <w:rFonts w:hint="eastAsia" w:ascii="宋体" w:hAnsi="宋体"/>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CCDAB6">
            <w:pPr>
              <w:spacing w:line="300" w:lineRule="exact"/>
              <w:rPr>
                <w:rFonts w:hint="eastAsia" w:ascii="宋体" w:hAnsi="宋体"/>
                <w:szCs w:val="21"/>
              </w:rPr>
            </w:pPr>
          </w:p>
        </w:tc>
      </w:tr>
      <w:tr w14:paraId="5798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F73161C">
            <w:pPr>
              <w:spacing w:line="340" w:lineRule="exact"/>
              <w:rPr>
                <w:rFonts w:hint="eastAsia" w:ascii="宋体" w:hAnsi="宋体"/>
                <w:szCs w:val="21"/>
              </w:rPr>
            </w:pPr>
            <w:r>
              <w:rPr>
                <w:rFonts w:hint="eastAsia" w:ascii="宋体" w:hAnsi="宋体"/>
                <w:szCs w:val="21"/>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8DED0DB">
            <w:pPr>
              <w:spacing w:line="340" w:lineRule="exact"/>
              <w:rPr>
                <w:rFonts w:hint="eastAsia" w:ascii="宋体" w:hAnsi="宋体"/>
                <w:szCs w:val="21"/>
              </w:rPr>
            </w:pPr>
            <w:r>
              <w:rPr>
                <w:rFonts w:hint="eastAsia" w:ascii="宋体" w:hAnsi="宋体"/>
                <w:szCs w:val="21"/>
              </w:rPr>
              <w:t>1  ……</w:t>
            </w:r>
          </w:p>
          <w:p w14:paraId="2E04C98C">
            <w:pPr>
              <w:spacing w:line="340" w:lineRule="exact"/>
              <w:rPr>
                <w:rFonts w:hint="eastAsia" w:ascii="宋体" w:hAnsi="宋体"/>
                <w:szCs w:val="21"/>
              </w:rPr>
            </w:pPr>
            <w:r>
              <w:rPr>
                <w:rFonts w:hint="eastAsia" w:ascii="宋体" w:hAnsi="宋体"/>
                <w:szCs w:val="21"/>
              </w:rPr>
              <w:t>2  ……</w:t>
            </w:r>
          </w:p>
          <w:p w14:paraId="3088A48A">
            <w:pPr>
              <w:spacing w:line="340" w:lineRule="exact"/>
              <w:rPr>
                <w:rFonts w:hint="eastAsia" w:ascii="宋体" w:hAnsi="宋体"/>
                <w:szCs w:val="21"/>
              </w:rPr>
            </w:pPr>
            <w:r>
              <w:rPr>
                <w:rFonts w:hint="eastAsia" w:ascii="宋体" w:hAnsi="宋体"/>
                <w:szCs w:val="21"/>
              </w:rPr>
              <w:t>3  ……</w:t>
            </w:r>
          </w:p>
          <w:p w14:paraId="340BC04F">
            <w:pPr>
              <w:spacing w:line="340" w:lineRule="exact"/>
              <w:rPr>
                <w:rFonts w:hint="eastAsia" w:ascii="宋体" w:hAnsi="宋体"/>
                <w:szCs w:val="21"/>
              </w:rPr>
            </w:pPr>
            <w:r>
              <w:rPr>
                <w:rFonts w:hint="eastAsia" w:ascii="宋体" w:hAnsi="宋体"/>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91779C6">
            <w:pPr>
              <w:spacing w:line="340" w:lineRule="exact"/>
              <w:rPr>
                <w:rFonts w:hint="eastAsia" w:ascii="宋体" w:hAnsi="宋体"/>
                <w:szCs w:val="21"/>
              </w:rPr>
            </w:pPr>
            <w:r>
              <w:rPr>
                <w:rFonts w:hint="eastAsia" w:ascii="宋体" w:hAnsi="宋体"/>
                <w:szCs w:val="21"/>
              </w:rPr>
              <w:t>1  ……</w:t>
            </w:r>
          </w:p>
          <w:p w14:paraId="690FDD64">
            <w:pPr>
              <w:spacing w:line="340" w:lineRule="exact"/>
              <w:rPr>
                <w:rFonts w:hint="eastAsia" w:ascii="宋体" w:hAnsi="宋体"/>
                <w:szCs w:val="21"/>
              </w:rPr>
            </w:pPr>
            <w:r>
              <w:rPr>
                <w:rFonts w:hint="eastAsia" w:ascii="宋体" w:hAnsi="宋体"/>
                <w:szCs w:val="21"/>
              </w:rPr>
              <w:t>2  ……</w:t>
            </w:r>
          </w:p>
          <w:p w14:paraId="33115BEF">
            <w:pPr>
              <w:spacing w:line="340" w:lineRule="exact"/>
              <w:rPr>
                <w:rFonts w:hint="eastAsia" w:ascii="宋体" w:hAnsi="宋体"/>
                <w:szCs w:val="21"/>
              </w:rPr>
            </w:pPr>
            <w:r>
              <w:rPr>
                <w:rFonts w:hint="eastAsia" w:ascii="宋体" w:hAnsi="宋体"/>
                <w:szCs w:val="21"/>
              </w:rPr>
              <w:t>3  ……</w:t>
            </w:r>
          </w:p>
          <w:p w14:paraId="622E9603">
            <w:pPr>
              <w:spacing w:line="340" w:lineRule="exact"/>
              <w:rPr>
                <w:rFonts w:hint="eastAsia" w:ascii="宋体" w:hAnsi="宋体"/>
                <w:szCs w:val="21"/>
              </w:rPr>
            </w:pPr>
            <w:r>
              <w:rPr>
                <w:rFonts w:hint="eastAsia" w:ascii="宋体" w:hAnsi="宋体"/>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4C7AAF4">
            <w:pPr>
              <w:spacing w:line="300" w:lineRule="exact"/>
              <w:rPr>
                <w:rFonts w:hint="eastAsia" w:ascii="宋体" w:hAnsi="宋体"/>
                <w:szCs w:val="21"/>
              </w:rPr>
            </w:pPr>
          </w:p>
        </w:tc>
      </w:tr>
    </w:tbl>
    <w:p w14:paraId="30ADA93F">
      <w:pPr>
        <w:pStyle w:val="10"/>
        <w:spacing w:line="400" w:lineRule="exact"/>
        <w:ind w:firstLine="0" w:firstLineChars="0"/>
        <w:rPr>
          <w:rFonts w:hint="eastAsia" w:ascii="宋体" w:hAnsi="宋体" w:eastAsia="宋体" w:cs="仿宋_GB2312"/>
          <w:sz w:val="24"/>
          <w:szCs w:val="24"/>
        </w:rPr>
      </w:pPr>
      <w:r>
        <w:rPr>
          <w:rFonts w:hint="eastAsia" w:ascii="宋体" w:hAnsi="宋体" w:eastAsia="宋体" w:cs="仿宋_GB2312"/>
          <w:sz w:val="24"/>
          <w:szCs w:val="24"/>
        </w:rPr>
        <w:t>注：</w:t>
      </w:r>
    </w:p>
    <w:p w14:paraId="200C0096">
      <w:pPr>
        <w:pStyle w:val="10"/>
        <w:spacing w:line="400" w:lineRule="exact"/>
        <w:ind w:firstLine="0" w:firstLineChars="0"/>
        <w:rPr>
          <w:rFonts w:hint="eastAsia" w:ascii="宋体" w:hAnsi="宋体" w:eastAsia="宋体" w:cs="仿宋_GB2312"/>
          <w:sz w:val="24"/>
          <w:szCs w:val="24"/>
        </w:rPr>
      </w:pPr>
      <w:r>
        <w:rPr>
          <w:rFonts w:hint="eastAsia" w:ascii="宋体" w:hAnsi="宋体" w:eastAsia="宋体" w:cs="仿宋_GB2312"/>
          <w:sz w:val="24"/>
          <w:szCs w:val="24"/>
        </w:rPr>
        <w:t>1.说明：应对照磋商文件“第二章 采购需求”中的商务条款逐条作出明确响应，并作出偏离说明。</w:t>
      </w:r>
    </w:p>
    <w:p w14:paraId="0BD60859">
      <w:pPr>
        <w:pStyle w:val="10"/>
        <w:spacing w:line="400" w:lineRule="exact"/>
        <w:ind w:firstLine="0" w:firstLineChars="0"/>
        <w:rPr>
          <w:rFonts w:hint="eastAsia" w:ascii="宋体" w:hAnsi="宋体" w:eastAsia="宋体" w:cs="仿宋_GB2312"/>
          <w:sz w:val="24"/>
          <w:szCs w:val="24"/>
        </w:rPr>
      </w:pPr>
      <w:r>
        <w:rPr>
          <w:rFonts w:hint="eastAsia" w:ascii="宋体" w:hAnsi="宋体" w:eastAsia="宋体" w:cs="仿宋_GB2312"/>
          <w:sz w:val="24"/>
          <w:szCs w:val="24"/>
        </w:rPr>
        <w:t>2.供应商应根据自身的承诺，对照磋商文件要求，在“偏离说明”中注明“正偏离”、“负偏离”或者“无偏离”。既不属于“正偏离”也不属于“负偏离”即为“无偏离”。</w:t>
      </w:r>
      <w:r>
        <w:rPr>
          <w:rFonts w:hint="eastAsia" w:ascii="宋体" w:hAnsi="宋体" w:cs="仿宋_GB2312"/>
          <w:sz w:val="24"/>
          <w:szCs w:val="24"/>
        </w:rPr>
        <w:t xml:space="preserve"> 当响应文件的</w:t>
      </w:r>
      <w:r>
        <w:rPr>
          <w:rFonts w:hint="eastAsia" w:ascii="宋体" w:hAnsi="宋体" w:eastAsia="宋体" w:cs="仿宋_GB2312"/>
          <w:sz w:val="24"/>
          <w:szCs w:val="24"/>
        </w:rPr>
        <w:t>商务内容低于竞争性磋商采购文件要求时，竞标人应当如实写明“负偏离”，否则视为虚假应标</w:t>
      </w:r>
    </w:p>
    <w:p w14:paraId="257C0151">
      <w:pPr>
        <w:spacing w:line="400" w:lineRule="exact"/>
        <w:rPr>
          <w:rFonts w:hint="eastAsia" w:ascii="宋体" w:hAnsi="宋体" w:cs="仿宋_GB2312"/>
          <w:kern w:val="0"/>
          <w:sz w:val="24"/>
        </w:rPr>
      </w:pPr>
      <w:r>
        <w:rPr>
          <w:rFonts w:hint="eastAsia" w:ascii="宋体" w:hAnsi="宋体" w:cs="仿宋_GB2312"/>
          <w:kern w:val="0"/>
          <w:sz w:val="24"/>
        </w:rPr>
        <w:t>3.表格内容均需按要求填写，不得留空，否则按竞标无效处理。</w:t>
      </w:r>
    </w:p>
    <w:p w14:paraId="413DC188">
      <w:pPr>
        <w:pStyle w:val="13"/>
        <w:spacing w:line="400" w:lineRule="exact"/>
        <w:rPr>
          <w:rFonts w:hint="eastAsia" w:hAnsi="宋体" w:cs="仿宋_GB2312"/>
          <w:sz w:val="24"/>
        </w:rPr>
      </w:pPr>
      <w:r>
        <w:rPr>
          <w:rFonts w:hint="eastAsia" w:hAnsi="宋体" w:cs="仿宋_GB2312"/>
          <w:sz w:val="24"/>
          <w:szCs w:val="24"/>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4F0582DF">
      <w:pPr>
        <w:spacing w:line="360" w:lineRule="auto"/>
        <w:ind w:firstLine="3840" w:firstLineChars="1600"/>
        <w:rPr>
          <w:rFonts w:hint="eastAsia" w:ascii="宋体" w:hAnsi="宋体" w:cs="仿宋_GB2312"/>
          <w:sz w:val="24"/>
        </w:rPr>
      </w:pPr>
      <w:r>
        <w:rPr>
          <w:rFonts w:hint="eastAsia" w:ascii="仿宋_GB2312" w:hAnsi="仿宋" w:eastAsia="仿宋_GB2312" w:cs="仿宋_GB2312"/>
          <w:kern w:val="0"/>
          <w:sz w:val="24"/>
        </w:rPr>
        <w:t>供应商名称（电子签章）：</w:t>
      </w:r>
    </w:p>
    <w:p w14:paraId="0F59CA12">
      <w:pPr>
        <w:spacing w:line="360" w:lineRule="auto"/>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14:paraId="515B8BDA">
      <w:pPr>
        <w:snapToGrid w:val="0"/>
        <w:spacing w:line="360" w:lineRule="auto"/>
        <w:ind w:firstLine="602" w:firstLineChars="200"/>
        <w:rPr>
          <w:rFonts w:hint="eastAsia" w:ascii="仿宋" w:hAnsi="仿宋" w:eastAsia="仿宋" w:cs="仿宋_GB2312"/>
          <w:b/>
          <w:sz w:val="30"/>
          <w:szCs w:val="30"/>
        </w:rPr>
      </w:pPr>
    </w:p>
    <w:p w14:paraId="24AB087C">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五、竞标人情况介绍</w:t>
      </w:r>
    </w:p>
    <w:p w14:paraId="27CC60F4">
      <w:pPr>
        <w:snapToGrid w:val="0"/>
        <w:spacing w:line="360" w:lineRule="auto"/>
        <w:ind w:firstLine="602" w:firstLineChars="200"/>
        <w:rPr>
          <w:rFonts w:hint="eastAsia" w:ascii="仿宋" w:hAnsi="仿宋" w:eastAsia="仿宋" w:cs="仿宋_GB2312"/>
          <w:b/>
          <w:sz w:val="30"/>
          <w:szCs w:val="30"/>
        </w:rPr>
      </w:pPr>
    </w:p>
    <w:p w14:paraId="563792F9">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0469615C">
      <w:pPr>
        <w:autoSpaceDE w:val="0"/>
        <w:autoSpaceDN w:val="0"/>
        <w:spacing w:line="360" w:lineRule="auto"/>
        <w:ind w:firstLine="6480" w:firstLineChars="270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1130FF56">
      <w:pPr>
        <w:snapToGrid w:val="0"/>
        <w:spacing w:before="120" w:beforeLines="50" w:after="50"/>
        <w:ind w:firstLine="602" w:firstLineChars="200"/>
        <w:rPr>
          <w:rFonts w:hint="eastAsia" w:ascii="仿宋" w:hAnsi="仿宋" w:eastAsia="仿宋" w:cs="仿宋_GB2312"/>
          <w:b/>
          <w:sz w:val="30"/>
          <w:szCs w:val="30"/>
          <w:highlight w:val="none"/>
        </w:rPr>
      </w:pPr>
      <w:r>
        <w:rPr>
          <w:rFonts w:hint="eastAsia" w:ascii="仿宋" w:hAnsi="仿宋" w:eastAsia="仿宋" w:cs="仿宋_GB2312"/>
          <w:b/>
          <w:sz w:val="30"/>
          <w:szCs w:val="30"/>
          <w:highlight w:val="none"/>
        </w:rPr>
        <w:t>六、供应商类似的业绩证明文件</w:t>
      </w:r>
    </w:p>
    <w:p w14:paraId="5607D09D">
      <w:pPr>
        <w:pStyle w:val="17"/>
        <w:snapToGrid w:val="0"/>
        <w:ind w:left="480" w:hanging="480"/>
        <w:rPr>
          <w:rFonts w:hint="eastAsia" w:ascii="宋体" w:hAnsi="宋体"/>
          <w:color w:val="000000"/>
          <w:sz w:val="24"/>
        </w:rPr>
      </w:pPr>
    </w:p>
    <w:tbl>
      <w:tblPr>
        <w:tblStyle w:val="19"/>
        <w:tblpPr w:leftFromText="180" w:rightFromText="180" w:vertAnchor="page" w:horzAnchor="margin" w:tblpXSpec="center" w:tblpY="4783"/>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97"/>
        <w:gridCol w:w="1598"/>
        <w:gridCol w:w="982"/>
        <w:gridCol w:w="982"/>
        <w:gridCol w:w="2583"/>
        <w:gridCol w:w="1599"/>
      </w:tblGrid>
      <w:tr w14:paraId="76A32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669" w:type="pct"/>
            <w:vMerge w:val="restart"/>
            <w:tcBorders>
              <w:top w:val="single" w:color="auto" w:sz="4" w:space="0"/>
              <w:left w:val="single" w:color="auto" w:sz="4" w:space="0"/>
              <w:bottom w:val="single" w:color="auto" w:sz="4" w:space="0"/>
              <w:right w:val="single" w:color="auto" w:sz="4" w:space="0"/>
            </w:tcBorders>
            <w:noWrap w:val="0"/>
            <w:vAlign w:val="center"/>
          </w:tcPr>
          <w:p w14:paraId="12DC6828">
            <w:pPr>
              <w:snapToGrid w:val="0"/>
              <w:spacing w:line="240" w:lineRule="exact"/>
              <w:jc w:val="center"/>
              <w:rPr>
                <w:rFonts w:hint="eastAsia" w:ascii="宋体" w:hAnsi="宋体"/>
                <w:color w:val="000000"/>
                <w:sz w:val="24"/>
              </w:rPr>
            </w:pPr>
            <w:r>
              <w:rPr>
                <w:rFonts w:hint="eastAsia" w:ascii="宋体" w:hAnsi="宋体"/>
                <w:color w:val="000000"/>
                <w:sz w:val="24"/>
              </w:rPr>
              <w:t>采购人名称</w:t>
            </w:r>
          </w:p>
        </w:tc>
        <w:tc>
          <w:tcPr>
            <w:tcW w:w="893" w:type="pct"/>
            <w:vMerge w:val="restart"/>
            <w:tcBorders>
              <w:top w:val="single" w:color="auto" w:sz="4" w:space="0"/>
              <w:left w:val="single" w:color="auto" w:sz="4" w:space="0"/>
              <w:bottom w:val="single" w:color="auto" w:sz="4" w:space="0"/>
              <w:right w:val="single" w:color="auto" w:sz="4" w:space="0"/>
            </w:tcBorders>
            <w:noWrap w:val="0"/>
            <w:vAlign w:val="center"/>
          </w:tcPr>
          <w:p w14:paraId="640ACC62">
            <w:pPr>
              <w:snapToGrid w:val="0"/>
              <w:spacing w:line="240" w:lineRule="exact"/>
              <w:jc w:val="center"/>
              <w:rPr>
                <w:rFonts w:hint="eastAsia" w:ascii="宋体" w:hAnsi="宋体"/>
                <w:color w:val="000000"/>
                <w:sz w:val="24"/>
              </w:rPr>
            </w:pPr>
            <w:r>
              <w:rPr>
                <w:rFonts w:hint="eastAsia" w:ascii="宋体" w:hAnsi="宋体"/>
                <w:color w:val="000000"/>
                <w:sz w:val="24"/>
              </w:rPr>
              <w:t>项目名称</w:t>
            </w:r>
          </w:p>
        </w:tc>
        <w:tc>
          <w:tcPr>
            <w:tcW w:w="549" w:type="pct"/>
            <w:vMerge w:val="restart"/>
            <w:tcBorders>
              <w:top w:val="single" w:color="auto" w:sz="4" w:space="0"/>
              <w:left w:val="single" w:color="auto" w:sz="4" w:space="0"/>
              <w:bottom w:val="single" w:color="auto" w:sz="4" w:space="0"/>
              <w:right w:val="single" w:color="auto" w:sz="4" w:space="0"/>
            </w:tcBorders>
            <w:noWrap w:val="0"/>
            <w:vAlign w:val="center"/>
          </w:tcPr>
          <w:p w14:paraId="673E35ED">
            <w:pPr>
              <w:snapToGrid w:val="0"/>
              <w:spacing w:line="240" w:lineRule="exact"/>
              <w:jc w:val="center"/>
              <w:rPr>
                <w:rFonts w:hint="eastAsia" w:ascii="宋体" w:hAnsi="宋体"/>
                <w:color w:val="000000"/>
                <w:sz w:val="24"/>
              </w:rPr>
            </w:pPr>
            <w:r>
              <w:rPr>
                <w:rFonts w:hint="eastAsia" w:ascii="宋体" w:hAnsi="宋体"/>
                <w:color w:val="000000"/>
                <w:sz w:val="24"/>
              </w:rPr>
              <w:t>合同</w:t>
            </w:r>
          </w:p>
          <w:p w14:paraId="1604F8E6">
            <w:pPr>
              <w:snapToGrid w:val="0"/>
              <w:spacing w:line="240" w:lineRule="exact"/>
              <w:jc w:val="center"/>
              <w:rPr>
                <w:rFonts w:hint="eastAsia" w:ascii="宋体" w:hAnsi="宋体"/>
                <w:color w:val="000000"/>
                <w:sz w:val="24"/>
              </w:rPr>
            </w:pPr>
            <w:r>
              <w:rPr>
                <w:rFonts w:hint="eastAsia" w:ascii="宋体" w:hAnsi="宋体"/>
                <w:color w:val="000000"/>
                <w:sz w:val="24"/>
              </w:rPr>
              <w:t>金额</w:t>
            </w:r>
          </w:p>
          <w:p w14:paraId="3487DED2">
            <w:pPr>
              <w:snapToGrid w:val="0"/>
              <w:spacing w:line="240" w:lineRule="exact"/>
              <w:jc w:val="center"/>
              <w:rPr>
                <w:rFonts w:hint="eastAsia" w:ascii="宋体" w:hAnsi="宋体"/>
                <w:color w:val="000000"/>
                <w:sz w:val="24"/>
              </w:rPr>
            </w:pPr>
            <w:r>
              <w:rPr>
                <w:rFonts w:hint="eastAsia" w:ascii="宋体" w:hAnsi="宋体"/>
                <w:color w:val="000000"/>
                <w:sz w:val="24"/>
              </w:rPr>
              <w:t>（万元）</w:t>
            </w:r>
          </w:p>
        </w:tc>
        <w:tc>
          <w:tcPr>
            <w:tcW w:w="1993" w:type="pct"/>
            <w:gridSpan w:val="2"/>
            <w:tcBorders>
              <w:top w:val="single" w:color="auto" w:sz="4" w:space="0"/>
              <w:left w:val="single" w:color="auto" w:sz="4" w:space="0"/>
              <w:bottom w:val="single" w:color="auto" w:sz="4" w:space="0"/>
              <w:right w:val="single" w:color="auto" w:sz="4" w:space="0"/>
            </w:tcBorders>
            <w:noWrap w:val="0"/>
            <w:vAlign w:val="center"/>
          </w:tcPr>
          <w:p w14:paraId="63C4B51E">
            <w:pPr>
              <w:snapToGrid w:val="0"/>
              <w:spacing w:line="240" w:lineRule="exact"/>
              <w:jc w:val="center"/>
              <w:rPr>
                <w:rFonts w:hint="eastAsia" w:ascii="宋体" w:hAnsi="宋体"/>
                <w:color w:val="000000"/>
                <w:sz w:val="24"/>
              </w:rPr>
            </w:pPr>
            <w:r>
              <w:rPr>
                <w:rFonts w:hint="eastAsia" w:ascii="宋体" w:hAnsi="宋体"/>
                <w:color w:val="000000"/>
                <w:sz w:val="24"/>
              </w:rPr>
              <w:t>附件在响应文件中页码</w:t>
            </w:r>
          </w:p>
        </w:tc>
        <w:tc>
          <w:tcPr>
            <w:tcW w:w="894" w:type="pct"/>
            <w:vMerge w:val="restart"/>
            <w:tcBorders>
              <w:top w:val="single" w:color="auto" w:sz="4" w:space="0"/>
              <w:left w:val="single" w:color="auto" w:sz="4" w:space="0"/>
              <w:bottom w:val="single" w:color="auto" w:sz="4" w:space="0"/>
              <w:right w:val="single" w:color="auto" w:sz="4" w:space="0"/>
            </w:tcBorders>
            <w:noWrap w:val="0"/>
            <w:vAlign w:val="center"/>
          </w:tcPr>
          <w:p w14:paraId="02B44257">
            <w:pPr>
              <w:snapToGrid w:val="0"/>
              <w:spacing w:line="240" w:lineRule="exact"/>
              <w:jc w:val="center"/>
              <w:rPr>
                <w:rFonts w:hint="eastAsia" w:ascii="宋体" w:hAnsi="宋体"/>
                <w:color w:val="000000"/>
                <w:sz w:val="24"/>
              </w:rPr>
            </w:pPr>
            <w:r>
              <w:rPr>
                <w:rFonts w:hint="eastAsia" w:ascii="宋体" w:hAnsi="宋体"/>
                <w:color w:val="000000"/>
                <w:sz w:val="24"/>
              </w:rPr>
              <w:t>采购人联系人及联系电话</w:t>
            </w:r>
          </w:p>
        </w:tc>
      </w:tr>
      <w:tr w14:paraId="4C3B2F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669" w:type="pct"/>
            <w:vMerge w:val="continue"/>
            <w:tcBorders>
              <w:top w:val="single" w:color="auto" w:sz="4" w:space="0"/>
              <w:left w:val="single" w:color="auto" w:sz="4" w:space="0"/>
              <w:bottom w:val="single" w:color="auto" w:sz="4" w:space="0"/>
              <w:right w:val="single" w:color="auto" w:sz="4" w:space="0"/>
            </w:tcBorders>
            <w:noWrap w:val="0"/>
            <w:vAlign w:val="center"/>
          </w:tcPr>
          <w:p w14:paraId="1ADE75FC">
            <w:pPr>
              <w:widowControl/>
              <w:jc w:val="left"/>
              <w:rPr>
                <w:rFonts w:ascii="宋体" w:hAnsi="宋体"/>
                <w:color w:val="000000"/>
                <w:sz w:val="24"/>
              </w:rPr>
            </w:pPr>
          </w:p>
        </w:tc>
        <w:tc>
          <w:tcPr>
            <w:tcW w:w="893" w:type="pct"/>
            <w:vMerge w:val="continue"/>
            <w:tcBorders>
              <w:top w:val="single" w:color="auto" w:sz="4" w:space="0"/>
              <w:left w:val="single" w:color="auto" w:sz="4" w:space="0"/>
              <w:bottom w:val="single" w:color="auto" w:sz="4" w:space="0"/>
              <w:right w:val="single" w:color="auto" w:sz="4" w:space="0"/>
            </w:tcBorders>
            <w:noWrap w:val="0"/>
            <w:vAlign w:val="center"/>
          </w:tcPr>
          <w:p w14:paraId="7AE0F400">
            <w:pPr>
              <w:widowControl/>
              <w:jc w:val="left"/>
              <w:rPr>
                <w:rFonts w:ascii="宋体" w:hAnsi="宋体"/>
                <w:color w:val="000000"/>
                <w:sz w:val="24"/>
              </w:rPr>
            </w:pPr>
          </w:p>
        </w:tc>
        <w:tc>
          <w:tcPr>
            <w:tcW w:w="549" w:type="pct"/>
            <w:vMerge w:val="continue"/>
            <w:tcBorders>
              <w:top w:val="single" w:color="auto" w:sz="4" w:space="0"/>
              <w:left w:val="single" w:color="auto" w:sz="4" w:space="0"/>
              <w:bottom w:val="single" w:color="auto" w:sz="4" w:space="0"/>
              <w:right w:val="single" w:color="auto" w:sz="4" w:space="0"/>
            </w:tcBorders>
            <w:noWrap w:val="0"/>
            <w:vAlign w:val="center"/>
          </w:tcPr>
          <w:p w14:paraId="6863FD6A">
            <w:pPr>
              <w:widowControl/>
              <w:jc w:val="left"/>
              <w:rPr>
                <w:rFonts w:ascii="宋体" w:hAnsi="宋体"/>
                <w:color w:val="000000"/>
                <w:sz w:val="24"/>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27C7F36B">
            <w:pPr>
              <w:snapToGrid w:val="0"/>
              <w:spacing w:line="240" w:lineRule="exact"/>
              <w:jc w:val="center"/>
              <w:rPr>
                <w:rFonts w:hint="eastAsia" w:ascii="宋体" w:hAnsi="宋体"/>
                <w:color w:val="000000"/>
                <w:sz w:val="24"/>
              </w:rPr>
            </w:pPr>
            <w:r>
              <w:rPr>
                <w:rFonts w:hint="eastAsia" w:ascii="宋体" w:hAnsi="宋体"/>
                <w:color w:val="000000"/>
                <w:sz w:val="24"/>
              </w:rPr>
              <w:t>合同</w:t>
            </w:r>
          </w:p>
        </w:tc>
        <w:tc>
          <w:tcPr>
            <w:tcW w:w="1444" w:type="pct"/>
            <w:tcBorders>
              <w:top w:val="single" w:color="auto" w:sz="4" w:space="0"/>
              <w:left w:val="single" w:color="auto" w:sz="4" w:space="0"/>
              <w:bottom w:val="single" w:color="auto" w:sz="4" w:space="0"/>
              <w:right w:val="single" w:color="auto" w:sz="4" w:space="0"/>
            </w:tcBorders>
            <w:noWrap w:val="0"/>
            <w:vAlign w:val="center"/>
          </w:tcPr>
          <w:p w14:paraId="291EF728">
            <w:pPr>
              <w:snapToGrid w:val="0"/>
              <w:spacing w:line="240" w:lineRule="exact"/>
              <w:jc w:val="center"/>
              <w:rPr>
                <w:rFonts w:hint="eastAsia" w:ascii="宋体" w:hAnsi="宋体" w:eastAsia="宋体"/>
                <w:color w:val="000000"/>
                <w:sz w:val="24"/>
                <w:lang w:eastAsia="zh-CN"/>
              </w:rPr>
            </w:pPr>
            <w:r>
              <w:rPr>
                <w:rFonts w:hint="eastAsia" w:ascii="宋体" w:hAnsi="宋体"/>
                <w:color w:val="000000"/>
                <w:sz w:val="24"/>
                <w:lang w:eastAsia="zh-CN"/>
              </w:rPr>
              <w:t>中标通知书</w:t>
            </w:r>
          </w:p>
        </w:tc>
        <w:tc>
          <w:tcPr>
            <w:tcW w:w="894" w:type="pct"/>
            <w:vMerge w:val="continue"/>
            <w:tcBorders>
              <w:top w:val="single" w:color="auto" w:sz="4" w:space="0"/>
              <w:left w:val="single" w:color="auto" w:sz="4" w:space="0"/>
              <w:bottom w:val="single" w:color="auto" w:sz="4" w:space="0"/>
              <w:right w:val="single" w:color="auto" w:sz="4" w:space="0"/>
            </w:tcBorders>
            <w:noWrap w:val="0"/>
            <w:vAlign w:val="center"/>
          </w:tcPr>
          <w:p w14:paraId="70451696">
            <w:pPr>
              <w:widowControl/>
              <w:jc w:val="left"/>
              <w:rPr>
                <w:rFonts w:ascii="宋体" w:hAnsi="宋体"/>
                <w:color w:val="000000"/>
                <w:sz w:val="24"/>
              </w:rPr>
            </w:pPr>
          </w:p>
        </w:tc>
      </w:tr>
      <w:tr w14:paraId="4EC047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669" w:type="pct"/>
            <w:tcBorders>
              <w:top w:val="single" w:color="auto" w:sz="4" w:space="0"/>
              <w:left w:val="single" w:color="auto" w:sz="4" w:space="0"/>
              <w:bottom w:val="single" w:color="auto" w:sz="4" w:space="0"/>
              <w:right w:val="single" w:color="auto" w:sz="4" w:space="0"/>
            </w:tcBorders>
            <w:noWrap w:val="0"/>
            <w:vAlign w:val="top"/>
          </w:tcPr>
          <w:p w14:paraId="540FC01A">
            <w:pPr>
              <w:snapToGrid w:val="0"/>
              <w:spacing w:line="240" w:lineRule="exact"/>
              <w:jc w:val="left"/>
              <w:rPr>
                <w:rFonts w:hint="eastAsia" w:ascii="宋体" w:hAnsi="宋体"/>
                <w:color w:val="000000"/>
                <w:sz w:val="24"/>
              </w:rPr>
            </w:pPr>
          </w:p>
        </w:tc>
        <w:tc>
          <w:tcPr>
            <w:tcW w:w="893" w:type="pct"/>
            <w:tcBorders>
              <w:top w:val="single" w:color="auto" w:sz="4" w:space="0"/>
              <w:left w:val="single" w:color="auto" w:sz="4" w:space="0"/>
              <w:bottom w:val="single" w:color="auto" w:sz="4" w:space="0"/>
              <w:right w:val="single" w:color="auto" w:sz="4" w:space="0"/>
            </w:tcBorders>
            <w:noWrap w:val="0"/>
            <w:vAlign w:val="top"/>
          </w:tcPr>
          <w:p w14:paraId="06A775C6">
            <w:pPr>
              <w:snapToGrid w:val="0"/>
              <w:spacing w:line="240" w:lineRule="exact"/>
              <w:jc w:val="left"/>
              <w:rPr>
                <w:rFonts w:hint="eastAsia" w:ascii="宋体" w:hAnsi="宋体"/>
                <w:color w:val="000000"/>
                <w:sz w:val="24"/>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76F75D48">
            <w:pPr>
              <w:snapToGrid w:val="0"/>
              <w:spacing w:line="240" w:lineRule="exact"/>
              <w:jc w:val="left"/>
              <w:rPr>
                <w:rFonts w:hint="eastAsia" w:ascii="宋体" w:hAnsi="宋体"/>
                <w:color w:val="000000"/>
                <w:sz w:val="24"/>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12427958">
            <w:pPr>
              <w:snapToGrid w:val="0"/>
              <w:spacing w:line="240" w:lineRule="exact"/>
              <w:jc w:val="left"/>
              <w:rPr>
                <w:rFonts w:hint="eastAsia" w:ascii="宋体" w:hAnsi="宋体"/>
                <w:color w:val="000000"/>
                <w:sz w:val="24"/>
              </w:rPr>
            </w:pPr>
          </w:p>
        </w:tc>
        <w:tc>
          <w:tcPr>
            <w:tcW w:w="1444" w:type="pct"/>
            <w:tcBorders>
              <w:top w:val="single" w:color="auto" w:sz="4" w:space="0"/>
              <w:left w:val="single" w:color="auto" w:sz="4" w:space="0"/>
              <w:bottom w:val="single" w:color="auto" w:sz="4" w:space="0"/>
              <w:right w:val="single" w:color="auto" w:sz="4" w:space="0"/>
            </w:tcBorders>
            <w:noWrap w:val="0"/>
            <w:vAlign w:val="top"/>
          </w:tcPr>
          <w:p w14:paraId="7F1523D3">
            <w:pPr>
              <w:snapToGrid w:val="0"/>
              <w:spacing w:line="240" w:lineRule="exact"/>
              <w:jc w:val="left"/>
              <w:rPr>
                <w:rFonts w:hint="eastAsia" w:ascii="宋体" w:hAnsi="宋体"/>
                <w:color w:val="000000"/>
                <w:sz w:val="24"/>
              </w:rPr>
            </w:pPr>
          </w:p>
        </w:tc>
        <w:tc>
          <w:tcPr>
            <w:tcW w:w="894" w:type="pct"/>
            <w:tcBorders>
              <w:top w:val="single" w:color="auto" w:sz="4" w:space="0"/>
              <w:left w:val="single" w:color="auto" w:sz="4" w:space="0"/>
              <w:bottom w:val="single" w:color="auto" w:sz="4" w:space="0"/>
              <w:right w:val="single" w:color="auto" w:sz="4" w:space="0"/>
            </w:tcBorders>
            <w:noWrap w:val="0"/>
            <w:vAlign w:val="top"/>
          </w:tcPr>
          <w:p w14:paraId="4CAA39DA">
            <w:pPr>
              <w:snapToGrid w:val="0"/>
              <w:spacing w:line="240" w:lineRule="exact"/>
              <w:jc w:val="left"/>
              <w:rPr>
                <w:rFonts w:hint="eastAsia" w:ascii="宋体" w:hAnsi="宋体"/>
                <w:color w:val="000000"/>
                <w:sz w:val="24"/>
              </w:rPr>
            </w:pPr>
          </w:p>
        </w:tc>
      </w:tr>
      <w:tr w14:paraId="300D5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9" w:type="pct"/>
            <w:tcBorders>
              <w:top w:val="single" w:color="auto" w:sz="4" w:space="0"/>
              <w:left w:val="single" w:color="auto" w:sz="4" w:space="0"/>
              <w:bottom w:val="single" w:color="auto" w:sz="4" w:space="0"/>
              <w:right w:val="single" w:color="auto" w:sz="4" w:space="0"/>
            </w:tcBorders>
            <w:noWrap w:val="0"/>
            <w:vAlign w:val="top"/>
          </w:tcPr>
          <w:p w14:paraId="1AB2CCDF">
            <w:pPr>
              <w:snapToGrid w:val="0"/>
              <w:spacing w:before="50" w:after="120" w:afterLines="50" w:line="400" w:lineRule="exact"/>
              <w:jc w:val="left"/>
              <w:rPr>
                <w:rFonts w:hint="eastAsia" w:ascii="宋体" w:hAnsi="宋体"/>
                <w:color w:val="000000"/>
                <w:sz w:val="24"/>
              </w:rPr>
            </w:pPr>
          </w:p>
        </w:tc>
        <w:tc>
          <w:tcPr>
            <w:tcW w:w="893" w:type="pct"/>
            <w:tcBorders>
              <w:top w:val="single" w:color="auto" w:sz="4" w:space="0"/>
              <w:left w:val="single" w:color="auto" w:sz="4" w:space="0"/>
              <w:bottom w:val="single" w:color="auto" w:sz="4" w:space="0"/>
              <w:right w:val="single" w:color="auto" w:sz="4" w:space="0"/>
            </w:tcBorders>
            <w:noWrap w:val="0"/>
            <w:vAlign w:val="top"/>
          </w:tcPr>
          <w:p w14:paraId="5987DE3A">
            <w:pPr>
              <w:snapToGrid w:val="0"/>
              <w:spacing w:before="50" w:after="120" w:afterLines="50" w:line="400" w:lineRule="exact"/>
              <w:jc w:val="left"/>
              <w:rPr>
                <w:rFonts w:hint="eastAsia" w:ascii="宋体" w:hAnsi="宋体"/>
                <w:color w:val="000000"/>
                <w:sz w:val="24"/>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430AE57C">
            <w:pPr>
              <w:snapToGrid w:val="0"/>
              <w:spacing w:before="50" w:after="120" w:afterLines="50" w:line="400" w:lineRule="exact"/>
              <w:jc w:val="left"/>
              <w:rPr>
                <w:rFonts w:hint="eastAsia" w:ascii="宋体" w:hAnsi="宋体"/>
                <w:color w:val="000000"/>
                <w:sz w:val="24"/>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48E009FB">
            <w:pPr>
              <w:snapToGrid w:val="0"/>
              <w:spacing w:before="50" w:after="120" w:afterLines="50" w:line="400" w:lineRule="exact"/>
              <w:jc w:val="left"/>
              <w:rPr>
                <w:rFonts w:hint="eastAsia" w:ascii="宋体" w:hAnsi="宋体"/>
                <w:color w:val="000000"/>
                <w:sz w:val="24"/>
              </w:rPr>
            </w:pPr>
          </w:p>
        </w:tc>
        <w:tc>
          <w:tcPr>
            <w:tcW w:w="1444" w:type="pct"/>
            <w:tcBorders>
              <w:top w:val="single" w:color="auto" w:sz="4" w:space="0"/>
              <w:left w:val="single" w:color="auto" w:sz="4" w:space="0"/>
              <w:bottom w:val="single" w:color="auto" w:sz="4" w:space="0"/>
              <w:right w:val="single" w:color="auto" w:sz="4" w:space="0"/>
            </w:tcBorders>
            <w:noWrap w:val="0"/>
            <w:vAlign w:val="top"/>
          </w:tcPr>
          <w:p w14:paraId="57DB0971">
            <w:pPr>
              <w:snapToGrid w:val="0"/>
              <w:spacing w:before="50" w:after="120" w:afterLines="50" w:line="400" w:lineRule="exact"/>
              <w:jc w:val="left"/>
              <w:rPr>
                <w:rFonts w:hint="eastAsia" w:ascii="宋体" w:hAnsi="宋体"/>
                <w:color w:val="000000"/>
                <w:sz w:val="24"/>
              </w:rPr>
            </w:pPr>
          </w:p>
        </w:tc>
        <w:tc>
          <w:tcPr>
            <w:tcW w:w="894" w:type="pct"/>
            <w:tcBorders>
              <w:top w:val="single" w:color="auto" w:sz="4" w:space="0"/>
              <w:left w:val="single" w:color="auto" w:sz="4" w:space="0"/>
              <w:bottom w:val="single" w:color="auto" w:sz="4" w:space="0"/>
              <w:right w:val="single" w:color="auto" w:sz="4" w:space="0"/>
            </w:tcBorders>
            <w:noWrap w:val="0"/>
            <w:vAlign w:val="top"/>
          </w:tcPr>
          <w:p w14:paraId="1735260B">
            <w:pPr>
              <w:snapToGrid w:val="0"/>
              <w:spacing w:before="50" w:after="120" w:afterLines="50" w:line="400" w:lineRule="exact"/>
              <w:jc w:val="left"/>
              <w:rPr>
                <w:rFonts w:hint="eastAsia" w:ascii="宋体" w:hAnsi="宋体"/>
                <w:color w:val="000000"/>
                <w:sz w:val="24"/>
              </w:rPr>
            </w:pPr>
          </w:p>
        </w:tc>
      </w:tr>
      <w:tr w14:paraId="252C6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69" w:type="pct"/>
            <w:tcBorders>
              <w:top w:val="single" w:color="auto" w:sz="4" w:space="0"/>
              <w:left w:val="single" w:color="auto" w:sz="4" w:space="0"/>
              <w:bottom w:val="single" w:color="auto" w:sz="4" w:space="0"/>
              <w:right w:val="single" w:color="auto" w:sz="4" w:space="0"/>
            </w:tcBorders>
            <w:noWrap w:val="0"/>
            <w:vAlign w:val="top"/>
          </w:tcPr>
          <w:p w14:paraId="726EB1F2">
            <w:pPr>
              <w:snapToGrid w:val="0"/>
              <w:spacing w:before="50" w:after="120" w:afterLines="50" w:line="400" w:lineRule="exact"/>
              <w:jc w:val="left"/>
              <w:rPr>
                <w:rFonts w:hint="eastAsia" w:ascii="宋体" w:hAnsi="宋体"/>
                <w:color w:val="000000"/>
                <w:sz w:val="24"/>
              </w:rPr>
            </w:pPr>
          </w:p>
        </w:tc>
        <w:tc>
          <w:tcPr>
            <w:tcW w:w="893" w:type="pct"/>
            <w:tcBorders>
              <w:top w:val="single" w:color="auto" w:sz="4" w:space="0"/>
              <w:left w:val="single" w:color="auto" w:sz="4" w:space="0"/>
              <w:bottom w:val="single" w:color="auto" w:sz="4" w:space="0"/>
              <w:right w:val="single" w:color="auto" w:sz="4" w:space="0"/>
            </w:tcBorders>
            <w:noWrap w:val="0"/>
            <w:vAlign w:val="top"/>
          </w:tcPr>
          <w:p w14:paraId="5A3367F3">
            <w:pPr>
              <w:snapToGrid w:val="0"/>
              <w:spacing w:before="50" w:after="120" w:afterLines="50" w:line="400" w:lineRule="exact"/>
              <w:jc w:val="left"/>
              <w:rPr>
                <w:rFonts w:hint="eastAsia" w:ascii="宋体" w:hAnsi="宋体"/>
                <w:color w:val="000000"/>
                <w:sz w:val="24"/>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57651F67">
            <w:pPr>
              <w:snapToGrid w:val="0"/>
              <w:spacing w:before="50" w:after="120" w:afterLines="50" w:line="400" w:lineRule="exact"/>
              <w:jc w:val="left"/>
              <w:rPr>
                <w:rFonts w:hint="eastAsia" w:ascii="宋体" w:hAnsi="宋体"/>
                <w:color w:val="000000"/>
                <w:sz w:val="24"/>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7939443A">
            <w:pPr>
              <w:snapToGrid w:val="0"/>
              <w:spacing w:before="50" w:after="120" w:afterLines="50" w:line="400" w:lineRule="exact"/>
              <w:jc w:val="left"/>
              <w:rPr>
                <w:rFonts w:hint="eastAsia" w:ascii="宋体" w:hAnsi="宋体"/>
                <w:color w:val="000000"/>
                <w:sz w:val="24"/>
              </w:rPr>
            </w:pPr>
          </w:p>
        </w:tc>
        <w:tc>
          <w:tcPr>
            <w:tcW w:w="1444" w:type="pct"/>
            <w:tcBorders>
              <w:top w:val="single" w:color="auto" w:sz="4" w:space="0"/>
              <w:left w:val="single" w:color="auto" w:sz="4" w:space="0"/>
              <w:bottom w:val="single" w:color="auto" w:sz="4" w:space="0"/>
              <w:right w:val="single" w:color="auto" w:sz="4" w:space="0"/>
            </w:tcBorders>
            <w:noWrap w:val="0"/>
            <w:vAlign w:val="top"/>
          </w:tcPr>
          <w:p w14:paraId="3C986F57">
            <w:pPr>
              <w:snapToGrid w:val="0"/>
              <w:spacing w:before="50" w:after="120" w:afterLines="50" w:line="400" w:lineRule="exact"/>
              <w:jc w:val="left"/>
              <w:rPr>
                <w:rFonts w:hint="eastAsia" w:ascii="宋体" w:hAnsi="宋体"/>
                <w:color w:val="000000"/>
                <w:sz w:val="24"/>
              </w:rPr>
            </w:pPr>
          </w:p>
        </w:tc>
        <w:tc>
          <w:tcPr>
            <w:tcW w:w="894" w:type="pct"/>
            <w:tcBorders>
              <w:top w:val="single" w:color="auto" w:sz="4" w:space="0"/>
              <w:left w:val="single" w:color="auto" w:sz="4" w:space="0"/>
              <w:bottom w:val="single" w:color="auto" w:sz="4" w:space="0"/>
              <w:right w:val="single" w:color="auto" w:sz="4" w:space="0"/>
            </w:tcBorders>
            <w:noWrap w:val="0"/>
            <w:vAlign w:val="top"/>
          </w:tcPr>
          <w:p w14:paraId="2D73692E">
            <w:pPr>
              <w:snapToGrid w:val="0"/>
              <w:spacing w:before="50" w:after="120" w:afterLines="50" w:line="400" w:lineRule="exact"/>
              <w:jc w:val="left"/>
              <w:rPr>
                <w:rFonts w:hint="eastAsia" w:ascii="宋体" w:hAnsi="宋体"/>
                <w:color w:val="000000"/>
                <w:sz w:val="24"/>
              </w:rPr>
            </w:pPr>
          </w:p>
        </w:tc>
      </w:tr>
      <w:tr w14:paraId="1EFE3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9" w:type="pct"/>
            <w:tcBorders>
              <w:top w:val="single" w:color="auto" w:sz="4" w:space="0"/>
              <w:left w:val="single" w:color="auto" w:sz="4" w:space="0"/>
              <w:bottom w:val="single" w:color="auto" w:sz="4" w:space="0"/>
              <w:right w:val="single" w:color="auto" w:sz="4" w:space="0"/>
            </w:tcBorders>
            <w:noWrap w:val="0"/>
            <w:vAlign w:val="top"/>
          </w:tcPr>
          <w:p w14:paraId="1C571916">
            <w:pPr>
              <w:snapToGrid w:val="0"/>
              <w:spacing w:before="50" w:after="120" w:afterLines="50" w:line="400" w:lineRule="exact"/>
              <w:jc w:val="left"/>
              <w:rPr>
                <w:rFonts w:hint="eastAsia" w:ascii="宋体" w:hAnsi="宋体"/>
                <w:color w:val="000000"/>
                <w:sz w:val="24"/>
              </w:rPr>
            </w:pPr>
          </w:p>
        </w:tc>
        <w:tc>
          <w:tcPr>
            <w:tcW w:w="893" w:type="pct"/>
            <w:tcBorders>
              <w:top w:val="single" w:color="auto" w:sz="4" w:space="0"/>
              <w:left w:val="single" w:color="auto" w:sz="4" w:space="0"/>
              <w:bottom w:val="single" w:color="auto" w:sz="4" w:space="0"/>
              <w:right w:val="single" w:color="auto" w:sz="4" w:space="0"/>
            </w:tcBorders>
            <w:noWrap w:val="0"/>
            <w:vAlign w:val="top"/>
          </w:tcPr>
          <w:p w14:paraId="45248BF5">
            <w:pPr>
              <w:snapToGrid w:val="0"/>
              <w:spacing w:before="50" w:after="120" w:afterLines="50" w:line="400" w:lineRule="exact"/>
              <w:jc w:val="left"/>
              <w:rPr>
                <w:rFonts w:hint="eastAsia" w:ascii="宋体" w:hAnsi="宋体"/>
                <w:color w:val="000000"/>
                <w:sz w:val="24"/>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713A7C93">
            <w:pPr>
              <w:snapToGrid w:val="0"/>
              <w:spacing w:before="50" w:after="120" w:afterLines="50" w:line="400" w:lineRule="exact"/>
              <w:jc w:val="left"/>
              <w:rPr>
                <w:rFonts w:hint="eastAsia" w:ascii="宋体" w:hAnsi="宋体"/>
                <w:color w:val="000000"/>
                <w:sz w:val="24"/>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021A0453">
            <w:pPr>
              <w:snapToGrid w:val="0"/>
              <w:spacing w:before="50" w:after="120" w:afterLines="50" w:line="400" w:lineRule="exact"/>
              <w:jc w:val="left"/>
              <w:rPr>
                <w:rFonts w:hint="eastAsia" w:ascii="宋体" w:hAnsi="宋体"/>
                <w:color w:val="000000"/>
                <w:sz w:val="24"/>
              </w:rPr>
            </w:pPr>
          </w:p>
        </w:tc>
        <w:tc>
          <w:tcPr>
            <w:tcW w:w="1444" w:type="pct"/>
            <w:tcBorders>
              <w:top w:val="single" w:color="auto" w:sz="4" w:space="0"/>
              <w:left w:val="single" w:color="auto" w:sz="4" w:space="0"/>
              <w:bottom w:val="single" w:color="auto" w:sz="4" w:space="0"/>
              <w:right w:val="single" w:color="auto" w:sz="4" w:space="0"/>
            </w:tcBorders>
            <w:noWrap w:val="0"/>
            <w:vAlign w:val="top"/>
          </w:tcPr>
          <w:p w14:paraId="7D58F431">
            <w:pPr>
              <w:snapToGrid w:val="0"/>
              <w:spacing w:before="50" w:after="120" w:afterLines="50" w:line="400" w:lineRule="exact"/>
              <w:jc w:val="left"/>
              <w:rPr>
                <w:rFonts w:hint="eastAsia" w:ascii="宋体" w:hAnsi="宋体"/>
                <w:color w:val="000000"/>
                <w:sz w:val="24"/>
              </w:rPr>
            </w:pPr>
          </w:p>
        </w:tc>
        <w:tc>
          <w:tcPr>
            <w:tcW w:w="894" w:type="pct"/>
            <w:tcBorders>
              <w:top w:val="single" w:color="auto" w:sz="4" w:space="0"/>
              <w:left w:val="single" w:color="auto" w:sz="4" w:space="0"/>
              <w:bottom w:val="single" w:color="auto" w:sz="4" w:space="0"/>
              <w:right w:val="single" w:color="auto" w:sz="4" w:space="0"/>
            </w:tcBorders>
            <w:noWrap w:val="0"/>
            <w:vAlign w:val="top"/>
          </w:tcPr>
          <w:p w14:paraId="10F55733">
            <w:pPr>
              <w:snapToGrid w:val="0"/>
              <w:spacing w:before="50" w:after="120" w:afterLines="50" w:line="400" w:lineRule="exact"/>
              <w:jc w:val="left"/>
              <w:rPr>
                <w:rFonts w:hint="eastAsia" w:ascii="宋体" w:hAnsi="宋体"/>
                <w:color w:val="000000"/>
                <w:sz w:val="24"/>
              </w:rPr>
            </w:pPr>
          </w:p>
        </w:tc>
      </w:tr>
      <w:tr w14:paraId="70B833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9" w:type="pct"/>
            <w:tcBorders>
              <w:top w:val="single" w:color="auto" w:sz="4" w:space="0"/>
              <w:left w:val="single" w:color="auto" w:sz="4" w:space="0"/>
              <w:bottom w:val="single" w:color="auto" w:sz="4" w:space="0"/>
              <w:right w:val="single" w:color="auto" w:sz="4" w:space="0"/>
            </w:tcBorders>
            <w:noWrap w:val="0"/>
            <w:vAlign w:val="top"/>
          </w:tcPr>
          <w:p w14:paraId="42ACB6DE">
            <w:pPr>
              <w:snapToGrid w:val="0"/>
              <w:spacing w:before="50" w:after="120" w:afterLines="50" w:line="400" w:lineRule="exact"/>
              <w:jc w:val="left"/>
              <w:rPr>
                <w:rFonts w:hint="eastAsia" w:ascii="宋体" w:hAnsi="宋体"/>
                <w:color w:val="000000"/>
                <w:sz w:val="24"/>
              </w:rPr>
            </w:pPr>
          </w:p>
        </w:tc>
        <w:tc>
          <w:tcPr>
            <w:tcW w:w="893" w:type="pct"/>
            <w:tcBorders>
              <w:top w:val="single" w:color="auto" w:sz="4" w:space="0"/>
              <w:left w:val="single" w:color="auto" w:sz="4" w:space="0"/>
              <w:bottom w:val="single" w:color="auto" w:sz="4" w:space="0"/>
              <w:right w:val="single" w:color="auto" w:sz="4" w:space="0"/>
            </w:tcBorders>
            <w:noWrap w:val="0"/>
            <w:vAlign w:val="top"/>
          </w:tcPr>
          <w:p w14:paraId="5B8E407A">
            <w:pPr>
              <w:snapToGrid w:val="0"/>
              <w:spacing w:before="50" w:after="120" w:afterLines="50" w:line="400" w:lineRule="exact"/>
              <w:jc w:val="left"/>
              <w:rPr>
                <w:rFonts w:hint="eastAsia" w:ascii="宋体" w:hAnsi="宋体"/>
                <w:color w:val="000000"/>
                <w:sz w:val="24"/>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068B33F7">
            <w:pPr>
              <w:snapToGrid w:val="0"/>
              <w:spacing w:before="50" w:after="120" w:afterLines="50" w:line="400" w:lineRule="exact"/>
              <w:jc w:val="left"/>
              <w:rPr>
                <w:rFonts w:hint="eastAsia" w:ascii="宋体" w:hAnsi="宋体"/>
                <w:color w:val="000000"/>
                <w:sz w:val="24"/>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2E02D8F9">
            <w:pPr>
              <w:snapToGrid w:val="0"/>
              <w:spacing w:before="50" w:after="120" w:afterLines="50" w:line="400" w:lineRule="exact"/>
              <w:jc w:val="left"/>
              <w:rPr>
                <w:rFonts w:hint="eastAsia" w:ascii="宋体" w:hAnsi="宋体"/>
                <w:color w:val="000000"/>
                <w:sz w:val="24"/>
              </w:rPr>
            </w:pPr>
          </w:p>
        </w:tc>
        <w:tc>
          <w:tcPr>
            <w:tcW w:w="1444" w:type="pct"/>
            <w:tcBorders>
              <w:top w:val="single" w:color="auto" w:sz="4" w:space="0"/>
              <w:left w:val="single" w:color="auto" w:sz="4" w:space="0"/>
              <w:bottom w:val="single" w:color="auto" w:sz="4" w:space="0"/>
              <w:right w:val="single" w:color="auto" w:sz="4" w:space="0"/>
            </w:tcBorders>
            <w:noWrap w:val="0"/>
            <w:vAlign w:val="top"/>
          </w:tcPr>
          <w:p w14:paraId="41818D3F">
            <w:pPr>
              <w:snapToGrid w:val="0"/>
              <w:spacing w:before="50" w:after="120" w:afterLines="50" w:line="400" w:lineRule="exact"/>
              <w:jc w:val="left"/>
              <w:rPr>
                <w:rFonts w:hint="eastAsia" w:ascii="宋体" w:hAnsi="宋体"/>
                <w:color w:val="000000"/>
                <w:sz w:val="24"/>
              </w:rPr>
            </w:pPr>
          </w:p>
        </w:tc>
        <w:tc>
          <w:tcPr>
            <w:tcW w:w="894" w:type="pct"/>
            <w:tcBorders>
              <w:top w:val="single" w:color="auto" w:sz="4" w:space="0"/>
              <w:left w:val="single" w:color="auto" w:sz="4" w:space="0"/>
              <w:bottom w:val="single" w:color="auto" w:sz="4" w:space="0"/>
              <w:right w:val="single" w:color="auto" w:sz="4" w:space="0"/>
            </w:tcBorders>
            <w:noWrap w:val="0"/>
            <w:vAlign w:val="top"/>
          </w:tcPr>
          <w:p w14:paraId="75FA03B0">
            <w:pPr>
              <w:snapToGrid w:val="0"/>
              <w:spacing w:before="50" w:after="120" w:afterLines="50" w:line="400" w:lineRule="exact"/>
              <w:jc w:val="left"/>
              <w:rPr>
                <w:rFonts w:hint="eastAsia" w:ascii="宋体" w:hAnsi="宋体"/>
                <w:color w:val="000000"/>
                <w:sz w:val="24"/>
              </w:rPr>
            </w:pPr>
          </w:p>
        </w:tc>
      </w:tr>
    </w:tbl>
    <w:p w14:paraId="254C02DE">
      <w:pPr>
        <w:pStyle w:val="17"/>
        <w:snapToGrid w:val="0"/>
        <w:ind w:left="480" w:hanging="480"/>
        <w:rPr>
          <w:rFonts w:hint="eastAsia" w:ascii="宋体" w:hAnsi="宋体"/>
          <w:color w:val="000000"/>
          <w:sz w:val="24"/>
        </w:rPr>
      </w:pPr>
    </w:p>
    <w:p w14:paraId="65015F1A">
      <w:pPr>
        <w:pStyle w:val="17"/>
        <w:snapToGrid w:val="0"/>
        <w:ind w:left="480" w:hanging="480"/>
        <w:rPr>
          <w:rFonts w:hint="eastAsia" w:ascii="宋体" w:hAnsi="宋体"/>
          <w:color w:val="000000"/>
          <w:sz w:val="24"/>
        </w:rPr>
      </w:pPr>
    </w:p>
    <w:p w14:paraId="4D6FCF93">
      <w:pPr>
        <w:autoSpaceDE w:val="0"/>
        <w:autoSpaceDN w:val="0"/>
        <w:spacing w:line="360" w:lineRule="auto"/>
        <w:ind w:firstLine="120"/>
        <w:rPr>
          <w:rFonts w:hint="eastAsia" w:ascii="宋体" w:hAnsi="宋体"/>
          <w:color w:val="000000"/>
          <w:sz w:val="24"/>
        </w:rPr>
      </w:pPr>
      <w:r>
        <w:rPr>
          <w:rFonts w:hint="eastAsia" w:ascii="仿宋_GB2312" w:hAnsi="仿宋" w:eastAsia="仿宋_GB2312" w:cs="仿宋_GB2312"/>
          <w:b/>
          <w:sz w:val="24"/>
        </w:rPr>
        <w:t>附表 :相关项目业绩一览表（供应商同类项目合同复印件、</w:t>
      </w:r>
      <w:r>
        <w:rPr>
          <w:rFonts w:hint="eastAsia" w:ascii="仿宋_GB2312" w:hAnsi="仿宋" w:eastAsia="仿宋_GB2312" w:cs="仿宋_GB2312"/>
          <w:b/>
          <w:sz w:val="24"/>
          <w:lang w:eastAsia="zh-CN"/>
        </w:rPr>
        <w:t>中标通知书</w:t>
      </w:r>
      <w:r>
        <w:rPr>
          <w:rFonts w:hint="eastAsia" w:ascii="仿宋_GB2312" w:hAnsi="仿宋" w:eastAsia="仿宋_GB2312" w:cs="仿宋_GB2312"/>
          <w:b/>
          <w:sz w:val="24"/>
        </w:rPr>
        <w:t>格式自拟）</w:t>
      </w:r>
    </w:p>
    <w:p w14:paraId="6022ADEE">
      <w:pPr>
        <w:pStyle w:val="13"/>
        <w:spacing w:line="360" w:lineRule="auto"/>
        <w:ind w:left="72"/>
        <w:rPr>
          <w:rFonts w:hint="eastAsia" w:ascii="Times New Roman" w:hAnsi="Times New Roman"/>
        </w:rPr>
      </w:pPr>
      <w:r>
        <w:rPr>
          <w:rFonts w:hint="eastAsia" w:ascii="Times New Roman" w:hAnsi="Times New Roman"/>
        </w:rPr>
        <w:t>注：供应商可按上述的格式自行编制，须随表提交相应的合同复印件和</w:t>
      </w:r>
      <w:r>
        <w:rPr>
          <w:rFonts w:hint="eastAsia" w:ascii="Times New Roman" w:hAnsi="Times New Roman"/>
          <w:lang w:eastAsia="zh-CN"/>
        </w:rPr>
        <w:t>中标通知书</w:t>
      </w:r>
      <w:r>
        <w:rPr>
          <w:rFonts w:hint="eastAsia" w:ascii="Times New Roman" w:hAnsi="Times New Roman"/>
        </w:rPr>
        <w:t>并注明所在供应商商务技术文件页码。</w:t>
      </w:r>
    </w:p>
    <w:p w14:paraId="1585C47C">
      <w:pPr>
        <w:snapToGrid w:val="0"/>
        <w:spacing w:line="360" w:lineRule="auto"/>
        <w:ind w:firstLine="4935" w:firstLineChars="2350"/>
        <w:rPr>
          <w:rFonts w:hAnsi="宋体"/>
          <w:color w:val="000000"/>
          <w:szCs w:val="21"/>
        </w:rPr>
      </w:pPr>
      <w:r>
        <w:rPr>
          <w:rFonts w:hAnsi="宋体"/>
          <w:color w:val="000000"/>
          <w:szCs w:val="21"/>
        </w:rPr>
        <w:t xml:space="preserve"> </w:t>
      </w:r>
    </w:p>
    <w:p w14:paraId="5D027E22">
      <w:pPr>
        <w:snapToGrid w:val="0"/>
        <w:spacing w:line="360" w:lineRule="auto"/>
        <w:ind w:firstLine="4935" w:firstLineChars="2350"/>
        <w:rPr>
          <w:rFonts w:hAnsi="宋体"/>
          <w:color w:val="000000"/>
          <w:szCs w:val="21"/>
        </w:rPr>
      </w:pPr>
    </w:p>
    <w:p w14:paraId="40083219">
      <w:pPr>
        <w:snapToGrid w:val="0"/>
        <w:spacing w:line="360" w:lineRule="auto"/>
        <w:ind w:left="4410" w:leftChars="2100" w:firstLine="5670" w:firstLineChars="2700"/>
        <w:rPr>
          <w:rFonts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供应商名称(电子签章)：</w:t>
      </w:r>
    </w:p>
    <w:p w14:paraId="07360FE3">
      <w:pPr>
        <w:spacing w:line="500" w:lineRule="exact"/>
        <w:jc w:val="center"/>
        <w:rPr>
          <w:rFonts w:hint="eastAsia" w:ascii="仿宋_GB2312" w:hAnsi="仿宋_GB2312" w:eastAsia="仿宋_GB2312" w:cs="仿宋_GB2312"/>
          <w:sz w:val="32"/>
          <w:szCs w:val="32"/>
        </w:rPr>
      </w:pPr>
      <w:r>
        <w:rPr>
          <w:rFonts w:hint="eastAsia" w:ascii="仿宋_GB2312" w:hAnsi="仿宋" w:eastAsia="仿宋_GB2312" w:cs="仿宋_GB2312"/>
          <w:kern w:val="0"/>
          <w:sz w:val="24"/>
          <w:lang w:val="zh-CN"/>
        </w:rPr>
        <w:t xml:space="preserve">                                                     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44B80712">
      <w:pPr>
        <w:widowControl/>
        <w:jc w:val="left"/>
        <w:rPr>
          <w:rFonts w:ascii="仿宋_GB2312" w:hAnsi="仿宋_GB2312" w:eastAsia="仿宋_GB2312" w:cs="仿宋_GB2312"/>
          <w:sz w:val="32"/>
          <w:szCs w:val="32"/>
        </w:rPr>
      </w:pPr>
    </w:p>
    <w:p w14:paraId="07426509">
      <w:pPr>
        <w:widowControl/>
        <w:jc w:val="left"/>
        <w:rPr>
          <w:rFonts w:ascii="仿宋_GB2312" w:hAnsi="仿宋_GB2312" w:eastAsia="仿宋_GB2312" w:cs="仿宋_GB2312"/>
          <w:sz w:val="32"/>
          <w:szCs w:val="32"/>
        </w:rPr>
      </w:pPr>
    </w:p>
    <w:p w14:paraId="530B88AC">
      <w:pPr>
        <w:snapToGrid w:val="0"/>
        <w:spacing w:line="360" w:lineRule="auto"/>
        <w:ind w:firstLine="640" w:firstLineChars="200"/>
        <w:rPr>
          <w:rFonts w:hint="eastAsia" w:ascii="仿宋_GB2312" w:hAnsi="仿宋_GB2312" w:eastAsia="仿宋_GB2312" w:cs="仿宋_GB2312"/>
          <w:sz w:val="32"/>
          <w:szCs w:val="32"/>
          <w:lang w:eastAsia="zh-CN"/>
        </w:rPr>
      </w:pPr>
    </w:p>
    <w:p w14:paraId="12355815">
      <w:pPr>
        <w:snapToGrid w:val="0"/>
        <w:spacing w:line="360" w:lineRule="auto"/>
        <w:ind w:firstLine="640" w:firstLineChars="200"/>
        <w:rPr>
          <w:rFonts w:hint="eastAsia" w:ascii="仿宋_GB2312" w:hAnsi="仿宋_GB2312" w:eastAsia="仿宋_GB2312" w:cs="仿宋_GB2312"/>
          <w:sz w:val="32"/>
          <w:szCs w:val="32"/>
          <w:lang w:eastAsia="zh-CN"/>
        </w:rPr>
      </w:pPr>
    </w:p>
    <w:p w14:paraId="16A79DFC">
      <w:pPr>
        <w:snapToGrid w:val="0"/>
        <w:spacing w:line="360" w:lineRule="auto"/>
        <w:ind w:firstLine="640" w:firstLineChars="200"/>
        <w:rPr>
          <w:rFonts w:hint="eastAsia" w:ascii="仿宋_GB2312" w:hAnsi="仿宋_GB2312" w:eastAsia="仿宋_GB2312" w:cs="仿宋_GB2312"/>
          <w:sz w:val="32"/>
          <w:szCs w:val="32"/>
          <w:lang w:eastAsia="zh-CN"/>
        </w:rPr>
      </w:pPr>
    </w:p>
    <w:p w14:paraId="7D0E6E13">
      <w:pPr>
        <w:snapToGrid w:val="0"/>
        <w:spacing w:line="360" w:lineRule="auto"/>
        <w:ind w:firstLine="643" w:firstLineChars="200"/>
        <w:rPr>
          <w:rFonts w:hint="eastAsia" w:ascii="仿宋" w:hAnsi="仿宋" w:eastAsia="仿宋" w:cs="仿宋_GB2312"/>
          <w:b/>
          <w:sz w:val="30"/>
          <w:szCs w:val="30"/>
        </w:rPr>
      </w:pPr>
      <w:r>
        <w:rPr>
          <w:rFonts w:hint="eastAsia" w:ascii="仿宋_GB2312" w:hAnsi="仿宋_GB2312" w:eastAsia="仿宋_GB2312" w:cs="仿宋_GB2312"/>
          <w:b/>
          <w:bCs/>
          <w:sz w:val="32"/>
          <w:szCs w:val="32"/>
          <w:lang w:eastAsia="zh-CN"/>
        </w:rPr>
        <w:t>七、</w:t>
      </w:r>
      <w:r>
        <w:rPr>
          <w:rFonts w:hint="eastAsia" w:ascii="仿宋" w:hAnsi="仿宋" w:eastAsia="仿宋" w:cs="仿宋_GB2312"/>
          <w:b/>
          <w:sz w:val="30"/>
          <w:szCs w:val="30"/>
        </w:rPr>
        <w:t>项目实施人员一览表</w:t>
      </w:r>
    </w:p>
    <w:p w14:paraId="5C277A46">
      <w:pPr>
        <w:spacing w:line="360" w:lineRule="auto"/>
        <w:jc w:val="center"/>
        <w:rPr>
          <w:rFonts w:hint="eastAsia" w:ascii="仿宋_GB2312" w:hAnsi="仿宋" w:eastAsia="仿宋_GB2312" w:cs="仿宋_GB2312"/>
          <w:b/>
          <w:bCs/>
          <w:sz w:val="24"/>
        </w:rPr>
      </w:pPr>
      <w:r>
        <w:rPr>
          <w:rFonts w:hint="eastAsia" w:ascii="仿宋_GB2312" w:hAnsi="仿宋" w:eastAsia="仿宋_GB2312" w:cs="仿宋_GB2312"/>
          <w:sz w:val="24"/>
        </w:rPr>
        <w:t>（由供应商根据采购需求及采购文件要求编制）</w:t>
      </w:r>
    </w:p>
    <w:p w14:paraId="4E7FE24D">
      <w:pPr>
        <w:pStyle w:val="13"/>
        <w:rPr>
          <w:rFonts w:hint="eastAsia"/>
          <w:color w:val="000000"/>
          <w:sz w:val="24"/>
          <w:szCs w:val="24"/>
        </w:rPr>
      </w:pPr>
      <w:r>
        <w:rPr>
          <w:rFonts w:hint="eastAsia"/>
          <w:color w:val="000000"/>
          <w:sz w:val="24"/>
          <w:szCs w:val="24"/>
        </w:rPr>
        <w:t>响应分标：</w:t>
      </w:r>
      <w:r>
        <w:rPr>
          <w:rFonts w:hint="eastAsia"/>
          <w:color w:val="000000"/>
          <w:sz w:val="24"/>
          <w:szCs w:val="24"/>
          <w:u w:val="single"/>
        </w:rPr>
        <w:t xml:space="preserve">     </w:t>
      </w:r>
      <w:r>
        <w:rPr>
          <w:rFonts w:hint="eastAsia"/>
          <w:color w:val="000000"/>
          <w:sz w:val="24"/>
          <w:szCs w:val="24"/>
        </w:rPr>
        <w:t>分标</w:t>
      </w:r>
    </w:p>
    <w:p w14:paraId="058892F1">
      <w:pPr>
        <w:keepNext/>
        <w:autoSpaceDE w:val="0"/>
        <w:autoSpaceDN w:val="0"/>
        <w:spacing w:line="360" w:lineRule="auto"/>
        <w:ind w:firstLine="477"/>
        <w:rPr>
          <w:rFonts w:hint="eastAsia" w:ascii="仿宋_GB2312" w:hAnsi="仿宋" w:eastAsia="仿宋_GB2312" w:cs="仿宋_GB2312"/>
          <w:b/>
          <w:sz w:val="24"/>
          <w:highlight w:val="none"/>
        </w:rPr>
      </w:pPr>
      <w:r>
        <w:rPr>
          <w:rFonts w:hint="eastAsia" w:ascii="仿宋_GB2312" w:hAnsi="仿宋" w:eastAsia="仿宋_GB2312" w:cs="仿宋_GB2312"/>
          <w:b/>
          <w:sz w:val="24"/>
          <w:highlight w:val="none"/>
        </w:rPr>
        <w:t>附表A:本项目的项目经理情况表</w:t>
      </w:r>
    </w:p>
    <w:tbl>
      <w:tblPr>
        <w:tblStyle w:val="19"/>
        <w:tblW w:w="0" w:type="auto"/>
        <w:tblInd w:w="116" w:type="dxa"/>
        <w:tblLayout w:type="fixed"/>
        <w:tblCellMar>
          <w:top w:w="0" w:type="dxa"/>
          <w:left w:w="108" w:type="dxa"/>
          <w:bottom w:w="0" w:type="dxa"/>
          <w:right w:w="108" w:type="dxa"/>
        </w:tblCellMar>
      </w:tblPr>
      <w:tblGrid>
        <w:gridCol w:w="2061"/>
        <w:gridCol w:w="1287"/>
        <w:gridCol w:w="1260"/>
        <w:gridCol w:w="4147"/>
      </w:tblGrid>
      <w:tr w14:paraId="58A81EA7">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3116C79">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4B4E0EB3">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6CF4D93">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5936BD08">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响应截止时间前三年业绩及承担的主要工作情况，曾担任项目经理的项目应列明细</w:t>
            </w:r>
          </w:p>
        </w:tc>
      </w:tr>
      <w:tr w14:paraId="52A0849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2367EDE">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1A359CC">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D897340">
            <w:pPr>
              <w:autoSpaceDE w:val="0"/>
              <w:autoSpaceDN w:val="0"/>
              <w:spacing w:line="360" w:lineRule="auto"/>
              <w:jc w:val="center"/>
              <w:rPr>
                <w:rFonts w:hint="eastAsia" w:ascii="仿宋_GB2312" w:hAnsi="仿宋" w:eastAsia="仿宋_GB2312" w:cs="仿宋_GB2312"/>
                <w:sz w:val="24"/>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74428B04">
            <w:pPr>
              <w:autoSpaceDE w:val="0"/>
              <w:autoSpaceDN w:val="0"/>
              <w:spacing w:line="360" w:lineRule="auto"/>
              <w:jc w:val="center"/>
              <w:rPr>
                <w:rFonts w:hint="eastAsia" w:ascii="仿宋_GB2312" w:hAnsi="仿宋" w:eastAsia="仿宋_GB2312" w:cs="仿宋_GB2312"/>
                <w:sz w:val="24"/>
              </w:rPr>
            </w:pPr>
          </w:p>
        </w:tc>
      </w:tr>
      <w:tr w14:paraId="0B909F27">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1CE6361">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03F71C58">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BC3F186">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61DDB09">
            <w:pPr>
              <w:widowControl/>
              <w:jc w:val="left"/>
              <w:rPr>
                <w:rFonts w:ascii="仿宋_GB2312" w:hAnsi="仿宋" w:eastAsia="仿宋_GB2312" w:cs="仿宋_GB2312"/>
                <w:sz w:val="24"/>
              </w:rPr>
            </w:pPr>
          </w:p>
        </w:tc>
      </w:tr>
      <w:tr w14:paraId="22A53235">
        <w:trPr>
          <w:cantSplit/>
          <w:trHeight w:val="511"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32B36A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5264561">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6E5ED0E">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0341E75">
            <w:pPr>
              <w:widowControl/>
              <w:jc w:val="left"/>
              <w:rPr>
                <w:rFonts w:ascii="仿宋_GB2312" w:hAnsi="仿宋" w:eastAsia="仿宋_GB2312" w:cs="仿宋_GB2312"/>
                <w:sz w:val="24"/>
              </w:rPr>
            </w:pPr>
          </w:p>
        </w:tc>
      </w:tr>
      <w:tr w14:paraId="4FA1DE4D">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F1028F4">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5CF0A8F">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5E0ADF5">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E885B75">
            <w:pPr>
              <w:widowControl/>
              <w:jc w:val="left"/>
              <w:rPr>
                <w:rFonts w:ascii="仿宋_GB2312" w:hAnsi="仿宋" w:eastAsia="仿宋_GB2312" w:cs="仿宋_GB2312"/>
                <w:sz w:val="24"/>
              </w:rPr>
            </w:pPr>
          </w:p>
        </w:tc>
      </w:tr>
      <w:tr w14:paraId="66CC1D03">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8CFB383">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D277E74">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839AC9E">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5545BD9">
            <w:pPr>
              <w:widowControl/>
              <w:jc w:val="left"/>
              <w:rPr>
                <w:rFonts w:ascii="仿宋_GB2312" w:hAnsi="仿宋" w:eastAsia="仿宋_GB2312" w:cs="仿宋_GB2312"/>
                <w:sz w:val="24"/>
              </w:rPr>
            </w:pPr>
          </w:p>
        </w:tc>
      </w:tr>
      <w:tr w14:paraId="532E11FE">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AF83F9D">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1F61743">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8F61647">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5B9B762">
            <w:pPr>
              <w:widowControl/>
              <w:jc w:val="left"/>
              <w:rPr>
                <w:rFonts w:ascii="仿宋_GB2312" w:hAnsi="仿宋" w:eastAsia="仿宋_GB2312" w:cs="仿宋_GB2312"/>
                <w:sz w:val="24"/>
              </w:rPr>
            </w:pPr>
          </w:p>
        </w:tc>
      </w:tr>
      <w:tr w14:paraId="7770A885">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87DDEFA">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D5442E7">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E004261">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1448EF0">
            <w:pPr>
              <w:widowControl/>
              <w:jc w:val="left"/>
              <w:rPr>
                <w:rFonts w:ascii="仿宋_GB2312" w:hAnsi="仿宋" w:eastAsia="仿宋_GB2312" w:cs="仿宋_GB2312"/>
                <w:sz w:val="24"/>
              </w:rPr>
            </w:pPr>
          </w:p>
        </w:tc>
      </w:tr>
      <w:tr w14:paraId="11E753EC">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40C6193">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0EAC87">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675B944">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E69B79">
            <w:pPr>
              <w:widowControl/>
              <w:jc w:val="left"/>
              <w:rPr>
                <w:rFonts w:ascii="仿宋_GB2312" w:hAnsi="仿宋" w:eastAsia="仿宋_GB2312" w:cs="仿宋_GB2312"/>
                <w:sz w:val="24"/>
              </w:rPr>
            </w:pPr>
          </w:p>
        </w:tc>
      </w:tr>
      <w:tr w14:paraId="006DB924">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865A0FE">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5AC9890">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9F1B26A">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B976A06">
            <w:pPr>
              <w:widowControl/>
              <w:jc w:val="left"/>
              <w:rPr>
                <w:rFonts w:ascii="仿宋_GB2312" w:hAnsi="仿宋" w:eastAsia="仿宋_GB2312" w:cs="仿宋_GB2312"/>
                <w:sz w:val="24"/>
              </w:rPr>
            </w:pPr>
          </w:p>
        </w:tc>
      </w:tr>
    </w:tbl>
    <w:p w14:paraId="3B49EAFC">
      <w:pPr>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注：须随表提交相应的证书复印件</w:t>
      </w:r>
      <w:r>
        <w:rPr>
          <w:rFonts w:hint="eastAsia" w:ascii="仿宋_GB2312" w:hAnsi="仿宋" w:eastAsia="仿宋_GB2312" w:cs="仿宋_GB2312"/>
          <w:b/>
          <w:sz w:val="24"/>
          <w:lang w:eastAsia="zh-CN"/>
        </w:rPr>
        <w:t>及</w:t>
      </w:r>
      <w:r>
        <w:rPr>
          <w:rFonts w:hint="eastAsia" w:asciiTheme="minorEastAsia" w:hAnsiTheme="minorEastAsia" w:eastAsiaTheme="minorEastAsia" w:cstheme="minorEastAsia"/>
          <w:b w:val="0"/>
          <w:bCs/>
          <w:color w:val="auto"/>
          <w:kern w:val="0"/>
          <w:sz w:val="21"/>
          <w:szCs w:val="21"/>
          <w:highlight w:val="none"/>
        </w:rPr>
        <w:t>人员身份证</w:t>
      </w:r>
      <w:r>
        <w:rPr>
          <w:rFonts w:hint="eastAsia" w:asciiTheme="minorEastAsia" w:hAnsiTheme="minorEastAsia" w:eastAsiaTheme="minorEastAsia" w:cstheme="minorEastAsia"/>
          <w:b w:val="0"/>
          <w:bCs/>
          <w:color w:val="auto"/>
          <w:kern w:val="0"/>
          <w:sz w:val="21"/>
          <w:szCs w:val="21"/>
          <w:highlight w:val="none"/>
          <w:lang w:val="en-US" w:eastAsia="zh-CN"/>
        </w:rPr>
        <w:t>、学历证书、</w:t>
      </w:r>
      <w:r>
        <w:rPr>
          <w:rFonts w:hint="eastAsia" w:asciiTheme="minorEastAsia" w:hAnsiTheme="minorEastAsia" w:eastAsiaTheme="minorEastAsia" w:cstheme="minorEastAsia"/>
          <w:b w:val="0"/>
          <w:bCs/>
          <w:color w:val="auto"/>
          <w:spacing w:val="-1"/>
          <w:sz w:val="21"/>
          <w:szCs w:val="21"/>
          <w:highlight w:val="none"/>
          <w:lang w:val="en-US" w:eastAsia="zh-CN"/>
        </w:rPr>
        <w:t>CPR+AED心肺复苏培训合格证书</w:t>
      </w:r>
      <w:r>
        <w:rPr>
          <w:rFonts w:hint="eastAsia" w:asciiTheme="minorEastAsia" w:hAnsiTheme="minorEastAsia" w:eastAsiaTheme="minorEastAsia" w:cstheme="minorEastAsia"/>
          <w:b w:val="0"/>
          <w:bCs/>
          <w:color w:val="auto"/>
          <w:kern w:val="0"/>
          <w:sz w:val="21"/>
          <w:szCs w:val="21"/>
          <w:highlight w:val="none"/>
        </w:rPr>
        <w:t>复印件，同时须提供</w:t>
      </w:r>
      <w:r>
        <w:rPr>
          <w:rFonts w:hint="eastAsia" w:asciiTheme="minorEastAsia" w:hAnsiTheme="minorEastAsia" w:eastAsiaTheme="minorEastAsia" w:cstheme="minorEastAsia"/>
          <w:b w:val="0"/>
          <w:bCs/>
          <w:color w:val="auto"/>
          <w:kern w:val="0"/>
          <w:sz w:val="21"/>
          <w:szCs w:val="21"/>
          <w:highlight w:val="none"/>
          <w:lang w:val="en-US" w:eastAsia="zh-CN"/>
        </w:rPr>
        <w:t>5年物业管理经验的证明文件、</w:t>
      </w:r>
      <w:r>
        <w:rPr>
          <w:rFonts w:hint="eastAsia" w:asciiTheme="minorEastAsia" w:hAnsiTheme="minorEastAsia" w:eastAsiaTheme="minorEastAsia" w:cstheme="minorEastAsia"/>
          <w:b w:val="0"/>
          <w:bCs/>
          <w:color w:val="auto"/>
          <w:kern w:val="0"/>
          <w:sz w:val="21"/>
          <w:szCs w:val="21"/>
          <w:highlight w:val="none"/>
        </w:rPr>
        <w:t>投标人为其缴纳的投标截止时间前半年内的任意一个月的社保证明</w:t>
      </w:r>
      <w:r>
        <w:rPr>
          <w:rFonts w:hint="eastAsia" w:ascii="仿宋_GB2312" w:hAnsi="仿宋" w:eastAsia="仿宋_GB2312" w:cs="仿宋_GB2312"/>
          <w:sz w:val="24"/>
          <w:highlight w:val="none"/>
        </w:rPr>
        <w:t>（以社保局缴纳凭证作附件）</w:t>
      </w:r>
      <w:r>
        <w:rPr>
          <w:rFonts w:hint="eastAsia" w:ascii="仿宋_GB2312" w:hAnsi="仿宋" w:eastAsia="仿宋_GB2312" w:cs="仿宋_GB2312"/>
          <w:b/>
          <w:sz w:val="24"/>
          <w:highlight w:val="none"/>
        </w:rPr>
        <w:t>并</w:t>
      </w:r>
      <w:r>
        <w:rPr>
          <w:rFonts w:hint="eastAsia" w:ascii="仿宋_GB2312" w:hAnsi="仿宋" w:eastAsia="仿宋_GB2312" w:cs="仿宋_GB2312"/>
          <w:b/>
          <w:sz w:val="24"/>
        </w:rPr>
        <w:t>注明所在响应技术文件页码。</w:t>
      </w:r>
    </w:p>
    <w:p w14:paraId="1140BC36">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附表B:本项目的</w:t>
      </w:r>
      <w:r>
        <w:rPr>
          <w:rFonts w:hint="eastAsia" w:ascii="仿宋_GB2312" w:hAnsi="仿宋" w:eastAsia="仿宋_GB2312" w:cs="仿宋_GB2312"/>
          <w:b/>
          <w:sz w:val="24"/>
          <w:lang w:eastAsia="zh-CN"/>
        </w:rPr>
        <w:t>安保</w:t>
      </w:r>
      <w:r>
        <w:rPr>
          <w:rFonts w:hint="eastAsia" w:ascii="仿宋_GB2312" w:hAnsi="仿宋" w:eastAsia="仿宋_GB2312" w:cs="仿宋_GB2312"/>
          <w:b/>
          <w:sz w:val="24"/>
        </w:rPr>
        <w:t>人员情况表</w:t>
      </w:r>
      <w:r>
        <w:rPr>
          <w:rFonts w:hint="eastAsia" w:ascii="仿宋_GB2312" w:hAnsi="仿宋" w:eastAsia="仿宋_GB2312" w:cs="仿宋_GB2312"/>
          <w:sz w:val="24"/>
        </w:rPr>
        <w:t>（按此格式自制）</w:t>
      </w:r>
    </w:p>
    <w:tbl>
      <w:tblPr>
        <w:tblStyle w:val="19"/>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060C171">
        <w:tc>
          <w:tcPr>
            <w:tcW w:w="420" w:type="dxa"/>
            <w:tcBorders>
              <w:top w:val="single" w:color="auto" w:sz="6" w:space="0"/>
              <w:left w:val="single" w:color="auto" w:sz="6" w:space="0"/>
              <w:bottom w:val="single" w:color="auto" w:sz="6" w:space="0"/>
              <w:right w:val="single" w:color="auto" w:sz="6" w:space="0"/>
            </w:tcBorders>
            <w:noWrap w:val="0"/>
            <w:vAlign w:val="center"/>
          </w:tcPr>
          <w:p w14:paraId="0A4AFF29">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449DFCEF">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04E27007">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11C9A3E9">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6BDB1824">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p w14:paraId="2AFCC6C6">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3343048">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专业</w:t>
            </w:r>
          </w:p>
          <w:p w14:paraId="1BC15DF1">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6159891">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p w14:paraId="4263419D">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5ED3583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3DDCE863">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3D2E4BE3">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参与本项目的到位情况</w:t>
            </w:r>
          </w:p>
        </w:tc>
      </w:tr>
      <w:tr w14:paraId="20B43F46">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57513CC6">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34D32B7B">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DC8E1CF">
            <w:pPr>
              <w:autoSpaceDE w:val="0"/>
              <w:autoSpaceDN w:val="0"/>
              <w:spacing w:line="360" w:lineRule="auto"/>
              <w:rPr>
                <w:rFonts w:hint="eastAsia" w:ascii="仿宋_GB2312" w:hAnsi="仿宋" w:eastAsia="仿宋_GB2312" w:cs="仿宋_GB2312"/>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555FE90F">
            <w:pPr>
              <w:autoSpaceDE w:val="0"/>
              <w:autoSpaceDN w:val="0"/>
              <w:spacing w:line="360" w:lineRule="auto"/>
              <w:rPr>
                <w:rFonts w:hint="eastAsia" w:ascii="仿宋_GB2312" w:hAnsi="仿宋" w:eastAsia="仿宋_GB2312" w:cs="仿宋_GB2312"/>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577E436C">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638BAC1">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9B544A2">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68C34B3">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BB222E8">
            <w:pPr>
              <w:autoSpaceDE w:val="0"/>
              <w:autoSpaceDN w:val="0"/>
              <w:spacing w:line="360" w:lineRule="auto"/>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10574BA1">
            <w:pPr>
              <w:autoSpaceDE w:val="0"/>
              <w:autoSpaceDN w:val="0"/>
              <w:spacing w:line="360" w:lineRule="auto"/>
              <w:rPr>
                <w:rFonts w:hint="eastAsia" w:ascii="仿宋_GB2312" w:hAnsi="仿宋" w:eastAsia="仿宋_GB2312" w:cs="仿宋_GB2312"/>
                <w:sz w:val="24"/>
              </w:rPr>
            </w:pPr>
          </w:p>
        </w:tc>
      </w:tr>
      <w:tr w14:paraId="52E292CC">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79E9A815">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5B31553E">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BA7EA15">
            <w:pPr>
              <w:autoSpaceDE w:val="0"/>
              <w:autoSpaceDN w:val="0"/>
              <w:spacing w:line="360" w:lineRule="auto"/>
              <w:rPr>
                <w:rFonts w:hint="eastAsia" w:ascii="仿宋_GB2312" w:hAnsi="仿宋" w:eastAsia="仿宋_GB2312" w:cs="仿宋_GB2312"/>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18CFF95D">
            <w:pPr>
              <w:autoSpaceDE w:val="0"/>
              <w:autoSpaceDN w:val="0"/>
              <w:spacing w:line="360" w:lineRule="auto"/>
              <w:rPr>
                <w:rFonts w:hint="eastAsia" w:ascii="仿宋_GB2312" w:hAnsi="仿宋" w:eastAsia="仿宋_GB2312" w:cs="仿宋_GB2312"/>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4553923A">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27B9E9B">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E80E455">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9CBEA93">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924CE1E">
            <w:pPr>
              <w:autoSpaceDE w:val="0"/>
              <w:autoSpaceDN w:val="0"/>
              <w:spacing w:line="360" w:lineRule="auto"/>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02215FC6">
            <w:pPr>
              <w:autoSpaceDE w:val="0"/>
              <w:autoSpaceDN w:val="0"/>
              <w:spacing w:line="360" w:lineRule="auto"/>
              <w:rPr>
                <w:rFonts w:hint="eastAsia" w:ascii="仿宋_GB2312" w:hAnsi="仿宋" w:eastAsia="仿宋_GB2312" w:cs="仿宋_GB2312"/>
                <w:sz w:val="24"/>
              </w:rPr>
            </w:pPr>
          </w:p>
        </w:tc>
      </w:tr>
    </w:tbl>
    <w:p w14:paraId="705F803F">
      <w:pPr>
        <w:spacing w:line="360" w:lineRule="auto"/>
        <w:rPr>
          <w:rFonts w:hint="eastAsia" w:ascii="仿宋_GB2312" w:hAnsi="仿宋" w:eastAsia="仿宋_GB2312" w:cs="仿宋_GB2312"/>
          <w:b/>
          <w:bCs/>
          <w:sz w:val="24"/>
        </w:rPr>
      </w:pPr>
      <w:r>
        <w:rPr>
          <w:rFonts w:hint="eastAsia" w:ascii="仿宋_GB2312" w:hAnsi="仿宋" w:eastAsia="仿宋_GB2312" w:cs="仿宋_GB2312"/>
          <w:b/>
          <w:sz w:val="24"/>
        </w:rPr>
        <w:t>注：供应商可按上述的格式自行编制，须随表提交相应的证书复印件</w:t>
      </w:r>
      <w:r>
        <w:rPr>
          <w:rFonts w:hint="eastAsia" w:ascii="仿宋_GB2312" w:hAnsi="仿宋" w:eastAsia="仿宋_GB2312" w:cs="仿宋_GB2312"/>
          <w:b/>
          <w:sz w:val="24"/>
          <w:lang w:eastAsia="zh-CN"/>
        </w:rPr>
        <w:t>（安保员资格证）</w:t>
      </w:r>
      <w:r>
        <w:rPr>
          <w:rFonts w:hint="eastAsia" w:ascii="仿宋_GB2312" w:hAnsi="仿宋" w:eastAsia="仿宋_GB2312" w:cs="仿宋_GB2312"/>
          <w:b/>
          <w:sz w:val="24"/>
        </w:rPr>
        <w:t>并注明所在响应技术文件页码。</w:t>
      </w:r>
    </w:p>
    <w:p w14:paraId="6D0065D4">
      <w:pPr>
        <w:snapToGrid w:val="0"/>
        <w:spacing w:line="360" w:lineRule="auto"/>
        <w:ind w:firstLine="602" w:firstLineChars="200"/>
        <w:rPr>
          <w:rFonts w:hint="eastAsia" w:ascii="仿宋" w:hAnsi="仿宋" w:eastAsia="仿宋" w:cs="仿宋_GB2312"/>
          <w:b/>
          <w:sz w:val="30"/>
          <w:szCs w:val="30"/>
        </w:rPr>
      </w:pPr>
    </w:p>
    <w:p w14:paraId="68256D62">
      <w:pPr>
        <w:autoSpaceDE w:val="0"/>
        <w:autoSpaceDN w:val="0"/>
        <w:spacing w:line="360" w:lineRule="auto"/>
        <w:ind w:firstLine="6505" w:firstLineChars="2700"/>
        <w:rPr>
          <w:rFonts w:hint="eastAsia" w:ascii="仿宋_GB2312" w:hAnsi="仿宋" w:eastAsia="仿宋_GB2312" w:cs="仿宋_GB2312"/>
          <w:b/>
          <w:bCs/>
          <w:sz w:val="24"/>
        </w:rPr>
      </w:pPr>
    </w:p>
    <w:p w14:paraId="15A6B619">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42A190C8">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0F236A59">
      <w:pPr>
        <w:widowControl/>
        <w:jc w:val="left"/>
        <w:rPr>
          <w:rFonts w:hint="eastAsia" w:ascii="仿宋_GB2312" w:hAnsi="仿宋_GB2312" w:eastAsia="仿宋_GB2312" w:cs="仿宋_GB2312"/>
          <w:sz w:val="32"/>
          <w:szCs w:val="32"/>
          <w:lang w:eastAsia="zh-CN"/>
        </w:rPr>
      </w:pPr>
    </w:p>
    <w:p w14:paraId="3985D6DB">
      <w:pPr>
        <w:numPr>
          <w:ilvl w:val="0"/>
          <w:numId w:val="9"/>
        </w:numPr>
        <w:snapToGrid w:val="0"/>
        <w:spacing w:line="360" w:lineRule="auto"/>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投标人认为需要提供的其他证明材料</w:t>
      </w:r>
    </w:p>
    <w:p w14:paraId="1137B0DE">
      <w:pPr>
        <w:widowControl w:val="0"/>
        <w:numPr>
          <w:ilvl w:val="0"/>
          <w:numId w:val="0"/>
        </w:numPr>
        <w:snapToGrid w:val="0"/>
        <w:spacing w:line="360" w:lineRule="auto"/>
        <w:jc w:val="both"/>
        <w:rPr>
          <w:rFonts w:hint="eastAsia" w:ascii="仿宋_GB2312" w:hAnsi="仿宋_GB2312" w:eastAsia="仿宋_GB2312" w:cs="仿宋_GB2312"/>
          <w:b/>
          <w:bCs/>
          <w:sz w:val="32"/>
          <w:szCs w:val="32"/>
          <w:lang w:eastAsia="zh-CN"/>
        </w:rPr>
      </w:pPr>
    </w:p>
    <w:p w14:paraId="7DF3D670">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7989731D">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7865A0CF">
      <w:pPr>
        <w:widowControl w:val="0"/>
        <w:numPr>
          <w:ilvl w:val="0"/>
          <w:numId w:val="0"/>
        </w:numPr>
        <w:snapToGrid w:val="0"/>
        <w:spacing w:line="360" w:lineRule="auto"/>
        <w:jc w:val="both"/>
        <w:rPr>
          <w:rFonts w:hint="eastAsia" w:ascii="仿宋_GB2312" w:hAnsi="仿宋_GB2312" w:eastAsia="仿宋_GB2312" w:cs="仿宋_GB2312"/>
          <w:b/>
          <w:bCs/>
          <w:sz w:val="32"/>
          <w:szCs w:val="32"/>
          <w:lang w:eastAsia="zh-CN"/>
        </w:rPr>
        <w:sectPr>
          <w:pgSz w:w="11910" w:h="16840"/>
          <w:pgMar w:top="1340" w:right="1500" w:bottom="280" w:left="1680" w:header="720" w:footer="720" w:gutter="0"/>
          <w:pgNumType w:fmt="decimal"/>
          <w:cols w:space="720" w:num="1"/>
        </w:sectPr>
      </w:pPr>
    </w:p>
    <w:p w14:paraId="39DD7036">
      <w:pPr>
        <w:snapToGrid w:val="0"/>
        <w:spacing w:line="360" w:lineRule="auto"/>
        <w:ind w:firstLine="602" w:firstLineChars="200"/>
        <w:rPr>
          <w:rFonts w:hint="eastAsia" w:ascii="仿宋_GB2312" w:hAnsi="仿宋_GB2312" w:eastAsia="仿宋_GB2312" w:cs="仿宋_GB2312"/>
          <w:sz w:val="32"/>
          <w:szCs w:val="32"/>
        </w:rPr>
      </w:pPr>
      <w:r>
        <w:rPr>
          <w:rFonts w:hint="eastAsia" w:ascii="仿宋" w:hAnsi="仿宋" w:eastAsia="仿宋" w:cs="仿宋_GB2312"/>
          <w:b/>
          <w:sz w:val="30"/>
          <w:szCs w:val="30"/>
          <w:lang w:eastAsia="zh-CN"/>
        </w:rPr>
        <w:t>九</w:t>
      </w:r>
      <w:r>
        <w:rPr>
          <w:rFonts w:hint="eastAsia" w:ascii="仿宋" w:hAnsi="仿宋" w:eastAsia="仿宋" w:cs="仿宋_GB2312"/>
          <w:b/>
          <w:sz w:val="30"/>
          <w:szCs w:val="30"/>
        </w:rPr>
        <w:t>、服务需求偏离表</w:t>
      </w:r>
    </w:p>
    <w:p w14:paraId="143D961B">
      <w:pPr>
        <w:spacing w:line="5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竞标产品服务需求偏离表</w:t>
      </w:r>
    </w:p>
    <w:p w14:paraId="0A230336">
      <w:pPr>
        <w:spacing w:line="500" w:lineRule="exact"/>
        <w:jc w:val="center"/>
        <w:rPr>
          <w:rFonts w:hint="eastAsia" w:ascii="宋体" w:hAnsi="宋体"/>
          <w:b/>
          <w:sz w:val="32"/>
          <w:szCs w:val="32"/>
        </w:rPr>
      </w:pPr>
      <w:r>
        <w:rPr>
          <w:rFonts w:hint="eastAsia" w:ascii="方正小标宋简体" w:hAnsi="方正小标宋简体" w:eastAsia="方正小标宋简体" w:cs="方正小标宋简体"/>
          <w:bCs/>
          <w:sz w:val="44"/>
          <w:szCs w:val="44"/>
        </w:rPr>
        <w:t>(注：按采购需求具体条款修改)</w:t>
      </w:r>
    </w:p>
    <w:p w14:paraId="3C1BA3A2">
      <w:pPr>
        <w:spacing w:line="360" w:lineRule="auto"/>
        <w:jc w:val="left"/>
        <w:rPr>
          <w:rFonts w:hint="eastAsia" w:ascii="宋体" w:hAnsi="宋体"/>
          <w:sz w:val="24"/>
        </w:rPr>
      </w:pPr>
    </w:p>
    <w:p w14:paraId="0A5E281C">
      <w:pPr>
        <w:pStyle w:val="13"/>
        <w:spacing w:line="360" w:lineRule="auto"/>
        <w:rPr>
          <w:rFonts w:hint="eastAsia" w:hAnsi="宋体" w:cs="仿宋_GB2312"/>
          <w:sz w:val="24"/>
          <w:szCs w:val="24"/>
        </w:rPr>
      </w:pPr>
      <w:r>
        <w:rPr>
          <w:rFonts w:hint="eastAsia" w:hAnsi="宋体" w:cs="仿宋_GB2312"/>
          <w:sz w:val="24"/>
          <w:szCs w:val="24"/>
        </w:rPr>
        <w:t>所竞分标：</w:t>
      </w:r>
      <w:r>
        <w:rPr>
          <w:rFonts w:hint="eastAsia" w:hAnsi="宋体" w:cs="仿宋_GB2312"/>
          <w:sz w:val="24"/>
          <w:szCs w:val="24"/>
          <w:u w:val="single"/>
        </w:rPr>
        <w:t xml:space="preserve">              </w:t>
      </w:r>
    </w:p>
    <w:tbl>
      <w:tblPr>
        <w:tblStyle w:val="19"/>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2DBB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5ED29227">
            <w:pPr>
              <w:rPr>
                <w:rFonts w:hint="eastAsia" w:ascii="宋体" w:hAnsi="宋体"/>
                <w:szCs w:val="21"/>
              </w:rPr>
            </w:pPr>
            <w:r>
              <w:rPr>
                <w:rFonts w:hint="eastAsia" w:ascii="宋体" w:hAnsi="宋体"/>
                <w:szCs w:val="21"/>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6E42F2A4">
            <w:pPr>
              <w:jc w:val="center"/>
              <w:rPr>
                <w:rFonts w:hint="eastAsia" w:ascii="宋体" w:hAnsi="宋体"/>
                <w:szCs w:val="21"/>
              </w:rPr>
            </w:pPr>
            <w:r>
              <w:rPr>
                <w:rFonts w:hint="eastAsia" w:ascii="宋体" w:hAnsi="宋体"/>
                <w:szCs w:val="21"/>
              </w:rPr>
              <w:t>竞争性磋商采购文件需求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00574CDC">
            <w:pPr>
              <w:jc w:val="center"/>
              <w:rPr>
                <w:rFonts w:hint="eastAsia" w:ascii="宋体" w:hAnsi="宋体"/>
                <w:szCs w:val="21"/>
              </w:rPr>
            </w:pPr>
            <w:r>
              <w:rPr>
                <w:rFonts w:hint="eastAsia" w:ascii="宋体" w:hAnsi="宋体"/>
                <w:szCs w:val="21"/>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2E1A45C3">
            <w:pPr>
              <w:rPr>
                <w:rFonts w:hint="eastAsia" w:ascii="宋体" w:hAnsi="宋体"/>
                <w:szCs w:val="21"/>
              </w:rPr>
            </w:pPr>
            <w:r>
              <w:rPr>
                <w:rFonts w:hint="eastAsia" w:ascii="宋体" w:hAnsi="宋体"/>
                <w:szCs w:val="21"/>
              </w:rPr>
              <w:t>偏离说明</w:t>
            </w:r>
          </w:p>
        </w:tc>
      </w:tr>
      <w:tr w14:paraId="6ED1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0DDB1506">
            <w:pPr>
              <w:widowControl/>
              <w:jc w:val="left"/>
              <w:rPr>
                <w:rFonts w:ascii="宋体" w:hAnsi="宋体"/>
                <w:szCs w:val="21"/>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109B3CF">
            <w:pPr>
              <w:rPr>
                <w:rFonts w:hint="eastAsia" w:ascii="宋体" w:hAnsi="宋体"/>
                <w:szCs w:val="21"/>
              </w:rPr>
            </w:pPr>
            <w:r>
              <w:rPr>
                <w:rFonts w:hint="eastAsia" w:ascii="宋体" w:hAnsi="宋体"/>
                <w:szCs w:val="21"/>
              </w:rPr>
              <w:t>服务名称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3C513240">
            <w:pPr>
              <w:rPr>
                <w:rFonts w:hint="eastAsia" w:ascii="宋体" w:hAnsi="宋体"/>
                <w:szCs w:val="21"/>
              </w:rPr>
            </w:pPr>
            <w:r>
              <w:rPr>
                <w:rFonts w:hint="eastAsia" w:ascii="宋体" w:hAnsi="宋体"/>
                <w:szCs w:val="21"/>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017EA104">
            <w:pPr>
              <w:rPr>
                <w:rFonts w:hint="eastAsia" w:ascii="宋体" w:hAnsi="宋体"/>
                <w:szCs w:val="21"/>
              </w:rPr>
            </w:pPr>
            <w:r>
              <w:rPr>
                <w:rFonts w:hint="eastAsia" w:ascii="宋体" w:hAnsi="宋体"/>
                <w:szCs w:val="21"/>
              </w:rPr>
              <w:t>服务参数要求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A37D2F3">
            <w:pPr>
              <w:rPr>
                <w:rFonts w:hint="eastAsia" w:ascii="宋体" w:hAnsi="宋体"/>
                <w:szCs w:val="21"/>
              </w:rPr>
            </w:pPr>
            <w:r>
              <w:rPr>
                <w:rFonts w:hint="eastAsia" w:ascii="宋体" w:hAnsi="宋体"/>
                <w:szCs w:val="21"/>
              </w:rPr>
              <w:t>服务名称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35460646">
            <w:pPr>
              <w:rPr>
                <w:rFonts w:hint="eastAsia" w:ascii="宋体" w:hAnsi="宋体"/>
                <w:szCs w:val="21"/>
              </w:rPr>
            </w:pPr>
            <w:r>
              <w:rPr>
                <w:rFonts w:hint="eastAsia" w:ascii="宋体" w:hAnsi="宋体"/>
                <w:szCs w:val="21"/>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161EA51">
            <w:pPr>
              <w:rPr>
                <w:rFonts w:hint="eastAsia" w:ascii="宋体" w:hAnsi="宋体"/>
                <w:szCs w:val="21"/>
              </w:rPr>
            </w:pPr>
            <w:r>
              <w:rPr>
                <w:rFonts w:hint="eastAsia" w:ascii="宋体" w:hAnsi="宋体"/>
                <w:szCs w:val="21"/>
              </w:rPr>
              <w:t>服务参数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294ECE61">
            <w:pPr>
              <w:widowControl/>
              <w:jc w:val="left"/>
              <w:rPr>
                <w:rFonts w:ascii="宋体" w:hAnsi="宋体"/>
                <w:szCs w:val="21"/>
              </w:rPr>
            </w:pPr>
          </w:p>
        </w:tc>
      </w:tr>
      <w:tr w14:paraId="59A4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06C756D9">
            <w:pPr>
              <w:rPr>
                <w:rFonts w:hint="eastAsia" w:ascii="宋体" w:hAnsi="宋体"/>
                <w:szCs w:val="21"/>
              </w:rPr>
            </w:pPr>
            <w:r>
              <w:rPr>
                <w:rFonts w:hint="eastAsia" w:ascii="宋体" w:hAnsi="宋体"/>
                <w:szCs w:val="21"/>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9572EB8">
            <w:pPr>
              <w:rPr>
                <w:rFonts w:hint="eastAsia" w:ascii="宋体" w:hAnsi="宋体"/>
                <w:szCs w:val="21"/>
              </w:rPr>
            </w:pPr>
            <w:r>
              <w:rPr>
                <w:rFonts w:hint="eastAsia" w:ascii="宋体" w:hAnsi="宋体"/>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1FA9EF3C">
            <w:pPr>
              <w:rPr>
                <w:rFonts w:hint="eastAsia" w:ascii="宋体" w:hAnsi="宋体"/>
                <w:szCs w:val="21"/>
              </w:rPr>
            </w:pPr>
            <w:r>
              <w:rPr>
                <w:rFonts w:hint="eastAsia" w:ascii="宋体" w:hAnsi="宋体"/>
                <w:szCs w:val="21"/>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73D1EBE8">
            <w:pPr>
              <w:rPr>
                <w:rFonts w:hint="eastAsia" w:ascii="宋体" w:hAnsi="宋体"/>
                <w:szCs w:val="21"/>
              </w:rPr>
            </w:pPr>
            <w:r>
              <w:rPr>
                <w:rFonts w:hint="eastAsia" w:ascii="宋体" w:hAnsi="宋体"/>
                <w:szCs w:val="21"/>
              </w:rPr>
              <w:t>1  ……</w:t>
            </w:r>
          </w:p>
          <w:p w14:paraId="0319BA40">
            <w:pPr>
              <w:rPr>
                <w:rFonts w:hint="eastAsia" w:ascii="宋体" w:hAnsi="宋体"/>
                <w:szCs w:val="21"/>
              </w:rPr>
            </w:pPr>
            <w:r>
              <w:rPr>
                <w:rFonts w:hint="eastAsia" w:ascii="宋体" w:hAnsi="宋体"/>
                <w:szCs w:val="21"/>
              </w:rPr>
              <w:t>2  ……</w:t>
            </w:r>
          </w:p>
          <w:p w14:paraId="6C8F2E61">
            <w:pPr>
              <w:rPr>
                <w:rFonts w:hint="eastAsia" w:ascii="宋体" w:hAnsi="宋体"/>
                <w:szCs w:val="21"/>
              </w:rPr>
            </w:pPr>
            <w:r>
              <w:rPr>
                <w:rFonts w:hint="eastAsia" w:ascii="宋体" w:hAnsi="宋体"/>
                <w:szCs w:val="21"/>
              </w:rPr>
              <w:t>3  ……</w:t>
            </w:r>
          </w:p>
          <w:p w14:paraId="735D46BF">
            <w:pPr>
              <w:rPr>
                <w:rFonts w:hint="eastAsia" w:ascii="宋体" w:hAnsi="宋体"/>
                <w:szCs w:val="21"/>
              </w:rPr>
            </w:pPr>
            <w:r>
              <w:rPr>
                <w:rFonts w:hint="eastAsia" w:ascii="宋体" w:hAnsi="宋体"/>
                <w:szCs w:val="21"/>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808FD55">
            <w:pPr>
              <w:rPr>
                <w:rFonts w:hint="eastAsia" w:ascii="宋体" w:hAnsi="宋体"/>
                <w:szCs w:val="21"/>
              </w:rPr>
            </w:pPr>
            <w:r>
              <w:rPr>
                <w:rFonts w:hint="eastAsia" w:ascii="宋体" w:hAnsi="宋体"/>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04092718">
            <w:pPr>
              <w:rPr>
                <w:rFonts w:hint="eastAsia" w:ascii="宋体" w:hAnsi="宋体"/>
                <w:szCs w:val="21"/>
              </w:rPr>
            </w:pPr>
            <w:r>
              <w:rPr>
                <w:rFonts w:hint="eastAsia" w:ascii="宋体" w:hAnsi="宋体"/>
                <w:szCs w:val="21"/>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61C7350">
            <w:pPr>
              <w:rPr>
                <w:rFonts w:hint="eastAsia" w:ascii="宋体" w:hAnsi="宋体"/>
                <w:szCs w:val="21"/>
              </w:rPr>
            </w:pPr>
            <w:r>
              <w:rPr>
                <w:rFonts w:hint="eastAsia" w:ascii="宋体" w:hAnsi="宋体"/>
                <w:szCs w:val="21"/>
              </w:rPr>
              <w:t>1  ……</w:t>
            </w:r>
          </w:p>
          <w:p w14:paraId="300BE532">
            <w:pPr>
              <w:rPr>
                <w:rFonts w:hint="eastAsia" w:ascii="宋体" w:hAnsi="宋体"/>
                <w:szCs w:val="21"/>
              </w:rPr>
            </w:pPr>
            <w:r>
              <w:rPr>
                <w:rFonts w:hint="eastAsia" w:ascii="宋体" w:hAnsi="宋体"/>
                <w:szCs w:val="21"/>
              </w:rPr>
              <w:t>2  ……</w:t>
            </w:r>
          </w:p>
          <w:p w14:paraId="12B075A8">
            <w:pPr>
              <w:rPr>
                <w:rFonts w:hint="eastAsia" w:ascii="宋体" w:hAnsi="宋体"/>
                <w:szCs w:val="21"/>
              </w:rPr>
            </w:pPr>
            <w:r>
              <w:rPr>
                <w:rFonts w:hint="eastAsia" w:ascii="宋体" w:hAnsi="宋体"/>
                <w:szCs w:val="21"/>
              </w:rPr>
              <w:t>3  ……</w:t>
            </w:r>
          </w:p>
          <w:p w14:paraId="1792AF52">
            <w:pPr>
              <w:rPr>
                <w:rFonts w:hint="eastAsia" w:ascii="宋体" w:hAnsi="宋体"/>
                <w:szCs w:val="21"/>
              </w:rPr>
            </w:pPr>
            <w:r>
              <w:rPr>
                <w:rFonts w:hint="eastAsia" w:ascii="宋体" w:hAnsi="宋体"/>
                <w:szCs w:val="21"/>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CFDBE16">
            <w:pPr>
              <w:rPr>
                <w:rFonts w:hint="eastAsia" w:ascii="宋体" w:hAnsi="宋体"/>
                <w:szCs w:val="21"/>
              </w:rPr>
            </w:pPr>
          </w:p>
        </w:tc>
      </w:tr>
      <w:tr w14:paraId="2D04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28EE215F">
            <w:pPr>
              <w:rPr>
                <w:rFonts w:hint="eastAsia" w:ascii="宋体" w:hAnsi="宋体"/>
                <w:szCs w:val="21"/>
              </w:rPr>
            </w:pPr>
            <w:r>
              <w:rPr>
                <w:rFonts w:hint="eastAsia" w:ascii="宋体" w:hAnsi="宋体"/>
                <w:szCs w:val="21"/>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88C05F4">
            <w:pPr>
              <w:rPr>
                <w:rFonts w:hint="eastAsia" w:ascii="宋体" w:hAnsi="宋体"/>
                <w:szCs w:val="21"/>
              </w:rPr>
            </w:pPr>
            <w:r>
              <w:rPr>
                <w:rFonts w:hint="eastAsia" w:ascii="宋体" w:hAnsi="宋体"/>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7DF5168E">
            <w:pPr>
              <w:rPr>
                <w:rFonts w:hint="eastAsia" w:ascii="宋体" w:hAnsi="宋体"/>
                <w:szCs w:val="21"/>
              </w:rPr>
            </w:pPr>
            <w:r>
              <w:rPr>
                <w:rFonts w:hint="eastAsia" w:ascii="宋体" w:hAnsi="宋体"/>
                <w:szCs w:val="21"/>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76B8A84D">
            <w:pPr>
              <w:rPr>
                <w:rFonts w:hint="eastAsia" w:ascii="宋体" w:hAnsi="宋体"/>
                <w:szCs w:val="21"/>
              </w:rPr>
            </w:pPr>
            <w:r>
              <w:rPr>
                <w:rFonts w:hint="eastAsia" w:ascii="宋体" w:hAnsi="宋体"/>
                <w:szCs w:val="21"/>
              </w:rPr>
              <w:t>1  ……</w:t>
            </w:r>
          </w:p>
          <w:p w14:paraId="69D4D17E">
            <w:pPr>
              <w:rPr>
                <w:rFonts w:hint="eastAsia" w:ascii="宋体" w:hAnsi="宋体"/>
                <w:szCs w:val="21"/>
              </w:rPr>
            </w:pPr>
            <w:r>
              <w:rPr>
                <w:rFonts w:hint="eastAsia" w:ascii="宋体" w:hAnsi="宋体"/>
                <w:szCs w:val="21"/>
              </w:rPr>
              <w:t>2  ……</w:t>
            </w:r>
          </w:p>
          <w:p w14:paraId="647EF108">
            <w:pPr>
              <w:rPr>
                <w:rFonts w:hint="eastAsia" w:ascii="宋体" w:hAnsi="宋体"/>
                <w:szCs w:val="21"/>
              </w:rPr>
            </w:pPr>
            <w:r>
              <w:rPr>
                <w:rFonts w:hint="eastAsia" w:ascii="宋体" w:hAnsi="宋体"/>
                <w:szCs w:val="21"/>
              </w:rPr>
              <w:t>3  ……</w:t>
            </w:r>
          </w:p>
          <w:p w14:paraId="12424178">
            <w:pPr>
              <w:rPr>
                <w:rFonts w:hint="eastAsia" w:ascii="宋体" w:hAnsi="宋体"/>
                <w:szCs w:val="21"/>
              </w:rPr>
            </w:pPr>
            <w:r>
              <w:rPr>
                <w:rFonts w:hint="eastAsia" w:ascii="宋体" w:hAnsi="宋体"/>
                <w:szCs w:val="21"/>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DEA61FB">
            <w:pPr>
              <w:rPr>
                <w:rFonts w:hint="eastAsia" w:ascii="宋体" w:hAnsi="宋体"/>
                <w:szCs w:val="21"/>
              </w:rPr>
            </w:pPr>
            <w:r>
              <w:rPr>
                <w:rFonts w:hint="eastAsia" w:ascii="宋体" w:hAnsi="宋体"/>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746C977D">
            <w:pPr>
              <w:rPr>
                <w:rFonts w:hint="eastAsia" w:ascii="宋体" w:hAnsi="宋体"/>
                <w:szCs w:val="21"/>
              </w:rPr>
            </w:pPr>
            <w:r>
              <w:rPr>
                <w:rFonts w:hint="eastAsia" w:ascii="宋体" w:hAnsi="宋体"/>
                <w:szCs w:val="21"/>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63505C87">
            <w:pPr>
              <w:rPr>
                <w:rFonts w:hint="eastAsia" w:ascii="宋体" w:hAnsi="宋体"/>
                <w:szCs w:val="21"/>
              </w:rPr>
            </w:pPr>
            <w:r>
              <w:rPr>
                <w:rFonts w:hint="eastAsia" w:ascii="宋体" w:hAnsi="宋体"/>
                <w:szCs w:val="21"/>
              </w:rPr>
              <w:t>1  ……</w:t>
            </w:r>
          </w:p>
          <w:p w14:paraId="29E3971F">
            <w:pPr>
              <w:rPr>
                <w:rFonts w:hint="eastAsia" w:ascii="宋体" w:hAnsi="宋体"/>
                <w:szCs w:val="21"/>
              </w:rPr>
            </w:pPr>
            <w:r>
              <w:rPr>
                <w:rFonts w:hint="eastAsia" w:ascii="宋体" w:hAnsi="宋体"/>
                <w:szCs w:val="21"/>
              </w:rPr>
              <w:t>2  ……</w:t>
            </w:r>
          </w:p>
          <w:p w14:paraId="33B7BA96">
            <w:pPr>
              <w:rPr>
                <w:rFonts w:hint="eastAsia" w:ascii="宋体" w:hAnsi="宋体"/>
                <w:szCs w:val="21"/>
              </w:rPr>
            </w:pPr>
            <w:r>
              <w:rPr>
                <w:rFonts w:hint="eastAsia" w:ascii="宋体" w:hAnsi="宋体"/>
                <w:szCs w:val="21"/>
              </w:rPr>
              <w:t>3  ……</w:t>
            </w:r>
          </w:p>
          <w:p w14:paraId="18712960">
            <w:pPr>
              <w:rPr>
                <w:rFonts w:hint="eastAsia" w:ascii="宋体" w:hAnsi="宋体"/>
                <w:szCs w:val="21"/>
              </w:rPr>
            </w:pPr>
            <w:r>
              <w:rPr>
                <w:rFonts w:hint="eastAsia" w:ascii="宋体" w:hAnsi="宋体"/>
                <w:szCs w:val="21"/>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43B3D6A">
            <w:pPr>
              <w:rPr>
                <w:rFonts w:hint="eastAsia" w:ascii="宋体" w:hAnsi="宋体"/>
                <w:szCs w:val="21"/>
              </w:rPr>
            </w:pPr>
          </w:p>
        </w:tc>
      </w:tr>
      <w:tr w14:paraId="7720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7E596498">
            <w:pPr>
              <w:rPr>
                <w:rFonts w:hint="eastAsia" w:ascii="宋体" w:hAnsi="宋体"/>
                <w:szCs w:val="21"/>
              </w:rPr>
            </w:pPr>
            <w:r>
              <w:rPr>
                <w:rFonts w:hint="eastAsia" w:ascii="宋体" w:hAnsi="宋体"/>
                <w:szCs w:val="21"/>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4C34E2B">
            <w:pPr>
              <w:rPr>
                <w:rFonts w:hint="eastAsia" w:ascii="宋体" w:hAnsi="宋体"/>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7F8EC826">
            <w:pPr>
              <w:rPr>
                <w:rFonts w:hint="eastAsia" w:ascii="宋体" w:hAnsi="宋体"/>
                <w:szCs w:val="21"/>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0E588E40">
            <w:pPr>
              <w:rPr>
                <w:rFonts w:hint="eastAsia" w:ascii="宋体" w:hAnsi="宋体"/>
                <w:szCs w:val="21"/>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F293923">
            <w:pPr>
              <w:rPr>
                <w:rFonts w:hint="eastAsia" w:ascii="宋体" w:hAnsi="宋体"/>
                <w:szCs w:val="21"/>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6D134463">
            <w:pPr>
              <w:rPr>
                <w:rFonts w:hint="eastAsia" w:ascii="宋体" w:hAnsi="宋体"/>
                <w:szCs w:val="21"/>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04F3500C">
            <w:pPr>
              <w:rPr>
                <w:rFonts w:hint="eastAsia" w:ascii="宋体" w:hAnsi="宋体"/>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8E67AD9">
            <w:pPr>
              <w:rPr>
                <w:rFonts w:hint="eastAsia" w:ascii="宋体" w:hAnsi="宋体"/>
                <w:szCs w:val="21"/>
              </w:rPr>
            </w:pPr>
          </w:p>
        </w:tc>
      </w:tr>
    </w:tbl>
    <w:p w14:paraId="51DD0B4A">
      <w:pPr>
        <w:pStyle w:val="8"/>
        <w:spacing w:after="0" w:line="360" w:lineRule="auto"/>
        <w:contextualSpacing/>
        <w:rPr>
          <w:rFonts w:hint="eastAsia" w:ascii="宋体" w:hAnsi="宋体"/>
          <w:kern w:val="0"/>
          <w:sz w:val="24"/>
          <w:szCs w:val="24"/>
        </w:rPr>
      </w:pPr>
      <w:r>
        <w:rPr>
          <w:rFonts w:hint="eastAsia" w:ascii="宋体" w:hAnsi="宋体"/>
          <w:kern w:val="0"/>
          <w:sz w:val="24"/>
          <w:szCs w:val="24"/>
        </w:rPr>
        <w:t>注：</w:t>
      </w:r>
    </w:p>
    <w:p w14:paraId="135D09A9">
      <w:pPr>
        <w:pStyle w:val="8"/>
        <w:spacing w:after="0" w:line="360" w:lineRule="auto"/>
        <w:contextualSpacing/>
        <w:rPr>
          <w:rFonts w:hint="eastAsia" w:ascii="宋体" w:hAnsi="宋体"/>
          <w:kern w:val="0"/>
          <w:sz w:val="21"/>
          <w:szCs w:val="21"/>
        </w:rPr>
      </w:pPr>
      <w:r>
        <w:rPr>
          <w:rFonts w:hint="eastAsia" w:ascii="宋体" w:hAnsi="宋体"/>
          <w:kern w:val="0"/>
          <w:sz w:val="21"/>
          <w:szCs w:val="21"/>
        </w:rPr>
        <w:t>注：</w:t>
      </w:r>
    </w:p>
    <w:p w14:paraId="5634BD0F">
      <w:pPr>
        <w:pStyle w:val="8"/>
        <w:spacing w:after="0" w:line="360" w:lineRule="auto"/>
        <w:contextualSpacing/>
        <w:rPr>
          <w:rFonts w:hint="eastAsia" w:ascii="宋体" w:hAnsi="宋体" w:cs="仿宋_GB2312"/>
          <w:kern w:val="0"/>
          <w:sz w:val="21"/>
          <w:szCs w:val="21"/>
        </w:rPr>
      </w:pPr>
      <w:r>
        <w:rPr>
          <w:rFonts w:hint="eastAsia" w:ascii="宋体" w:hAnsi="宋体" w:cs="仿宋_GB2312"/>
          <w:kern w:val="0"/>
          <w:sz w:val="21"/>
          <w:szCs w:val="21"/>
        </w:rPr>
        <w:t>1.说明：应对照磋商文件“第二章”中“服务需求一览表”的采购清单及技术参数条款逐条作出明确响应，并作出偏离说明。</w:t>
      </w:r>
    </w:p>
    <w:p w14:paraId="4232387D">
      <w:pPr>
        <w:pStyle w:val="10"/>
        <w:spacing w:line="400" w:lineRule="exact"/>
        <w:ind w:firstLine="0" w:firstLineChars="0"/>
        <w:rPr>
          <w:rFonts w:hint="eastAsia" w:ascii="宋体" w:hAnsi="宋体" w:eastAsia="宋体" w:cs="仿宋_GB2312"/>
          <w:sz w:val="21"/>
          <w:szCs w:val="21"/>
        </w:rPr>
      </w:pPr>
      <w:r>
        <w:rPr>
          <w:rFonts w:hint="eastAsia" w:ascii="宋体" w:hAnsi="宋体" w:eastAsia="宋体" w:cs="仿宋_GB2312"/>
          <w:sz w:val="21"/>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4C899BDB">
      <w:pPr>
        <w:spacing w:line="400" w:lineRule="exact"/>
        <w:rPr>
          <w:rFonts w:hint="eastAsia" w:ascii="宋体" w:hAnsi="宋体" w:cs="仿宋_GB2312"/>
          <w:kern w:val="0"/>
          <w:szCs w:val="21"/>
        </w:rPr>
      </w:pPr>
      <w:r>
        <w:rPr>
          <w:rFonts w:hint="eastAsia" w:ascii="宋体" w:hAnsi="宋体" w:cs="仿宋_GB2312"/>
          <w:kern w:val="0"/>
          <w:szCs w:val="21"/>
        </w:rPr>
        <w:t>3.表格内容均需按要求填写并盖章，不得留空，否则按竞标无效处理。</w:t>
      </w:r>
    </w:p>
    <w:p w14:paraId="14A57734">
      <w:pPr>
        <w:pStyle w:val="13"/>
        <w:spacing w:line="400" w:lineRule="exact"/>
        <w:rPr>
          <w:rFonts w:hint="eastAsia" w:hAnsi="宋体" w:cs="仿宋_GB2312"/>
          <w:sz w:val="21"/>
        </w:rPr>
      </w:pPr>
      <w:r>
        <w:rPr>
          <w:rFonts w:hint="eastAsia" w:hAnsi="宋体" w:cs="仿宋_GB2312"/>
          <w:sz w:val="21"/>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06B3D12">
      <w:pPr>
        <w:pStyle w:val="10"/>
        <w:spacing w:line="360" w:lineRule="auto"/>
        <w:ind w:firstLine="0" w:firstLineChars="0"/>
        <w:rPr>
          <w:rFonts w:hint="eastAsia" w:ascii="宋体" w:hAnsi="宋体" w:cs="仿宋_GB2312"/>
          <w:sz w:val="24"/>
        </w:rPr>
      </w:pPr>
      <w:r>
        <w:rPr>
          <w:rFonts w:hint="eastAsia" w:ascii="宋体" w:hAnsi="宋体" w:eastAsia="宋体" w:cs="仿宋_GB2312"/>
          <w:sz w:val="21"/>
          <w:szCs w:val="21"/>
        </w:rPr>
        <w:t>5. 如技术偏离表中的竞标响应与佐证材料不一致的，以佐证材料为准。</w:t>
      </w:r>
    </w:p>
    <w:p w14:paraId="22877A08">
      <w:pPr>
        <w:snapToGrid w:val="0"/>
        <w:spacing w:line="360" w:lineRule="auto"/>
        <w:ind w:firstLine="602" w:firstLineChars="200"/>
        <w:rPr>
          <w:rFonts w:hint="eastAsia" w:ascii="仿宋" w:hAnsi="仿宋" w:eastAsia="仿宋" w:cs="仿宋_GB2312"/>
          <w:b/>
          <w:sz w:val="30"/>
          <w:szCs w:val="30"/>
        </w:rPr>
      </w:pPr>
    </w:p>
    <w:p w14:paraId="42C71C5D">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170BBFE0">
      <w:pPr>
        <w:autoSpaceDE w:val="0"/>
        <w:autoSpaceDN w:val="0"/>
        <w:spacing w:line="360" w:lineRule="auto"/>
        <w:ind w:firstLine="6480" w:firstLineChars="270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3F11EADF">
      <w:pPr>
        <w:adjustRightInd w:val="0"/>
        <w:snapToGrid w:val="0"/>
        <w:spacing w:line="520" w:lineRule="exact"/>
        <w:jc w:val="center"/>
        <w:rPr>
          <w:rFonts w:hint="eastAsia" w:ascii="方正小标宋简体" w:hAnsi="方正小标宋简体" w:eastAsia="方正小标宋简体" w:cs="方正小标宋简体"/>
          <w:bCs/>
          <w:color w:val="000000"/>
          <w:sz w:val="44"/>
          <w:szCs w:val="44"/>
        </w:rPr>
      </w:pPr>
    </w:p>
    <w:p w14:paraId="12EF2208">
      <w:pPr>
        <w:adjustRightInd w:val="0"/>
        <w:snapToGrid w:val="0"/>
        <w:spacing w:line="520" w:lineRule="exact"/>
        <w:jc w:val="center"/>
        <w:rPr>
          <w:rFonts w:hint="eastAsia" w:ascii="方正小标宋简体" w:hAnsi="方正小标宋简体" w:eastAsia="方正小标宋简体" w:cs="方正小标宋简体"/>
          <w:bCs/>
          <w:color w:val="000000"/>
          <w:sz w:val="44"/>
          <w:szCs w:val="44"/>
        </w:rPr>
      </w:pPr>
    </w:p>
    <w:p w14:paraId="187D8B71">
      <w:pPr>
        <w:adjustRightInd w:val="0"/>
        <w:snapToGrid w:val="0"/>
        <w:spacing w:line="520" w:lineRule="exact"/>
        <w:jc w:val="center"/>
        <w:rPr>
          <w:rFonts w:hint="eastAsia" w:ascii="宋体" w:hAnsi="宋体"/>
          <w:b/>
          <w:color w:val="000000"/>
          <w:sz w:val="32"/>
          <w:szCs w:val="32"/>
        </w:rPr>
      </w:pPr>
      <w:r>
        <w:rPr>
          <w:rFonts w:hint="eastAsia" w:ascii="方正小标宋简体" w:hAnsi="方正小标宋简体" w:eastAsia="方正小标宋简体" w:cs="方正小标宋简体"/>
          <w:bCs/>
          <w:color w:val="000000"/>
          <w:sz w:val="44"/>
          <w:szCs w:val="44"/>
        </w:rPr>
        <w:t>服务配置清单（如有）</w:t>
      </w:r>
    </w:p>
    <w:p w14:paraId="177FBF1E">
      <w:pPr>
        <w:spacing w:line="300" w:lineRule="auto"/>
        <w:rPr>
          <w:rFonts w:hint="eastAsia" w:ascii="宋体" w:hAnsi="宋体"/>
          <w:color w:val="000000"/>
          <w:szCs w:val="21"/>
        </w:rPr>
      </w:pPr>
    </w:p>
    <w:p w14:paraId="5BCD3B49">
      <w:pPr>
        <w:spacing w:line="360" w:lineRule="auto"/>
        <w:rPr>
          <w:rFonts w:hint="eastAsia" w:ascii="宋体" w:hAnsi="宋体" w:cs="仿宋_GB2312"/>
          <w:color w:val="000000"/>
          <w:sz w:val="24"/>
          <w:u w:val="single"/>
        </w:rPr>
      </w:pPr>
      <w:r>
        <w:rPr>
          <w:rFonts w:hint="eastAsia" w:ascii="宋体" w:hAnsi="宋体" w:cs="仿宋_GB2312"/>
          <w:color w:val="000000"/>
          <w:sz w:val="24"/>
        </w:rPr>
        <w:t>所竞分标：</w:t>
      </w:r>
      <w:r>
        <w:rPr>
          <w:rFonts w:hint="eastAsia" w:ascii="宋体" w:hAnsi="宋体" w:cs="仿宋_GB2312"/>
          <w:color w:val="000000"/>
          <w:sz w:val="24"/>
          <w:u w:val="single"/>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1245"/>
        <w:gridCol w:w="803"/>
        <w:gridCol w:w="895"/>
        <w:gridCol w:w="1786"/>
        <w:gridCol w:w="1245"/>
        <w:gridCol w:w="737"/>
        <w:gridCol w:w="1496"/>
      </w:tblGrid>
      <w:tr w14:paraId="180401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310DFFDD">
            <w:pPr>
              <w:snapToGrid w:val="0"/>
              <w:spacing w:before="50" w:after="50"/>
              <w:jc w:val="center"/>
              <w:rPr>
                <w:rFonts w:hint="eastAsia" w:ascii="宋体" w:hAnsi="宋体"/>
                <w:color w:val="000000"/>
                <w:sz w:val="24"/>
              </w:rPr>
            </w:pPr>
            <w:r>
              <w:rPr>
                <w:rFonts w:hint="eastAsia" w:ascii="宋体" w:hAnsi="宋体"/>
                <w:color w:val="000000"/>
                <w:sz w:val="24"/>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0152946E">
            <w:pPr>
              <w:snapToGrid w:val="0"/>
              <w:spacing w:before="50" w:after="50"/>
              <w:jc w:val="center"/>
              <w:rPr>
                <w:rFonts w:hint="eastAsia" w:ascii="宋体" w:hAnsi="宋体"/>
                <w:color w:val="000000"/>
                <w:sz w:val="24"/>
              </w:rPr>
            </w:pPr>
            <w:r>
              <w:rPr>
                <w:rFonts w:hint="eastAsia" w:ascii="宋体" w:hAnsi="宋体"/>
                <w:color w:val="000000"/>
                <w:sz w:val="24"/>
              </w:rPr>
              <w:t>服务名称</w:t>
            </w:r>
          </w:p>
        </w:tc>
        <w:tc>
          <w:tcPr>
            <w:tcW w:w="449" w:type="pct"/>
            <w:tcBorders>
              <w:top w:val="single" w:color="auto" w:sz="4" w:space="0"/>
              <w:left w:val="single" w:color="auto" w:sz="4" w:space="0"/>
              <w:bottom w:val="single" w:color="auto" w:sz="4" w:space="0"/>
              <w:right w:val="single" w:color="auto" w:sz="4" w:space="0"/>
            </w:tcBorders>
            <w:noWrap w:val="0"/>
            <w:vAlign w:val="center"/>
          </w:tcPr>
          <w:p w14:paraId="3BB78114">
            <w:pPr>
              <w:snapToGrid w:val="0"/>
              <w:spacing w:before="50" w:after="50"/>
              <w:jc w:val="center"/>
              <w:rPr>
                <w:rFonts w:hint="eastAsia" w:ascii="宋体" w:hAnsi="宋体"/>
                <w:color w:val="000000"/>
                <w:sz w:val="24"/>
              </w:rPr>
            </w:pPr>
            <w:r>
              <w:rPr>
                <w:rFonts w:hint="eastAsia" w:ascii="宋体" w:hAnsi="宋体"/>
                <w:color w:val="000000"/>
                <w:sz w:val="24"/>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25F656F3">
            <w:pPr>
              <w:snapToGrid w:val="0"/>
              <w:spacing w:before="50" w:after="50"/>
              <w:jc w:val="center"/>
              <w:rPr>
                <w:rFonts w:hint="eastAsia" w:ascii="宋体" w:hAnsi="宋体"/>
                <w:color w:val="000000"/>
                <w:sz w:val="24"/>
              </w:rPr>
            </w:pPr>
            <w:r>
              <w:rPr>
                <w:rFonts w:hint="eastAsia" w:ascii="宋体" w:hAnsi="宋体"/>
                <w:color w:val="000000"/>
                <w:sz w:val="24"/>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14:paraId="4E412EDE">
            <w:pPr>
              <w:snapToGrid w:val="0"/>
              <w:spacing w:before="50" w:after="50"/>
              <w:jc w:val="center"/>
              <w:rPr>
                <w:rFonts w:hint="eastAsia" w:ascii="宋体" w:hAnsi="宋体"/>
                <w:color w:val="000000"/>
                <w:sz w:val="24"/>
              </w:rPr>
            </w:pPr>
          </w:p>
          <w:p w14:paraId="6826A7ED">
            <w:pPr>
              <w:snapToGrid w:val="0"/>
              <w:spacing w:before="50" w:after="50"/>
              <w:jc w:val="center"/>
              <w:rPr>
                <w:rFonts w:hint="eastAsia" w:ascii="宋体" w:hAnsi="宋体"/>
                <w:color w:val="000000"/>
                <w:sz w:val="24"/>
              </w:rPr>
            </w:pPr>
            <w:r>
              <w:rPr>
                <w:rFonts w:hint="eastAsia" w:ascii="宋体" w:hAnsi="宋体"/>
                <w:color w:val="000000"/>
                <w:sz w:val="24"/>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4009FDC9">
            <w:pPr>
              <w:snapToGrid w:val="0"/>
              <w:spacing w:before="50" w:after="50"/>
              <w:jc w:val="center"/>
              <w:rPr>
                <w:rFonts w:hint="eastAsia" w:ascii="宋体" w:hAnsi="宋体"/>
                <w:color w:val="000000"/>
                <w:sz w:val="24"/>
              </w:rPr>
            </w:pPr>
            <w:r>
              <w:rPr>
                <w:rFonts w:hint="eastAsia" w:ascii="宋体" w:hAnsi="宋体"/>
                <w:color w:val="000000"/>
                <w:sz w:val="24"/>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54E3BF63">
            <w:pPr>
              <w:snapToGrid w:val="0"/>
              <w:spacing w:before="50" w:after="50"/>
              <w:jc w:val="center"/>
              <w:rPr>
                <w:rFonts w:hint="eastAsia" w:ascii="宋体" w:hAnsi="宋体"/>
                <w:color w:val="000000"/>
                <w:sz w:val="24"/>
              </w:rPr>
            </w:pPr>
            <w:r>
              <w:rPr>
                <w:rFonts w:hint="eastAsia" w:ascii="宋体" w:hAnsi="宋体"/>
                <w:color w:val="000000"/>
                <w:sz w:val="24"/>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319C7519">
            <w:pPr>
              <w:snapToGrid w:val="0"/>
              <w:spacing w:before="50" w:after="50"/>
              <w:jc w:val="center"/>
              <w:rPr>
                <w:rFonts w:hint="eastAsia" w:ascii="宋体" w:hAnsi="宋体"/>
                <w:color w:val="000000"/>
                <w:sz w:val="24"/>
              </w:rPr>
            </w:pPr>
            <w:r>
              <w:rPr>
                <w:rFonts w:hint="eastAsia" w:ascii="宋体" w:hAnsi="宋体"/>
                <w:color w:val="000000"/>
                <w:sz w:val="24"/>
              </w:rPr>
              <w:t>参数性能、指标及配置</w:t>
            </w:r>
          </w:p>
        </w:tc>
      </w:tr>
      <w:tr w14:paraId="76FA3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62D8E1CD">
            <w:pPr>
              <w:snapToGrid w:val="0"/>
              <w:spacing w:before="50" w:after="5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4C11DE1D">
            <w:pPr>
              <w:snapToGrid w:val="0"/>
              <w:spacing w:before="50" w:after="50"/>
              <w:jc w:val="center"/>
              <w:rPr>
                <w:rFonts w:hint="eastAsia" w:ascii="宋体" w:hAnsi="宋体"/>
                <w:color w:val="000000"/>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5C3C7AAA">
            <w:pPr>
              <w:snapToGrid w:val="0"/>
              <w:spacing w:before="50" w:after="50"/>
              <w:jc w:val="center"/>
              <w:rPr>
                <w:rFonts w:hint="eastAsia" w:ascii="宋体" w:hAnsi="宋体"/>
                <w:color w:val="000000"/>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73450A16">
            <w:pPr>
              <w:snapToGrid w:val="0"/>
              <w:spacing w:before="50" w:after="50"/>
              <w:jc w:val="center"/>
              <w:rPr>
                <w:rFonts w:hint="eastAsia" w:ascii="宋体" w:hAnsi="宋体"/>
                <w:color w:val="000000"/>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38A11180">
            <w:pPr>
              <w:snapToGrid w:val="0"/>
              <w:spacing w:before="50" w:after="5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0D7F1996">
            <w:pPr>
              <w:snapToGrid w:val="0"/>
              <w:spacing w:before="50" w:after="50"/>
              <w:jc w:val="center"/>
              <w:rPr>
                <w:rFonts w:hint="eastAsia" w:ascii="宋体" w:hAnsi="宋体"/>
                <w:color w:val="000000"/>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4DCFBD72">
            <w:pPr>
              <w:snapToGrid w:val="0"/>
              <w:spacing w:before="50" w:after="50"/>
              <w:jc w:val="center"/>
              <w:rPr>
                <w:rFonts w:hint="eastAsia" w:ascii="宋体" w:hAnsi="宋体"/>
                <w:color w:val="000000"/>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6FC5DCD5">
            <w:pPr>
              <w:snapToGrid w:val="0"/>
              <w:spacing w:before="50" w:after="50"/>
              <w:jc w:val="center"/>
              <w:rPr>
                <w:rFonts w:hint="eastAsia" w:ascii="宋体" w:hAnsi="宋体"/>
                <w:color w:val="000000"/>
                <w:sz w:val="24"/>
              </w:rPr>
            </w:pPr>
          </w:p>
        </w:tc>
      </w:tr>
      <w:tr w14:paraId="31BCA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5CE3991C">
            <w:pPr>
              <w:snapToGrid w:val="0"/>
              <w:spacing w:before="50" w:after="5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4E3870BE">
            <w:pPr>
              <w:snapToGrid w:val="0"/>
              <w:spacing w:before="50" w:after="50"/>
              <w:jc w:val="center"/>
              <w:rPr>
                <w:rFonts w:hint="eastAsia" w:ascii="宋体" w:hAnsi="宋体"/>
                <w:color w:val="000000"/>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12D9BAEF">
            <w:pPr>
              <w:snapToGrid w:val="0"/>
              <w:spacing w:before="50" w:after="50"/>
              <w:jc w:val="center"/>
              <w:rPr>
                <w:rFonts w:hint="eastAsia" w:ascii="宋体" w:hAnsi="宋体"/>
                <w:color w:val="000000"/>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5689CA21">
            <w:pPr>
              <w:snapToGrid w:val="0"/>
              <w:spacing w:before="50" w:after="50"/>
              <w:jc w:val="center"/>
              <w:rPr>
                <w:rFonts w:hint="eastAsia" w:ascii="宋体" w:hAnsi="宋体"/>
                <w:color w:val="000000"/>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3544344A">
            <w:pPr>
              <w:snapToGrid w:val="0"/>
              <w:spacing w:before="50" w:after="5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7898E097">
            <w:pPr>
              <w:snapToGrid w:val="0"/>
              <w:spacing w:before="50" w:after="50"/>
              <w:jc w:val="center"/>
              <w:rPr>
                <w:rFonts w:hint="eastAsia" w:ascii="宋体" w:hAnsi="宋体"/>
                <w:color w:val="000000"/>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5073549C">
            <w:pPr>
              <w:snapToGrid w:val="0"/>
              <w:spacing w:before="50" w:after="50"/>
              <w:jc w:val="center"/>
              <w:rPr>
                <w:rFonts w:hint="eastAsia" w:ascii="宋体" w:hAnsi="宋体"/>
                <w:color w:val="000000"/>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7183541E">
            <w:pPr>
              <w:snapToGrid w:val="0"/>
              <w:spacing w:before="50" w:after="50"/>
              <w:jc w:val="center"/>
              <w:rPr>
                <w:rFonts w:hint="eastAsia" w:ascii="宋体" w:hAnsi="宋体"/>
                <w:color w:val="000000"/>
                <w:sz w:val="24"/>
              </w:rPr>
            </w:pPr>
          </w:p>
        </w:tc>
      </w:tr>
      <w:tr w14:paraId="23C34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20C82AEF">
            <w:pPr>
              <w:snapToGrid w:val="0"/>
              <w:spacing w:before="50" w:after="5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21F53515">
            <w:pPr>
              <w:snapToGrid w:val="0"/>
              <w:spacing w:before="50" w:after="50"/>
              <w:jc w:val="center"/>
              <w:rPr>
                <w:rFonts w:hint="eastAsia" w:ascii="宋体" w:hAnsi="宋体"/>
                <w:color w:val="000000"/>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38CF1A14">
            <w:pPr>
              <w:snapToGrid w:val="0"/>
              <w:spacing w:before="50" w:after="50"/>
              <w:jc w:val="center"/>
              <w:rPr>
                <w:rFonts w:hint="eastAsia" w:ascii="宋体" w:hAnsi="宋体"/>
                <w:color w:val="000000"/>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07F7C79E">
            <w:pPr>
              <w:snapToGrid w:val="0"/>
              <w:spacing w:before="50" w:after="50"/>
              <w:jc w:val="center"/>
              <w:rPr>
                <w:rFonts w:hint="eastAsia" w:ascii="宋体" w:hAnsi="宋体"/>
                <w:color w:val="000000"/>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52B3557E">
            <w:pPr>
              <w:snapToGrid w:val="0"/>
              <w:spacing w:before="50" w:after="5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346F06C4">
            <w:pPr>
              <w:snapToGrid w:val="0"/>
              <w:spacing w:before="50" w:after="50"/>
              <w:jc w:val="center"/>
              <w:rPr>
                <w:rFonts w:hint="eastAsia" w:ascii="宋体" w:hAnsi="宋体"/>
                <w:color w:val="000000"/>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0E495A6D">
            <w:pPr>
              <w:snapToGrid w:val="0"/>
              <w:spacing w:before="50" w:after="50"/>
              <w:jc w:val="center"/>
              <w:rPr>
                <w:rFonts w:hint="eastAsia" w:ascii="宋体" w:hAnsi="宋体"/>
                <w:color w:val="000000"/>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10244D1A">
            <w:pPr>
              <w:snapToGrid w:val="0"/>
              <w:spacing w:before="50" w:after="50"/>
              <w:jc w:val="center"/>
              <w:rPr>
                <w:rFonts w:hint="eastAsia" w:ascii="宋体" w:hAnsi="宋体"/>
                <w:color w:val="000000"/>
                <w:sz w:val="24"/>
              </w:rPr>
            </w:pPr>
          </w:p>
        </w:tc>
      </w:tr>
    </w:tbl>
    <w:p w14:paraId="28E66A5F">
      <w:pPr>
        <w:spacing w:line="360" w:lineRule="auto"/>
        <w:rPr>
          <w:rFonts w:hint="eastAsia" w:ascii="宋体" w:hAnsi="宋体"/>
          <w:color w:val="000000"/>
          <w:sz w:val="24"/>
        </w:rPr>
      </w:pPr>
      <w:r>
        <w:rPr>
          <w:rFonts w:hint="eastAsia" w:ascii="宋体" w:hAnsi="宋体"/>
          <w:color w:val="000000"/>
          <w:sz w:val="24"/>
        </w:rPr>
        <w:t>备注：</w:t>
      </w:r>
    </w:p>
    <w:p w14:paraId="2C613846">
      <w:pPr>
        <w:tabs>
          <w:tab w:val="left" w:pos="1065"/>
        </w:tabs>
        <w:adjustRightInd w:val="0"/>
        <w:spacing w:line="360" w:lineRule="auto"/>
        <w:rPr>
          <w:rFonts w:hint="eastAsia" w:ascii="宋体" w:hAnsi="宋体" w:cs="仿宋_GB2312"/>
          <w:color w:val="000000"/>
          <w:sz w:val="24"/>
        </w:rPr>
      </w:pPr>
      <w:r>
        <w:rPr>
          <w:rFonts w:hint="eastAsia" w:ascii="宋体" w:hAnsi="宋体"/>
          <w:b/>
          <w:bCs/>
          <w:color w:val="000000"/>
          <w:sz w:val="24"/>
          <w:highlight w:val="none"/>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b/>
          <w:color w:val="000000"/>
          <w:sz w:val="24"/>
        </w:rPr>
        <w:t>。</w:t>
      </w:r>
      <w:r>
        <w:rPr>
          <w:rFonts w:hint="eastAsia" w:ascii="宋体" w:hAnsi="宋体"/>
          <w:color w:val="000000"/>
          <w:sz w:val="24"/>
        </w:rPr>
        <w:t>服务名称、数量及单位、品牌必须与“服务需求一览表”一致，</w:t>
      </w:r>
      <w:r>
        <w:rPr>
          <w:rFonts w:hint="eastAsia" w:ascii="宋体" w:hAnsi="宋体"/>
          <w:bCs/>
          <w:color w:val="000000"/>
          <w:sz w:val="24"/>
        </w:rPr>
        <w:t>否则响应文件作无效处理</w:t>
      </w:r>
      <w:r>
        <w:rPr>
          <w:rFonts w:hint="eastAsia" w:ascii="宋体" w:hAnsi="宋体"/>
          <w:b/>
          <w:color w:val="000000"/>
          <w:sz w:val="24"/>
        </w:rPr>
        <w:t>。</w:t>
      </w:r>
      <w:r>
        <w:rPr>
          <w:rFonts w:hint="eastAsia" w:ascii="宋体" w:hAnsi="宋体" w:cs="仿宋_GB2312"/>
          <w:color w:val="000000"/>
          <w:sz w:val="24"/>
        </w:rPr>
        <w:tab/>
      </w:r>
    </w:p>
    <w:p w14:paraId="199CF238">
      <w:pPr>
        <w:adjustRightInd w:val="0"/>
        <w:spacing w:line="360" w:lineRule="auto"/>
        <w:jc w:val="left"/>
        <w:rPr>
          <w:rFonts w:hint="eastAsia" w:ascii="宋体" w:hAnsi="宋体" w:cs="仿宋_GB2312"/>
          <w:color w:val="000000"/>
          <w:sz w:val="24"/>
        </w:rPr>
      </w:pPr>
    </w:p>
    <w:p w14:paraId="7B9A8597">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3BE41630">
      <w:pPr>
        <w:spacing w:line="500" w:lineRule="exact"/>
        <w:jc w:val="center"/>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0EE21FB1">
      <w:pPr>
        <w:widowControl/>
        <w:jc w:val="left"/>
        <w:rPr>
          <w:rFonts w:ascii="仿宋_GB2312" w:hAnsi="仿宋" w:eastAsia="仿宋_GB2312" w:cs="仿宋_GB2312"/>
          <w:kern w:val="0"/>
          <w:sz w:val="24"/>
          <w:lang w:val="zh-CN"/>
        </w:rPr>
        <w:sectPr>
          <w:pgSz w:w="11910" w:h="16840"/>
          <w:pgMar w:top="1340" w:right="1500" w:bottom="280" w:left="1680" w:header="720" w:footer="720" w:gutter="0"/>
          <w:pgNumType w:fmt="decimal"/>
          <w:cols w:space="720" w:num="1"/>
        </w:sectPr>
      </w:pPr>
    </w:p>
    <w:p w14:paraId="64A64051">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lang w:eastAsia="zh-CN"/>
        </w:rPr>
        <w:t>十</w:t>
      </w:r>
      <w:r>
        <w:rPr>
          <w:rFonts w:hint="eastAsia" w:ascii="仿宋" w:hAnsi="仿宋" w:eastAsia="仿宋" w:cs="仿宋_GB2312"/>
          <w:b/>
          <w:sz w:val="30"/>
          <w:szCs w:val="30"/>
        </w:rPr>
        <w:t>、</w:t>
      </w:r>
      <w:r>
        <w:rPr>
          <w:rFonts w:hint="eastAsia" w:ascii="仿宋" w:hAnsi="仿宋" w:eastAsia="仿宋" w:cs="仿宋_GB2312"/>
          <w:b/>
          <w:sz w:val="30"/>
          <w:szCs w:val="30"/>
          <w:lang w:eastAsia="zh-CN"/>
        </w:rPr>
        <w:t>工作管理规章制度及规范</w:t>
      </w:r>
    </w:p>
    <w:p w14:paraId="365AD284">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（由供应商根据采购需求及采购文件要求编制）</w:t>
      </w:r>
    </w:p>
    <w:p w14:paraId="448CA5CC">
      <w:pPr>
        <w:spacing w:line="500" w:lineRule="exact"/>
        <w:rPr>
          <w:rFonts w:hint="eastAsia" w:ascii="仿宋_GB2312" w:hAnsi="仿宋_GB2312" w:eastAsia="仿宋_GB2312" w:cs="仿宋_GB2312"/>
          <w:sz w:val="32"/>
          <w:szCs w:val="32"/>
        </w:rPr>
      </w:pPr>
    </w:p>
    <w:p w14:paraId="6C3E7DB1">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0FDB342A">
      <w:pPr>
        <w:autoSpaceDE w:val="0"/>
        <w:autoSpaceDN w:val="0"/>
        <w:spacing w:line="360" w:lineRule="auto"/>
        <w:ind w:firstLine="6480" w:firstLineChars="270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67042B1F">
      <w:pPr>
        <w:spacing w:line="500" w:lineRule="exact"/>
        <w:rPr>
          <w:rFonts w:hint="eastAsia" w:ascii="仿宋_GB2312" w:hAnsi="仿宋_GB2312" w:eastAsia="仿宋_GB2312" w:cs="仿宋_GB2312"/>
          <w:sz w:val="32"/>
          <w:szCs w:val="32"/>
        </w:rPr>
      </w:pPr>
    </w:p>
    <w:p w14:paraId="6E966DBB">
      <w:pPr>
        <w:snapToGrid w:val="0"/>
        <w:spacing w:before="120" w:beforeLines="50" w:after="50"/>
        <w:ind w:left="143" w:leftChars="68" w:firstLine="596" w:firstLineChars="198"/>
        <w:rPr>
          <w:rFonts w:hint="eastAsia" w:ascii="仿宋" w:hAnsi="仿宋" w:eastAsia="仿宋" w:cs="仿宋_GB2312"/>
          <w:b/>
          <w:sz w:val="30"/>
          <w:szCs w:val="30"/>
          <w:highlight w:val="none"/>
        </w:rPr>
      </w:pPr>
      <w:r>
        <w:rPr>
          <w:rFonts w:hint="eastAsia" w:ascii="仿宋" w:hAnsi="仿宋" w:eastAsia="仿宋" w:cs="仿宋_GB2312"/>
          <w:b/>
          <w:sz w:val="30"/>
          <w:szCs w:val="30"/>
          <w:highlight w:val="none"/>
          <w:lang w:eastAsia="zh-CN"/>
        </w:rPr>
        <w:t>十一</w:t>
      </w:r>
      <w:r>
        <w:rPr>
          <w:rFonts w:hint="eastAsia" w:ascii="仿宋" w:hAnsi="仿宋" w:eastAsia="仿宋" w:cs="仿宋_GB2312"/>
          <w:b/>
          <w:sz w:val="30"/>
          <w:szCs w:val="30"/>
          <w:highlight w:val="none"/>
        </w:rPr>
        <w:t>、服务方案</w:t>
      </w:r>
    </w:p>
    <w:p w14:paraId="6D7FE940">
      <w:pPr>
        <w:pStyle w:val="13"/>
        <w:spacing w:line="440" w:lineRule="exact"/>
        <w:ind w:firstLine="396" w:firstLineChars="198"/>
        <w:rPr>
          <w:rFonts w:hint="eastAsia" w:hAnsi="宋体"/>
        </w:rPr>
      </w:pPr>
    </w:p>
    <w:p w14:paraId="4E6B8A2D">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（由供应商根据采购需求及采购文件要求</w:t>
      </w:r>
      <w:r>
        <w:rPr>
          <w:rFonts w:hint="eastAsia" w:ascii="仿宋_GB2312" w:hAnsi="仿宋" w:eastAsia="仿宋_GB2312" w:cs="仿宋_GB2312"/>
          <w:sz w:val="24"/>
          <w:lang w:eastAsia="zh-CN"/>
        </w:rPr>
        <w:t>自行</w:t>
      </w:r>
      <w:r>
        <w:rPr>
          <w:rFonts w:hint="eastAsia" w:ascii="仿宋_GB2312" w:hAnsi="仿宋" w:eastAsia="仿宋_GB2312" w:cs="仿宋_GB2312"/>
          <w:sz w:val="24"/>
        </w:rPr>
        <w:t>编制）</w:t>
      </w:r>
    </w:p>
    <w:p w14:paraId="34D8CAE3">
      <w:pPr>
        <w:spacing w:line="500" w:lineRule="exact"/>
        <w:rPr>
          <w:rFonts w:hint="eastAsia" w:ascii="仿宋_GB2312" w:hAnsi="仿宋_GB2312" w:eastAsia="仿宋_GB2312" w:cs="仿宋_GB2312"/>
          <w:sz w:val="32"/>
          <w:szCs w:val="32"/>
        </w:rPr>
      </w:pPr>
    </w:p>
    <w:p w14:paraId="2DC91AA5">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62A9DED5">
      <w:pPr>
        <w:snapToGrid w:val="0"/>
        <w:spacing w:line="360" w:lineRule="auto"/>
        <w:ind w:firstLine="6120" w:firstLineChars="25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7932178D">
      <w:pPr>
        <w:snapToGrid w:val="0"/>
        <w:spacing w:line="360" w:lineRule="auto"/>
        <w:ind w:firstLine="602" w:firstLineChars="200"/>
        <w:rPr>
          <w:rFonts w:hint="eastAsia" w:ascii="仿宋" w:hAnsi="仿宋" w:eastAsia="仿宋" w:cs="仿宋_GB2312"/>
          <w:b/>
          <w:sz w:val="30"/>
          <w:szCs w:val="30"/>
        </w:rPr>
      </w:pPr>
    </w:p>
    <w:p w14:paraId="32A6DF84">
      <w:pPr>
        <w:numPr>
          <w:ilvl w:val="0"/>
          <w:numId w:val="0"/>
        </w:numPr>
        <w:snapToGrid w:val="0"/>
        <w:spacing w:line="360" w:lineRule="auto"/>
        <w:rPr>
          <w:rFonts w:hint="eastAsia" w:ascii="仿宋" w:hAnsi="仿宋" w:eastAsia="仿宋" w:cs="仿宋_GB2312"/>
          <w:b/>
          <w:sz w:val="30"/>
          <w:szCs w:val="30"/>
          <w:lang w:val="en-US" w:eastAsia="zh-CN"/>
        </w:rPr>
      </w:pPr>
      <w:r>
        <w:rPr>
          <w:rFonts w:hint="eastAsia" w:ascii="仿宋" w:hAnsi="仿宋" w:eastAsia="仿宋" w:cs="仿宋_GB2312"/>
          <w:b/>
          <w:sz w:val="30"/>
          <w:szCs w:val="30"/>
          <w:lang w:val="en-US" w:eastAsia="zh-CN"/>
        </w:rPr>
        <w:t>十二、应急事件处理方案</w:t>
      </w:r>
    </w:p>
    <w:p w14:paraId="6B9EBD34">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（由供应商根据采购需求及采购文件要求</w:t>
      </w:r>
      <w:r>
        <w:rPr>
          <w:rFonts w:hint="eastAsia" w:ascii="仿宋_GB2312" w:hAnsi="仿宋" w:eastAsia="仿宋_GB2312" w:cs="仿宋_GB2312"/>
          <w:sz w:val="24"/>
          <w:lang w:eastAsia="zh-CN"/>
        </w:rPr>
        <w:t>自行</w:t>
      </w:r>
      <w:r>
        <w:rPr>
          <w:rFonts w:hint="eastAsia" w:ascii="仿宋_GB2312" w:hAnsi="仿宋" w:eastAsia="仿宋_GB2312" w:cs="仿宋_GB2312"/>
          <w:sz w:val="24"/>
        </w:rPr>
        <w:t>编制）</w:t>
      </w:r>
    </w:p>
    <w:p w14:paraId="096725A1">
      <w:pPr>
        <w:autoSpaceDE w:val="0"/>
        <w:autoSpaceDN w:val="0"/>
        <w:spacing w:line="360" w:lineRule="auto"/>
        <w:jc w:val="center"/>
        <w:rPr>
          <w:rFonts w:hint="eastAsia" w:ascii="仿宋_GB2312" w:hAnsi="仿宋" w:eastAsia="仿宋_GB2312" w:cs="仿宋_GB2312"/>
          <w:sz w:val="24"/>
        </w:rPr>
      </w:pPr>
    </w:p>
    <w:p w14:paraId="450A4975">
      <w:pPr>
        <w:autoSpaceDE w:val="0"/>
        <w:autoSpaceDN w:val="0"/>
        <w:spacing w:line="360" w:lineRule="auto"/>
        <w:ind w:left="4335" w:leftChars="1950" w:hanging="240" w:hangingChars="100"/>
        <w:jc w:val="both"/>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38202E03">
      <w:pPr>
        <w:numPr>
          <w:ilvl w:val="0"/>
          <w:numId w:val="0"/>
        </w:numPr>
        <w:autoSpaceDE w:val="0"/>
        <w:autoSpaceDN w:val="0"/>
        <w:spacing w:line="360" w:lineRule="auto"/>
        <w:jc w:val="center"/>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en-US" w:eastAsia="zh-CN"/>
        </w:rPr>
        <w:t xml:space="preserve">                                                 </w:t>
      </w:r>
      <w:r>
        <w:rPr>
          <w:rFonts w:hint="eastAsia" w:ascii="仿宋_GB2312" w:hAnsi="仿宋" w:eastAsia="仿宋_GB2312" w:cs="仿宋_GB2312"/>
          <w:kern w:val="0"/>
          <w:sz w:val="24"/>
          <w:lang w:val="zh-CN"/>
        </w:rPr>
        <w:t>日期：  年  月   日</w:t>
      </w:r>
    </w:p>
    <w:p w14:paraId="124200D8">
      <w:pPr>
        <w:numPr>
          <w:ilvl w:val="0"/>
          <w:numId w:val="0"/>
        </w:numPr>
        <w:snapToGrid w:val="0"/>
        <w:spacing w:line="360" w:lineRule="auto"/>
        <w:rPr>
          <w:rFonts w:hint="eastAsia" w:ascii="仿宋" w:hAnsi="仿宋" w:eastAsia="仿宋" w:cs="仿宋_GB2312"/>
          <w:b/>
          <w:sz w:val="30"/>
          <w:szCs w:val="30"/>
          <w:lang w:val="zh-CN" w:eastAsia="zh-CN"/>
        </w:rPr>
      </w:pPr>
      <w:r>
        <w:rPr>
          <w:rFonts w:hint="eastAsia" w:ascii="仿宋" w:hAnsi="仿宋" w:eastAsia="仿宋" w:cs="仿宋_GB2312"/>
          <w:b/>
          <w:sz w:val="30"/>
          <w:szCs w:val="30"/>
          <w:lang w:val="zh-CN" w:eastAsia="zh-CN"/>
        </w:rPr>
        <w:t>十三、人员培训方案</w:t>
      </w:r>
    </w:p>
    <w:p w14:paraId="28BFD0B6">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（由供应商根据采购需求及采购文件要求</w:t>
      </w:r>
      <w:r>
        <w:rPr>
          <w:rFonts w:hint="eastAsia" w:ascii="仿宋_GB2312" w:hAnsi="仿宋" w:eastAsia="仿宋_GB2312" w:cs="仿宋_GB2312"/>
          <w:sz w:val="24"/>
          <w:lang w:eastAsia="zh-CN"/>
        </w:rPr>
        <w:t>自行</w:t>
      </w:r>
      <w:r>
        <w:rPr>
          <w:rFonts w:hint="eastAsia" w:ascii="仿宋_GB2312" w:hAnsi="仿宋" w:eastAsia="仿宋_GB2312" w:cs="仿宋_GB2312"/>
          <w:sz w:val="24"/>
        </w:rPr>
        <w:t>编制）</w:t>
      </w:r>
    </w:p>
    <w:p w14:paraId="28C78DE6">
      <w:pPr>
        <w:autoSpaceDE w:val="0"/>
        <w:autoSpaceDN w:val="0"/>
        <w:spacing w:line="360" w:lineRule="auto"/>
        <w:jc w:val="center"/>
        <w:rPr>
          <w:rFonts w:hint="eastAsia" w:ascii="仿宋_GB2312" w:hAnsi="仿宋" w:eastAsia="仿宋_GB2312" w:cs="仿宋_GB2312"/>
          <w:sz w:val="24"/>
        </w:rPr>
      </w:pPr>
    </w:p>
    <w:p w14:paraId="7ED160A4">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443662D9">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7EA8EA97">
      <w:pPr>
        <w:autoSpaceDE w:val="0"/>
        <w:autoSpaceDN w:val="0"/>
        <w:spacing w:line="360" w:lineRule="auto"/>
        <w:ind w:firstLine="6480" w:firstLineChars="2700"/>
        <w:rPr>
          <w:rFonts w:hint="eastAsia" w:ascii="仿宋_GB2312" w:hAnsi="仿宋" w:eastAsia="仿宋_GB2312" w:cs="仿宋_GB2312"/>
          <w:kern w:val="0"/>
          <w:sz w:val="24"/>
          <w:lang w:val="zh-CN"/>
        </w:rPr>
      </w:pPr>
    </w:p>
    <w:p w14:paraId="72981204">
      <w:pPr>
        <w:numPr>
          <w:ilvl w:val="0"/>
          <w:numId w:val="0"/>
        </w:numPr>
        <w:snapToGrid w:val="0"/>
        <w:spacing w:line="360" w:lineRule="auto"/>
        <w:rPr>
          <w:rFonts w:hint="eastAsia" w:ascii="仿宋" w:hAnsi="仿宋" w:eastAsia="仿宋" w:cs="仿宋_GB2312"/>
          <w:b/>
          <w:sz w:val="30"/>
          <w:szCs w:val="30"/>
          <w:lang w:val="zh-CN"/>
        </w:rPr>
      </w:pPr>
      <w:r>
        <w:rPr>
          <w:rFonts w:hint="eastAsia" w:ascii="仿宋" w:hAnsi="仿宋" w:eastAsia="仿宋" w:cs="仿宋_GB2312"/>
          <w:b/>
          <w:sz w:val="30"/>
          <w:szCs w:val="30"/>
          <w:lang w:val="en-US" w:eastAsia="zh-CN"/>
        </w:rPr>
        <w:t>十四、人员</w:t>
      </w:r>
      <w:r>
        <w:rPr>
          <w:rFonts w:hint="eastAsia" w:ascii="仿宋" w:hAnsi="仿宋" w:eastAsia="仿宋" w:cs="仿宋_GB2312"/>
          <w:b/>
          <w:sz w:val="30"/>
          <w:szCs w:val="30"/>
          <w:lang w:val="zh-CN"/>
        </w:rPr>
        <w:t>稳定</w:t>
      </w:r>
      <w:r>
        <w:rPr>
          <w:rFonts w:hint="eastAsia" w:ascii="仿宋" w:hAnsi="仿宋" w:eastAsia="仿宋" w:cs="仿宋_GB2312"/>
          <w:b/>
          <w:sz w:val="30"/>
          <w:szCs w:val="30"/>
          <w:lang w:val="en-US" w:eastAsia="zh-CN"/>
        </w:rPr>
        <w:t>保障</w:t>
      </w:r>
      <w:r>
        <w:rPr>
          <w:rFonts w:hint="eastAsia" w:ascii="仿宋" w:hAnsi="仿宋" w:eastAsia="仿宋" w:cs="仿宋_GB2312"/>
          <w:b/>
          <w:sz w:val="30"/>
          <w:szCs w:val="30"/>
          <w:lang w:val="zh-CN"/>
        </w:rPr>
        <w:t>的措施</w:t>
      </w:r>
    </w:p>
    <w:p w14:paraId="3D8481E6">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（由供应商根据采购需求及采购文件要求</w:t>
      </w:r>
      <w:r>
        <w:rPr>
          <w:rFonts w:hint="eastAsia" w:ascii="仿宋_GB2312" w:hAnsi="仿宋" w:eastAsia="仿宋_GB2312" w:cs="仿宋_GB2312"/>
          <w:sz w:val="24"/>
          <w:lang w:eastAsia="zh-CN"/>
        </w:rPr>
        <w:t>自行</w:t>
      </w:r>
      <w:r>
        <w:rPr>
          <w:rFonts w:hint="eastAsia" w:ascii="仿宋_GB2312" w:hAnsi="仿宋" w:eastAsia="仿宋_GB2312" w:cs="仿宋_GB2312"/>
          <w:sz w:val="24"/>
        </w:rPr>
        <w:t>编制）</w:t>
      </w:r>
    </w:p>
    <w:p w14:paraId="2538CEF0">
      <w:pPr>
        <w:widowControl w:val="0"/>
        <w:numPr>
          <w:ilvl w:val="0"/>
          <w:numId w:val="0"/>
        </w:numPr>
        <w:snapToGrid w:val="0"/>
        <w:spacing w:line="360" w:lineRule="auto"/>
        <w:jc w:val="both"/>
        <w:rPr>
          <w:rFonts w:hint="eastAsia" w:ascii="仿宋" w:hAnsi="仿宋" w:eastAsia="仿宋" w:cs="仿宋_GB2312"/>
          <w:b/>
          <w:sz w:val="30"/>
          <w:szCs w:val="30"/>
          <w:lang w:val="zh-CN"/>
        </w:rPr>
      </w:pPr>
    </w:p>
    <w:p w14:paraId="2791EFBB">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0744950F">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3DA9644B">
      <w:pPr>
        <w:widowControl w:val="0"/>
        <w:numPr>
          <w:ilvl w:val="0"/>
          <w:numId w:val="0"/>
        </w:numPr>
        <w:snapToGrid w:val="0"/>
        <w:spacing w:line="360" w:lineRule="auto"/>
        <w:jc w:val="both"/>
        <w:rPr>
          <w:rFonts w:hint="eastAsia" w:ascii="仿宋" w:hAnsi="仿宋" w:eastAsia="仿宋" w:cs="仿宋_GB2312"/>
          <w:b/>
          <w:sz w:val="30"/>
          <w:szCs w:val="30"/>
          <w:lang w:val="zh-CN"/>
        </w:rPr>
      </w:pPr>
    </w:p>
    <w:p w14:paraId="160171DB">
      <w:pPr>
        <w:widowControl w:val="0"/>
        <w:numPr>
          <w:ilvl w:val="0"/>
          <w:numId w:val="0"/>
        </w:numPr>
        <w:snapToGrid w:val="0"/>
        <w:spacing w:line="360" w:lineRule="auto"/>
        <w:ind w:leftChars="200"/>
        <w:jc w:val="both"/>
        <w:rPr>
          <w:rFonts w:hint="eastAsia" w:ascii="仿宋" w:hAnsi="仿宋" w:eastAsia="仿宋" w:cs="仿宋_GB2312"/>
          <w:b/>
          <w:sz w:val="30"/>
          <w:szCs w:val="30"/>
          <w:lang w:val="zh-CN"/>
        </w:rPr>
      </w:pPr>
      <w:r>
        <w:rPr>
          <w:rFonts w:hint="eastAsia" w:ascii="仿宋" w:hAnsi="仿宋" w:eastAsia="仿宋" w:cs="仿宋_GB2312"/>
          <w:b/>
          <w:sz w:val="30"/>
          <w:szCs w:val="30"/>
          <w:lang w:val="zh-CN"/>
        </w:rPr>
        <w:t>十五、服务承诺</w:t>
      </w:r>
    </w:p>
    <w:p w14:paraId="37DEF50E">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（由供应商根据采购需求及采购文件要求</w:t>
      </w:r>
      <w:r>
        <w:rPr>
          <w:rFonts w:hint="eastAsia" w:ascii="仿宋_GB2312" w:hAnsi="仿宋" w:eastAsia="仿宋_GB2312" w:cs="仿宋_GB2312"/>
          <w:sz w:val="24"/>
          <w:lang w:eastAsia="zh-CN"/>
        </w:rPr>
        <w:t>自行</w:t>
      </w:r>
      <w:r>
        <w:rPr>
          <w:rFonts w:hint="eastAsia" w:ascii="仿宋_GB2312" w:hAnsi="仿宋" w:eastAsia="仿宋_GB2312" w:cs="仿宋_GB2312"/>
          <w:sz w:val="24"/>
        </w:rPr>
        <w:t>编制）</w:t>
      </w:r>
    </w:p>
    <w:p w14:paraId="0566F964">
      <w:pPr>
        <w:widowControl w:val="0"/>
        <w:numPr>
          <w:ilvl w:val="0"/>
          <w:numId w:val="0"/>
        </w:numPr>
        <w:snapToGrid w:val="0"/>
        <w:spacing w:line="360" w:lineRule="auto"/>
        <w:ind w:leftChars="200"/>
        <w:jc w:val="both"/>
        <w:rPr>
          <w:rFonts w:hint="eastAsia" w:ascii="仿宋" w:hAnsi="仿宋" w:eastAsia="仿宋" w:cs="仿宋_GB2312"/>
          <w:b/>
          <w:sz w:val="30"/>
          <w:szCs w:val="30"/>
          <w:lang w:val="zh-CN"/>
        </w:rPr>
      </w:pPr>
    </w:p>
    <w:p w14:paraId="59FEFF9B">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0B76A7DA">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387D874E">
      <w:pPr>
        <w:widowControl w:val="0"/>
        <w:numPr>
          <w:ilvl w:val="0"/>
          <w:numId w:val="0"/>
        </w:numPr>
        <w:snapToGrid w:val="0"/>
        <w:spacing w:line="360" w:lineRule="auto"/>
        <w:ind w:leftChars="200"/>
        <w:jc w:val="both"/>
        <w:rPr>
          <w:rFonts w:hint="eastAsia" w:ascii="仿宋" w:hAnsi="仿宋" w:eastAsia="仿宋" w:cs="仿宋_GB2312"/>
          <w:b/>
          <w:sz w:val="30"/>
          <w:szCs w:val="30"/>
          <w:lang w:val="zh-CN"/>
        </w:rPr>
        <w:sectPr>
          <w:pgSz w:w="11910" w:h="16840"/>
          <w:pgMar w:top="1340" w:right="1500" w:bottom="280" w:left="1680" w:header="720" w:footer="720" w:gutter="0"/>
          <w:pgNumType w:fmt="decimal"/>
          <w:cols w:space="720" w:num="1"/>
        </w:sectPr>
      </w:pPr>
    </w:p>
    <w:p w14:paraId="74E8110D">
      <w:pPr>
        <w:snapToGrid w:val="0"/>
        <w:spacing w:line="360" w:lineRule="auto"/>
        <w:rPr>
          <w:rFonts w:hint="eastAsia" w:ascii="仿宋" w:hAnsi="仿宋" w:eastAsia="仿宋" w:cs="仿宋_GB2312"/>
          <w:b/>
          <w:sz w:val="30"/>
          <w:szCs w:val="30"/>
        </w:rPr>
      </w:pPr>
      <w:r>
        <w:rPr>
          <w:rFonts w:hint="eastAsia" w:ascii="仿宋" w:hAnsi="仿宋" w:eastAsia="仿宋" w:cs="仿宋_GB2312"/>
          <w:b/>
          <w:sz w:val="30"/>
          <w:szCs w:val="30"/>
        </w:rPr>
        <w:t>十</w:t>
      </w:r>
      <w:r>
        <w:rPr>
          <w:rFonts w:hint="eastAsia" w:ascii="仿宋" w:hAnsi="仿宋" w:eastAsia="仿宋" w:cs="仿宋_GB2312"/>
          <w:b/>
          <w:sz w:val="30"/>
          <w:szCs w:val="30"/>
          <w:lang w:eastAsia="zh-CN"/>
        </w:rPr>
        <w:t>六</w:t>
      </w:r>
      <w:r>
        <w:rPr>
          <w:rFonts w:hint="eastAsia" w:ascii="仿宋" w:hAnsi="仿宋" w:eastAsia="仿宋" w:cs="仿宋_GB2312"/>
          <w:b/>
          <w:sz w:val="30"/>
          <w:szCs w:val="30"/>
        </w:rPr>
        <w:t>、</w:t>
      </w:r>
      <w:r>
        <w:rPr>
          <w:rFonts w:hint="eastAsia" w:ascii="仿宋_GB2312" w:hAnsi="仿宋_GB2312" w:eastAsia="仿宋_GB2312" w:cs="仿宋_GB2312"/>
          <w:b/>
          <w:bCs/>
          <w:sz w:val="32"/>
          <w:szCs w:val="32"/>
          <w:lang w:eastAsia="zh-CN"/>
        </w:rPr>
        <w:t>投标人认为需要提供的其他证明材料</w:t>
      </w:r>
    </w:p>
    <w:p w14:paraId="20F5C477">
      <w:pPr>
        <w:autoSpaceDE w:val="0"/>
        <w:autoSpaceDN w:val="0"/>
        <w:spacing w:line="360" w:lineRule="auto"/>
        <w:ind w:left="4335" w:leftChars="1950" w:hanging="240" w:hangingChars="100"/>
        <w:rPr>
          <w:rFonts w:hint="eastAsia" w:ascii="仿宋_GB2312" w:hAnsi="仿宋" w:eastAsia="仿宋_GB2312" w:cs="仿宋_GB2312"/>
          <w:kern w:val="0"/>
          <w:sz w:val="24"/>
        </w:rPr>
      </w:pPr>
    </w:p>
    <w:p w14:paraId="19562460">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38D70B88">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4D343822">
      <w:pPr>
        <w:widowControl/>
        <w:spacing w:line="360" w:lineRule="auto"/>
        <w:jc w:val="left"/>
        <w:rPr>
          <w:rFonts w:ascii="仿宋_GB2312" w:hAnsi="仿宋" w:eastAsia="仿宋_GB2312" w:cs="仿宋_GB2312"/>
          <w:b/>
          <w:bCs/>
          <w:sz w:val="24"/>
        </w:rPr>
        <w:sectPr>
          <w:pgSz w:w="11910" w:h="16840"/>
          <w:pgMar w:top="1340" w:right="1500" w:bottom="280" w:left="1680" w:header="720" w:footer="720" w:gutter="0"/>
          <w:pgNumType w:fmt="decimal"/>
          <w:cols w:space="720" w:num="1"/>
        </w:sectPr>
      </w:pPr>
    </w:p>
    <w:p w14:paraId="5DBBAF0D">
      <w:pPr>
        <w:autoSpaceDE w:val="0"/>
        <w:autoSpaceDN w:val="0"/>
        <w:spacing w:line="360" w:lineRule="auto"/>
        <w:ind w:firstLine="6505" w:firstLineChars="2700"/>
        <w:rPr>
          <w:rFonts w:hint="eastAsia" w:ascii="仿宋_GB2312" w:hAnsi="仿宋" w:eastAsia="仿宋_GB2312" w:cs="仿宋_GB2312"/>
          <w:b/>
          <w:bCs/>
          <w:sz w:val="24"/>
        </w:rPr>
      </w:pPr>
    </w:p>
    <w:p w14:paraId="63C3AA65">
      <w:pPr>
        <w:pStyle w:val="3"/>
        <w:jc w:val="center"/>
        <w:rPr>
          <w:rFonts w:hint="eastAsia" w:ascii="宋体" w:hAnsi="宋体" w:cs="宋体"/>
        </w:rPr>
      </w:pPr>
      <w:bookmarkStart w:id="95" w:name="_Toc80205941"/>
      <w:bookmarkStart w:id="96" w:name="_Toc80886945"/>
      <w:r>
        <w:rPr>
          <w:rFonts w:hint="eastAsia" w:ascii="宋体" w:hAnsi="宋体"/>
        </w:rPr>
        <w:t>第四节 报价文件格式</w:t>
      </w:r>
      <w:bookmarkEnd w:id="95"/>
      <w:bookmarkEnd w:id="96"/>
    </w:p>
    <w:p w14:paraId="1C5B67A8">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14:paraId="167B8CDA">
      <w:pPr>
        <w:snapToGrid w:val="0"/>
        <w:spacing w:before="120" w:beforeLines="50" w:after="50"/>
        <w:rPr>
          <w:rFonts w:hint="eastAsia" w:ascii="宋体" w:hAnsi="宋体"/>
          <w:sz w:val="24"/>
          <w:szCs w:val="20"/>
        </w:rPr>
      </w:pPr>
    </w:p>
    <w:p w14:paraId="0645ED19">
      <w:pPr>
        <w:snapToGrid w:val="0"/>
        <w:spacing w:before="120" w:beforeLines="50" w:after="50"/>
        <w:rPr>
          <w:rFonts w:hint="eastAsia" w:ascii="宋体" w:hAnsi="宋体"/>
          <w:sz w:val="24"/>
          <w:szCs w:val="20"/>
        </w:rPr>
      </w:pPr>
    </w:p>
    <w:p w14:paraId="1D8E77F5">
      <w:pPr>
        <w:snapToGrid w:val="0"/>
        <w:spacing w:before="120" w:beforeLines="50" w:after="50"/>
        <w:rPr>
          <w:rFonts w:hint="eastAsia" w:ascii="宋体" w:hAnsi="宋体"/>
          <w:sz w:val="24"/>
          <w:szCs w:val="20"/>
        </w:rPr>
      </w:pPr>
    </w:p>
    <w:p w14:paraId="6A65E8C7">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  价  文  件（封面）</w:t>
      </w:r>
    </w:p>
    <w:p w14:paraId="563002E0">
      <w:pPr>
        <w:snapToGrid w:val="0"/>
        <w:spacing w:before="120" w:beforeLines="50" w:after="50"/>
        <w:rPr>
          <w:rFonts w:hint="eastAsia" w:ascii="宋体" w:hAnsi="宋体"/>
          <w:bCs/>
          <w:sz w:val="24"/>
          <w:szCs w:val="20"/>
        </w:rPr>
      </w:pPr>
    </w:p>
    <w:p w14:paraId="318A0015">
      <w:pPr>
        <w:snapToGrid w:val="0"/>
        <w:spacing w:before="120" w:beforeLines="50" w:after="50"/>
        <w:rPr>
          <w:rFonts w:hint="eastAsia" w:ascii="宋体" w:hAnsi="宋体"/>
          <w:bCs/>
          <w:sz w:val="24"/>
          <w:szCs w:val="20"/>
        </w:rPr>
      </w:pPr>
    </w:p>
    <w:p w14:paraId="2CBB0916">
      <w:pPr>
        <w:snapToGrid w:val="0"/>
        <w:spacing w:before="120" w:beforeLines="50" w:after="50"/>
        <w:rPr>
          <w:rFonts w:hint="eastAsia" w:ascii="宋体" w:hAnsi="宋体"/>
          <w:bCs/>
          <w:sz w:val="24"/>
          <w:szCs w:val="20"/>
        </w:rPr>
      </w:pPr>
    </w:p>
    <w:p w14:paraId="06ECDD9D">
      <w:pPr>
        <w:snapToGrid w:val="0"/>
        <w:spacing w:before="120" w:beforeLines="50" w:after="50"/>
        <w:rPr>
          <w:rFonts w:hint="eastAsia" w:ascii="宋体" w:hAnsi="宋体"/>
          <w:bCs/>
          <w:sz w:val="24"/>
          <w:szCs w:val="20"/>
        </w:rPr>
      </w:pPr>
    </w:p>
    <w:p w14:paraId="12B8E8C8">
      <w:pPr>
        <w:snapToGrid w:val="0"/>
        <w:spacing w:before="120" w:beforeLines="50" w:after="50"/>
        <w:rPr>
          <w:rFonts w:hint="eastAsia" w:ascii="宋体" w:hAnsi="宋体"/>
          <w:bCs/>
          <w:sz w:val="24"/>
          <w:szCs w:val="20"/>
        </w:rPr>
      </w:pPr>
    </w:p>
    <w:p w14:paraId="14AB01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宋体" w:hAnsi="宋体" w:cs="仿宋_GB2312"/>
          <w:bCs/>
          <w:sz w:val="32"/>
          <w:szCs w:val="32"/>
        </w:rPr>
      </w:pPr>
      <w:r>
        <w:rPr>
          <w:rFonts w:hint="eastAsia" w:ascii="宋体" w:hAnsi="宋体" w:eastAsia="宋体" w:cs="仿宋_GB2312"/>
          <w:b w:val="0"/>
          <w:bCs/>
          <w:kern w:val="2"/>
          <w:sz w:val="32"/>
          <w:szCs w:val="32"/>
          <w:lang w:val="en-US" w:eastAsia="zh-CN" w:bidi="ar-SA"/>
        </w:rPr>
        <w:t>项目名称：</w:t>
      </w:r>
      <w:r>
        <w:rPr>
          <w:rFonts w:hint="eastAsia" w:ascii="宋体" w:hAnsi="宋体" w:cs="仿宋_GB2312"/>
          <w:b w:val="0"/>
          <w:bCs/>
          <w:kern w:val="2"/>
          <w:sz w:val="32"/>
          <w:szCs w:val="32"/>
          <w:lang w:val="en-US" w:eastAsia="zh-CN" w:bidi="ar-SA"/>
        </w:rPr>
        <w:t>上林县委县政府机关大院物业服务项目(重)</w:t>
      </w:r>
    </w:p>
    <w:p w14:paraId="03B71008">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项目编号：</w:t>
      </w:r>
      <w:r>
        <w:rPr>
          <w:rFonts w:hint="eastAsia" w:ascii="宋体" w:hAnsi="宋体" w:cs="仿宋_GB2312"/>
          <w:b w:val="0"/>
          <w:bCs/>
          <w:kern w:val="2"/>
          <w:sz w:val="32"/>
          <w:szCs w:val="32"/>
          <w:lang w:val="en-US" w:eastAsia="zh-CN" w:bidi="ar-SA"/>
        </w:rPr>
        <w:t>NNZC2026-C3-250033-SLXZ</w:t>
      </w:r>
      <w:r>
        <w:rPr>
          <w:rFonts w:hint="eastAsia" w:ascii="宋体" w:hAnsi="宋体" w:cs="仿宋_GB2312"/>
          <w:bCs/>
          <w:sz w:val="32"/>
          <w:szCs w:val="32"/>
        </w:rPr>
        <w:t xml:space="preserve"> </w:t>
      </w:r>
    </w:p>
    <w:p w14:paraId="5DE0EE6D">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14:paraId="5FB42728">
      <w:pPr>
        <w:snapToGrid w:val="0"/>
        <w:spacing w:before="120" w:beforeLines="50" w:after="50"/>
        <w:ind w:firstLine="720" w:firstLineChars="225"/>
        <w:rPr>
          <w:rFonts w:hint="eastAsia" w:ascii="宋体" w:hAnsi="宋体" w:cs="仿宋_GB2312"/>
          <w:bCs/>
          <w:sz w:val="32"/>
          <w:szCs w:val="32"/>
        </w:rPr>
      </w:pPr>
    </w:p>
    <w:p w14:paraId="6D6C58B7">
      <w:pPr>
        <w:pStyle w:val="6"/>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29709FF2">
      <w:pPr>
        <w:pStyle w:val="6"/>
        <w:snapToGrid w:val="0"/>
        <w:spacing w:before="50" w:after="50"/>
        <w:ind w:firstLine="720" w:firstLineChars="225"/>
        <w:rPr>
          <w:rFonts w:hint="eastAsia" w:ascii="宋体" w:hAnsi="宋体" w:cs="仿宋_GB2312"/>
          <w:bCs/>
          <w:sz w:val="32"/>
          <w:szCs w:val="32"/>
        </w:rPr>
      </w:pPr>
    </w:p>
    <w:p w14:paraId="7278DD21">
      <w:pPr>
        <w:pStyle w:val="6"/>
        <w:snapToGrid w:val="0"/>
        <w:spacing w:before="50" w:after="50"/>
        <w:ind w:firstLine="720" w:firstLineChars="225"/>
        <w:rPr>
          <w:rFonts w:hint="eastAsia" w:ascii="宋体" w:hAnsi="宋体" w:cs="仿宋_GB2312"/>
          <w:bCs/>
          <w:sz w:val="32"/>
          <w:szCs w:val="32"/>
        </w:rPr>
      </w:pPr>
    </w:p>
    <w:p w14:paraId="4A7A68E9">
      <w:pPr>
        <w:pStyle w:val="6"/>
        <w:snapToGrid w:val="0"/>
        <w:spacing w:before="50" w:after="50"/>
        <w:ind w:firstLine="1280" w:firstLineChars="400"/>
        <w:rPr>
          <w:rFonts w:hint="eastAsia" w:ascii="宋体" w:hAnsi="宋体" w:cs="仿宋_GB2312"/>
          <w:bCs/>
          <w:sz w:val="32"/>
          <w:szCs w:val="32"/>
        </w:rPr>
      </w:pPr>
    </w:p>
    <w:p w14:paraId="706D8823">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2D38EE01">
      <w:pPr>
        <w:snapToGrid w:val="0"/>
        <w:spacing w:before="120" w:beforeLines="50" w:after="50" w:line="400" w:lineRule="exact"/>
        <w:jc w:val="center"/>
        <w:rPr>
          <w:rFonts w:hint="eastAsia" w:ascii="宋体" w:hAnsi="宋体"/>
          <w:b/>
          <w:bCs/>
          <w:color w:val="000000"/>
          <w:sz w:val="32"/>
          <w:szCs w:val="32"/>
        </w:rPr>
      </w:pPr>
      <w:r>
        <w:rPr>
          <w:rFonts w:hint="eastAsia" w:ascii="宋体" w:hAnsi="宋体"/>
          <w:sz w:val="24"/>
        </w:rPr>
        <w:br w:type="page"/>
      </w:r>
      <w:r>
        <w:rPr>
          <w:rFonts w:hint="eastAsia" w:ascii="宋体" w:hAnsi="宋体"/>
          <w:b/>
          <w:bCs/>
          <w:color w:val="000000"/>
          <w:sz w:val="32"/>
          <w:szCs w:val="32"/>
        </w:rPr>
        <w:t>报价文件目录</w:t>
      </w:r>
    </w:p>
    <w:p w14:paraId="77EA7513">
      <w:pPr>
        <w:rPr>
          <w:rFonts w:hint="eastAsia" w:ascii="宋体" w:hAnsi="宋体" w:cs="宋体"/>
        </w:rPr>
      </w:pPr>
    </w:p>
    <w:p w14:paraId="3B7DB827">
      <w:pPr>
        <w:rPr>
          <w:rFonts w:hint="eastAsia" w:ascii="仿宋_GB2312" w:hAnsi="仿宋" w:eastAsia="仿宋_GB2312" w:cs="仿宋_GB2312"/>
          <w:kern w:val="0"/>
          <w:sz w:val="24"/>
        </w:rPr>
      </w:pPr>
      <w:r>
        <w:rPr>
          <w:rFonts w:hint="eastAsia" w:ascii="仿宋_GB2312" w:hAnsi="仿宋" w:eastAsia="仿宋_GB2312" w:cs="仿宋_GB2312"/>
          <w:kern w:val="0"/>
          <w:sz w:val="24"/>
        </w:rPr>
        <w:t>一、响应函………………………………………………………（页码）</w:t>
      </w:r>
    </w:p>
    <w:p w14:paraId="5DBE23E9">
      <w:pPr>
        <w:rPr>
          <w:rFonts w:hint="eastAsia" w:ascii="仿宋_GB2312" w:hAnsi="仿宋" w:eastAsia="仿宋_GB2312" w:cs="仿宋_GB2312"/>
          <w:kern w:val="0"/>
          <w:sz w:val="24"/>
        </w:rPr>
      </w:pPr>
      <w:r>
        <w:rPr>
          <w:rFonts w:hint="eastAsia" w:ascii="仿宋_GB2312" w:hAnsi="仿宋" w:eastAsia="仿宋_GB2312" w:cs="仿宋_GB2312"/>
          <w:kern w:val="0"/>
          <w:sz w:val="24"/>
        </w:rPr>
        <w:t>二、响应报价表…………………………………………………（页码）</w:t>
      </w:r>
    </w:p>
    <w:p w14:paraId="56B8CABC">
      <w:pPr>
        <w:spacing w:line="360" w:lineRule="auto"/>
        <w:rPr>
          <w:rFonts w:hint="eastAsia" w:ascii="仿宋_GB2312" w:hAnsi="仿宋" w:eastAsia="仿宋_GB2312" w:cs="仿宋_GB2312"/>
          <w:sz w:val="24"/>
        </w:rPr>
      </w:pPr>
      <w:r>
        <w:rPr>
          <w:rFonts w:hint="eastAsia" w:ascii="仿宋_GB2312" w:hAnsi="仿宋" w:eastAsia="仿宋_GB2312" w:cs="仿宋_GB2312"/>
          <w:kern w:val="0"/>
          <w:sz w:val="24"/>
        </w:rPr>
        <w:t>三、投标人针对报价需要说明的其他文件和说明……………（页码）</w:t>
      </w:r>
    </w:p>
    <w:p w14:paraId="0D63ECCC">
      <w:pPr>
        <w:snapToGrid w:val="0"/>
        <w:spacing w:before="120" w:beforeLines="50" w:after="50" w:line="360" w:lineRule="auto"/>
        <w:ind w:left="142" w:firstLine="640" w:firstLineChars="200"/>
        <w:jc w:val="left"/>
        <w:rPr>
          <w:rFonts w:hint="eastAsia" w:ascii="仿宋_GB2312" w:hAnsi="仿宋_GB2312" w:eastAsia="仿宋_GB2312" w:cs="仿宋_GB2312"/>
          <w:sz w:val="32"/>
          <w:szCs w:val="32"/>
        </w:rPr>
      </w:pPr>
    </w:p>
    <w:p w14:paraId="5F1CEAB4">
      <w:pPr>
        <w:snapToGrid w:val="0"/>
        <w:spacing w:before="120" w:beforeLines="50" w:after="50" w:line="360" w:lineRule="auto"/>
        <w:ind w:left="142" w:firstLine="480" w:firstLineChars="200"/>
        <w:jc w:val="left"/>
        <w:rPr>
          <w:rFonts w:hint="eastAsia" w:hAnsi="宋体" w:cs="仿宋_GB2312"/>
          <w:sz w:val="24"/>
        </w:rPr>
      </w:pPr>
      <w:r>
        <w:rPr>
          <w:rFonts w:hAnsi="宋体" w:cs="仿宋_GB2312"/>
          <w:sz w:val="24"/>
        </w:rPr>
        <w:br w:type="page"/>
      </w:r>
      <w:r>
        <w:rPr>
          <w:rFonts w:hint="eastAsia" w:hAnsi="宋体"/>
          <w:b/>
          <w:bCs/>
          <w:sz w:val="32"/>
          <w:szCs w:val="32"/>
        </w:rPr>
        <w:t>一、响应函</w:t>
      </w:r>
    </w:p>
    <w:p w14:paraId="673AC84A">
      <w:pPr>
        <w:pStyle w:val="13"/>
        <w:spacing w:line="500" w:lineRule="exact"/>
        <w:jc w:val="center"/>
        <w:rPr>
          <w:rFonts w:ascii="Times New Roman" w:hAnsi="Times New Roman"/>
          <w:b/>
          <w:bCs/>
          <w:sz w:val="30"/>
          <w:szCs w:val="30"/>
        </w:rPr>
      </w:pPr>
      <w:r>
        <w:rPr>
          <w:rFonts w:hint="eastAsia" w:ascii="Times New Roman" w:hAnsi="Times New Roman"/>
          <w:b/>
          <w:bCs/>
          <w:sz w:val="30"/>
          <w:szCs w:val="30"/>
        </w:rPr>
        <w:t>响应函</w:t>
      </w:r>
    </w:p>
    <w:p w14:paraId="32002F79">
      <w:pPr>
        <w:pStyle w:val="13"/>
        <w:spacing w:line="360" w:lineRule="auto"/>
        <w:rPr>
          <w:rFonts w:ascii="Times New Roman" w:hAnsi="Times New Roman"/>
          <w:szCs w:val="20"/>
        </w:rPr>
      </w:pPr>
      <w:r>
        <w:rPr>
          <w:rFonts w:hint="eastAsia" w:ascii="Times New Roman" w:hAnsi="Times New Roman"/>
          <w:szCs w:val="20"/>
        </w:rPr>
        <w:t>致：</w:t>
      </w:r>
      <w:r>
        <w:rPr>
          <w:rFonts w:hint="eastAsia" w:ascii="Times New Roman" w:hAnsi="Times New Roman"/>
          <w:szCs w:val="20"/>
          <w:u w:val="single"/>
          <w:lang w:eastAsia="zh-CN"/>
        </w:rPr>
        <w:t>上林县政府集中采购中心：</w:t>
      </w:r>
      <w:r>
        <w:rPr>
          <w:rFonts w:ascii="Times New Roman" w:hAnsi="Times New Roman"/>
          <w:szCs w:val="20"/>
          <w:u w:val="single"/>
        </w:rPr>
        <w:t xml:space="preserve"> </w:t>
      </w:r>
    </w:p>
    <w:p w14:paraId="4EE6F32A">
      <w:pPr>
        <w:pStyle w:val="13"/>
        <w:spacing w:line="360" w:lineRule="auto"/>
        <w:ind w:firstLine="400" w:firstLineChars="200"/>
        <w:rPr>
          <w:rFonts w:ascii="Times New Roman" w:hAnsi="Times New Roman"/>
          <w:szCs w:val="20"/>
        </w:rPr>
      </w:pPr>
      <w:r>
        <w:rPr>
          <w:rFonts w:hint="eastAsia"/>
          <w:szCs w:val="20"/>
        </w:rPr>
        <w:t>我方已仔细阅读了贵方组织的</w:t>
      </w:r>
      <w:r>
        <w:rPr>
          <w:rFonts w:hint="eastAsia"/>
          <w:szCs w:val="20"/>
          <w:u w:val="single"/>
        </w:rPr>
        <w:t xml:space="preserve"> </w:t>
      </w:r>
      <w:r>
        <w:rPr>
          <w:rFonts w:hint="eastAsia"/>
          <w:szCs w:val="20"/>
          <w:u w:val="single"/>
          <w:lang w:eastAsia="zh-CN"/>
        </w:rPr>
        <w:t>上林县委县政府机关大院物业服务</w:t>
      </w:r>
      <w:r>
        <w:rPr>
          <w:rFonts w:hint="eastAsia"/>
          <w:szCs w:val="20"/>
          <w:u w:val="single"/>
        </w:rPr>
        <w:t xml:space="preserve"> </w:t>
      </w:r>
      <w:r>
        <w:rPr>
          <w:rFonts w:hint="eastAsia"/>
          <w:szCs w:val="20"/>
        </w:rPr>
        <w:t>项目（项目编号：</w:t>
      </w:r>
      <w:r>
        <w:rPr>
          <w:rFonts w:hint="eastAsia" w:hAnsi="宋体"/>
          <w:szCs w:val="20"/>
          <w:u w:val="single"/>
        </w:rPr>
        <w:t xml:space="preserve"> </w:t>
      </w:r>
      <w:r>
        <w:rPr>
          <w:rFonts w:hint="eastAsia" w:hAnsi="宋体"/>
          <w:szCs w:val="20"/>
          <w:u w:val="single"/>
          <w:lang w:val="en-US" w:eastAsia="zh-CN"/>
        </w:rPr>
        <w:t>NNZC2026-C3-250033-SLXZ</w:t>
      </w:r>
      <w:r>
        <w:rPr>
          <w:rFonts w:hint="eastAsia" w:hAnsi="宋体"/>
          <w:szCs w:val="20"/>
          <w:u w:val="single"/>
        </w:rPr>
        <w:t xml:space="preserve"> </w:t>
      </w:r>
      <w:r>
        <w:rPr>
          <w:rFonts w:hint="eastAsia"/>
          <w:szCs w:val="20"/>
        </w:rPr>
        <w:t xml:space="preserve">）的竞争性磋商采购文件的全部内容，现正式递交下述文件参加贵方组织的本次政府采购活动： </w:t>
      </w:r>
    </w:p>
    <w:p w14:paraId="23C85B0E">
      <w:pPr>
        <w:pStyle w:val="13"/>
        <w:spacing w:line="360" w:lineRule="auto"/>
        <w:ind w:firstLine="400" w:firstLineChars="200"/>
        <w:rPr>
          <w:rFonts w:ascii="Times New Roman" w:hAnsi="Times New Roman"/>
          <w:szCs w:val="20"/>
        </w:rPr>
      </w:pPr>
      <w:r>
        <w:rPr>
          <w:rFonts w:hint="eastAsia"/>
          <w:szCs w:val="20"/>
        </w:rPr>
        <w:t>一、首次报价文件电子版</w:t>
      </w:r>
      <w:r>
        <w:rPr>
          <w:rFonts w:hint="eastAsia"/>
          <w:szCs w:val="20"/>
          <w:u w:val="single"/>
        </w:rPr>
        <w:t xml:space="preserve">   </w:t>
      </w:r>
      <w:r>
        <w:rPr>
          <w:rFonts w:hint="eastAsia"/>
          <w:szCs w:val="20"/>
        </w:rPr>
        <w:t>份（包含按“第三章 供应商须知”提交的全部文件）；</w:t>
      </w:r>
    </w:p>
    <w:p w14:paraId="17FC19B8">
      <w:pPr>
        <w:pStyle w:val="13"/>
        <w:spacing w:line="360" w:lineRule="auto"/>
        <w:ind w:firstLine="400" w:firstLineChars="200"/>
        <w:rPr>
          <w:rFonts w:hint="eastAsia"/>
          <w:szCs w:val="20"/>
          <w:lang w:eastAsia="zh-CN"/>
        </w:rPr>
      </w:pPr>
      <w:r>
        <w:rPr>
          <w:rFonts w:hint="eastAsia"/>
          <w:szCs w:val="20"/>
        </w:rPr>
        <w:t>二、</w:t>
      </w:r>
      <w:r>
        <w:rPr>
          <w:rFonts w:hint="eastAsia" w:hAnsi="宋体"/>
          <w:szCs w:val="20"/>
        </w:rPr>
        <w:t>技术</w:t>
      </w:r>
      <w:r>
        <w:rPr>
          <w:rFonts w:hint="eastAsia"/>
          <w:szCs w:val="20"/>
        </w:rPr>
        <w:t>文件电子版</w:t>
      </w:r>
      <w:r>
        <w:rPr>
          <w:rFonts w:hint="eastAsia"/>
          <w:szCs w:val="20"/>
          <w:u w:val="single"/>
        </w:rPr>
        <w:t xml:space="preserve">   </w:t>
      </w:r>
      <w:r>
        <w:rPr>
          <w:rFonts w:hint="eastAsia"/>
          <w:szCs w:val="20"/>
        </w:rPr>
        <w:t>份（包含按“第三章 供应商须知”提交的全部文件）；商务</w:t>
      </w:r>
      <w:r>
        <w:rPr>
          <w:rFonts w:hint="eastAsia" w:hAnsi="宋体"/>
          <w:szCs w:val="20"/>
        </w:rPr>
        <w:t>文件</w:t>
      </w:r>
      <w:r>
        <w:rPr>
          <w:rFonts w:hint="eastAsia"/>
          <w:szCs w:val="20"/>
        </w:rPr>
        <w:t>电子版</w:t>
      </w:r>
      <w:r>
        <w:rPr>
          <w:rFonts w:hint="eastAsia"/>
          <w:szCs w:val="20"/>
          <w:u w:val="single"/>
        </w:rPr>
        <w:t xml:space="preserve">   </w:t>
      </w:r>
      <w:r>
        <w:rPr>
          <w:rFonts w:hint="eastAsia"/>
          <w:szCs w:val="20"/>
        </w:rPr>
        <w:t>份（包含按“第三章 供应商须知”提交的全部文件）；（商务技术文件已合并装订成册）</w:t>
      </w:r>
      <w:r>
        <w:rPr>
          <w:rFonts w:hint="eastAsia"/>
          <w:szCs w:val="20"/>
          <w:lang w:eastAsia="zh-CN"/>
        </w:rPr>
        <w:t>；</w:t>
      </w:r>
    </w:p>
    <w:p w14:paraId="3D6FF302">
      <w:pPr>
        <w:pStyle w:val="13"/>
        <w:spacing w:line="360" w:lineRule="auto"/>
        <w:ind w:firstLine="400" w:firstLineChars="200"/>
        <w:rPr>
          <w:rFonts w:hint="eastAsia"/>
          <w:szCs w:val="20"/>
          <w:lang w:eastAsia="zh-CN"/>
        </w:rPr>
      </w:pPr>
      <w:r>
        <w:rPr>
          <w:rFonts w:hint="eastAsia"/>
          <w:szCs w:val="20"/>
          <w:lang w:eastAsia="zh-CN"/>
        </w:rPr>
        <w:t>三、资格证明文件电子版（包含按“第三章供应商须知”提交的全部文件）；</w:t>
      </w:r>
    </w:p>
    <w:p w14:paraId="3300E493">
      <w:pPr>
        <w:pStyle w:val="13"/>
        <w:spacing w:line="360" w:lineRule="auto"/>
        <w:ind w:firstLine="400" w:firstLineChars="200"/>
        <w:rPr>
          <w:rFonts w:ascii="Times New Roman" w:hAnsi="Times New Roman"/>
          <w:szCs w:val="20"/>
        </w:rPr>
      </w:pPr>
      <w:r>
        <w:rPr>
          <w:rFonts w:hint="eastAsia"/>
          <w:szCs w:val="20"/>
        </w:rPr>
        <w:t>据此函，签字人兹宣布：</w:t>
      </w:r>
    </w:p>
    <w:p w14:paraId="24FD1C76">
      <w:pPr>
        <w:pStyle w:val="13"/>
        <w:spacing w:line="360" w:lineRule="auto"/>
        <w:ind w:firstLine="482"/>
        <w:rPr>
          <w:rFonts w:ascii="Times New Roman" w:hAnsi="Times New Roman"/>
          <w:szCs w:val="20"/>
        </w:rPr>
      </w:pPr>
      <w:r>
        <w:rPr>
          <w:rFonts w:hint="eastAsia"/>
          <w:szCs w:val="20"/>
        </w:rPr>
        <w:t>1、我方愿意以（大写）人民币</w:t>
      </w:r>
      <w:r>
        <w:rPr>
          <w:rFonts w:hint="eastAsia"/>
          <w:szCs w:val="20"/>
          <w:u w:val="single"/>
        </w:rPr>
        <w:t xml:space="preserve">              </w:t>
      </w:r>
      <w:r>
        <w:rPr>
          <w:rFonts w:hint="eastAsia"/>
          <w:szCs w:val="20"/>
        </w:rPr>
        <w:t>（￥</w:t>
      </w:r>
      <w:r>
        <w:rPr>
          <w:rFonts w:hint="eastAsia"/>
          <w:szCs w:val="20"/>
          <w:u w:val="single"/>
        </w:rPr>
        <w:t xml:space="preserve">          </w:t>
      </w:r>
      <w:r>
        <w:rPr>
          <w:rFonts w:hint="eastAsia"/>
          <w:szCs w:val="20"/>
        </w:rPr>
        <w:t>元)的竞标总报价，提供服务期（无分标时填写）：</w:t>
      </w:r>
      <w:r>
        <w:rPr>
          <w:rFonts w:hint="eastAsia"/>
          <w:szCs w:val="20"/>
          <w:u w:val="single"/>
        </w:rPr>
        <w:t xml:space="preserve">            </w:t>
      </w:r>
      <w:r>
        <w:rPr>
          <w:rFonts w:hint="eastAsia"/>
          <w:szCs w:val="20"/>
        </w:rPr>
        <w:t>，提供本项目竞争性磋商采购文件第二章“服务需求一览表”中相应的采购内容。</w:t>
      </w:r>
    </w:p>
    <w:p w14:paraId="1757D11B">
      <w:pPr>
        <w:pStyle w:val="13"/>
        <w:spacing w:line="360" w:lineRule="auto"/>
        <w:ind w:firstLine="482"/>
        <w:rPr>
          <w:rFonts w:ascii="Times New Roman" w:hAnsi="Times New Roman"/>
          <w:szCs w:val="20"/>
        </w:rPr>
      </w:pPr>
      <w:r>
        <w:rPr>
          <w:rFonts w:hint="eastAsia"/>
          <w:szCs w:val="20"/>
        </w:rPr>
        <w:t>其中（有分标时填写）：</w:t>
      </w:r>
    </w:p>
    <w:p w14:paraId="6D175CEC">
      <w:pPr>
        <w:pStyle w:val="13"/>
        <w:spacing w:line="360" w:lineRule="auto"/>
        <w:ind w:firstLine="482"/>
        <w:rPr>
          <w:rFonts w:ascii="Times New Roman" w:hAnsi="Times New Roman"/>
          <w:szCs w:val="20"/>
        </w:rPr>
      </w:pPr>
      <w:r>
        <w:rPr>
          <w:rFonts w:hint="eastAsia"/>
          <w:szCs w:val="20"/>
          <w:u w:val="single"/>
        </w:rPr>
        <w:t xml:space="preserve">    </w:t>
      </w:r>
      <w:r>
        <w:rPr>
          <w:rFonts w:hint="eastAsia"/>
          <w:szCs w:val="20"/>
        </w:rPr>
        <w:t>分标报价为（大写）人民币</w:t>
      </w:r>
      <w:r>
        <w:rPr>
          <w:rFonts w:hint="eastAsia"/>
          <w:szCs w:val="20"/>
          <w:u w:val="single"/>
        </w:rPr>
        <w:t xml:space="preserve">               </w:t>
      </w:r>
      <w:r>
        <w:rPr>
          <w:rFonts w:hint="eastAsia"/>
          <w:szCs w:val="20"/>
        </w:rPr>
        <w:t xml:space="preserve"> (￥</w:t>
      </w:r>
      <w:r>
        <w:rPr>
          <w:rFonts w:hint="eastAsia"/>
          <w:szCs w:val="20"/>
          <w:u w:val="single"/>
        </w:rPr>
        <w:t xml:space="preserve">           </w:t>
      </w:r>
      <w:r>
        <w:rPr>
          <w:rFonts w:hint="eastAsia"/>
          <w:szCs w:val="20"/>
        </w:rPr>
        <w:t>元)，服务期：</w:t>
      </w:r>
      <w:r>
        <w:rPr>
          <w:rFonts w:hint="eastAsia"/>
          <w:szCs w:val="20"/>
          <w:u w:val="single"/>
        </w:rPr>
        <w:t xml:space="preserve">          </w:t>
      </w:r>
      <w:r>
        <w:rPr>
          <w:rFonts w:hint="eastAsia"/>
          <w:szCs w:val="20"/>
        </w:rPr>
        <w:t>；</w:t>
      </w:r>
    </w:p>
    <w:p w14:paraId="228011D3">
      <w:pPr>
        <w:pStyle w:val="13"/>
        <w:spacing w:line="360" w:lineRule="auto"/>
        <w:ind w:firstLine="482"/>
        <w:rPr>
          <w:rFonts w:ascii="Times New Roman" w:hAnsi="Times New Roman"/>
          <w:szCs w:val="20"/>
        </w:rPr>
      </w:pPr>
      <w:r>
        <w:rPr>
          <w:rFonts w:hint="eastAsia"/>
          <w:szCs w:val="20"/>
          <w:u w:val="single"/>
        </w:rPr>
        <w:t xml:space="preserve">    </w:t>
      </w:r>
      <w:r>
        <w:rPr>
          <w:rFonts w:hint="eastAsia"/>
          <w:szCs w:val="20"/>
        </w:rPr>
        <w:t>分标报价为（大写）人民币</w:t>
      </w:r>
      <w:r>
        <w:rPr>
          <w:rFonts w:hint="eastAsia"/>
          <w:szCs w:val="20"/>
          <w:u w:val="single"/>
        </w:rPr>
        <w:t xml:space="preserve">               </w:t>
      </w:r>
      <w:r>
        <w:rPr>
          <w:rFonts w:hint="eastAsia"/>
          <w:szCs w:val="20"/>
        </w:rPr>
        <w:t xml:space="preserve"> (￥</w:t>
      </w:r>
      <w:r>
        <w:rPr>
          <w:rFonts w:hint="eastAsia"/>
          <w:szCs w:val="20"/>
          <w:u w:val="single"/>
        </w:rPr>
        <w:t xml:space="preserve">           </w:t>
      </w:r>
      <w:r>
        <w:rPr>
          <w:rFonts w:hint="eastAsia"/>
          <w:szCs w:val="20"/>
        </w:rPr>
        <w:t>元)，服务期：</w:t>
      </w:r>
      <w:r>
        <w:rPr>
          <w:rFonts w:hint="eastAsia"/>
          <w:szCs w:val="20"/>
          <w:u w:val="single"/>
        </w:rPr>
        <w:t xml:space="preserve">          </w:t>
      </w:r>
      <w:r>
        <w:rPr>
          <w:rFonts w:hint="eastAsia"/>
          <w:szCs w:val="20"/>
        </w:rPr>
        <w:t>；</w:t>
      </w:r>
    </w:p>
    <w:p w14:paraId="1A9A3F3B">
      <w:pPr>
        <w:pStyle w:val="13"/>
        <w:spacing w:line="360" w:lineRule="auto"/>
        <w:ind w:firstLine="482"/>
        <w:rPr>
          <w:rFonts w:ascii="Times New Roman" w:hAnsi="Times New Roman"/>
          <w:szCs w:val="20"/>
        </w:rPr>
      </w:pPr>
      <w:r>
        <w:rPr>
          <w:rFonts w:hint="eastAsia"/>
          <w:szCs w:val="20"/>
        </w:rPr>
        <w:t>......</w:t>
      </w:r>
    </w:p>
    <w:p w14:paraId="506AA2A0">
      <w:pPr>
        <w:pStyle w:val="13"/>
        <w:spacing w:line="360" w:lineRule="auto"/>
        <w:ind w:firstLine="482"/>
        <w:rPr>
          <w:szCs w:val="20"/>
        </w:rPr>
      </w:pPr>
      <w:r>
        <w:rPr>
          <w:rFonts w:hint="eastAsia"/>
          <w:szCs w:val="20"/>
        </w:rPr>
        <w:t>2、我方同意自本项目竞争性磋商采购文件采购公告规定的递交响应文件截止时间起遵循</w:t>
      </w:r>
      <w:r>
        <w:rPr>
          <w:rFonts w:hint="eastAsia" w:hAnsi="宋体"/>
          <w:szCs w:val="20"/>
        </w:rPr>
        <w:t>本响应函</w:t>
      </w:r>
      <w:r>
        <w:rPr>
          <w:rFonts w:hint="eastAsia"/>
          <w:szCs w:val="20"/>
        </w:rPr>
        <w:t>，并承诺在“第三章 供应商须知”规定的响应有效期内不修改、撤销响应文件。</w:t>
      </w:r>
    </w:p>
    <w:p w14:paraId="78AF3BBA">
      <w:pPr>
        <w:pStyle w:val="13"/>
        <w:spacing w:line="360" w:lineRule="auto"/>
        <w:ind w:firstLine="482"/>
        <w:rPr>
          <w:rFonts w:hint="eastAsia"/>
          <w:szCs w:val="20"/>
        </w:rPr>
      </w:pPr>
      <w:r>
        <w:rPr>
          <w:rFonts w:hint="eastAsia"/>
          <w:szCs w:val="20"/>
        </w:rPr>
        <w:t>3、我方在此声明，所递交的响应文件及有关资料内容完整、真实和准确。</w:t>
      </w:r>
    </w:p>
    <w:p w14:paraId="2113A53E">
      <w:pPr>
        <w:pStyle w:val="13"/>
        <w:spacing w:line="360" w:lineRule="auto"/>
        <w:ind w:firstLine="482"/>
        <w:rPr>
          <w:rFonts w:hint="eastAsia"/>
          <w:szCs w:val="20"/>
        </w:rPr>
      </w:pPr>
      <w:r>
        <w:rPr>
          <w:rFonts w:hint="eastAsia"/>
          <w:szCs w:val="20"/>
        </w:rPr>
        <w:t>4、如本项目采购内容涉及须符合国家强制规定的，我方承诺我方本次竞标均符合国家有关强制规定。</w:t>
      </w:r>
    </w:p>
    <w:p w14:paraId="16FAF697">
      <w:pPr>
        <w:pStyle w:val="13"/>
        <w:spacing w:line="360" w:lineRule="auto"/>
        <w:ind w:firstLine="482"/>
        <w:rPr>
          <w:rFonts w:hint="eastAsia"/>
          <w:szCs w:val="20"/>
        </w:rPr>
      </w:pPr>
      <w:r>
        <w:rPr>
          <w:rFonts w:hint="eastAsia"/>
          <w:szCs w:val="20"/>
        </w:rPr>
        <w:t>5、如我方成交，我方承诺在收到成交通知书后，在成交通知书规定的期限内，</w:t>
      </w:r>
      <w:r>
        <w:rPr>
          <w:rFonts w:hint="eastAsia" w:hAnsi="宋体"/>
          <w:szCs w:val="20"/>
        </w:rPr>
        <w:t>根据竞争性磋商采购文件、我方的响应文件及有关澄清承诺书的要求按第六章“合同文本”与采购人订立书面合同，并按照合同约定</w:t>
      </w:r>
      <w:r>
        <w:rPr>
          <w:rFonts w:hint="eastAsia"/>
          <w:szCs w:val="20"/>
        </w:rPr>
        <w:t>承担完成合同的责任和义务。</w:t>
      </w:r>
    </w:p>
    <w:p w14:paraId="5B597341">
      <w:pPr>
        <w:pStyle w:val="13"/>
        <w:spacing w:line="360" w:lineRule="auto"/>
        <w:ind w:firstLine="482"/>
        <w:rPr>
          <w:rFonts w:hint="eastAsia"/>
          <w:szCs w:val="20"/>
        </w:rPr>
      </w:pPr>
      <w:r>
        <w:rPr>
          <w:rFonts w:hint="eastAsia"/>
          <w:szCs w:val="20"/>
        </w:rPr>
        <w:t>6、我方已详细审核竞争性磋商采购文件，我方知道必须放弃提出含糊不清或误解问题的权利。</w:t>
      </w:r>
    </w:p>
    <w:p w14:paraId="14A2149E">
      <w:pPr>
        <w:pStyle w:val="13"/>
        <w:spacing w:line="360" w:lineRule="auto"/>
        <w:ind w:firstLine="482"/>
        <w:rPr>
          <w:rFonts w:hint="eastAsia"/>
          <w:szCs w:val="20"/>
        </w:rPr>
      </w:pPr>
      <w:r>
        <w:rPr>
          <w:rFonts w:hint="eastAsia"/>
          <w:szCs w:val="20"/>
        </w:rPr>
        <w:t>7、我方承诺满足竞争性磋商采购文件</w:t>
      </w:r>
      <w:r>
        <w:rPr>
          <w:rFonts w:hint="eastAsia" w:hAnsi="宋体"/>
          <w:szCs w:val="20"/>
        </w:rPr>
        <w:t>第六章“合同文本”</w:t>
      </w:r>
      <w:r>
        <w:rPr>
          <w:rFonts w:hint="eastAsia"/>
          <w:szCs w:val="20"/>
        </w:rPr>
        <w:t>的条款，承担完成合同的责任和义务。</w:t>
      </w:r>
    </w:p>
    <w:p w14:paraId="00D2F14D">
      <w:pPr>
        <w:pStyle w:val="13"/>
        <w:spacing w:line="360" w:lineRule="auto"/>
        <w:ind w:firstLine="482"/>
        <w:rPr>
          <w:rFonts w:hint="eastAsia"/>
          <w:szCs w:val="20"/>
        </w:rPr>
      </w:pPr>
      <w:r>
        <w:rPr>
          <w:rFonts w:hint="eastAsia"/>
          <w:szCs w:val="20"/>
        </w:rPr>
        <w:t>8、我方同意应贵方要求提供与本竞标有关的任何数据或资料。若贵方需要，我方愿意提供我方作出的一切承诺的证明材料。</w:t>
      </w:r>
    </w:p>
    <w:p w14:paraId="30810AED">
      <w:pPr>
        <w:pStyle w:val="13"/>
        <w:spacing w:line="360" w:lineRule="auto"/>
        <w:ind w:firstLine="482"/>
        <w:rPr>
          <w:rFonts w:hint="eastAsia"/>
          <w:szCs w:val="20"/>
        </w:rPr>
      </w:pPr>
      <w:r>
        <w:rPr>
          <w:rFonts w:hint="eastAsia"/>
          <w:szCs w:val="20"/>
        </w:rPr>
        <w:t>9、我方完全理解贵方不一定接受响应报价最低的竞标人为成交供应商的行为。</w:t>
      </w:r>
    </w:p>
    <w:p w14:paraId="73CF8E38">
      <w:pPr>
        <w:pStyle w:val="13"/>
        <w:spacing w:line="360" w:lineRule="auto"/>
        <w:ind w:firstLine="482"/>
        <w:rPr>
          <w:rFonts w:hint="eastAsia"/>
          <w:szCs w:val="20"/>
        </w:rPr>
      </w:pPr>
      <w:r>
        <w:rPr>
          <w:rFonts w:hint="eastAsia"/>
          <w:szCs w:val="20"/>
        </w:rPr>
        <w:t>10、我方将严格遵守《中华人民共和国政府采购法》第七十七条的规定，即供应商有下列情形之一的，处以采购金额千分之五以上千分之十</w:t>
      </w:r>
      <w:r>
        <w:rPr>
          <w:rFonts w:hint="eastAsia" w:hAnsi="宋体"/>
          <w:szCs w:val="20"/>
        </w:rPr>
        <w:t>以下的罚款，列入不良行为记录名单，在一至三年内禁止参加政府采购活动，有违法所得的，并处没收违法所得，情节严重的，由工商行政管理机关吊销营业执照；构成犯罪的，依法追究刑事责任：</w:t>
      </w:r>
    </w:p>
    <w:p w14:paraId="179CF1AB">
      <w:pPr>
        <w:pStyle w:val="13"/>
        <w:numPr>
          <w:ilvl w:val="0"/>
          <w:numId w:val="10"/>
        </w:numPr>
        <w:tabs>
          <w:tab w:val="left" w:pos="945"/>
        </w:tabs>
        <w:spacing w:line="360" w:lineRule="auto"/>
        <w:rPr>
          <w:rFonts w:hint="eastAsia" w:hAnsi="宋体"/>
          <w:szCs w:val="20"/>
        </w:rPr>
      </w:pPr>
      <w:r>
        <w:rPr>
          <w:rFonts w:hint="eastAsia" w:hAnsi="宋体"/>
          <w:szCs w:val="20"/>
        </w:rPr>
        <w:t>提供虚假材料谋取中标、成交的；</w:t>
      </w:r>
    </w:p>
    <w:p w14:paraId="5F8E9F60">
      <w:pPr>
        <w:pStyle w:val="13"/>
        <w:numPr>
          <w:ilvl w:val="0"/>
          <w:numId w:val="10"/>
        </w:numPr>
        <w:tabs>
          <w:tab w:val="left" w:pos="945"/>
        </w:tabs>
        <w:spacing w:line="360" w:lineRule="auto"/>
        <w:rPr>
          <w:rFonts w:hint="eastAsia" w:hAnsi="宋体"/>
          <w:szCs w:val="20"/>
        </w:rPr>
      </w:pPr>
      <w:r>
        <w:rPr>
          <w:rFonts w:hint="eastAsia" w:hAnsi="宋体"/>
          <w:szCs w:val="20"/>
        </w:rPr>
        <w:t>采取不正当手段诋毁、排挤其他供应商的；</w:t>
      </w:r>
    </w:p>
    <w:p w14:paraId="03EEC46B">
      <w:pPr>
        <w:pStyle w:val="13"/>
        <w:numPr>
          <w:ilvl w:val="0"/>
          <w:numId w:val="10"/>
        </w:numPr>
        <w:tabs>
          <w:tab w:val="left" w:pos="945"/>
        </w:tabs>
        <w:spacing w:line="360" w:lineRule="auto"/>
        <w:rPr>
          <w:rFonts w:hint="eastAsia"/>
          <w:szCs w:val="20"/>
        </w:rPr>
      </w:pPr>
      <w:r>
        <w:rPr>
          <w:rFonts w:hint="eastAsia" w:hAnsi="宋体"/>
          <w:szCs w:val="20"/>
        </w:rPr>
        <w:t>与采购人、其他供应商或者采购代理机构恶意串通的；</w:t>
      </w:r>
    </w:p>
    <w:p w14:paraId="6294124C">
      <w:pPr>
        <w:pStyle w:val="13"/>
        <w:numPr>
          <w:ilvl w:val="0"/>
          <w:numId w:val="10"/>
        </w:numPr>
        <w:tabs>
          <w:tab w:val="left" w:pos="945"/>
        </w:tabs>
        <w:spacing w:line="360" w:lineRule="auto"/>
        <w:rPr>
          <w:rFonts w:hint="eastAsia"/>
          <w:szCs w:val="20"/>
        </w:rPr>
      </w:pPr>
      <w:r>
        <w:rPr>
          <w:rFonts w:hint="eastAsia" w:hAnsi="宋体"/>
          <w:szCs w:val="20"/>
        </w:rPr>
        <w:t>向采购人、采购代理机构行贿或者提供其他不正当利益的；</w:t>
      </w:r>
    </w:p>
    <w:p w14:paraId="46AD4A58">
      <w:pPr>
        <w:pStyle w:val="13"/>
        <w:numPr>
          <w:ilvl w:val="0"/>
          <w:numId w:val="10"/>
        </w:numPr>
        <w:tabs>
          <w:tab w:val="left" w:pos="945"/>
        </w:tabs>
        <w:spacing w:line="360" w:lineRule="auto"/>
        <w:rPr>
          <w:rFonts w:hint="eastAsia"/>
          <w:szCs w:val="20"/>
        </w:rPr>
      </w:pPr>
      <w:r>
        <w:rPr>
          <w:rFonts w:hint="eastAsia" w:hAnsi="宋体"/>
          <w:szCs w:val="20"/>
        </w:rPr>
        <w:t>在采购过程中与采购人进行协商谈判的；</w:t>
      </w:r>
    </w:p>
    <w:p w14:paraId="5636B232">
      <w:pPr>
        <w:pStyle w:val="13"/>
        <w:numPr>
          <w:ilvl w:val="0"/>
          <w:numId w:val="10"/>
        </w:numPr>
        <w:tabs>
          <w:tab w:val="left" w:pos="945"/>
        </w:tabs>
        <w:spacing w:line="360" w:lineRule="auto"/>
        <w:rPr>
          <w:rFonts w:hint="eastAsia"/>
          <w:szCs w:val="20"/>
        </w:rPr>
      </w:pPr>
      <w:r>
        <w:rPr>
          <w:rFonts w:hint="eastAsia" w:hAnsi="宋体"/>
          <w:szCs w:val="20"/>
        </w:rPr>
        <w:t>拒绝有关部门监督检查或提供虚假情况的。</w:t>
      </w:r>
    </w:p>
    <w:p w14:paraId="37D53BEB">
      <w:pPr>
        <w:pStyle w:val="13"/>
        <w:spacing w:line="360" w:lineRule="auto"/>
        <w:ind w:firstLine="420"/>
        <w:rPr>
          <w:rFonts w:hint="eastAsia"/>
          <w:color w:val="000000"/>
          <w:szCs w:val="20"/>
        </w:rPr>
      </w:pPr>
      <w:r>
        <w:rPr>
          <w:rFonts w:hint="eastAsia" w:hAnsi="宋体" w:cs="宋体"/>
          <w:color w:val="000000"/>
          <w:szCs w:val="20"/>
        </w:rPr>
        <w:t>11.与本磋商有关的一切正式往来信函请寄</w:t>
      </w:r>
      <w:r>
        <w:rPr>
          <w:rFonts w:hint="eastAsia"/>
          <w:color w:val="000000"/>
          <w:szCs w:val="20"/>
        </w:rPr>
        <w:t>：</w:t>
      </w:r>
      <w:r>
        <w:rPr>
          <w:rFonts w:hint="eastAsia"/>
          <w:szCs w:val="20"/>
          <w:u w:val="single"/>
        </w:rPr>
        <w:t xml:space="preserve"> </w:t>
      </w:r>
    </w:p>
    <w:p w14:paraId="6D03F145">
      <w:pPr>
        <w:pStyle w:val="13"/>
        <w:spacing w:line="360" w:lineRule="auto"/>
        <w:ind w:firstLine="420"/>
        <w:rPr>
          <w:rFonts w:hint="eastAsia"/>
          <w:szCs w:val="20"/>
        </w:rPr>
      </w:pPr>
      <w:r>
        <w:rPr>
          <w:rFonts w:hint="eastAsia"/>
          <w:szCs w:val="20"/>
        </w:rPr>
        <w:t>地址：</w:t>
      </w:r>
      <w:r>
        <w:rPr>
          <w:rFonts w:hint="eastAsia"/>
          <w:szCs w:val="20"/>
          <w:u w:val="single"/>
        </w:rPr>
        <w:t xml:space="preserve">                                                        </w:t>
      </w:r>
      <w:r>
        <w:rPr>
          <w:rFonts w:hint="eastAsia"/>
          <w:szCs w:val="20"/>
        </w:rPr>
        <w:t xml:space="preserve"> </w:t>
      </w:r>
    </w:p>
    <w:p w14:paraId="1E941DF9">
      <w:pPr>
        <w:pStyle w:val="13"/>
        <w:spacing w:line="360" w:lineRule="auto"/>
        <w:ind w:firstLine="420"/>
        <w:rPr>
          <w:rFonts w:hint="eastAsia"/>
          <w:szCs w:val="20"/>
          <w:u w:val="single"/>
        </w:rPr>
      </w:pPr>
      <w:r>
        <w:rPr>
          <w:rFonts w:hint="eastAsia"/>
          <w:szCs w:val="20"/>
        </w:rPr>
        <w:t>电话：</w:t>
      </w:r>
      <w:r>
        <w:rPr>
          <w:rFonts w:hint="eastAsia"/>
          <w:szCs w:val="20"/>
          <w:u w:val="single"/>
        </w:rPr>
        <w:t xml:space="preserve">                                      　　　　　　　　　</w:t>
      </w:r>
    </w:p>
    <w:p w14:paraId="303A9338">
      <w:pPr>
        <w:pStyle w:val="13"/>
        <w:spacing w:line="360" w:lineRule="auto"/>
        <w:ind w:firstLine="420"/>
        <w:rPr>
          <w:rFonts w:hint="eastAsia"/>
          <w:szCs w:val="20"/>
        </w:rPr>
      </w:pPr>
      <w:r>
        <w:rPr>
          <w:rFonts w:hint="eastAsia"/>
          <w:szCs w:val="20"/>
        </w:rPr>
        <w:t>传真：</w:t>
      </w:r>
      <w:r>
        <w:rPr>
          <w:rFonts w:hint="eastAsia"/>
          <w:szCs w:val="20"/>
          <w:u w:val="single"/>
        </w:rPr>
        <w:t>　　　　　　　　　　　　　　　　　　　　　　　　　　　　</w:t>
      </w:r>
    </w:p>
    <w:p w14:paraId="338574C4">
      <w:pPr>
        <w:pStyle w:val="13"/>
        <w:spacing w:line="360" w:lineRule="auto"/>
        <w:ind w:firstLine="420"/>
        <w:rPr>
          <w:rFonts w:hint="eastAsia"/>
          <w:szCs w:val="20"/>
          <w:u w:val="single"/>
        </w:rPr>
      </w:pPr>
      <w:r>
        <w:rPr>
          <w:rFonts w:hint="eastAsia"/>
          <w:szCs w:val="20"/>
        </w:rPr>
        <w:t>邮政编码：</w:t>
      </w:r>
      <w:r>
        <w:rPr>
          <w:rFonts w:hint="eastAsia"/>
          <w:szCs w:val="20"/>
          <w:u w:val="single"/>
        </w:rPr>
        <w:t xml:space="preserve">                                                    </w:t>
      </w:r>
    </w:p>
    <w:p w14:paraId="5CF0EB6B">
      <w:pPr>
        <w:pStyle w:val="13"/>
        <w:spacing w:line="360" w:lineRule="auto"/>
        <w:ind w:firstLine="420"/>
        <w:rPr>
          <w:rFonts w:hint="eastAsia"/>
          <w:szCs w:val="20"/>
          <w:u w:val="single"/>
        </w:rPr>
      </w:pPr>
      <w:r>
        <w:rPr>
          <w:rFonts w:hint="eastAsia"/>
          <w:szCs w:val="20"/>
        </w:rPr>
        <w:t>开户名称：</w:t>
      </w:r>
      <w:r>
        <w:rPr>
          <w:rFonts w:hint="eastAsia"/>
          <w:szCs w:val="20"/>
          <w:u w:val="single"/>
        </w:rPr>
        <w:t xml:space="preserve">                                                    </w:t>
      </w:r>
    </w:p>
    <w:p w14:paraId="5CFBA4F6">
      <w:pPr>
        <w:pStyle w:val="13"/>
        <w:spacing w:line="360" w:lineRule="auto"/>
        <w:ind w:firstLine="420"/>
        <w:rPr>
          <w:rFonts w:hint="eastAsia"/>
          <w:szCs w:val="20"/>
          <w:u w:val="single"/>
        </w:rPr>
      </w:pPr>
      <w:r>
        <w:rPr>
          <w:rFonts w:hint="eastAsia"/>
          <w:szCs w:val="20"/>
        </w:rPr>
        <w:t>开户银行：</w:t>
      </w:r>
      <w:r>
        <w:rPr>
          <w:rFonts w:hint="eastAsia"/>
          <w:szCs w:val="20"/>
          <w:u w:val="single"/>
        </w:rPr>
        <w:t xml:space="preserve">                                                    </w:t>
      </w:r>
    </w:p>
    <w:p w14:paraId="34362044">
      <w:pPr>
        <w:pStyle w:val="13"/>
        <w:spacing w:line="360" w:lineRule="auto"/>
        <w:ind w:firstLine="420"/>
        <w:rPr>
          <w:rFonts w:hint="eastAsia"/>
          <w:szCs w:val="20"/>
          <w:u w:val="single"/>
        </w:rPr>
      </w:pPr>
      <w:r>
        <w:rPr>
          <w:rFonts w:hint="eastAsia"/>
          <w:szCs w:val="20"/>
        </w:rPr>
        <w:t>银行账号：</w:t>
      </w:r>
      <w:r>
        <w:rPr>
          <w:rFonts w:hint="eastAsia"/>
          <w:szCs w:val="20"/>
          <w:u w:val="single"/>
        </w:rPr>
        <w:t xml:space="preserve">                                                    </w:t>
      </w:r>
    </w:p>
    <w:p w14:paraId="76355704">
      <w:pPr>
        <w:pStyle w:val="11"/>
        <w:tabs>
          <w:tab w:val="left" w:pos="939"/>
        </w:tabs>
        <w:spacing w:line="360" w:lineRule="auto"/>
        <w:ind w:left="141" w:leftChars="67" w:firstLine="300" w:firstLineChars="150"/>
        <w:rPr>
          <w:rFonts w:hint="eastAsia" w:ascii="宋体" w:hAnsi="宋体" w:cs="宋体"/>
          <w:color w:val="000000"/>
          <w:sz w:val="20"/>
          <w:szCs w:val="20"/>
        </w:rPr>
      </w:pPr>
      <w:r>
        <w:rPr>
          <w:rFonts w:hint="eastAsia" w:ascii="宋体" w:hAnsi="宋体" w:cs="宋体"/>
          <w:color w:val="000000"/>
          <w:sz w:val="20"/>
          <w:szCs w:val="20"/>
        </w:rPr>
        <w:t>特此承诺。</w:t>
      </w:r>
    </w:p>
    <w:p w14:paraId="35B37BBB">
      <w:pPr>
        <w:spacing w:line="360" w:lineRule="auto"/>
        <w:jc w:val="left"/>
        <w:rPr>
          <w:rFonts w:hint="eastAsia" w:ascii="宋体" w:hAnsi="宋体" w:cs="宋体"/>
          <w:color w:val="000000"/>
          <w:szCs w:val="21"/>
        </w:rPr>
      </w:pPr>
    </w:p>
    <w:p w14:paraId="2A0742A2">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3A033E6C">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0D0E85EE">
      <w:pPr>
        <w:widowControl/>
        <w:spacing w:line="360" w:lineRule="auto"/>
        <w:jc w:val="left"/>
        <w:rPr>
          <w:rFonts w:ascii="仿宋_GB2312" w:hAnsi="仿宋" w:eastAsia="仿宋_GB2312" w:cs="仿宋_GB2312"/>
          <w:kern w:val="0"/>
          <w:sz w:val="24"/>
          <w:lang w:val="zh-CN"/>
        </w:rPr>
        <w:sectPr>
          <w:pgSz w:w="11910" w:h="16840"/>
          <w:pgMar w:top="1340" w:right="1500" w:bottom="280" w:left="1680" w:header="720" w:footer="720" w:gutter="0"/>
          <w:pgNumType w:fmt="decimal"/>
          <w:cols w:space="720" w:num="1"/>
        </w:sectPr>
      </w:pPr>
    </w:p>
    <w:p w14:paraId="438B90A2">
      <w:pPr>
        <w:autoSpaceDE w:val="0"/>
        <w:autoSpaceDN w:val="0"/>
        <w:spacing w:line="360" w:lineRule="auto"/>
        <w:ind w:firstLine="6480" w:firstLineChars="2700"/>
        <w:rPr>
          <w:rFonts w:hint="eastAsia" w:ascii="仿宋_GB2312" w:hAnsi="仿宋" w:eastAsia="仿宋_GB2312" w:cs="仿宋_GB2312"/>
          <w:kern w:val="0"/>
          <w:sz w:val="24"/>
          <w:lang w:val="zh-CN"/>
        </w:rPr>
      </w:pPr>
    </w:p>
    <w:p w14:paraId="41B91009">
      <w:pPr>
        <w:spacing w:line="520" w:lineRule="exact"/>
        <w:ind w:firstLine="420" w:firstLineChars="200"/>
        <w:rPr>
          <w:rFonts w:hint="eastAsia" w:ascii="宋体" w:hAnsi="宋体"/>
          <w:b/>
          <w:bCs/>
          <w:sz w:val="32"/>
          <w:szCs w:val="32"/>
        </w:rPr>
      </w:pPr>
      <w:r>
        <w:rPr>
          <w:rFonts w:hint="eastAsia"/>
        </w:rPr>
        <w:t>二</w:t>
      </w:r>
      <w:r>
        <w:rPr>
          <w:rFonts w:hint="eastAsia" w:ascii="宋体" w:hAnsi="宋体"/>
          <w:b/>
          <w:bCs/>
          <w:sz w:val="32"/>
          <w:szCs w:val="32"/>
        </w:rPr>
        <w:t>、响应报价表</w:t>
      </w:r>
    </w:p>
    <w:p w14:paraId="67E1AB83">
      <w:pPr>
        <w:snapToGrid w:val="0"/>
        <w:spacing w:before="50" w:after="5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上林县委县政府机关大院物业服务项目(重)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61F7181E">
      <w:pPr>
        <w:snapToGrid w:val="0"/>
        <w:spacing w:before="50" w:after="50"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NNZC2026-C3-250033-SLXZ</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分标：</w:t>
      </w:r>
      <w:r>
        <w:rPr>
          <w:rFonts w:hint="eastAsia" w:asciiTheme="minorEastAsia" w:hAnsiTheme="minorEastAsia" w:eastAsiaTheme="minorEastAsia" w:cstheme="minorEastAsia"/>
          <w:sz w:val="24"/>
          <w:szCs w:val="24"/>
          <w:u w:val="single"/>
        </w:rPr>
        <w:t xml:space="preserve">           </w:t>
      </w:r>
    </w:p>
    <w:p w14:paraId="3EDEE83C">
      <w:pPr>
        <w:snapToGrid w:val="0"/>
        <w:spacing w:before="50" w:after="50"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000000"/>
          <w:sz w:val="24"/>
          <w:szCs w:val="24"/>
        </w:rPr>
        <w:t xml:space="preserve">                    </w:t>
      </w:r>
    </w:p>
    <w:tbl>
      <w:tblPr>
        <w:tblStyle w:val="1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676"/>
        <w:gridCol w:w="2801"/>
        <w:gridCol w:w="593"/>
        <w:gridCol w:w="1013"/>
        <w:gridCol w:w="1284"/>
        <w:gridCol w:w="1385"/>
        <w:gridCol w:w="509"/>
      </w:tblGrid>
      <w:tr w14:paraId="0CA1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A200641">
            <w:pPr>
              <w:rPr>
                <w:rFonts w:hint="eastAsia" w:ascii="宋体" w:hAnsi="宋体"/>
                <w:szCs w:val="22"/>
              </w:rPr>
            </w:pPr>
            <w:r>
              <w:rPr>
                <w:rFonts w:hint="eastAsia" w:ascii="宋体" w:hAnsi="宋体"/>
                <w:szCs w:val="22"/>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7344BAF">
            <w:pPr>
              <w:rPr>
                <w:rFonts w:hint="eastAsia" w:ascii="宋体" w:hAnsi="宋体"/>
                <w:szCs w:val="22"/>
              </w:rPr>
            </w:pPr>
            <w:r>
              <w:rPr>
                <w:rFonts w:hint="eastAsia" w:ascii="宋体" w:hAnsi="宋体"/>
                <w:szCs w:val="22"/>
              </w:rPr>
              <w:t>服务名称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DA6C4B6">
            <w:pPr>
              <w:jc w:val="center"/>
              <w:rPr>
                <w:rFonts w:hint="eastAsia" w:ascii="宋体" w:hAnsi="宋体"/>
                <w:szCs w:val="22"/>
              </w:rPr>
            </w:pPr>
            <w:r>
              <w:rPr>
                <w:rFonts w:hint="eastAsia" w:ascii="宋体" w:hAnsi="宋体"/>
                <w:szCs w:val="22"/>
              </w:rPr>
              <w:t>具体服务内容（含具体服务范围、服务时间、服务标准等内容）</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A86C9CC">
            <w:pPr>
              <w:jc w:val="center"/>
              <w:rPr>
                <w:rFonts w:hint="eastAsia" w:ascii="宋体" w:hAnsi="宋体"/>
                <w:szCs w:val="22"/>
              </w:rPr>
            </w:pPr>
            <w:r>
              <w:rPr>
                <w:rFonts w:hint="eastAsia" w:ascii="宋体" w:hAnsi="宋体"/>
                <w:szCs w:val="22"/>
              </w:rPr>
              <w:t>数量①</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85603F2">
            <w:pPr>
              <w:rPr>
                <w:rFonts w:hint="eastAsia" w:ascii="宋体" w:hAnsi="宋体"/>
                <w:szCs w:val="22"/>
              </w:rPr>
            </w:pPr>
            <w:r>
              <w:rPr>
                <w:rFonts w:hint="eastAsia" w:ascii="宋体" w:hAnsi="宋体"/>
                <w:szCs w:val="22"/>
              </w:rPr>
              <w:t>单价(元)②</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47A165D">
            <w:pPr>
              <w:rPr>
                <w:rFonts w:hint="eastAsia" w:ascii="宋体" w:hAnsi="宋体"/>
                <w:szCs w:val="22"/>
              </w:rPr>
            </w:pPr>
            <w:r>
              <w:rPr>
                <w:rFonts w:hint="eastAsia" w:ascii="宋体" w:hAnsi="宋体"/>
                <w:szCs w:val="22"/>
              </w:rPr>
              <w:t>单项合价（元）</w:t>
            </w:r>
          </w:p>
          <w:p w14:paraId="4F95BF86">
            <w:pPr>
              <w:rPr>
                <w:rFonts w:hint="eastAsia" w:ascii="宋体" w:hAnsi="宋体"/>
                <w:szCs w:val="22"/>
              </w:rPr>
            </w:pPr>
            <w:r>
              <w:rPr>
                <w:rFonts w:hint="eastAsia" w:ascii="宋体" w:hAnsi="宋体"/>
                <w:szCs w:val="22"/>
              </w:rPr>
              <w:t>③＝①×②/费率</w:t>
            </w:r>
          </w:p>
        </w:tc>
        <w:tc>
          <w:tcPr>
            <w:tcW w:w="0" w:type="auto"/>
            <w:tcBorders>
              <w:top w:val="single" w:color="auto" w:sz="4" w:space="0"/>
              <w:left w:val="single" w:color="auto" w:sz="4" w:space="0"/>
              <w:bottom w:val="single" w:color="auto" w:sz="4" w:space="0"/>
              <w:right w:val="single" w:color="auto" w:sz="4" w:space="0"/>
            </w:tcBorders>
            <w:noWrap w:val="0"/>
            <w:vAlign w:val="top"/>
          </w:tcPr>
          <w:p w14:paraId="37FC05CF">
            <w:pPr>
              <w:spacing w:line="360" w:lineRule="auto"/>
              <w:jc w:val="center"/>
              <w:rPr>
                <w:rFonts w:hint="eastAsia" w:ascii="宋体" w:hAnsi="宋体"/>
                <w:szCs w:val="22"/>
              </w:rPr>
            </w:pPr>
            <w:r>
              <w:rPr>
                <w:rFonts w:hint="eastAsia" w:ascii="宋体" w:hAnsi="宋体"/>
                <w:szCs w:val="22"/>
              </w:rPr>
              <w:t>服务要求（含服务期限）</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6DD7DA9">
            <w:pPr>
              <w:rPr>
                <w:rFonts w:hint="eastAsia" w:ascii="宋体" w:hAnsi="宋体"/>
                <w:szCs w:val="22"/>
              </w:rPr>
            </w:pPr>
            <w:r>
              <w:rPr>
                <w:rFonts w:hint="eastAsia" w:ascii="宋体" w:hAnsi="宋体"/>
                <w:szCs w:val="22"/>
              </w:rPr>
              <w:t>备注</w:t>
            </w:r>
          </w:p>
        </w:tc>
      </w:tr>
      <w:tr w14:paraId="61C9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A566E1E">
            <w:pPr>
              <w:rPr>
                <w:rFonts w:hint="eastAsia" w:ascii="宋体" w:hAnsi="宋体"/>
                <w:szCs w:val="22"/>
              </w:rPr>
            </w:pPr>
            <w:r>
              <w:rPr>
                <w:rFonts w:hint="eastAsia" w:ascii="宋体" w:hAnsi="宋体"/>
                <w:szCs w:val="22"/>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332B43F">
            <w:pPr>
              <w:rPr>
                <w:rFonts w:hint="eastAsia" w:ascii="宋体" w:hAnsi="宋体"/>
                <w:szCs w:val="22"/>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7DE7F21">
            <w:pPr>
              <w:rPr>
                <w:rFonts w:hint="eastAsia" w:ascii="宋体" w:hAnsi="宋体"/>
                <w:szCs w:val="22"/>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2575DC5">
            <w:pPr>
              <w:rPr>
                <w:rFonts w:hint="eastAsia" w:ascii="宋体" w:hAnsi="宋体"/>
                <w:szCs w:val="22"/>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3DA3751">
            <w:pPr>
              <w:rPr>
                <w:rFonts w:hint="eastAsia" w:ascii="宋体" w:hAnsi="宋体"/>
                <w:szCs w:val="22"/>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7BCE9D5">
            <w:pPr>
              <w:rPr>
                <w:rFonts w:hint="eastAsia" w:ascii="宋体" w:hAnsi="宋体"/>
                <w:szCs w:val="22"/>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6296350C">
            <w:pPr>
              <w:rPr>
                <w:rFonts w:hint="eastAsia" w:ascii="宋体" w:hAnsi="宋体"/>
                <w:szCs w:val="22"/>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E03BDA6">
            <w:pPr>
              <w:rPr>
                <w:rFonts w:hint="eastAsia" w:ascii="宋体" w:hAnsi="宋体"/>
                <w:szCs w:val="22"/>
              </w:rPr>
            </w:pPr>
          </w:p>
        </w:tc>
      </w:tr>
      <w:tr w14:paraId="527F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E5A1F4A">
            <w:pPr>
              <w:rPr>
                <w:rFonts w:hint="eastAsia" w:ascii="宋体" w:hAnsi="宋体"/>
                <w:szCs w:val="22"/>
              </w:rPr>
            </w:pPr>
            <w:r>
              <w:rPr>
                <w:rFonts w:hint="eastAsia" w:ascii="宋体" w:hAnsi="宋体"/>
                <w:szCs w:val="22"/>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D510D2C">
            <w:pPr>
              <w:rPr>
                <w:rFonts w:hint="eastAsia" w:ascii="宋体" w:hAnsi="宋体"/>
                <w:szCs w:val="22"/>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977FCAB">
            <w:pPr>
              <w:rPr>
                <w:rFonts w:hint="eastAsia" w:ascii="宋体" w:hAnsi="宋体"/>
                <w:szCs w:val="22"/>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1263CBD">
            <w:pPr>
              <w:rPr>
                <w:rFonts w:hint="eastAsia" w:ascii="宋体" w:hAnsi="宋体"/>
                <w:szCs w:val="22"/>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FB09350">
            <w:pPr>
              <w:rPr>
                <w:rFonts w:hint="eastAsia" w:ascii="宋体" w:hAnsi="宋体"/>
                <w:szCs w:val="22"/>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49D332A1">
            <w:pPr>
              <w:rPr>
                <w:rFonts w:hint="eastAsia" w:ascii="宋体" w:hAnsi="宋体"/>
                <w:szCs w:val="22"/>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758F687B">
            <w:pPr>
              <w:rPr>
                <w:rFonts w:hint="eastAsia" w:ascii="宋体" w:hAnsi="宋体"/>
                <w:szCs w:val="22"/>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03193FB">
            <w:pPr>
              <w:rPr>
                <w:rFonts w:hint="eastAsia" w:ascii="宋体" w:hAnsi="宋体"/>
                <w:szCs w:val="22"/>
              </w:rPr>
            </w:pPr>
          </w:p>
        </w:tc>
      </w:tr>
      <w:tr w14:paraId="3CD1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FF83DE1">
            <w:pPr>
              <w:rPr>
                <w:rFonts w:hint="eastAsia" w:ascii="宋体" w:hAnsi="宋体"/>
                <w:szCs w:val="22"/>
              </w:rPr>
            </w:pPr>
            <w:r>
              <w:rPr>
                <w:rFonts w:hint="eastAsia" w:ascii="宋体" w:hAnsi="宋体"/>
                <w:szCs w:val="22"/>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36466AE">
            <w:pPr>
              <w:rPr>
                <w:rFonts w:hint="eastAsia" w:ascii="宋体" w:hAnsi="宋体"/>
                <w:szCs w:val="22"/>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EFF51FC">
            <w:pPr>
              <w:rPr>
                <w:rFonts w:hint="eastAsia" w:ascii="宋体" w:hAnsi="宋体"/>
                <w:szCs w:val="22"/>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B75098B">
            <w:pPr>
              <w:rPr>
                <w:rFonts w:hint="eastAsia" w:ascii="宋体" w:hAnsi="宋体"/>
                <w:szCs w:val="22"/>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4F7C29F">
            <w:pPr>
              <w:rPr>
                <w:rFonts w:hint="eastAsia" w:ascii="宋体" w:hAnsi="宋体"/>
                <w:szCs w:val="22"/>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4D2BB5E3">
            <w:pPr>
              <w:rPr>
                <w:rFonts w:hint="eastAsia" w:ascii="宋体" w:hAnsi="宋体"/>
                <w:szCs w:val="22"/>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64A80400">
            <w:pPr>
              <w:rPr>
                <w:rFonts w:hint="eastAsia" w:ascii="宋体" w:hAnsi="宋体"/>
                <w:szCs w:val="22"/>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78A8D81F">
            <w:pPr>
              <w:rPr>
                <w:rFonts w:hint="eastAsia" w:ascii="宋体" w:hAnsi="宋体"/>
                <w:szCs w:val="22"/>
              </w:rPr>
            </w:pPr>
          </w:p>
        </w:tc>
      </w:tr>
      <w:tr w14:paraId="6FDE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0" w:type="auto"/>
            <w:gridSpan w:val="8"/>
            <w:tcBorders>
              <w:top w:val="single" w:color="auto" w:sz="4" w:space="0"/>
              <w:left w:val="single" w:color="auto" w:sz="4" w:space="0"/>
              <w:bottom w:val="single" w:color="auto" w:sz="4" w:space="0"/>
              <w:right w:val="single" w:color="auto" w:sz="4" w:space="0"/>
            </w:tcBorders>
            <w:noWrap w:val="0"/>
            <w:vAlign w:val="top"/>
          </w:tcPr>
          <w:p w14:paraId="676C38FA">
            <w:pPr>
              <w:rPr>
                <w:rFonts w:hint="eastAsia" w:ascii="宋体" w:hAnsi="宋体"/>
                <w:szCs w:val="22"/>
              </w:rPr>
            </w:pPr>
            <w:r>
              <w:rPr>
                <w:rFonts w:hint="eastAsia" w:ascii="宋体" w:hAnsi="宋体"/>
                <w:szCs w:val="22"/>
              </w:rPr>
              <w:t>报价合计（包含税费等所有费用）：（大写）人民币                                       （￥                元）</w:t>
            </w:r>
          </w:p>
        </w:tc>
      </w:tr>
      <w:tr w14:paraId="2994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0" w:type="auto"/>
            <w:gridSpan w:val="8"/>
            <w:tcBorders>
              <w:top w:val="single" w:color="auto" w:sz="4" w:space="0"/>
              <w:left w:val="single" w:color="auto" w:sz="4" w:space="0"/>
              <w:bottom w:val="single" w:color="auto" w:sz="4" w:space="0"/>
              <w:right w:val="single" w:color="auto" w:sz="4" w:space="0"/>
            </w:tcBorders>
            <w:noWrap w:val="0"/>
            <w:vAlign w:val="top"/>
          </w:tcPr>
          <w:p w14:paraId="1F970CDB">
            <w:pPr>
              <w:rPr>
                <w:rFonts w:hint="eastAsia" w:ascii="宋体" w:hAnsi="宋体"/>
                <w:szCs w:val="22"/>
              </w:rPr>
            </w:pPr>
            <w:r>
              <w:rPr>
                <w:rFonts w:hint="eastAsia" w:ascii="宋体" w:hAnsi="宋体"/>
                <w:szCs w:val="21"/>
                <w:u w:val="single"/>
              </w:rPr>
              <w:t>　　</w:t>
            </w:r>
            <w:r>
              <w:rPr>
                <w:rFonts w:hint="eastAsia" w:ascii="宋体" w:hAnsi="宋体"/>
                <w:szCs w:val="21"/>
              </w:rPr>
              <w:t>分标（此处有分标时填写具体分标号，无分标时填写“无”）</w:t>
            </w:r>
          </w:p>
        </w:tc>
      </w:tr>
      <w:tr w14:paraId="5127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0" w:type="auto"/>
            <w:gridSpan w:val="8"/>
            <w:tcBorders>
              <w:top w:val="single" w:color="auto" w:sz="4" w:space="0"/>
              <w:left w:val="single" w:color="auto" w:sz="4" w:space="0"/>
              <w:bottom w:val="single" w:color="auto" w:sz="4" w:space="0"/>
              <w:right w:val="single" w:color="auto" w:sz="4" w:space="0"/>
            </w:tcBorders>
            <w:noWrap w:val="0"/>
            <w:vAlign w:val="top"/>
          </w:tcPr>
          <w:p w14:paraId="594ACE55">
            <w:pPr>
              <w:rPr>
                <w:rFonts w:hint="eastAsia" w:ascii="宋体" w:hAnsi="宋体"/>
                <w:szCs w:val="22"/>
              </w:rPr>
            </w:pPr>
            <w:r>
              <w:rPr>
                <w:rFonts w:hint="eastAsia" w:ascii="宋体" w:hAnsi="宋体"/>
                <w:szCs w:val="22"/>
              </w:rPr>
              <w:t>验收标准：</w:t>
            </w:r>
          </w:p>
        </w:tc>
      </w:tr>
      <w:tr w14:paraId="2058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0" w:type="auto"/>
            <w:gridSpan w:val="8"/>
            <w:tcBorders>
              <w:top w:val="single" w:color="auto" w:sz="4" w:space="0"/>
              <w:left w:val="single" w:color="auto" w:sz="4" w:space="0"/>
              <w:bottom w:val="single" w:color="auto" w:sz="4" w:space="0"/>
              <w:right w:val="single" w:color="auto" w:sz="4" w:space="0"/>
            </w:tcBorders>
            <w:noWrap w:val="0"/>
            <w:vAlign w:val="top"/>
          </w:tcPr>
          <w:p w14:paraId="4BD21B4B">
            <w:pPr>
              <w:rPr>
                <w:rFonts w:hint="eastAsia" w:ascii="宋体" w:hAnsi="宋体"/>
                <w:szCs w:val="22"/>
              </w:rPr>
            </w:pPr>
            <w:r>
              <w:rPr>
                <w:rFonts w:hint="eastAsia" w:ascii="宋体" w:hAnsi="宋体"/>
                <w:szCs w:val="22"/>
              </w:rPr>
              <w:t>优惠及其它：</w:t>
            </w:r>
          </w:p>
        </w:tc>
      </w:tr>
    </w:tbl>
    <w:p w14:paraId="2C77950C">
      <w:pPr>
        <w:snapToGrid w:val="0"/>
        <w:spacing w:before="50" w:after="50"/>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注： </w:t>
      </w:r>
    </w:p>
    <w:p w14:paraId="52146B82">
      <w:pPr>
        <w:snapToGrid w:val="0"/>
        <w:spacing w:before="50" w:after="50"/>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1、 供应商需按本表格式填写，不得自行更改，也不得留空, 如有多分标，按分标分别提供响应报价表</w:t>
      </w:r>
      <w:r>
        <w:rPr>
          <w:rFonts w:hint="eastAsia" w:ascii="仿宋_GB2312" w:hAnsi="仿宋" w:eastAsia="仿宋_GB2312" w:cs="仿宋_GB2312"/>
          <w:b/>
          <w:kern w:val="0"/>
          <w:sz w:val="24"/>
          <w:lang w:val="zh-CN"/>
        </w:rPr>
        <w:t>。</w:t>
      </w:r>
    </w:p>
    <w:p w14:paraId="1CCB440E">
      <w:pPr>
        <w:snapToGrid w:val="0"/>
        <w:spacing w:before="50" w:after="50"/>
        <w:ind w:firstLine="480" w:firstLineChars="200"/>
        <w:jc w:val="left"/>
        <w:rPr>
          <w:rFonts w:hint="eastAsia" w:ascii="仿宋_GB2312" w:hAnsi="仿宋" w:eastAsia="仿宋_GB2312" w:cs="仿宋_GB2312"/>
          <w:b/>
          <w:kern w:val="0"/>
          <w:sz w:val="24"/>
          <w:lang w:val="zh-CN"/>
        </w:rPr>
      </w:pPr>
      <w:r>
        <w:rPr>
          <w:rFonts w:hint="eastAsia" w:ascii="仿宋_GB2312" w:hAnsi="仿宋" w:eastAsia="仿宋_GB2312" w:cs="仿宋_GB2312"/>
          <w:kern w:val="0"/>
          <w:sz w:val="24"/>
          <w:lang w:val="zh-CN"/>
        </w:rPr>
        <w:t>2、如为联合体响应的，“供应商名称”处必须列明联合体各方名称，并标注联合体牵头人名称，且盖章处须加盖联合体各方公章，</w:t>
      </w:r>
      <w:r>
        <w:rPr>
          <w:rFonts w:hint="eastAsia" w:ascii="仿宋_GB2312" w:hAnsi="仿宋" w:eastAsia="仿宋_GB2312" w:cs="仿宋_GB2312"/>
          <w:b/>
          <w:kern w:val="0"/>
          <w:sz w:val="24"/>
          <w:lang w:val="zh-CN"/>
        </w:rPr>
        <w:t>否则其响应作无效响应处理。</w:t>
      </w:r>
    </w:p>
    <w:p w14:paraId="1D62BA80">
      <w:pPr>
        <w:snapToGrid w:val="0"/>
        <w:spacing w:before="50" w:after="50"/>
        <w:ind w:firstLine="480" w:firstLineChars="200"/>
        <w:jc w:val="left"/>
        <w:rPr>
          <w:rFonts w:hint="eastAsia" w:ascii="仿宋_GB2312" w:hAnsi="仿宋" w:eastAsia="仿宋_GB2312" w:cs="仿宋_GB2312"/>
          <w:b/>
          <w:kern w:val="0"/>
          <w:sz w:val="24"/>
          <w:lang w:val="zh-CN"/>
        </w:rPr>
      </w:pPr>
      <w:r>
        <w:rPr>
          <w:rFonts w:hint="eastAsia" w:ascii="仿宋_GB2312" w:hAnsi="仿宋" w:eastAsia="仿宋_GB2312" w:cs="仿宋_GB2312"/>
          <w:kern w:val="0"/>
          <w:sz w:val="24"/>
          <w:lang w:val="zh-CN"/>
        </w:rPr>
        <w:t>3、以上表格要求细分项目及报价，在“具体服务内容”一栏中，填写具体服务范围、服务时间、服务标准，</w:t>
      </w:r>
      <w:r>
        <w:rPr>
          <w:rFonts w:hint="eastAsia" w:ascii="仿宋_GB2312" w:hAnsi="仿宋" w:eastAsia="仿宋_GB2312" w:cs="仿宋_GB2312"/>
          <w:b/>
          <w:kern w:val="0"/>
          <w:sz w:val="24"/>
          <w:lang w:val="zh-CN"/>
        </w:rPr>
        <w:t>否则其响应作无效响应处理。</w:t>
      </w:r>
    </w:p>
    <w:p w14:paraId="59E53A70">
      <w:pPr>
        <w:snapToGrid w:val="0"/>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4、特别提示：采购机构将对项目名称和项目编号，成交供应商名称、地址和成交金额，主要成交标的的名称、服务范围、服务要求、服务时间、服务标准等予以公示。</w:t>
      </w:r>
    </w:p>
    <w:p w14:paraId="2246DDA2">
      <w:pPr>
        <w:snapToGrid w:val="0"/>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szCs w:val="22"/>
          <w:lang w:val="zh-CN"/>
        </w:rPr>
        <w:t>5、</w:t>
      </w:r>
      <w:r>
        <w:rPr>
          <w:rFonts w:hint="eastAsia" w:ascii="仿宋_GB2312" w:hAnsi="仿宋" w:eastAsia="仿宋_GB2312" w:cs="仿宋_GB2312"/>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648343EF">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453D07EB">
      <w:pPr>
        <w:pStyle w:val="13"/>
        <w:spacing w:line="500" w:lineRule="exact"/>
        <w:ind w:firstLine="6360" w:firstLineChars="2650"/>
        <w:rPr>
          <w:rFonts w:hint="eastAsia" w:ascii="仿宋_GB2312" w:hAnsi="仿宋" w:eastAsia="仿宋_GB2312" w:cs="仿宋_GB2312"/>
          <w:sz w:val="24"/>
          <w:lang w:val="zh-CN"/>
        </w:rPr>
      </w:pPr>
      <w:r>
        <w:rPr>
          <w:rFonts w:hint="eastAsia" w:ascii="仿宋_GB2312" w:hAnsi="仿宋" w:eastAsia="仿宋_GB2312" w:cs="仿宋_GB2312"/>
          <w:sz w:val="24"/>
          <w:lang w:val="zh-CN"/>
        </w:rPr>
        <w:t>日期：  年  月   日</w:t>
      </w:r>
    </w:p>
    <w:p w14:paraId="51692B38">
      <w:pPr>
        <w:widowControl/>
        <w:jc w:val="left"/>
        <w:rPr>
          <w:rFonts w:ascii="仿宋_GB2312" w:hAnsi="仿宋" w:eastAsia="仿宋_GB2312" w:cs="仿宋_GB2312"/>
          <w:kern w:val="0"/>
          <w:sz w:val="24"/>
          <w:szCs w:val="21"/>
          <w:lang w:val="zh-CN"/>
        </w:rPr>
      </w:pPr>
    </w:p>
    <w:p w14:paraId="1E76A3B3">
      <w:pPr>
        <w:pStyle w:val="13"/>
        <w:snapToGrid w:val="0"/>
        <w:spacing w:before="295" w:after="295" w:line="360" w:lineRule="exact"/>
        <w:jc w:val="center"/>
        <w:rPr>
          <w:rFonts w:hint="eastAsia"/>
          <w:b/>
          <w:sz w:val="28"/>
          <w:szCs w:val="28"/>
        </w:rPr>
      </w:pPr>
    </w:p>
    <w:p w14:paraId="3AFB7C33">
      <w:pPr>
        <w:pStyle w:val="13"/>
        <w:snapToGrid w:val="0"/>
        <w:spacing w:before="295" w:after="295" w:line="360" w:lineRule="exact"/>
        <w:jc w:val="center"/>
        <w:rPr>
          <w:rFonts w:hint="eastAsia"/>
          <w:b/>
          <w:sz w:val="28"/>
          <w:szCs w:val="28"/>
        </w:rPr>
      </w:pPr>
    </w:p>
    <w:p w14:paraId="7ECB49A9">
      <w:pPr>
        <w:pStyle w:val="3"/>
        <w:rPr>
          <w:lang w:val="zh-CN"/>
        </w:rPr>
        <w:sectPr>
          <w:pgSz w:w="11910" w:h="16840"/>
          <w:pgMar w:top="1340" w:right="1500" w:bottom="280" w:left="1680" w:header="720" w:footer="720" w:gutter="0"/>
          <w:pgNumType w:fmt="decimal"/>
          <w:cols w:space="720" w:num="1"/>
        </w:sectPr>
      </w:pPr>
    </w:p>
    <w:p w14:paraId="75498A7D">
      <w:pPr>
        <w:pStyle w:val="13"/>
        <w:spacing w:line="500" w:lineRule="exact"/>
        <w:ind w:firstLine="6360" w:firstLineChars="2650"/>
        <w:rPr>
          <w:rFonts w:hint="eastAsia" w:ascii="仿宋_GB2312" w:hAnsi="仿宋" w:eastAsia="仿宋_GB2312" w:cs="仿宋_GB2312"/>
          <w:sz w:val="24"/>
          <w:lang w:val="zh-CN"/>
        </w:rPr>
      </w:pPr>
    </w:p>
    <w:p w14:paraId="2DC64B0F">
      <w:pPr>
        <w:pStyle w:val="13"/>
        <w:jc w:val="center"/>
        <w:rPr>
          <w:rFonts w:hint="eastAsia" w:ascii="Times New Roman" w:hAnsi="Times New Roman"/>
          <w:b/>
          <w:sz w:val="30"/>
          <w:szCs w:val="30"/>
        </w:rPr>
      </w:pPr>
      <w:bookmarkStart w:id="97" w:name="_Toc31723070"/>
      <w:bookmarkEnd w:id="97"/>
      <w:bookmarkStart w:id="98" w:name="_Toc35611438"/>
      <w:bookmarkEnd w:id="98"/>
      <w:bookmarkStart w:id="99" w:name="_Toc35611516"/>
      <w:bookmarkEnd w:id="99"/>
      <w:bookmarkStart w:id="100" w:name="_Toc31728084"/>
      <w:bookmarkEnd w:id="100"/>
      <w:bookmarkStart w:id="101" w:name="_Toc44229899"/>
      <w:bookmarkEnd w:id="101"/>
      <w:bookmarkStart w:id="102" w:name="_Toc80886946"/>
      <w:bookmarkStart w:id="103" w:name="_Toc80205942"/>
      <w:r>
        <w:rPr>
          <w:rFonts w:hint="eastAsia" w:ascii="Times New Roman" w:hAnsi="Times New Roman"/>
          <w:b/>
          <w:sz w:val="30"/>
          <w:szCs w:val="30"/>
        </w:rPr>
        <w:t>三、投标人针对报价需要说明的其他文件和说明</w:t>
      </w:r>
    </w:p>
    <w:p w14:paraId="572CAB6A">
      <w:pPr>
        <w:snapToGrid w:val="0"/>
        <w:spacing w:line="360" w:lineRule="auto"/>
        <w:ind w:firstLine="5040" w:firstLineChars="2100"/>
        <w:rPr>
          <w:rFonts w:hint="eastAsia" w:ascii="仿宋_GB2312" w:hAnsi="仿宋" w:eastAsia="仿宋_GB2312" w:cs="仿宋_GB2312"/>
          <w:kern w:val="0"/>
          <w:sz w:val="24"/>
          <w:lang w:val="zh-CN"/>
        </w:rPr>
      </w:pPr>
    </w:p>
    <w:p w14:paraId="4B3E386F">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7BD15F79">
      <w:pPr>
        <w:ind w:firstLine="5280" w:firstLineChars="2200"/>
        <w:rPr>
          <w:rFonts w:hint="eastAsia"/>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7240B3C7">
      <w:pPr>
        <w:pStyle w:val="3"/>
        <w:jc w:val="center"/>
        <w:rPr>
          <w:rFonts w:hint="eastAsia" w:ascii="宋体" w:hAnsi="宋体"/>
        </w:rPr>
      </w:pPr>
    </w:p>
    <w:p w14:paraId="09E05F66">
      <w:pPr>
        <w:pStyle w:val="3"/>
        <w:jc w:val="both"/>
        <w:rPr>
          <w:rFonts w:hint="eastAsia" w:ascii="宋体" w:hAnsi="宋体"/>
        </w:rPr>
      </w:pPr>
    </w:p>
    <w:p w14:paraId="724C2E27">
      <w:pPr>
        <w:pStyle w:val="3"/>
        <w:jc w:val="both"/>
        <w:rPr>
          <w:rFonts w:hint="eastAsia" w:ascii="宋体" w:hAnsi="宋体"/>
        </w:rPr>
      </w:pPr>
    </w:p>
    <w:p w14:paraId="48C28C31">
      <w:pPr>
        <w:pStyle w:val="3"/>
        <w:jc w:val="both"/>
        <w:rPr>
          <w:rFonts w:hint="eastAsia" w:ascii="宋体" w:hAnsi="宋体"/>
        </w:rPr>
      </w:pPr>
    </w:p>
    <w:p w14:paraId="35496FFF">
      <w:pPr>
        <w:pStyle w:val="3"/>
        <w:jc w:val="both"/>
        <w:rPr>
          <w:rFonts w:hint="eastAsia" w:ascii="宋体" w:hAnsi="宋体"/>
        </w:rPr>
      </w:pPr>
    </w:p>
    <w:p w14:paraId="79B6D11B">
      <w:pPr>
        <w:pStyle w:val="3"/>
        <w:jc w:val="both"/>
        <w:rPr>
          <w:rFonts w:hint="eastAsia" w:ascii="宋体" w:hAnsi="宋体"/>
        </w:rPr>
      </w:pPr>
    </w:p>
    <w:p w14:paraId="284E3301">
      <w:pPr>
        <w:pStyle w:val="3"/>
        <w:jc w:val="both"/>
        <w:rPr>
          <w:rFonts w:hint="eastAsia" w:ascii="宋体" w:hAnsi="宋体"/>
        </w:rPr>
      </w:pPr>
    </w:p>
    <w:p w14:paraId="70CBD240">
      <w:pPr>
        <w:pStyle w:val="3"/>
        <w:jc w:val="both"/>
        <w:rPr>
          <w:rFonts w:hint="eastAsia" w:ascii="宋体" w:hAnsi="宋体"/>
        </w:rPr>
      </w:pPr>
    </w:p>
    <w:p w14:paraId="2E6190DB">
      <w:pPr>
        <w:pStyle w:val="3"/>
        <w:jc w:val="both"/>
        <w:rPr>
          <w:rFonts w:hint="eastAsia" w:ascii="宋体" w:hAnsi="宋体"/>
        </w:rPr>
      </w:pPr>
    </w:p>
    <w:p w14:paraId="4DA3F1C4">
      <w:pPr>
        <w:pStyle w:val="3"/>
        <w:jc w:val="both"/>
        <w:rPr>
          <w:rFonts w:hint="eastAsia" w:ascii="宋体" w:hAnsi="宋体"/>
        </w:rPr>
      </w:pPr>
    </w:p>
    <w:p w14:paraId="320A7EBD">
      <w:pPr>
        <w:pStyle w:val="3"/>
        <w:jc w:val="both"/>
        <w:rPr>
          <w:rFonts w:hint="eastAsia" w:ascii="宋体" w:hAnsi="宋体"/>
        </w:rPr>
      </w:pPr>
    </w:p>
    <w:p w14:paraId="4921E78B">
      <w:pPr>
        <w:rPr>
          <w:rFonts w:hint="eastAsia"/>
        </w:rPr>
      </w:pPr>
    </w:p>
    <w:p w14:paraId="3CA35253">
      <w:pPr>
        <w:pStyle w:val="3"/>
        <w:jc w:val="center"/>
        <w:rPr>
          <w:rFonts w:hint="eastAsia" w:ascii="宋体" w:hAnsi="宋体" w:cs="宋体"/>
          <w:b w:val="0"/>
        </w:rPr>
      </w:pPr>
      <w:r>
        <w:rPr>
          <w:rFonts w:hint="eastAsia" w:ascii="宋体" w:hAnsi="宋体"/>
        </w:rPr>
        <w:t>第五节 其他文书、文件格式</w:t>
      </w:r>
      <w:bookmarkEnd w:id="102"/>
      <w:bookmarkEnd w:id="103"/>
    </w:p>
    <w:p w14:paraId="63F79318">
      <w:pPr>
        <w:jc w:val="center"/>
        <w:rPr>
          <w:rFonts w:hint="eastAsia" w:ascii="宋体" w:hAnsi="宋体" w:cs="宋体"/>
          <w:b/>
          <w:bCs/>
          <w:sz w:val="32"/>
          <w:szCs w:val="32"/>
          <w:lang w:val="en"/>
        </w:rPr>
      </w:pPr>
      <w:r>
        <w:rPr>
          <w:rFonts w:hint="eastAsia" w:ascii="宋体" w:hAnsi="宋体" w:cs="宋体"/>
          <w:b/>
          <w:bCs/>
          <w:sz w:val="32"/>
          <w:szCs w:val="32"/>
          <w:lang w:val="en"/>
        </w:rPr>
        <w:t>知识产权合规性声明</w:t>
      </w:r>
    </w:p>
    <w:p w14:paraId="6338C976">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0AF40DC1">
      <w:pPr>
        <w:rPr>
          <w:rFonts w:hint="eastAsia" w:ascii="仿宋_GB2312" w:hAnsi="仿宋_GB2312" w:eastAsia="仿宋_GB2312" w:cs="仿宋_GB2312"/>
          <w:sz w:val="30"/>
          <w:szCs w:val="30"/>
          <w:lang w:val="en"/>
        </w:rPr>
      </w:pPr>
      <w:r>
        <w:rPr>
          <w:rFonts w:hint="eastAsia" w:ascii="仿宋_GB2312" w:hAnsi="仿宋_GB2312" w:eastAsia="仿宋_GB2312" w:cs="仿宋_GB2312"/>
          <w:sz w:val="30"/>
          <w:szCs w:val="30"/>
        </w:rPr>
        <w:t xml:space="preserve">    本</w:t>
      </w:r>
      <w:r>
        <w:rPr>
          <w:rFonts w:hint="eastAsia" w:ascii="仿宋_GB2312" w:hAnsi="仿宋_GB2312" w:eastAsia="仿宋_GB2312" w:cs="仿宋_GB2312"/>
          <w:sz w:val="30"/>
          <w:szCs w:val="30"/>
          <w:lang w:val="en"/>
        </w:rPr>
        <w:t>企业（单位）自愿参与政府投资政府采购的</w:t>
      </w:r>
      <w:r>
        <w:rPr>
          <w:rFonts w:hint="eastAsia" w:ascii="仿宋_GB2312" w:hAnsi="仿宋_GB2312" w:eastAsia="仿宋_GB2312" w:cs="仿宋_GB2312"/>
          <w:sz w:val="30"/>
          <w:szCs w:val="30"/>
          <w:u w:val="single"/>
          <w:lang w:val="en" w:eastAsia="zh-CN"/>
        </w:rPr>
        <w:t>上林县委县政府机关大院物业服务项目(重)</w:t>
      </w:r>
      <w:r>
        <w:rPr>
          <w:rFonts w:hint="eastAsia" w:ascii="仿宋_GB2312" w:hAnsi="仿宋_GB2312" w:eastAsia="仿宋_GB2312" w:cs="仿宋_GB2312"/>
          <w:sz w:val="30"/>
          <w:szCs w:val="30"/>
          <w:lang w:val="en"/>
        </w:rPr>
        <w:t>，</w:t>
      </w:r>
      <w:r>
        <w:rPr>
          <w:rFonts w:hint="eastAsia" w:ascii="仿宋_GB2312" w:hAnsi="仿宋_GB2312" w:eastAsia="仿宋_GB2312" w:cs="仿宋_GB2312"/>
          <w:b/>
          <w:bCs/>
          <w:sz w:val="30"/>
          <w:szCs w:val="30"/>
          <w:lang w:val="en"/>
        </w:rPr>
        <w:t>在此郑重承诺：</w:t>
      </w:r>
      <w:r>
        <w:rPr>
          <w:rFonts w:hint="eastAsia" w:ascii="仿宋_GB2312" w:hAnsi="仿宋_GB2312" w:eastAsia="仿宋_GB2312" w:cs="仿宋_GB2312"/>
          <w:sz w:val="30"/>
          <w:szCs w:val="30"/>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仿宋_GB2312" w:hAnsi="仿宋_GB2312" w:eastAsia="仿宋_GB2312" w:cs="仿宋_GB2312"/>
          <w:sz w:val="30"/>
          <w:szCs w:val="30"/>
        </w:rPr>
        <w:t>单位</w:t>
      </w:r>
      <w:r>
        <w:rPr>
          <w:rFonts w:hint="eastAsia" w:ascii="仿宋_GB2312" w:hAnsi="仿宋_GB2312" w:eastAsia="仿宋_GB2312" w:cs="仿宋_GB2312"/>
          <w:sz w:val="30"/>
          <w:szCs w:val="30"/>
          <w:lang w:val="en"/>
        </w:rPr>
        <w:t>）将承担由此产生的全部责任。</w:t>
      </w:r>
    </w:p>
    <w:p w14:paraId="063BD590">
      <w:pPr>
        <w:snapToGrid w:val="0"/>
        <w:spacing w:line="360" w:lineRule="auto"/>
        <w:ind w:left="5137" w:leftChars="1736" w:hanging="1491" w:hangingChars="825"/>
        <w:rPr>
          <w:rFonts w:hint="eastAsia"/>
          <w:b/>
          <w:sz w:val="18"/>
          <w:szCs w:val="18"/>
        </w:rPr>
      </w:pPr>
      <w:r>
        <w:rPr>
          <w:b/>
          <w:sz w:val="18"/>
          <w:szCs w:val="18"/>
        </w:rPr>
        <w:t xml:space="preserve">           </w:t>
      </w:r>
    </w:p>
    <w:p w14:paraId="7F1D7680">
      <w:pPr>
        <w:snapToGrid w:val="0"/>
        <w:spacing w:line="360" w:lineRule="auto"/>
        <w:ind w:left="5137" w:leftChars="1736" w:hanging="1491" w:hangingChars="825"/>
        <w:rPr>
          <w:b/>
          <w:sz w:val="18"/>
          <w:szCs w:val="18"/>
        </w:rPr>
      </w:pPr>
    </w:p>
    <w:p w14:paraId="50017818">
      <w:pPr>
        <w:snapToGrid w:val="0"/>
        <w:spacing w:line="360" w:lineRule="auto"/>
        <w:ind w:left="5137" w:leftChars="1736" w:hanging="1491" w:hangingChars="825"/>
        <w:rPr>
          <w:b/>
          <w:sz w:val="18"/>
          <w:szCs w:val="18"/>
        </w:rPr>
      </w:pPr>
    </w:p>
    <w:p w14:paraId="56DC43BF">
      <w:pPr>
        <w:snapToGrid w:val="0"/>
        <w:spacing w:line="360" w:lineRule="auto"/>
        <w:ind w:left="5137" w:leftChars="1736" w:hanging="1491" w:hangingChars="825"/>
        <w:rPr>
          <w:b/>
          <w:sz w:val="18"/>
          <w:szCs w:val="18"/>
        </w:rPr>
      </w:pPr>
    </w:p>
    <w:p w14:paraId="6F84E09B">
      <w:pPr>
        <w:snapToGrid w:val="0"/>
        <w:spacing w:line="360" w:lineRule="auto"/>
        <w:ind w:left="5137" w:leftChars="1736" w:hanging="1491" w:hangingChars="825"/>
        <w:rPr>
          <w:rFonts w:ascii="仿宋_GB2312" w:hAnsi="仿宋" w:eastAsia="仿宋_GB2312" w:cs="仿宋_GB2312"/>
          <w:kern w:val="0"/>
          <w:sz w:val="24"/>
        </w:rPr>
      </w:pPr>
      <w:r>
        <w:rPr>
          <w:b/>
          <w:sz w:val="18"/>
          <w:szCs w:val="18"/>
        </w:rPr>
        <w:t xml:space="preserve">      </w:t>
      </w:r>
      <w:r>
        <w:rPr>
          <w:rFonts w:hint="eastAsia" w:ascii="仿宋_GB2312" w:hAnsi="仿宋" w:eastAsia="仿宋_GB2312" w:cs="仿宋_GB2312"/>
          <w:kern w:val="0"/>
          <w:sz w:val="24"/>
          <w:lang w:val="zh-CN"/>
        </w:rPr>
        <w:t>投标人名称(电子签章)：</w:t>
      </w:r>
    </w:p>
    <w:p w14:paraId="4753A9E5">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68DC4843">
      <w:pPr>
        <w:widowControl/>
        <w:jc w:val="left"/>
        <w:rPr>
          <w:rFonts w:ascii="宋体" w:hAnsi="宋体" w:cs="仿宋_GB2312"/>
          <w:sz w:val="24"/>
        </w:rPr>
        <w:sectPr>
          <w:pgSz w:w="11906" w:h="16838"/>
          <w:pgMar w:top="1134" w:right="1134" w:bottom="1134" w:left="1134" w:header="720" w:footer="720" w:gutter="0"/>
          <w:pgNumType w:fmt="decimal"/>
          <w:cols w:space="720" w:num="1"/>
          <w:docGrid w:type="lines" w:linePitch="331" w:charSpace="0"/>
        </w:sectPr>
      </w:pPr>
    </w:p>
    <w:p w14:paraId="28D0ECE2">
      <w:pPr>
        <w:spacing w:line="520" w:lineRule="exact"/>
        <w:rPr>
          <w:rFonts w:hint="eastAsia" w:ascii="宋体" w:hAnsi="宋体" w:cs="仿宋_GB2312"/>
          <w:sz w:val="24"/>
        </w:rPr>
      </w:pPr>
    </w:p>
    <w:p w14:paraId="73D01927">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残疾人福利性单位声明函</w:t>
      </w:r>
    </w:p>
    <w:p w14:paraId="5672FBF7">
      <w:pPr>
        <w:spacing w:line="520" w:lineRule="exact"/>
        <w:rPr>
          <w:rFonts w:hint="eastAsia" w:ascii="仿宋_GB2312" w:hAnsi="仿宋_GB2312" w:eastAsia="仿宋_GB2312" w:cs="仿宋_GB2312"/>
          <w:color w:val="000000"/>
          <w:sz w:val="32"/>
          <w:szCs w:val="32"/>
        </w:rPr>
      </w:pPr>
    </w:p>
    <w:p w14:paraId="089F5DEE">
      <w:pPr>
        <w:spacing w:line="360" w:lineRule="auto"/>
        <w:ind w:firstLine="480" w:firstLineChars="200"/>
        <w:rPr>
          <w:rFonts w:hint="eastAsia" w:ascii="仿宋_GB2312" w:hAnsi="宋体" w:eastAsia="仿宋_GB2312" w:cs="仿宋_GB2312"/>
          <w:color w:val="000000"/>
          <w:sz w:val="24"/>
        </w:rPr>
      </w:pPr>
      <w:r>
        <w:rPr>
          <w:rFonts w:hint="eastAsia" w:ascii="仿宋_GB2312" w:hAnsi="宋体" w:eastAsia="仿宋_GB2312" w:cs="仿宋_GB2312"/>
          <w:color w:val="000000"/>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宋体" w:eastAsia="仿宋_GB2312" w:cs="仿宋_GB2312"/>
          <w:color w:val="000000"/>
          <w:sz w:val="24"/>
          <w:u w:val="single"/>
        </w:rPr>
        <w:t xml:space="preserve"> </w:t>
      </w:r>
      <w:r>
        <w:rPr>
          <w:rFonts w:hint="eastAsia" w:ascii="仿宋_GB2312" w:hAnsi="宋体" w:eastAsia="仿宋_GB2312" w:cs="仿宋_GB2312"/>
          <w:color w:val="000000"/>
          <w:sz w:val="24"/>
          <w:u w:val="single"/>
          <w:lang w:eastAsia="zh-CN"/>
        </w:rPr>
        <w:t>上林县机关后勤服务中心</w:t>
      </w:r>
      <w:r>
        <w:rPr>
          <w:rFonts w:hint="eastAsia" w:ascii="仿宋_GB2312" w:hAnsi="宋体" w:eastAsia="仿宋_GB2312" w:cs="仿宋_GB2312"/>
          <w:color w:val="000000"/>
          <w:sz w:val="24"/>
          <w:u w:val="single"/>
        </w:rPr>
        <w:t xml:space="preserve"> </w:t>
      </w:r>
      <w:r>
        <w:rPr>
          <w:rFonts w:hint="eastAsia" w:ascii="仿宋_GB2312" w:hAnsi="宋体" w:eastAsia="仿宋_GB2312" w:cs="仿宋_GB2312"/>
          <w:color w:val="000000"/>
          <w:sz w:val="24"/>
        </w:rPr>
        <w:t>单位的</w:t>
      </w:r>
      <w:r>
        <w:rPr>
          <w:rFonts w:hint="eastAsia" w:ascii="仿宋_GB2312" w:hAnsi="宋体" w:eastAsia="仿宋_GB2312" w:cs="仿宋_GB2312"/>
          <w:color w:val="000000"/>
          <w:sz w:val="24"/>
          <w:u w:val="single"/>
        </w:rPr>
        <w:t xml:space="preserve"> </w:t>
      </w:r>
      <w:r>
        <w:rPr>
          <w:rFonts w:hint="eastAsia" w:ascii="仿宋_GB2312" w:hAnsi="宋体" w:eastAsia="仿宋_GB2312" w:cs="仿宋_GB2312"/>
          <w:color w:val="000000"/>
          <w:sz w:val="24"/>
          <w:u w:val="single"/>
          <w:lang w:eastAsia="zh-CN"/>
        </w:rPr>
        <w:t>上林县委县政府机关大院物业服务项目(重)</w:t>
      </w:r>
      <w:r>
        <w:rPr>
          <w:rFonts w:hint="eastAsia" w:ascii="仿宋_GB2312" w:hAnsi="宋体" w:eastAsia="仿宋_GB2312" w:cs="仿宋_GB2312"/>
          <w:color w:val="000000"/>
          <w:sz w:val="24"/>
        </w:rPr>
        <w:t>采购活动由本单位提供服务。</w:t>
      </w:r>
    </w:p>
    <w:p w14:paraId="042BEEFF">
      <w:pPr>
        <w:spacing w:line="360" w:lineRule="auto"/>
        <w:ind w:firstLine="480" w:firstLineChars="200"/>
        <w:rPr>
          <w:rFonts w:hint="eastAsia" w:ascii="仿宋_GB2312" w:hAnsi="宋体" w:eastAsia="仿宋_GB2312" w:cs="仿宋_GB2312"/>
          <w:color w:val="000000"/>
          <w:sz w:val="24"/>
        </w:rPr>
      </w:pPr>
      <w:r>
        <w:rPr>
          <w:rFonts w:hint="eastAsia" w:ascii="仿宋_GB2312" w:hAnsi="宋体" w:eastAsia="仿宋_GB2312" w:cs="仿宋_GB2312"/>
          <w:color w:val="000000"/>
          <w:sz w:val="24"/>
        </w:rPr>
        <w:t>本单位对上述声明的真实性负责。如有虚假，将依法承担相应责任。</w:t>
      </w:r>
    </w:p>
    <w:p w14:paraId="0BB02C1D">
      <w:pPr>
        <w:spacing w:line="360" w:lineRule="auto"/>
        <w:rPr>
          <w:rFonts w:hint="eastAsia" w:ascii="宋体" w:hAnsi="宋体" w:cs="仿宋_GB2312"/>
          <w:color w:val="000000"/>
          <w:sz w:val="24"/>
        </w:rPr>
      </w:pPr>
    </w:p>
    <w:p w14:paraId="231404A2">
      <w:pPr>
        <w:spacing w:line="360" w:lineRule="auto"/>
        <w:rPr>
          <w:rFonts w:hint="eastAsia" w:ascii="宋体" w:hAnsi="宋体" w:cs="仿宋_GB2312"/>
          <w:color w:val="000000"/>
          <w:sz w:val="24"/>
        </w:rPr>
      </w:pPr>
    </w:p>
    <w:p w14:paraId="14D7A945">
      <w:pPr>
        <w:spacing w:line="360" w:lineRule="auto"/>
        <w:rPr>
          <w:rFonts w:hint="eastAsia" w:ascii="宋体" w:hAnsi="宋体" w:cs="仿宋_GB2312"/>
          <w:color w:val="000000"/>
          <w:sz w:val="24"/>
        </w:rPr>
      </w:pPr>
    </w:p>
    <w:p w14:paraId="16F93BF2">
      <w:pPr>
        <w:spacing w:line="360" w:lineRule="auto"/>
        <w:ind w:firstLine="2400" w:firstLineChars="1000"/>
        <w:rPr>
          <w:rFonts w:hint="eastAsia" w:ascii="宋体" w:hAnsi="宋体" w:cs="仿宋_GB2312"/>
          <w:color w:val="000000"/>
          <w:sz w:val="24"/>
        </w:rPr>
      </w:pPr>
      <w:r>
        <w:rPr>
          <w:rFonts w:hint="eastAsia" w:ascii="宋体" w:hAnsi="宋体" w:cs="仿宋_GB2312"/>
          <w:color w:val="000000"/>
          <w:sz w:val="24"/>
        </w:rPr>
        <w:t>供应商名称（电子签章）：</w:t>
      </w:r>
    </w:p>
    <w:p w14:paraId="0931B663">
      <w:pPr>
        <w:spacing w:line="360" w:lineRule="auto"/>
        <w:ind w:firstLine="4320" w:firstLineChars="1800"/>
        <w:rPr>
          <w:rFonts w:hint="eastAsia" w:ascii="宋体" w:hAnsi="宋体" w:cs="仿宋_GB2312"/>
          <w:color w:val="000000"/>
          <w:sz w:val="24"/>
        </w:rPr>
      </w:pPr>
      <w:r>
        <w:rPr>
          <w:rFonts w:hint="eastAsia" w:ascii="宋体" w:hAnsi="宋体" w:cs="仿宋_GB2312"/>
          <w:color w:val="000000"/>
          <w:sz w:val="24"/>
        </w:rPr>
        <w:t>日  期：     年   月   日</w:t>
      </w:r>
    </w:p>
    <w:p w14:paraId="5B800C2F">
      <w:pPr>
        <w:spacing w:line="360" w:lineRule="auto"/>
        <w:rPr>
          <w:rFonts w:hint="eastAsia" w:ascii="宋体" w:hAnsi="宋体" w:cs="仿宋_GB2312"/>
          <w:color w:val="000000"/>
          <w:sz w:val="24"/>
        </w:rPr>
      </w:pPr>
    </w:p>
    <w:p w14:paraId="41A9C519">
      <w:pPr>
        <w:spacing w:line="360" w:lineRule="auto"/>
        <w:rPr>
          <w:rFonts w:hint="eastAsia" w:ascii="宋体" w:hAnsi="宋体" w:cs="仿宋_GB2312"/>
          <w:color w:val="000000"/>
          <w:sz w:val="24"/>
        </w:rPr>
      </w:pPr>
    </w:p>
    <w:p w14:paraId="60B60F76">
      <w:pPr>
        <w:spacing w:line="360" w:lineRule="auto"/>
        <w:rPr>
          <w:rFonts w:hint="eastAsia" w:ascii="宋体" w:hAnsi="宋体" w:cs="仿宋_GB2312"/>
          <w:color w:val="000000"/>
          <w:sz w:val="24"/>
        </w:rPr>
      </w:pPr>
    </w:p>
    <w:p w14:paraId="5A7A8C60">
      <w:pPr>
        <w:spacing w:line="360" w:lineRule="auto"/>
        <w:rPr>
          <w:rFonts w:hint="eastAsia" w:ascii="宋体" w:hAnsi="宋体" w:cs="仿宋_GB2312"/>
          <w:color w:val="000000"/>
          <w:sz w:val="24"/>
        </w:rPr>
      </w:pPr>
      <w:r>
        <w:rPr>
          <w:rFonts w:hint="eastAsia" w:ascii="宋体" w:hAnsi="宋体" w:cs="仿宋_GB2312"/>
          <w:color w:val="000000"/>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6826F43D">
      <w:pPr>
        <w:spacing w:line="520" w:lineRule="exact"/>
        <w:jc w:val="center"/>
        <w:rPr>
          <w:rFonts w:hint="eastAsia" w:ascii="宋体" w:hAnsi="宋体"/>
          <w:sz w:val="24"/>
        </w:rPr>
      </w:pPr>
    </w:p>
    <w:p w14:paraId="7FB67030">
      <w:pPr>
        <w:spacing w:line="520" w:lineRule="exact"/>
        <w:jc w:val="center"/>
        <w:rPr>
          <w:rFonts w:hint="eastAsia" w:ascii="宋体" w:hAnsi="宋体"/>
          <w:sz w:val="24"/>
        </w:rPr>
      </w:pPr>
    </w:p>
    <w:p w14:paraId="52EBDA6C">
      <w:pPr>
        <w:spacing w:line="520" w:lineRule="exact"/>
        <w:jc w:val="center"/>
        <w:rPr>
          <w:rFonts w:hint="eastAsia" w:ascii="宋体" w:hAnsi="宋体"/>
          <w:sz w:val="24"/>
        </w:rPr>
      </w:pPr>
    </w:p>
    <w:p w14:paraId="3D06241E">
      <w:pPr>
        <w:spacing w:line="520" w:lineRule="exact"/>
        <w:jc w:val="center"/>
        <w:rPr>
          <w:rFonts w:hint="eastAsia" w:ascii="宋体" w:hAnsi="宋体"/>
          <w:sz w:val="24"/>
        </w:rPr>
      </w:pPr>
    </w:p>
    <w:p w14:paraId="20D2F525">
      <w:pPr>
        <w:spacing w:line="520" w:lineRule="exact"/>
        <w:jc w:val="center"/>
        <w:rPr>
          <w:rFonts w:hint="eastAsia" w:ascii="宋体" w:hAnsi="宋体"/>
          <w:sz w:val="24"/>
        </w:rPr>
      </w:pPr>
    </w:p>
    <w:p w14:paraId="03255D91">
      <w:pPr>
        <w:spacing w:line="520" w:lineRule="exact"/>
        <w:jc w:val="center"/>
        <w:rPr>
          <w:rFonts w:hint="eastAsia" w:ascii="宋体" w:hAnsi="宋体"/>
          <w:sz w:val="24"/>
        </w:rPr>
      </w:pPr>
    </w:p>
    <w:p w14:paraId="49921C62">
      <w:pPr>
        <w:spacing w:line="520" w:lineRule="exact"/>
        <w:jc w:val="center"/>
        <w:rPr>
          <w:rFonts w:hint="eastAsia" w:ascii="宋体" w:hAnsi="宋体"/>
          <w:sz w:val="24"/>
        </w:rPr>
      </w:pPr>
    </w:p>
    <w:p w14:paraId="50F9418D">
      <w:pPr>
        <w:spacing w:line="520" w:lineRule="exact"/>
        <w:jc w:val="center"/>
        <w:rPr>
          <w:rFonts w:hint="eastAsia" w:ascii="宋体" w:hAnsi="宋体"/>
          <w:sz w:val="24"/>
        </w:rPr>
      </w:pPr>
    </w:p>
    <w:p w14:paraId="4D8AC24D">
      <w:pPr>
        <w:spacing w:line="520" w:lineRule="exact"/>
        <w:jc w:val="center"/>
        <w:rPr>
          <w:rFonts w:hint="eastAsia" w:ascii="宋体" w:hAnsi="宋体"/>
          <w:sz w:val="24"/>
        </w:rPr>
      </w:pPr>
    </w:p>
    <w:p w14:paraId="1461395C">
      <w:pPr>
        <w:spacing w:line="520" w:lineRule="exact"/>
        <w:jc w:val="center"/>
        <w:rPr>
          <w:rFonts w:hint="eastAsia" w:ascii="宋体" w:hAnsi="宋体"/>
          <w:sz w:val="24"/>
        </w:rPr>
      </w:pPr>
    </w:p>
    <w:p w14:paraId="33969ED5">
      <w:pPr>
        <w:spacing w:line="520" w:lineRule="exact"/>
        <w:jc w:val="center"/>
        <w:rPr>
          <w:rFonts w:hint="eastAsia" w:ascii="宋体" w:hAnsi="宋体"/>
          <w:sz w:val="24"/>
        </w:rPr>
      </w:pPr>
    </w:p>
    <w:p w14:paraId="26605035">
      <w:pPr>
        <w:spacing w:line="520" w:lineRule="exact"/>
        <w:jc w:val="center"/>
        <w:rPr>
          <w:rFonts w:hint="eastAsia" w:ascii="宋体" w:hAnsi="宋体"/>
          <w:sz w:val="24"/>
        </w:rPr>
      </w:pPr>
    </w:p>
    <w:p w14:paraId="0155BD7A">
      <w:pPr>
        <w:spacing w:line="520" w:lineRule="exact"/>
        <w:jc w:val="center"/>
        <w:rPr>
          <w:rFonts w:hint="eastAsia" w:ascii="宋体" w:hAnsi="宋体"/>
          <w:sz w:val="24"/>
        </w:rPr>
      </w:pPr>
    </w:p>
    <w:p w14:paraId="35A58923">
      <w:pPr>
        <w:spacing w:line="520" w:lineRule="exact"/>
        <w:jc w:val="center"/>
        <w:rPr>
          <w:rFonts w:hint="eastAsia" w:ascii="宋体" w:hAnsi="宋体"/>
          <w:sz w:val="24"/>
        </w:rPr>
      </w:pPr>
    </w:p>
    <w:p w14:paraId="53067D46">
      <w:pPr>
        <w:spacing w:line="520" w:lineRule="exact"/>
        <w:jc w:val="center"/>
        <w:rPr>
          <w:rFonts w:hint="eastAsia" w:ascii="宋体" w:hAnsi="宋体"/>
          <w:sz w:val="24"/>
        </w:rPr>
      </w:pPr>
    </w:p>
    <w:p w14:paraId="65DD57A1">
      <w:pPr>
        <w:pStyle w:val="2"/>
        <w:jc w:val="center"/>
        <w:rPr>
          <w:rFonts w:hint="eastAsia" w:ascii="宋体" w:hAnsi="宋体"/>
          <w:b w:val="0"/>
          <w:bCs w:val="0"/>
        </w:rPr>
      </w:pPr>
      <w:bookmarkStart w:id="104" w:name="_Toc80886947"/>
      <w:r>
        <w:rPr>
          <w:rFonts w:hint="eastAsia" w:ascii="宋体" w:hAnsi="宋体"/>
          <w:b w:val="0"/>
          <w:bCs w:val="0"/>
        </w:rPr>
        <w:t>第六章  合同文本</w:t>
      </w:r>
      <w:bookmarkEnd w:id="104"/>
      <w:r>
        <w:rPr>
          <w:rFonts w:hint="eastAsia" w:ascii="宋体" w:hAnsi="宋体"/>
          <w:b w:val="0"/>
          <w:bCs w:val="0"/>
        </w:rPr>
        <w:br w:type="page"/>
      </w:r>
    </w:p>
    <w:p w14:paraId="024941C6">
      <w:pPr>
        <w:rPr>
          <w:rFonts w:hint="eastAsia" w:ascii="宋体" w:hAnsi="宋体"/>
          <w:b/>
          <w:bCs/>
        </w:rPr>
      </w:pPr>
      <w:r>
        <w:rPr>
          <w:rFonts w:hint="eastAsia" w:ascii="仿宋_GB2312" w:hAnsi="楷体" w:eastAsia="仿宋_GB2312"/>
          <w:sz w:val="24"/>
        </w:rPr>
        <w:t>“政采云”平台合同编号：</w:t>
      </w:r>
    </w:p>
    <w:p w14:paraId="573655FB">
      <w:pPr>
        <w:spacing w:line="360" w:lineRule="auto"/>
        <w:jc w:val="center"/>
        <w:rPr>
          <w:rFonts w:hint="eastAsia" w:ascii="宋体"/>
          <w:b/>
          <w:bCs/>
          <w:sz w:val="52"/>
        </w:rPr>
      </w:pPr>
      <w:r>
        <w:rPr>
          <w:rFonts w:hint="eastAsia" w:ascii="宋体"/>
          <w:b/>
          <w:bCs/>
          <w:sz w:val="52"/>
        </w:rPr>
        <w:t>南 宁 市 政 府 采 购</w:t>
      </w:r>
    </w:p>
    <w:p w14:paraId="16710446">
      <w:pPr>
        <w:spacing w:line="360" w:lineRule="auto"/>
        <w:ind w:firstLine="420" w:firstLineChars="200"/>
        <w:rPr>
          <w:rFonts w:hint="eastAsia" w:ascii="宋体"/>
        </w:rPr>
      </w:pPr>
    </w:p>
    <w:p w14:paraId="0E2B3D09">
      <w:pPr>
        <w:spacing w:line="360" w:lineRule="auto"/>
        <w:ind w:firstLine="420" w:firstLineChars="200"/>
        <w:rPr>
          <w:rFonts w:hint="eastAsia" w:ascii="宋体"/>
        </w:rPr>
      </w:pPr>
      <w:r>
        <w:rPr>
          <w:rFonts w:hint="eastAsia" w:ascii="宋体"/>
        </w:rPr>
        <w:t xml:space="preserve">                                                 </w:t>
      </w:r>
    </w:p>
    <w:p w14:paraId="008CCA83">
      <w:pPr>
        <w:spacing w:line="360" w:lineRule="auto"/>
        <w:jc w:val="center"/>
        <w:rPr>
          <w:rFonts w:hint="eastAsia" w:ascii="宋体"/>
          <w:b/>
          <w:bCs/>
          <w:sz w:val="44"/>
        </w:rPr>
      </w:pPr>
      <w:r>
        <w:rPr>
          <w:rFonts w:hint="eastAsia" w:ascii="宋体"/>
          <w:b/>
          <w:bCs/>
          <w:sz w:val="44"/>
          <w:u w:val="single"/>
        </w:rPr>
        <w:t xml:space="preserve"> </w:t>
      </w:r>
      <w:bookmarkStart w:id="105" w:name="PO_3000001868_PM002_15"/>
      <w:r>
        <w:rPr>
          <w:rFonts w:hint="eastAsia" w:ascii="宋体"/>
          <w:b/>
          <w:bCs/>
          <w:sz w:val="44"/>
          <w:u w:val="single"/>
        </w:rPr>
        <w:t>[项目采购-项目名称_15]</w:t>
      </w:r>
      <w:bookmarkEnd w:id="105"/>
      <w:r>
        <w:rPr>
          <w:rFonts w:hint="eastAsia" w:ascii="宋体"/>
          <w:b/>
          <w:bCs/>
          <w:sz w:val="44"/>
        </w:rPr>
        <w:t>合同</w:t>
      </w:r>
    </w:p>
    <w:p w14:paraId="4170D4E2">
      <w:pPr>
        <w:spacing w:line="360" w:lineRule="auto"/>
        <w:jc w:val="center"/>
        <w:rPr>
          <w:rFonts w:hint="eastAsia" w:ascii="宋体"/>
          <w:b/>
          <w:bCs/>
          <w:sz w:val="44"/>
        </w:rPr>
      </w:pPr>
    </w:p>
    <w:p w14:paraId="26C6C5AA">
      <w:pPr>
        <w:spacing w:line="360" w:lineRule="auto"/>
        <w:ind w:firstLine="3507" w:firstLineChars="794"/>
        <w:rPr>
          <w:rFonts w:hint="eastAsia" w:ascii="宋体"/>
          <w:b/>
          <w:bCs/>
          <w:sz w:val="44"/>
        </w:rPr>
      </w:pPr>
    </w:p>
    <w:p w14:paraId="2B5186FC">
      <w:pPr>
        <w:spacing w:line="360" w:lineRule="auto"/>
        <w:ind w:firstLine="3507" w:firstLineChars="794"/>
        <w:rPr>
          <w:rFonts w:hint="eastAsia" w:ascii="宋体"/>
          <w:b/>
          <w:bCs/>
          <w:sz w:val="44"/>
        </w:rPr>
      </w:pPr>
    </w:p>
    <w:p w14:paraId="0FDF82A1">
      <w:pPr>
        <w:ind w:firstLine="1995" w:firstLineChars="552"/>
        <w:rPr>
          <w:rFonts w:hint="eastAsia" w:ascii="宋体" w:hAnsi="宋体"/>
          <w:b/>
          <w:sz w:val="36"/>
          <w:szCs w:val="36"/>
        </w:rPr>
      </w:pPr>
      <w:r>
        <w:rPr>
          <w:rFonts w:hint="eastAsia" w:ascii="宋体" w:hAnsi="宋体"/>
          <w:b/>
          <w:sz w:val="36"/>
          <w:szCs w:val="36"/>
        </w:rPr>
        <w:t>采购项目编号：</w:t>
      </w:r>
      <w:bookmarkStart w:id="106" w:name="PO_3000001868_PM001_12"/>
      <w:r>
        <w:rPr>
          <w:rFonts w:hint="eastAsia" w:ascii="宋体" w:hAnsi="宋体"/>
          <w:b/>
          <w:sz w:val="36"/>
          <w:szCs w:val="36"/>
          <w:u w:val="single"/>
        </w:rPr>
        <w:t>[项目采购-项目编号_12]</w:t>
      </w:r>
      <w:bookmarkEnd w:id="106"/>
      <w:r>
        <w:rPr>
          <w:rFonts w:hint="eastAsia" w:ascii="宋体" w:hAnsi="宋体"/>
          <w:b/>
          <w:sz w:val="36"/>
          <w:szCs w:val="36"/>
          <w:u w:val="single"/>
        </w:rPr>
        <w:t xml:space="preserve">  </w:t>
      </w:r>
    </w:p>
    <w:p w14:paraId="7C583DD7">
      <w:pPr>
        <w:ind w:firstLine="1995" w:firstLineChars="552"/>
        <w:rPr>
          <w:rFonts w:hint="eastAsia" w:ascii="宋体" w:hAnsi="宋体"/>
          <w:b/>
          <w:sz w:val="36"/>
          <w:szCs w:val="36"/>
        </w:rPr>
      </w:pPr>
      <w:r>
        <w:rPr>
          <w:rFonts w:hint="eastAsia" w:ascii="宋体" w:hAnsi="宋体"/>
          <w:b/>
          <w:sz w:val="36"/>
          <w:szCs w:val="36"/>
        </w:rPr>
        <w:t>采购计划编号：</w:t>
      </w:r>
      <w:r>
        <w:rPr>
          <w:rFonts w:hint="eastAsia" w:ascii="宋体" w:hAnsi="宋体"/>
          <w:b/>
          <w:sz w:val="36"/>
          <w:szCs w:val="36"/>
          <w:u w:val="single"/>
        </w:rPr>
        <w:t xml:space="preserve"> </w:t>
      </w:r>
      <w:bookmarkStart w:id="107" w:name="PO_3000001868_PM001WMC001"/>
      <w:r>
        <w:rPr>
          <w:rFonts w:hint="eastAsia" w:ascii="宋体" w:hAnsi="宋体"/>
          <w:b/>
          <w:sz w:val="36"/>
          <w:szCs w:val="36"/>
          <w:u w:val="single"/>
        </w:rPr>
        <w:t>[采购计划文号（5）]</w:t>
      </w:r>
      <w:bookmarkEnd w:id="107"/>
      <w:r>
        <w:rPr>
          <w:rFonts w:hint="eastAsia" w:ascii="宋体" w:hAnsi="宋体"/>
          <w:b/>
          <w:sz w:val="36"/>
          <w:szCs w:val="36"/>
          <w:u w:val="single"/>
        </w:rPr>
        <w:t xml:space="preserve"> </w:t>
      </w:r>
    </w:p>
    <w:p w14:paraId="5F34BB0B">
      <w:pPr>
        <w:ind w:firstLine="1308" w:firstLineChars="545"/>
        <w:rPr>
          <w:rFonts w:hint="eastAsia" w:ascii="宋体" w:hAnsi="宋体" w:cs="宋体"/>
          <w:color w:val="000000"/>
          <w:sz w:val="24"/>
          <w:highlight w:val="yellow"/>
        </w:rPr>
      </w:pPr>
    </w:p>
    <w:p w14:paraId="6DE27A20">
      <w:pPr>
        <w:ind w:firstLine="1995" w:firstLineChars="552"/>
        <w:rPr>
          <w:rFonts w:hint="eastAsia" w:ascii="宋体" w:hAnsi="宋体"/>
          <w:b/>
          <w:sz w:val="36"/>
          <w:szCs w:val="36"/>
          <w:u w:val="single"/>
        </w:rPr>
      </w:pPr>
    </w:p>
    <w:p w14:paraId="703E1247">
      <w:pPr>
        <w:ind w:firstLine="1995" w:firstLineChars="552"/>
        <w:rPr>
          <w:rFonts w:hint="eastAsia" w:ascii="宋体" w:hAnsi="宋体"/>
          <w:b/>
          <w:sz w:val="36"/>
          <w:szCs w:val="36"/>
          <w:u w:val="single"/>
        </w:rPr>
      </w:pPr>
    </w:p>
    <w:p w14:paraId="0ED3F438">
      <w:pPr>
        <w:tabs>
          <w:tab w:val="left" w:pos="7200"/>
        </w:tabs>
        <w:spacing w:line="360" w:lineRule="auto"/>
        <w:ind w:firstLine="1995" w:firstLineChars="552"/>
        <w:rPr>
          <w:rFonts w:hint="eastAsia" w:ascii="宋体" w:hAnsi="宋体"/>
          <w:b/>
          <w:sz w:val="36"/>
          <w:szCs w:val="36"/>
          <w:u w:val="single"/>
        </w:rPr>
      </w:pPr>
      <w:r>
        <w:rPr>
          <w:rFonts w:hint="eastAsia" w:ascii="宋体" w:hAnsi="宋体"/>
          <w:b/>
          <w:sz w:val="36"/>
          <w:szCs w:val="36"/>
        </w:rPr>
        <w:t>采购人：</w:t>
      </w:r>
      <w:r>
        <w:rPr>
          <w:rFonts w:hint="eastAsia" w:ascii="宋体" w:hAnsi="宋体"/>
          <w:b/>
          <w:sz w:val="36"/>
          <w:szCs w:val="36"/>
          <w:u w:val="single"/>
        </w:rPr>
        <w:t xml:space="preserve"> </w:t>
      </w:r>
      <w:bookmarkStart w:id="108" w:name="PO_3000001868_PM026_4"/>
      <w:r>
        <w:rPr>
          <w:rFonts w:hint="eastAsia" w:ascii="宋体" w:hAnsi="宋体"/>
          <w:b/>
          <w:sz w:val="36"/>
          <w:szCs w:val="36"/>
          <w:u w:val="single"/>
        </w:rPr>
        <w:t>[项目采购-采购人_4]</w:t>
      </w:r>
      <w:bookmarkEnd w:id="108"/>
      <w:r>
        <w:rPr>
          <w:rFonts w:hint="eastAsia" w:ascii="宋体" w:hAnsi="宋体"/>
          <w:b/>
          <w:sz w:val="36"/>
          <w:szCs w:val="36"/>
          <w:u w:val="single"/>
        </w:rPr>
        <w:t xml:space="preserve">  </w:t>
      </w:r>
    </w:p>
    <w:p w14:paraId="022EC0C1">
      <w:pPr>
        <w:tabs>
          <w:tab w:val="left" w:pos="7380"/>
        </w:tabs>
        <w:spacing w:line="360" w:lineRule="auto"/>
        <w:ind w:firstLine="1995" w:firstLineChars="552"/>
        <w:rPr>
          <w:rFonts w:hint="eastAsia" w:ascii="宋体"/>
          <w:b/>
          <w:bCs/>
          <w:sz w:val="44"/>
        </w:rPr>
      </w:pPr>
      <w:r>
        <w:rPr>
          <w:rFonts w:hint="eastAsia" w:ascii="宋体" w:hAnsi="宋体"/>
          <w:b/>
          <w:sz w:val="36"/>
          <w:szCs w:val="36"/>
        </w:rPr>
        <w:t>中标供应商：</w:t>
      </w:r>
      <w:r>
        <w:rPr>
          <w:rFonts w:hint="eastAsia" w:ascii="宋体" w:hAnsi="宋体"/>
          <w:b/>
          <w:sz w:val="36"/>
          <w:szCs w:val="36"/>
          <w:u w:val="single"/>
        </w:rPr>
        <w:t xml:space="preserve">                   </w:t>
      </w:r>
    </w:p>
    <w:p w14:paraId="415F179F">
      <w:pPr>
        <w:tabs>
          <w:tab w:val="left" w:pos="7380"/>
        </w:tabs>
        <w:spacing w:line="360" w:lineRule="auto"/>
        <w:rPr>
          <w:rFonts w:hint="eastAsia" w:ascii="宋体"/>
          <w:b/>
          <w:bCs/>
          <w:sz w:val="44"/>
        </w:rPr>
      </w:pPr>
    </w:p>
    <w:p w14:paraId="7DE2F1D9">
      <w:pPr>
        <w:tabs>
          <w:tab w:val="left" w:pos="7380"/>
        </w:tabs>
        <w:spacing w:line="360" w:lineRule="auto"/>
        <w:rPr>
          <w:rFonts w:hint="eastAsia" w:ascii="宋体"/>
          <w:b/>
          <w:bCs/>
          <w:sz w:val="44"/>
        </w:rPr>
      </w:pPr>
    </w:p>
    <w:p w14:paraId="3B9A3411">
      <w:pPr>
        <w:tabs>
          <w:tab w:val="left" w:pos="7380"/>
        </w:tabs>
        <w:spacing w:line="360" w:lineRule="auto"/>
        <w:rPr>
          <w:rFonts w:hint="eastAsia" w:ascii="宋体"/>
          <w:b/>
          <w:bCs/>
          <w:sz w:val="44"/>
        </w:rPr>
      </w:pPr>
    </w:p>
    <w:p w14:paraId="2AEFB429">
      <w:pPr>
        <w:tabs>
          <w:tab w:val="left" w:pos="7380"/>
        </w:tabs>
        <w:spacing w:line="360" w:lineRule="auto"/>
        <w:ind w:firstLine="3360" w:firstLineChars="1400"/>
        <w:rPr>
          <w:rFonts w:hint="eastAsia" w:ascii="仿宋_GB2312" w:hAnsi="楷体" w:eastAsia="仿宋_GB2312"/>
          <w:sz w:val="24"/>
          <w:lang w:val="zh-CN"/>
        </w:rPr>
      </w:pPr>
      <w:r>
        <w:rPr>
          <w:rFonts w:hint="eastAsia" w:ascii="仿宋_GB2312" w:hAnsi="楷体" w:eastAsia="仿宋_GB2312"/>
          <w:sz w:val="24"/>
          <w:lang w:val="zh-CN"/>
        </w:rPr>
        <w:t>签订时间：</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年</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月</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日</w:t>
      </w:r>
    </w:p>
    <w:p w14:paraId="676CCE13">
      <w:pPr>
        <w:snapToGrid w:val="0"/>
        <w:spacing w:line="360" w:lineRule="auto"/>
        <w:jc w:val="center"/>
        <w:rPr>
          <w:rFonts w:hint="eastAsia" w:ascii="仿宋_GB2312" w:hAnsi="楷体" w:eastAsia="仿宋_GB2312"/>
          <w:b/>
          <w:sz w:val="24"/>
        </w:rPr>
      </w:pPr>
      <w:r>
        <w:rPr>
          <w:rFonts w:hint="eastAsia" w:ascii="宋体"/>
          <w:b/>
          <w:bCs/>
          <w:sz w:val="44"/>
        </w:rPr>
        <w:br w:type="page"/>
      </w:r>
      <w:r>
        <w:rPr>
          <w:rFonts w:hint="eastAsia" w:ascii="仿宋_GB2312" w:hAnsi="楷体" w:eastAsia="仿宋_GB2312"/>
          <w:b/>
          <w:sz w:val="24"/>
        </w:rPr>
        <w:t>合同目录</w:t>
      </w:r>
    </w:p>
    <w:p w14:paraId="1EAABDA4">
      <w:pPr>
        <w:snapToGrid w:val="0"/>
        <w:spacing w:line="360" w:lineRule="auto"/>
        <w:jc w:val="center"/>
        <w:rPr>
          <w:rFonts w:hint="eastAsia" w:ascii="宋体"/>
          <w:b/>
          <w:bCs/>
          <w:sz w:val="44"/>
        </w:rPr>
      </w:pPr>
    </w:p>
    <w:p w14:paraId="1AAC2D3F">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第一部分 合同书</w:t>
      </w:r>
      <w:r>
        <w:rPr>
          <w:rFonts w:hint="eastAsia" w:ascii="仿宋_GB2312" w:hAnsi="仿宋" w:eastAsia="仿宋_GB2312" w:cs="仿宋_GB2312"/>
          <w:kern w:val="0"/>
          <w:sz w:val="24"/>
        </w:rPr>
        <w:t>……………………………………………………………（页码）</w:t>
      </w:r>
    </w:p>
    <w:p w14:paraId="02F9CC0F">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二、第二部分 合同一般条款……………………………………………………（页码）</w:t>
      </w:r>
    </w:p>
    <w:p w14:paraId="4C2404E7">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三、第三部分 合同专用条款……………………………………………………（页码）</w:t>
      </w:r>
    </w:p>
    <w:p w14:paraId="3A35493F">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四、</w:t>
      </w:r>
      <w:r>
        <w:rPr>
          <w:rFonts w:hint="eastAsia" w:ascii="仿宋_GB2312" w:hAnsi="仿宋" w:eastAsia="仿宋_GB2312"/>
          <w:sz w:val="24"/>
        </w:rPr>
        <w:t>第四部分 合同附件</w:t>
      </w:r>
      <w:r>
        <w:rPr>
          <w:rFonts w:hint="eastAsia" w:ascii="仿宋_GB2312" w:hAnsi="仿宋" w:eastAsia="仿宋_GB2312" w:cs="仿宋_GB2312"/>
          <w:kern w:val="0"/>
          <w:sz w:val="24"/>
        </w:rPr>
        <w:t>…………………………………………………………（页码）</w:t>
      </w:r>
    </w:p>
    <w:p w14:paraId="72A3C046">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4.1成交通知书 …………………………………………………………………（页码）</w:t>
      </w:r>
    </w:p>
    <w:p w14:paraId="2E4B367E">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4.2采购文件服务需求一览表 …………………………………………………（页码）</w:t>
      </w:r>
    </w:p>
    <w:p w14:paraId="0C8C73C0">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4.3采购文件的更改通知（如有） ……………………………………………（页码）</w:t>
      </w:r>
    </w:p>
    <w:p w14:paraId="37407AA9">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4.4响应函 ………………………………………………………………………（页码）</w:t>
      </w:r>
    </w:p>
    <w:p w14:paraId="29AEBE0F">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4.5响应报价表 …………………………………………………………………（页码）</w:t>
      </w:r>
    </w:p>
    <w:p w14:paraId="163E6C82">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4.6响应服务技术资料表 ………………………………………………………（页码）</w:t>
      </w:r>
    </w:p>
    <w:p w14:paraId="60DF46BC">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4.7商务条款偏离表 ……………………………………………………………（页码）</w:t>
      </w:r>
    </w:p>
    <w:p w14:paraId="7F875E96">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4.8成交供应商澄清函（如有请提供） ………………………………………（页码）</w:t>
      </w:r>
    </w:p>
    <w:p w14:paraId="62383275">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4.9其他与本合同相关的资料（如有请提供） ………………………………（页码）</w:t>
      </w:r>
    </w:p>
    <w:p w14:paraId="3BEBBB47">
      <w:pPr>
        <w:snapToGrid w:val="0"/>
        <w:spacing w:line="360" w:lineRule="auto"/>
        <w:rPr>
          <w:rFonts w:hint="eastAsia" w:ascii="仿宋_GB2312" w:hAnsi="仿宋" w:eastAsia="仿宋_GB2312" w:cs="仿宋_GB2312"/>
          <w:kern w:val="0"/>
          <w:sz w:val="24"/>
        </w:rPr>
      </w:pPr>
    </w:p>
    <w:p w14:paraId="23DB4415">
      <w:pPr>
        <w:widowControl/>
        <w:jc w:val="left"/>
        <w:rPr>
          <w:rFonts w:ascii="仿宋_GB2312" w:eastAsia="仿宋_GB2312"/>
          <w:kern w:val="0"/>
          <w:sz w:val="32"/>
          <w:szCs w:val="20"/>
        </w:rPr>
        <w:sectPr>
          <w:pgSz w:w="11906" w:h="16838"/>
          <w:pgMar w:top="1134" w:right="1134" w:bottom="1134" w:left="1134" w:header="720" w:footer="720" w:gutter="0"/>
          <w:pgNumType w:fmt="decimal"/>
          <w:cols w:space="720" w:num="1"/>
          <w:docGrid w:type="lines" w:linePitch="331" w:charSpace="0"/>
        </w:sectPr>
      </w:pPr>
    </w:p>
    <w:p w14:paraId="08962BF0">
      <w:pPr>
        <w:pStyle w:val="26"/>
        <w:ind w:firstLine="562"/>
        <w:jc w:val="center"/>
        <w:outlineLvl w:val="1"/>
        <w:rPr>
          <w:rFonts w:hint="eastAsia" w:ascii="仿宋_GB2312" w:hAnsi="楷体" w:eastAsia="仿宋_GB2312"/>
          <w:b/>
          <w:sz w:val="28"/>
          <w:szCs w:val="28"/>
        </w:rPr>
      </w:pPr>
      <w:bookmarkStart w:id="109" w:name="_Toc80205944"/>
      <w:bookmarkStart w:id="110" w:name="_Toc80886948"/>
      <w:r>
        <w:rPr>
          <w:rFonts w:hint="eastAsia" w:ascii="仿宋_GB2312" w:hAnsi="楷体" w:eastAsia="仿宋_GB2312"/>
          <w:b/>
          <w:sz w:val="28"/>
          <w:szCs w:val="28"/>
        </w:rPr>
        <w:t>第一部分 合同书</w:t>
      </w:r>
      <w:bookmarkEnd w:id="109"/>
      <w:bookmarkEnd w:id="110"/>
    </w:p>
    <w:p w14:paraId="75EF9887">
      <w:pPr>
        <w:spacing w:line="360" w:lineRule="auto"/>
        <w:ind w:firstLine="480" w:firstLineChars="200"/>
        <w:rPr>
          <w:rFonts w:hint="eastAsia" w:ascii="仿宋_GB2312" w:hAnsi="楷体" w:eastAsia="仿宋_GB2312"/>
          <w:sz w:val="24"/>
        </w:rPr>
      </w:pPr>
      <w:r>
        <w:rPr>
          <w:rFonts w:hint="eastAsia" w:ascii="仿宋_GB2312" w:hAnsi="楷体" w:eastAsia="仿宋_GB2312"/>
          <w:sz w:val="24"/>
          <w:u w:val="single"/>
          <w:lang w:val="zh-CN"/>
        </w:rPr>
        <w:t xml:space="preserve">     </w:t>
      </w:r>
      <w:r>
        <w:rPr>
          <w:rFonts w:hint="eastAsia" w:ascii="仿宋_GB2312" w:hAnsi="楷体" w:eastAsia="仿宋_GB2312"/>
          <w:sz w:val="24"/>
          <w:lang w:val="zh-CN"/>
        </w:rPr>
        <w:t>年</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月</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日</w:t>
      </w:r>
      <w:r>
        <w:rPr>
          <w:rFonts w:hint="eastAsia" w:ascii="仿宋_GB2312" w:hAnsi="楷体" w:eastAsia="仿宋_GB2312"/>
          <w:sz w:val="24"/>
        </w:rPr>
        <w:t>，</w:t>
      </w:r>
      <w:r>
        <w:rPr>
          <w:rFonts w:hint="eastAsia" w:ascii="仿宋_GB2312" w:hAnsi="仿宋" w:eastAsia="仿宋_GB2312"/>
          <w:sz w:val="24"/>
          <w:u w:val="single"/>
        </w:rPr>
        <w:t xml:space="preserve">  </w:t>
      </w:r>
      <w:bookmarkStart w:id="111" w:name="PO_3000001868_PM026_5"/>
      <w:r>
        <w:rPr>
          <w:rFonts w:hint="eastAsia" w:ascii="仿宋_GB2312" w:hAnsi="仿宋" w:eastAsia="仿宋_GB2312"/>
          <w:sz w:val="24"/>
          <w:u w:val="single"/>
        </w:rPr>
        <w:t>[项目采购-采购人_5]</w:t>
      </w:r>
      <w:bookmarkEnd w:id="111"/>
      <w:r>
        <w:rPr>
          <w:rFonts w:hint="eastAsia" w:ascii="仿宋_GB2312" w:hAnsi="仿宋" w:eastAsia="仿宋_GB2312"/>
          <w:sz w:val="24"/>
          <w:u w:val="single"/>
        </w:rPr>
        <w:t xml:space="preserve">   </w:t>
      </w:r>
      <w:r>
        <w:rPr>
          <w:rFonts w:hint="eastAsia" w:ascii="仿宋_GB2312" w:hAnsi="仿宋" w:eastAsia="仿宋_GB2312"/>
          <w:sz w:val="24"/>
        </w:rPr>
        <w:t>以</w:t>
      </w:r>
      <w:r>
        <w:rPr>
          <w:rFonts w:hint="eastAsia" w:ascii="仿宋_GB2312" w:hAnsi="仿宋" w:eastAsia="仿宋_GB2312"/>
          <w:sz w:val="24"/>
          <w:u w:val="single"/>
        </w:rPr>
        <w:t xml:space="preserve">   竞争性磋商方式  </w:t>
      </w:r>
      <w:r>
        <w:rPr>
          <w:rFonts w:hint="eastAsia" w:ascii="仿宋_GB2312" w:hAnsi="仿宋" w:eastAsia="仿宋_GB2312"/>
          <w:sz w:val="24"/>
        </w:rPr>
        <w:t>对</w:t>
      </w:r>
      <w:r>
        <w:rPr>
          <w:rFonts w:hint="eastAsia" w:ascii="仿宋_GB2312" w:hAnsi="仿宋" w:eastAsia="仿宋_GB2312"/>
          <w:sz w:val="24"/>
          <w:u w:val="single"/>
        </w:rPr>
        <w:t xml:space="preserve">        </w:t>
      </w:r>
      <w:r>
        <w:rPr>
          <w:rFonts w:hint="eastAsia" w:ascii="仿宋_GB2312" w:hAnsi="楷体" w:eastAsia="仿宋_GB2312"/>
          <w:sz w:val="24"/>
        </w:rPr>
        <w:t>项目进行了采购。经</w:t>
      </w:r>
      <w:r>
        <w:rPr>
          <w:rFonts w:hint="eastAsia" w:ascii="仿宋_GB2312" w:hAnsi="楷体" w:eastAsia="仿宋_GB2312"/>
          <w:sz w:val="24"/>
          <w:u w:val="single"/>
        </w:rPr>
        <w:t xml:space="preserve">   （相关评定主体名称）   </w:t>
      </w:r>
      <w:r>
        <w:rPr>
          <w:rFonts w:hint="eastAsia" w:ascii="仿宋_GB2312" w:hAnsi="楷体" w:eastAsia="仿宋_GB2312"/>
          <w:sz w:val="24"/>
        </w:rPr>
        <w:t>评定，</w:t>
      </w:r>
      <w:r>
        <w:rPr>
          <w:rFonts w:hint="eastAsia" w:ascii="仿宋_GB2312" w:hAnsi="楷体" w:eastAsia="仿宋_GB2312"/>
          <w:sz w:val="24"/>
          <w:u w:val="single"/>
        </w:rPr>
        <w:t xml:space="preserve">   （供应商名称）</w:t>
      </w:r>
      <w:r>
        <w:rPr>
          <w:rFonts w:hint="eastAsia" w:ascii="仿宋_GB2312" w:hAnsi="楷体" w:eastAsia="仿宋_GB2312"/>
          <w:sz w:val="24"/>
        </w:rPr>
        <w:t>为该项目成交供应商。现于成交通知书发出之日起</w:t>
      </w:r>
      <w:r>
        <w:rPr>
          <w:rFonts w:hint="eastAsia" w:ascii="仿宋_GB2312" w:hAnsi="楷体" w:eastAsia="仿宋_GB2312"/>
          <w:sz w:val="24"/>
          <w:u w:val="single"/>
        </w:rPr>
        <w:t xml:space="preserve">    </w:t>
      </w:r>
      <w:r>
        <w:rPr>
          <w:rFonts w:hint="eastAsia" w:ascii="仿宋_GB2312" w:hAnsi="楷体" w:eastAsia="仿宋_GB2312"/>
          <w:sz w:val="24"/>
        </w:rPr>
        <w:t>日</w:t>
      </w:r>
      <w:r>
        <w:rPr>
          <w:rFonts w:hint="eastAsia" w:ascii="仿宋_GB2312" w:hAnsi="楷体" w:eastAsia="仿宋_GB2312"/>
          <w:color w:val="FF0000"/>
          <w:sz w:val="24"/>
        </w:rPr>
        <w:t>（时限根据项目情况而定，不得超过25日）</w:t>
      </w:r>
      <w:r>
        <w:rPr>
          <w:rFonts w:hint="eastAsia" w:ascii="仿宋_GB2312" w:hAnsi="楷体" w:eastAsia="仿宋_GB2312"/>
          <w:sz w:val="24"/>
        </w:rPr>
        <w:t>内，按照采购文件确定的事项签订本合同。</w:t>
      </w:r>
    </w:p>
    <w:p w14:paraId="71E3325F">
      <w:pPr>
        <w:spacing w:line="360" w:lineRule="auto"/>
        <w:ind w:firstLine="480" w:firstLineChars="200"/>
        <w:rPr>
          <w:rFonts w:hint="eastAsia" w:ascii="仿宋_GB2312" w:hAnsi="楷体" w:eastAsia="仿宋_GB2312"/>
          <w:sz w:val="24"/>
        </w:rPr>
      </w:pPr>
      <w:r>
        <w:rPr>
          <w:rFonts w:hint="eastAsia" w:ascii="仿宋_GB2312" w:hAnsi="楷体" w:eastAsia="仿宋_GB2312"/>
          <w:sz w:val="24"/>
          <w:lang w:val="zh-CN"/>
        </w:rPr>
        <w:t>根据《中华人民共和国民法典》、《中华人民共和国政府采购法》等相关法律法规之规定，按照平等、自愿、公平和诚实信用的原则，经</w:t>
      </w:r>
      <w:r>
        <w:rPr>
          <w:rFonts w:hint="eastAsia" w:ascii="仿宋_GB2312" w:hAnsi="楷体" w:eastAsia="仿宋_GB2312"/>
          <w:sz w:val="24"/>
          <w:u w:val="single"/>
        </w:rPr>
        <w:t xml:space="preserve"> </w:t>
      </w:r>
      <w:bookmarkStart w:id="112" w:name="PO_3000001868_PM026_6"/>
      <w:r>
        <w:rPr>
          <w:rFonts w:hint="eastAsia" w:ascii="仿宋_GB2312" w:hAnsi="楷体" w:eastAsia="仿宋_GB2312"/>
          <w:sz w:val="24"/>
          <w:u w:val="single"/>
        </w:rPr>
        <w:t>[项目采购-采购人_6]</w:t>
      </w:r>
      <w:bookmarkEnd w:id="112"/>
      <w:r>
        <w:rPr>
          <w:rFonts w:hint="eastAsia" w:ascii="仿宋_GB2312" w:hAnsi="楷体" w:eastAsia="仿宋_GB2312"/>
          <w:sz w:val="24"/>
          <w:u w:val="single"/>
        </w:rPr>
        <w:t xml:space="preserve">  </w:t>
      </w:r>
      <w:r>
        <w:rPr>
          <w:rFonts w:hint="eastAsia" w:ascii="仿宋_GB2312" w:hAnsi="楷体" w:eastAsia="仿宋_GB2312"/>
          <w:sz w:val="24"/>
          <w:lang w:val="zh-CN"/>
        </w:rPr>
        <w:t>(以下简称：甲方)和</w:t>
      </w:r>
      <w:r>
        <w:rPr>
          <w:rFonts w:hint="eastAsia" w:ascii="仿宋_GB2312" w:hAnsi="楷体" w:eastAsia="仿宋_GB2312"/>
          <w:sz w:val="24"/>
          <w:u w:val="single"/>
        </w:rPr>
        <w:t xml:space="preserve">   （中标人名称）   </w:t>
      </w:r>
      <w:r>
        <w:rPr>
          <w:rFonts w:hint="eastAsia" w:ascii="仿宋_GB2312" w:hAnsi="楷体" w:eastAsia="仿宋_GB2312"/>
          <w:sz w:val="24"/>
          <w:lang w:val="zh-CN"/>
        </w:rPr>
        <w:t>(以下简称：乙方)协商一致，约定以下合同</w:t>
      </w:r>
      <w:r>
        <w:rPr>
          <w:rFonts w:hint="eastAsia" w:ascii="仿宋_GB2312" w:hAnsi="楷体" w:eastAsia="仿宋_GB2312"/>
          <w:sz w:val="24"/>
        </w:rPr>
        <w:t>条款，以兹共同遵守、全面履行。</w:t>
      </w:r>
    </w:p>
    <w:p w14:paraId="1F02D19A">
      <w:pPr>
        <w:spacing w:line="360" w:lineRule="auto"/>
        <w:ind w:firstLine="482" w:firstLineChars="200"/>
        <w:rPr>
          <w:rFonts w:hint="eastAsia" w:ascii="仿宋_GB2312" w:hAnsi="楷体" w:eastAsia="仿宋_GB2312"/>
          <w:b/>
          <w:sz w:val="24"/>
        </w:rPr>
      </w:pPr>
      <w:bookmarkStart w:id="113" w:name="_Toc24059"/>
      <w:bookmarkStart w:id="114" w:name="_Toc3029"/>
      <w:bookmarkStart w:id="115" w:name="_Toc2232"/>
      <w:r>
        <w:rPr>
          <w:rFonts w:hint="eastAsia" w:ascii="仿宋_GB2312" w:hAnsi="楷体" w:eastAsia="仿宋_GB2312"/>
          <w:b/>
          <w:sz w:val="24"/>
        </w:rPr>
        <w:t>1.1 合同组成部分</w:t>
      </w:r>
      <w:bookmarkEnd w:id="113"/>
      <w:bookmarkEnd w:id="114"/>
      <w:bookmarkEnd w:id="115"/>
    </w:p>
    <w:p w14:paraId="5FF0F13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6972F9A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1.1.1 本合同及其补充合同、变更协议；</w:t>
      </w:r>
    </w:p>
    <w:p w14:paraId="6BCBECF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1.1.2 成交通知书；</w:t>
      </w:r>
    </w:p>
    <w:p w14:paraId="403AA13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1.1.3 采购文件及“响应报价”（含澄清或者说明文件）；</w:t>
      </w:r>
    </w:p>
    <w:p w14:paraId="1662B0D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1.1.4 采购文件（含澄清或者修改文件）；</w:t>
      </w:r>
    </w:p>
    <w:p w14:paraId="463CAEF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1.1.5 其他相关采购文件。</w:t>
      </w:r>
    </w:p>
    <w:p w14:paraId="00B818EC">
      <w:pPr>
        <w:spacing w:line="360" w:lineRule="auto"/>
        <w:ind w:firstLine="482" w:firstLineChars="200"/>
        <w:rPr>
          <w:rFonts w:hint="eastAsia" w:ascii="仿宋_GB2312" w:hAnsi="楷体" w:eastAsia="仿宋_GB2312"/>
          <w:b/>
          <w:sz w:val="24"/>
        </w:rPr>
      </w:pPr>
      <w:bookmarkStart w:id="116" w:name="_Toc21295"/>
      <w:bookmarkStart w:id="117" w:name="_Toc24300"/>
      <w:bookmarkStart w:id="118" w:name="_Toc27126"/>
      <w:r>
        <w:rPr>
          <w:rFonts w:hint="eastAsia" w:ascii="仿宋_GB2312" w:hAnsi="楷体" w:eastAsia="仿宋_GB2312"/>
          <w:b/>
          <w:sz w:val="24"/>
        </w:rPr>
        <w:t>1.2 标的物</w:t>
      </w:r>
      <w:bookmarkEnd w:id="116"/>
      <w:bookmarkEnd w:id="117"/>
      <w:bookmarkEnd w:id="118"/>
    </w:p>
    <w:p w14:paraId="0E0C936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 标的物1信息</w:t>
      </w:r>
    </w:p>
    <w:p w14:paraId="3DF6C337">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1.2.1.1名称：</w:t>
      </w:r>
      <w:r>
        <w:rPr>
          <w:rFonts w:hint="eastAsia" w:ascii="仿宋_GB2312" w:hAnsi="楷体" w:eastAsia="仿宋_GB2312"/>
          <w:sz w:val="24"/>
          <w:u w:val="single"/>
        </w:rPr>
        <w:t xml:space="preserve">                                        </w:t>
      </w:r>
      <w:r>
        <w:rPr>
          <w:rFonts w:hint="eastAsia" w:ascii="仿宋_GB2312" w:hAnsi="楷体" w:eastAsia="仿宋_GB2312"/>
          <w:sz w:val="24"/>
        </w:rPr>
        <w:t>；</w:t>
      </w:r>
    </w:p>
    <w:p w14:paraId="43E467FC">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1.2.1.2数量：</w:t>
      </w:r>
      <w:r>
        <w:rPr>
          <w:rFonts w:hint="eastAsia" w:ascii="仿宋_GB2312" w:hAnsi="楷体" w:eastAsia="仿宋_GB2312"/>
          <w:sz w:val="24"/>
          <w:u w:val="single"/>
        </w:rPr>
        <w:t xml:space="preserve">                                        </w:t>
      </w:r>
      <w:r>
        <w:rPr>
          <w:rFonts w:hint="eastAsia" w:ascii="仿宋_GB2312" w:hAnsi="楷体" w:eastAsia="仿宋_GB2312"/>
          <w:sz w:val="24"/>
        </w:rPr>
        <w:t>；</w:t>
      </w:r>
    </w:p>
    <w:p w14:paraId="7240358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1.2.1.3质量：</w:t>
      </w:r>
      <w:r>
        <w:rPr>
          <w:rFonts w:hint="eastAsia" w:ascii="仿宋_GB2312" w:hAnsi="楷体" w:eastAsia="仿宋_GB2312"/>
          <w:sz w:val="24"/>
          <w:u w:val="single"/>
        </w:rPr>
        <w:t xml:space="preserve">　                                      </w:t>
      </w:r>
      <w:r>
        <w:rPr>
          <w:rFonts w:hint="eastAsia" w:ascii="仿宋_GB2312" w:hAnsi="楷体" w:eastAsia="仿宋_GB2312"/>
          <w:sz w:val="24"/>
        </w:rPr>
        <w:t>。</w:t>
      </w:r>
    </w:p>
    <w:p w14:paraId="15BB987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w:t>
      </w:r>
    </w:p>
    <w:p w14:paraId="0E038BFB">
      <w:pPr>
        <w:spacing w:line="360" w:lineRule="auto"/>
        <w:ind w:firstLine="482" w:firstLineChars="200"/>
        <w:rPr>
          <w:rFonts w:hint="eastAsia" w:ascii="仿宋_GB2312" w:hAnsi="楷体" w:eastAsia="仿宋_GB2312"/>
          <w:b/>
          <w:sz w:val="24"/>
        </w:rPr>
      </w:pPr>
      <w:bookmarkStart w:id="119" w:name="_Toc21551"/>
      <w:bookmarkStart w:id="120" w:name="_Toc23292"/>
      <w:bookmarkStart w:id="121" w:name="_Toc21631"/>
      <w:r>
        <w:rPr>
          <w:rFonts w:hint="eastAsia" w:ascii="仿宋_GB2312" w:hAnsi="楷体" w:eastAsia="仿宋_GB2312"/>
          <w:b/>
          <w:sz w:val="24"/>
        </w:rPr>
        <w:t>1.3 价款</w:t>
      </w:r>
      <w:bookmarkEnd w:id="119"/>
      <w:bookmarkEnd w:id="120"/>
      <w:bookmarkEnd w:id="121"/>
    </w:p>
    <w:p w14:paraId="2DC6FC3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本合同总价为：人民币</w:t>
      </w:r>
      <w:r>
        <w:rPr>
          <w:rFonts w:hint="eastAsia" w:ascii="仿宋_GB2312" w:hAnsi="楷体" w:eastAsia="仿宋_GB2312"/>
          <w:sz w:val="24"/>
          <w:u w:val="single"/>
        </w:rPr>
        <w:t xml:space="preserve">           </w:t>
      </w:r>
      <w:r>
        <w:rPr>
          <w:rFonts w:hint="eastAsia" w:ascii="仿宋_GB2312" w:hAnsi="楷体" w:eastAsia="仿宋_GB2312"/>
          <w:sz w:val="24"/>
        </w:rPr>
        <w:t>元（大写：</w:t>
      </w:r>
      <w:r>
        <w:rPr>
          <w:rFonts w:hint="eastAsia" w:ascii="仿宋_GB2312" w:hAnsi="楷体" w:eastAsia="仿宋_GB2312"/>
          <w:sz w:val="24"/>
          <w:u w:val="single"/>
        </w:rPr>
        <w:t xml:space="preserve">                 </w:t>
      </w:r>
      <w:r>
        <w:rPr>
          <w:rFonts w:hint="eastAsia" w:ascii="仿宋_GB2312" w:hAnsi="楷体" w:eastAsia="仿宋_GB2312"/>
          <w:sz w:val="24"/>
        </w:rPr>
        <w:t>元人民币，含税）。</w:t>
      </w:r>
    </w:p>
    <w:p w14:paraId="0291AC65">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分项价格：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ACA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06250D9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5C6E9A0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A47F28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分项价格</w:t>
            </w:r>
          </w:p>
        </w:tc>
      </w:tr>
      <w:tr w14:paraId="1E50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3EE53008">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82D0751">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591EE5F">
            <w:pPr>
              <w:spacing w:line="360" w:lineRule="auto"/>
              <w:ind w:firstLine="480" w:firstLineChars="200"/>
              <w:rPr>
                <w:rFonts w:hint="eastAsia" w:ascii="仿宋_GB2312" w:hAnsi="楷体" w:eastAsia="仿宋_GB2312"/>
                <w:sz w:val="24"/>
              </w:rPr>
            </w:pPr>
          </w:p>
        </w:tc>
      </w:tr>
      <w:tr w14:paraId="61CB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5A9461E3">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5F2B8E27">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10626EC">
            <w:pPr>
              <w:spacing w:line="360" w:lineRule="auto"/>
              <w:ind w:firstLine="480" w:firstLineChars="200"/>
              <w:rPr>
                <w:rFonts w:hint="eastAsia" w:ascii="仿宋_GB2312" w:hAnsi="楷体" w:eastAsia="仿宋_GB2312"/>
                <w:sz w:val="24"/>
              </w:rPr>
            </w:pPr>
          </w:p>
        </w:tc>
      </w:tr>
      <w:tr w14:paraId="5943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223E2C9C">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5D6DB5FB">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A1C6C8F">
            <w:pPr>
              <w:spacing w:line="360" w:lineRule="auto"/>
              <w:ind w:firstLine="480" w:firstLineChars="200"/>
              <w:rPr>
                <w:rFonts w:hint="eastAsia" w:ascii="仿宋_GB2312" w:hAnsi="楷体" w:eastAsia="仿宋_GB2312"/>
                <w:sz w:val="24"/>
              </w:rPr>
            </w:pPr>
          </w:p>
        </w:tc>
      </w:tr>
      <w:tr w14:paraId="116D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14:paraId="73B0A4B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F97F51E">
            <w:pPr>
              <w:spacing w:line="360" w:lineRule="auto"/>
              <w:ind w:firstLine="480" w:firstLineChars="200"/>
              <w:rPr>
                <w:rFonts w:hint="eastAsia" w:ascii="仿宋_GB2312" w:hAnsi="楷体" w:eastAsia="仿宋_GB2312"/>
                <w:sz w:val="24"/>
              </w:rPr>
            </w:pPr>
          </w:p>
        </w:tc>
      </w:tr>
    </w:tbl>
    <w:p w14:paraId="5A3EFFCA">
      <w:pPr>
        <w:spacing w:line="360" w:lineRule="auto"/>
        <w:ind w:firstLine="482" w:firstLineChars="200"/>
        <w:rPr>
          <w:rFonts w:hint="eastAsia" w:ascii="仿宋_GB2312" w:hAnsi="楷体" w:eastAsia="仿宋_GB2312"/>
          <w:b/>
          <w:sz w:val="24"/>
        </w:rPr>
      </w:pPr>
      <w:bookmarkStart w:id="122" w:name="_Toc10340"/>
      <w:bookmarkStart w:id="123" w:name="_Toc1814"/>
      <w:bookmarkStart w:id="124" w:name="_Toc22618"/>
      <w:r>
        <w:rPr>
          <w:rFonts w:hint="eastAsia" w:ascii="仿宋_GB2312" w:hAnsi="楷体" w:eastAsia="仿宋_GB2312"/>
          <w:b/>
          <w:sz w:val="24"/>
        </w:rPr>
        <w:t>1.4 付款方式和发票开具方式</w:t>
      </w:r>
      <w:bookmarkEnd w:id="122"/>
      <w:bookmarkEnd w:id="123"/>
      <w:bookmarkEnd w:id="124"/>
    </w:p>
    <w:p w14:paraId="14775B7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1.4.1 付款方式：</w:t>
      </w:r>
      <w:r>
        <w:rPr>
          <w:rFonts w:hint="eastAsia" w:ascii="仿宋_GB2312" w:hAnsi="楷体" w:eastAsia="仿宋_GB2312"/>
          <w:sz w:val="24"/>
          <w:u w:val="single"/>
        </w:rPr>
        <w:t xml:space="preserve">                                                </w:t>
      </w:r>
      <w:r>
        <w:rPr>
          <w:rFonts w:hint="eastAsia" w:ascii="仿宋_GB2312" w:hAnsi="楷体" w:eastAsia="仿宋_GB2312"/>
          <w:sz w:val="24"/>
        </w:rPr>
        <w:t>；</w:t>
      </w:r>
    </w:p>
    <w:p w14:paraId="02B894C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1.4.2 发票开具方式：</w:t>
      </w:r>
      <w:r>
        <w:rPr>
          <w:rFonts w:hint="eastAsia" w:ascii="仿宋_GB2312" w:hAnsi="楷体" w:eastAsia="仿宋_GB2312"/>
          <w:sz w:val="24"/>
          <w:u w:val="single"/>
        </w:rPr>
        <w:t xml:space="preserve">                                            </w:t>
      </w:r>
      <w:r>
        <w:rPr>
          <w:rFonts w:hint="eastAsia" w:ascii="仿宋_GB2312" w:hAnsi="楷体" w:eastAsia="仿宋_GB2312"/>
          <w:sz w:val="24"/>
        </w:rPr>
        <w:t>。</w:t>
      </w:r>
    </w:p>
    <w:p w14:paraId="0B6341BB">
      <w:pPr>
        <w:spacing w:line="360" w:lineRule="auto"/>
        <w:ind w:firstLine="482" w:firstLineChars="200"/>
        <w:rPr>
          <w:rFonts w:hint="eastAsia" w:ascii="仿宋_GB2312" w:hAnsi="楷体" w:eastAsia="仿宋_GB2312"/>
          <w:b/>
          <w:sz w:val="24"/>
        </w:rPr>
      </w:pPr>
      <w:bookmarkStart w:id="125" w:name="_Toc19304"/>
      <w:bookmarkStart w:id="126" w:name="_Toc2846"/>
      <w:bookmarkStart w:id="127" w:name="_Toc32071"/>
      <w:r>
        <w:rPr>
          <w:rFonts w:hint="eastAsia" w:ascii="仿宋_GB2312" w:hAnsi="楷体" w:eastAsia="仿宋_GB2312"/>
          <w:b/>
          <w:sz w:val="24"/>
        </w:rPr>
        <w:t>1.5 标的物交付期限、地点、方式</w:t>
      </w:r>
      <w:bookmarkEnd w:id="125"/>
      <w:bookmarkEnd w:id="126"/>
      <w:bookmarkEnd w:id="127"/>
      <w:r>
        <w:rPr>
          <w:rFonts w:hint="eastAsia" w:ascii="仿宋_GB2312" w:hAnsi="楷体" w:eastAsia="仿宋_GB2312"/>
          <w:b/>
          <w:sz w:val="24"/>
        </w:rPr>
        <w:t>和服务期限</w:t>
      </w:r>
    </w:p>
    <w:p w14:paraId="6825F621">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1.5.1 交付期限：</w:t>
      </w:r>
      <w:r>
        <w:rPr>
          <w:rFonts w:hint="eastAsia" w:ascii="仿宋_GB2312" w:hAnsi="楷体" w:eastAsia="仿宋_GB2312"/>
          <w:sz w:val="24"/>
          <w:u w:val="single"/>
        </w:rPr>
        <w:t xml:space="preserve">                                                 ；</w:t>
      </w:r>
    </w:p>
    <w:p w14:paraId="76BDBAC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1.5.2 交付地点：</w:t>
      </w:r>
      <w:r>
        <w:rPr>
          <w:rFonts w:hint="eastAsia" w:ascii="仿宋_GB2312" w:hAnsi="楷体" w:eastAsia="仿宋_GB2312"/>
          <w:sz w:val="24"/>
          <w:u w:val="single"/>
        </w:rPr>
        <w:t xml:space="preserve">                                                </w:t>
      </w:r>
      <w:r>
        <w:rPr>
          <w:rFonts w:hint="eastAsia" w:ascii="仿宋_GB2312" w:hAnsi="楷体" w:eastAsia="仿宋_GB2312"/>
          <w:sz w:val="24"/>
        </w:rPr>
        <w:t>；</w:t>
      </w:r>
    </w:p>
    <w:p w14:paraId="14CEA69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1.5.3 交付方式：</w:t>
      </w:r>
      <w:r>
        <w:rPr>
          <w:rFonts w:hint="eastAsia" w:ascii="仿宋_GB2312" w:hAnsi="楷体" w:eastAsia="仿宋_GB2312"/>
          <w:sz w:val="24"/>
          <w:u w:val="single"/>
        </w:rPr>
        <w:t xml:space="preserve">                                        　      </w:t>
      </w:r>
      <w:r>
        <w:rPr>
          <w:rFonts w:hint="eastAsia" w:ascii="仿宋_GB2312" w:hAnsi="楷体" w:eastAsia="仿宋_GB2312"/>
          <w:sz w:val="24"/>
        </w:rPr>
        <w:t>；</w:t>
      </w:r>
    </w:p>
    <w:p w14:paraId="67E9B36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1.5.4 服务及质保期限：</w:t>
      </w:r>
      <w:r>
        <w:rPr>
          <w:rFonts w:hint="eastAsia" w:ascii="仿宋_GB2312" w:hAnsi="楷体" w:eastAsia="仿宋_GB2312"/>
          <w:sz w:val="24"/>
          <w:u w:val="single"/>
        </w:rPr>
        <w:t xml:space="preserve">                                           </w:t>
      </w:r>
      <w:r>
        <w:rPr>
          <w:rFonts w:hint="eastAsia" w:ascii="仿宋_GB2312" w:hAnsi="楷体" w:eastAsia="仿宋_GB2312"/>
          <w:sz w:val="24"/>
        </w:rPr>
        <w:t>。</w:t>
      </w:r>
    </w:p>
    <w:p w14:paraId="363A629B">
      <w:pPr>
        <w:spacing w:line="360" w:lineRule="auto"/>
        <w:ind w:firstLine="482" w:firstLineChars="200"/>
        <w:rPr>
          <w:rFonts w:hint="eastAsia" w:ascii="仿宋_GB2312" w:hAnsi="楷体" w:eastAsia="仿宋_GB2312"/>
          <w:b/>
          <w:sz w:val="24"/>
        </w:rPr>
      </w:pPr>
      <w:bookmarkStart w:id="128" w:name="_Toc21423"/>
      <w:bookmarkStart w:id="129" w:name="_Toc27250"/>
      <w:bookmarkStart w:id="130" w:name="_Toc19554"/>
      <w:r>
        <w:rPr>
          <w:rFonts w:hint="eastAsia" w:ascii="仿宋_GB2312" w:hAnsi="楷体" w:eastAsia="仿宋_GB2312"/>
          <w:b/>
          <w:sz w:val="24"/>
        </w:rPr>
        <w:t>1.6 违约责任</w:t>
      </w:r>
      <w:bookmarkEnd w:id="128"/>
      <w:bookmarkEnd w:id="129"/>
      <w:bookmarkEnd w:id="130"/>
    </w:p>
    <w:p w14:paraId="1AF13D2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sz w:val="24"/>
          <w:u w:val="single"/>
        </w:rPr>
        <w:t>万分之五</w:t>
      </w:r>
      <w:r>
        <w:rPr>
          <w:rFonts w:hint="eastAsia" w:ascii="仿宋_GB2312" w:hAnsi="楷体" w:eastAsia="仿宋_GB2312"/>
          <w:color w:val="FF0000"/>
          <w:sz w:val="24"/>
        </w:rPr>
        <w:t>（根据项目实际填写，一般为万分之五）</w:t>
      </w:r>
      <w:r>
        <w:rPr>
          <w:rFonts w:hint="eastAsia" w:ascii="仿宋_GB2312" w:hAnsi="楷体" w:eastAsia="仿宋_GB2312"/>
          <w:sz w:val="24"/>
        </w:rPr>
        <w:t>计算，最高限额为本合同总价的</w:t>
      </w:r>
      <w:r>
        <w:rPr>
          <w:rFonts w:hint="eastAsia" w:ascii="仿宋_GB2312" w:hAnsi="楷体" w:eastAsia="仿宋_GB2312"/>
          <w:sz w:val="24"/>
          <w:u w:val="single"/>
        </w:rPr>
        <w:t xml:space="preserve">     </w:t>
      </w:r>
      <w:r>
        <w:rPr>
          <w:rFonts w:hint="eastAsia" w:ascii="仿宋_GB2312" w:hAnsi="楷体" w:eastAsia="仿宋_GB2312"/>
          <w:sz w:val="24"/>
        </w:rPr>
        <w:t>%</w:t>
      </w:r>
      <w:r>
        <w:rPr>
          <w:rFonts w:hint="eastAsia" w:ascii="仿宋_GB2312" w:hAnsi="楷体" w:eastAsia="仿宋_GB2312"/>
          <w:color w:val="FF0000"/>
          <w:sz w:val="24"/>
        </w:rPr>
        <w:t>（根据项目实际填写，一般为20%）</w:t>
      </w:r>
      <w:r>
        <w:rPr>
          <w:rFonts w:hint="eastAsia" w:ascii="仿宋_GB2312" w:hAnsi="楷体" w:eastAsia="仿宋_GB2312"/>
          <w:sz w:val="24"/>
        </w:rPr>
        <w:t>；迟延超过【  】日的，甲方有权在要求乙方支付违约金的同时，书面通知乙方解除本合同，乙方应退回全部已收取的合同价款并按合同总金额的</w:t>
      </w:r>
      <w:r>
        <w:rPr>
          <w:rFonts w:hint="eastAsia" w:ascii="仿宋_GB2312" w:hAnsi="楷体" w:eastAsia="仿宋_GB2312"/>
          <w:sz w:val="24"/>
          <w:u w:val="single"/>
        </w:rPr>
        <w:t xml:space="preserve">     </w:t>
      </w:r>
      <w:r>
        <w:rPr>
          <w:rFonts w:hint="eastAsia" w:ascii="仿宋_GB2312" w:hAnsi="楷体" w:eastAsia="仿宋_GB2312"/>
          <w:sz w:val="24"/>
        </w:rPr>
        <w:t>%</w:t>
      </w:r>
      <w:r>
        <w:rPr>
          <w:rFonts w:hint="eastAsia" w:ascii="仿宋_GB2312" w:hAnsi="楷体" w:eastAsia="仿宋_GB2312"/>
          <w:color w:val="FF0000"/>
          <w:sz w:val="24"/>
        </w:rPr>
        <w:t>（根据项目实际填写，一般为20%）</w:t>
      </w:r>
      <w:r>
        <w:rPr>
          <w:rFonts w:hint="eastAsia" w:ascii="仿宋_GB2312" w:hAnsi="楷体" w:eastAsia="仿宋_GB2312"/>
          <w:sz w:val="24"/>
        </w:rPr>
        <w:t>向甲方支付违约金；</w:t>
      </w:r>
    </w:p>
    <w:p w14:paraId="6EF381E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1.6.2 除不可抗力外，如果甲方没有按照本合同约定的付款方式付款，乙方可要求甲方支付违约金，违约金按每迟延付款一日的应付而未付款的</w:t>
      </w:r>
      <w:r>
        <w:rPr>
          <w:rFonts w:hint="eastAsia" w:ascii="仿宋_GB2312" w:hAnsi="楷体" w:eastAsia="仿宋_GB2312"/>
          <w:sz w:val="24"/>
          <w:u w:val="single"/>
        </w:rPr>
        <w:t>万分之五</w:t>
      </w:r>
      <w:r>
        <w:rPr>
          <w:rFonts w:hint="eastAsia" w:ascii="仿宋_GB2312" w:hAnsi="楷体" w:eastAsia="仿宋_GB2312"/>
          <w:color w:val="FF0000"/>
          <w:sz w:val="24"/>
        </w:rPr>
        <w:t>（根据项目实际填写，一般为万分之五）</w:t>
      </w:r>
      <w:r>
        <w:rPr>
          <w:rFonts w:hint="eastAsia" w:ascii="仿宋_GB2312" w:hAnsi="楷体" w:eastAsia="仿宋_GB2312"/>
          <w:sz w:val="24"/>
        </w:rPr>
        <w:t>计算，最高限额为欠付金额的</w:t>
      </w:r>
      <w:r>
        <w:rPr>
          <w:rFonts w:hint="eastAsia" w:ascii="仿宋_GB2312" w:hAnsi="楷体" w:eastAsia="仿宋_GB2312"/>
          <w:sz w:val="24"/>
          <w:u w:val="single"/>
        </w:rPr>
        <w:t xml:space="preserve">      </w:t>
      </w:r>
      <w:r>
        <w:rPr>
          <w:rFonts w:hint="eastAsia" w:ascii="仿宋_GB2312" w:hAnsi="楷体" w:eastAsia="仿宋_GB2312"/>
          <w:sz w:val="24"/>
        </w:rPr>
        <w:t>%</w:t>
      </w:r>
      <w:r>
        <w:rPr>
          <w:rFonts w:hint="eastAsia" w:ascii="仿宋_GB2312" w:hAnsi="楷体" w:eastAsia="仿宋_GB2312"/>
          <w:color w:val="FF0000"/>
          <w:sz w:val="24"/>
        </w:rPr>
        <w:t>（根据项目实际填写，一般为20%）</w:t>
      </w:r>
      <w:r>
        <w:rPr>
          <w:rFonts w:hint="eastAsia" w:ascii="仿宋_GB2312" w:hAnsi="楷体" w:eastAsia="仿宋_GB2312"/>
          <w:sz w:val="24"/>
        </w:rPr>
        <w:t>；迟延付款的违约金计算数额达到前述最高限额之日起，乙方有权在要求甲方支付违约金的同时，书面通知甲方解除本合同；</w:t>
      </w:r>
    </w:p>
    <w:p w14:paraId="01D6F73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77E561A">
      <w:pPr>
        <w:spacing w:line="360" w:lineRule="auto"/>
        <w:ind w:left="239" w:leftChars="114" w:firstLine="240" w:firstLineChars="100"/>
        <w:rPr>
          <w:rFonts w:hint="eastAsia" w:ascii="仿宋" w:hAnsi="仿宋" w:eastAsia="仿宋" w:cs="仿宋"/>
          <w:sz w:val="24"/>
        </w:rPr>
      </w:pPr>
      <w:r>
        <w:rPr>
          <w:rFonts w:hint="eastAsia" w:ascii="仿宋_GB2312" w:hAnsi="楷体" w:eastAsia="仿宋_GB2312"/>
          <w:sz w:val="24"/>
        </w:rPr>
        <w:t>1.6.4乙方在质保期内未按承诺提供售后等服务的，每发生一次向甲方支付</w:t>
      </w:r>
      <w:r>
        <w:rPr>
          <w:rFonts w:hint="eastAsia" w:ascii="仿宋" w:hAnsi="仿宋" w:eastAsia="仿宋" w:cs="仿宋"/>
          <w:sz w:val="24"/>
          <w:u w:val="single"/>
        </w:rPr>
        <w:t xml:space="preserve">  </w:t>
      </w:r>
      <w:r>
        <w:rPr>
          <w:rFonts w:hint="eastAsia" w:ascii="仿宋_GB2312" w:hAnsi="楷体" w:eastAsia="仿宋_GB2312"/>
          <w:sz w:val="24"/>
        </w:rPr>
        <w:t>元</w:t>
      </w:r>
      <w:r>
        <w:rPr>
          <w:rFonts w:hint="eastAsia" w:ascii="仿宋_GB2312" w:hAnsi="楷体" w:eastAsia="仿宋_GB2312"/>
          <w:color w:val="FF0000"/>
          <w:sz w:val="24"/>
        </w:rPr>
        <w:t>（根据项目实际填写，一般为2000元）</w:t>
      </w:r>
      <w:r>
        <w:rPr>
          <w:rFonts w:hint="eastAsia" w:ascii="仿宋_GB2312" w:hAnsi="楷体" w:eastAsia="仿宋_GB2312"/>
          <w:sz w:val="24"/>
        </w:rPr>
        <w:t>的违约金。</w:t>
      </w:r>
    </w:p>
    <w:p w14:paraId="793D4D7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410745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AA37C3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1.6.7 如果出现政府采购监督管理部门在处理投诉事项期间，书面通知甲方暂停采购活动的情形，或者询问或质疑事项可能影响中标结果的，导致甲方中止履行合同的情形，均不视为甲方违约。</w:t>
      </w:r>
    </w:p>
    <w:p w14:paraId="4DAB63F3">
      <w:pPr>
        <w:spacing w:line="360" w:lineRule="auto"/>
        <w:ind w:firstLine="482" w:firstLineChars="200"/>
        <w:rPr>
          <w:rFonts w:hint="eastAsia" w:ascii="仿宋_GB2312" w:hAnsi="楷体" w:eastAsia="仿宋_GB2312"/>
          <w:b/>
          <w:sz w:val="24"/>
        </w:rPr>
      </w:pPr>
      <w:bookmarkStart w:id="131" w:name="_Toc15583"/>
      <w:bookmarkStart w:id="132" w:name="_Toc16021"/>
      <w:bookmarkStart w:id="133" w:name="_Toc28375"/>
      <w:r>
        <w:rPr>
          <w:rFonts w:hint="eastAsia" w:ascii="仿宋_GB2312" w:hAnsi="楷体" w:eastAsia="仿宋_GB2312"/>
          <w:b/>
          <w:sz w:val="24"/>
        </w:rPr>
        <w:t>1.7 合同争议的解决</w:t>
      </w:r>
      <w:bookmarkEnd w:id="131"/>
      <w:bookmarkEnd w:id="132"/>
      <w:bookmarkEnd w:id="133"/>
    </w:p>
    <w:p w14:paraId="5DC6C10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本合同履行过程中发生的任何争议，双方当事人均可通过和解或者调解解决；不愿和解、调解或者和解、调解不成的，可以选择下列第</w:t>
      </w:r>
      <w:r>
        <w:rPr>
          <w:rFonts w:hint="eastAsia" w:ascii="仿宋_GB2312" w:hAnsi="楷体" w:eastAsia="仿宋_GB2312"/>
          <w:sz w:val="24"/>
          <w:u w:val="single"/>
        </w:rPr>
        <w:t xml:space="preserve">     </w:t>
      </w:r>
      <w:r>
        <w:rPr>
          <w:rFonts w:hint="eastAsia" w:ascii="仿宋_GB2312" w:hAnsi="楷体" w:eastAsia="仿宋_GB2312"/>
          <w:sz w:val="24"/>
        </w:rPr>
        <w:t>种方式解决：</w:t>
      </w:r>
    </w:p>
    <w:p w14:paraId="6363A07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1.7.1 将争议提交</w:t>
      </w:r>
      <w:r>
        <w:rPr>
          <w:rFonts w:hint="eastAsia" w:ascii="仿宋_GB2312" w:hAnsi="楷体" w:eastAsia="仿宋_GB2312"/>
          <w:sz w:val="24"/>
          <w:u w:val="single"/>
        </w:rPr>
        <w:t>南宁</w:t>
      </w:r>
      <w:r>
        <w:rPr>
          <w:rFonts w:hint="eastAsia" w:ascii="仿宋_GB2312" w:hAnsi="楷体" w:eastAsia="仿宋_GB2312"/>
          <w:sz w:val="24"/>
        </w:rPr>
        <w:t>仲裁委员会依申请仲裁时其现行有效的仲裁规则裁决；</w:t>
      </w:r>
    </w:p>
    <w:p w14:paraId="6904F92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1.7.2 向</w:t>
      </w:r>
      <w:r>
        <w:rPr>
          <w:rFonts w:hint="eastAsia" w:ascii="仿宋_GB2312" w:hAnsi="楷体" w:eastAsia="仿宋_GB2312"/>
          <w:sz w:val="24"/>
          <w:u w:val="single"/>
        </w:rPr>
        <w:t xml:space="preserve">   甲方所在地  </w:t>
      </w:r>
      <w:r>
        <w:rPr>
          <w:rFonts w:hint="eastAsia" w:ascii="仿宋_GB2312" w:hAnsi="楷体" w:eastAsia="仿宋_GB2312"/>
          <w:sz w:val="24"/>
        </w:rPr>
        <w:t>人民法院起诉。</w:t>
      </w:r>
    </w:p>
    <w:p w14:paraId="54F3DF5B">
      <w:pPr>
        <w:spacing w:line="360" w:lineRule="auto"/>
        <w:ind w:firstLine="482" w:firstLineChars="200"/>
        <w:rPr>
          <w:rFonts w:hint="eastAsia" w:ascii="仿宋_GB2312" w:hAnsi="楷体" w:eastAsia="仿宋_GB2312"/>
          <w:b/>
          <w:sz w:val="24"/>
        </w:rPr>
      </w:pPr>
      <w:bookmarkStart w:id="134" w:name="_Toc7245"/>
      <w:bookmarkStart w:id="135" w:name="_Toc15322"/>
      <w:bookmarkStart w:id="136" w:name="_Toc11173"/>
      <w:r>
        <w:rPr>
          <w:rFonts w:hint="eastAsia" w:ascii="仿宋_GB2312" w:hAnsi="楷体" w:eastAsia="仿宋_GB2312"/>
          <w:b/>
          <w:sz w:val="24"/>
        </w:rPr>
        <w:t>1.8 合同生效</w:t>
      </w:r>
      <w:bookmarkEnd w:id="134"/>
      <w:bookmarkEnd w:id="135"/>
      <w:bookmarkEnd w:id="136"/>
    </w:p>
    <w:p w14:paraId="4AE1EDF2">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本合同自双方当事人加盖有效电子公章时生效。</w:t>
      </w:r>
    </w:p>
    <w:p w14:paraId="0983FF79">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甲方：                                   乙方：</w:t>
      </w:r>
    </w:p>
    <w:p w14:paraId="45033C06">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统一社会信用代码：                        统一社会信用代码或身份证号码：</w:t>
      </w:r>
    </w:p>
    <w:p w14:paraId="37AA08E5">
      <w:pPr>
        <w:spacing w:line="360" w:lineRule="auto"/>
        <w:ind w:firstLine="200"/>
        <w:rPr>
          <w:rFonts w:hint="eastAsia" w:ascii="仿宋_GB2312" w:hAnsi="楷体" w:eastAsia="仿宋_GB2312"/>
          <w:sz w:val="24"/>
          <w:lang w:val="zh-CN"/>
        </w:rPr>
      </w:pPr>
    </w:p>
    <w:p w14:paraId="67E34FA5">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住所：                                   住所：</w:t>
      </w:r>
    </w:p>
    <w:p w14:paraId="06414C3B">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法定代表人或                             法定代表人</w:t>
      </w:r>
    </w:p>
    <w:p w14:paraId="303324FB">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 xml:space="preserve">授权代表（签字或盖章）：                 或授权代表（签字或盖章）: </w:t>
      </w:r>
    </w:p>
    <w:p w14:paraId="55693A84">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联系人：                                 联系人：</w:t>
      </w:r>
    </w:p>
    <w:p w14:paraId="7ABF88FD">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约定送达地址：                           约定送达地址：</w:t>
      </w:r>
    </w:p>
    <w:p w14:paraId="72E3B47F">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邮政编码：                               邮政编码：</w:t>
      </w:r>
    </w:p>
    <w:p w14:paraId="2B15315C">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 xml:space="preserve">电话:                                    电话: </w:t>
      </w:r>
    </w:p>
    <w:p w14:paraId="1E847A75">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传真:                                    传真:</w:t>
      </w:r>
    </w:p>
    <w:p w14:paraId="51C4DED4">
      <w:pPr>
        <w:spacing w:line="360" w:lineRule="auto"/>
        <w:ind w:firstLine="200"/>
        <w:rPr>
          <w:rFonts w:hint="eastAsia" w:ascii="仿宋_GB2312" w:hAnsi="楷体" w:eastAsia="仿宋_GB2312"/>
          <w:sz w:val="24"/>
        </w:rPr>
      </w:pPr>
      <w:r>
        <w:rPr>
          <w:rFonts w:hint="eastAsia" w:ascii="仿宋_GB2312" w:hAnsi="楷体" w:eastAsia="仿宋_GB2312"/>
          <w:sz w:val="24"/>
          <w:lang w:val="zh-CN"/>
        </w:rPr>
        <w:t>电子邮箱：                               电子邮箱：</w:t>
      </w:r>
    </w:p>
    <w:p w14:paraId="77244788">
      <w:pPr>
        <w:spacing w:line="360" w:lineRule="auto"/>
        <w:ind w:firstLine="200"/>
        <w:rPr>
          <w:rFonts w:hint="eastAsia" w:ascii="仿宋_GB2312" w:hAnsi="楷体" w:eastAsia="仿宋_GB2312"/>
          <w:sz w:val="24"/>
        </w:rPr>
      </w:pPr>
      <w:r>
        <w:rPr>
          <w:rFonts w:hint="eastAsia" w:ascii="仿宋_GB2312" w:hAnsi="楷体" w:eastAsia="仿宋_GB2312"/>
          <w:sz w:val="24"/>
        </w:rPr>
        <w:t xml:space="preserve">开户银行：                               开户银行： </w:t>
      </w:r>
    </w:p>
    <w:p w14:paraId="787E1599">
      <w:pPr>
        <w:spacing w:line="360" w:lineRule="auto"/>
        <w:ind w:firstLine="200"/>
        <w:rPr>
          <w:rFonts w:hint="eastAsia" w:ascii="仿宋_GB2312" w:hAnsi="楷体" w:eastAsia="仿宋_GB2312"/>
          <w:sz w:val="24"/>
        </w:rPr>
      </w:pPr>
      <w:r>
        <w:rPr>
          <w:rFonts w:hint="eastAsia" w:ascii="仿宋_GB2312" w:hAnsi="楷体" w:eastAsia="仿宋_GB2312"/>
          <w:sz w:val="24"/>
        </w:rPr>
        <w:t xml:space="preserve">开户名称：                               开户名称： </w:t>
      </w:r>
    </w:p>
    <w:p w14:paraId="4F63DB03">
      <w:pPr>
        <w:spacing w:line="360" w:lineRule="auto"/>
        <w:ind w:firstLine="200"/>
        <w:rPr>
          <w:rFonts w:hint="eastAsia" w:ascii="仿宋_GB2312" w:hAnsi="楷体" w:eastAsia="仿宋_GB2312"/>
          <w:sz w:val="24"/>
        </w:rPr>
      </w:pPr>
      <w:r>
        <w:rPr>
          <w:rFonts w:hint="eastAsia" w:ascii="仿宋_GB2312" w:hAnsi="楷体" w:eastAsia="仿宋_GB2312"/>
          <w:sz w:val="24"/>
        </w:rPr>
        <w:t>开户账号：</w:t>
      </w:r>
      <w:r>
        <w:rPr>
          <w:rFonts w:hint="eastAsia" w:ascii="仿宋_GB2312" w:hAnsi="楷体" w:eastAsia="仿宋_GB2312"/>
          <w:sz w:val="24"/>
          <w:lang w:val="zh-CN"/>
        </w:rPr>
        <w:t xml:space="preserve">                               </w:t>
      </w:r>
      <w:r>
        <w:rPr>
          <w:rFonts w:hint="eastAsia" w:ascii="仿宋_GB2312" w:hAnsi="楷体" w:eastAsia="仿宋_GB2312"/>
          <w:sz w:val="24"/>
        </w:rPr>
        <w:t>开户账号：</w:t>
      </w:r>
    </w:p>
    <w:p w14:paraId="00E1727A">
      <w:pPr>
        <w:pStyle w:val="26"/>
        <w:ind w:firstLine="482"/>
        <w:jc w:val="center"/>
        <w:outlineLvl w:val="1"/>
        <w:rPr>
          <w:rFonts w:hint="eastAsia" w:ascii="仿宋_GB2312" w:hAnsi="楷体" w:eastAsia="仿宋_GB2312"/>
          <w:b/>
          <w:sz w:val="28"/>
          <w:szCs w:val="28"/>
        </w:rPr>
      </w:pPr>
      <w:r>
        <w:rPr>
          <w:rFonts w:hint="eastAsia" w:ascii="仿宋_GB2312" w:hAnsi="楷体" w:eastAsia="仿宋_GB2312"/>
          <w:b/>
        </w:rPr>
        <w:br w:type="page"/>
      </w:r>
      <w:bookmarkStart w:id="137" w:name="_Toc80205945"/>
      <w:bookmarkStart w:id="138" w:name="_Toc331685783"/>
      <w:bookmarkStart w:id="139" w:name="_Toc80886949"/>
      <w:r>
        <w:rPr>
          <w:rFonts w:hint="eastAsia" w:ascii="仿宋_GB2312" w:hAnsi="楷体" w:eastAsia="仿宋_GB2312"/>
          <w:b/>
          <w:sz w:val="28"/>
          <w:szCs w:val="28"/>
        </w:rPr>
        <w:t>第二部分 合同一般条款</w:t>
      </w:r>
      <w:bookmarkEnd w:id="137"/>
      <w:bookmarkEnd w:id="138"/>
      <w:bookmarkEnd w:id="139"/>
    </w:p>
    <w:p w14:paraId="0FF4F6EA">
      <w:pPr>
        <w:spacing w:line="360" w:lineRule="auto"/>
        <w:ind w:firstLine="482" w:firstLineChars="200"/>
        <w:rPr>
          <w:rFonts w:hint="eastAsia" w:ascii="仿宋_GB2312" w:hAnsi="楷体" w:eastAsia="仿宋_GB2312"/>
          <w:b/>
          <w:sz w:val="24"/>
        </w:rPr>
      </w:pPr>
      <w:bookmarkStart w:id="140" w:name="_Ref467379101"/>
      <w:bookmarkStart w:id="141" w:name="_Toc19614"/>
      <w:bookmarkStart w:id="142" w:name="_Ref467379109"/>
      <w:bookmarkStart w:id="143" w:name="_Ref467378499"/>
      <w:bookmarkStart w:id="144" w:name="_Toc259093669"/>
      <w:bookmarkStart w:id="145" w:name="_Toc16917"/>
      <w:bookmarkStart w:id="146" w:name="_Ref467379205"/>
      <w:bookmarkStart w:id="147" w:name="_Ref467378463"/>
      <w:bookmarkStart w:id="148" w:name="_Ref467379214"/>
      <w:bookmarkStart w:id="149" w:name="_Toc279701240"/>
      <w:bookmarkStart w:id="150" w:name="_Ref467379195"/>
      <w:bookmarkStart w:id="151" w:name="_Ref467378404"/>
      <w:bookmarkStart w:id="152" w:name="_Ref467379225"/>
      <w:bookmarkStart w:id="153" w:name="_Toc487900349"/>
      <w:bookmarkStart w:id="154" w:name="_Toc28763"/>
      <w:bookmarkStart w:id="155" w:name="_Ref467379094"/>
      <w:r>
        <w:rPr>
          <w:rFonts w:hint="eastAsia" w:ascii="仿宋_GB2312" w:hAnsi="楷体" w:eastAsia="仿宋_GB2312"/>
          <w:b/>
          <w:sz w:val="24"/>
        </w:rPr>
        <w:t>2.1 定义</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3095A38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本合同中的下列词语应按以下内容进行解释：</w:t>
      </w:r>
    </w:p>
    <w:p w14:paraId="6BD3BA1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 “合同”系指采购人和中标人签订的载明双方当事人所达成的协议，并包括所有的附件、附录和构成合同的其他文件。</w:t>
      </w:r>
    </w:p>
    <w:p w14:paraId="18E5BFA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2.1.2 “合同价”系指根据合同约定，中标人在完全履行合同义务后，采购人应支付给中标人的价格。</w:t>
      </w:r>
    </w:p>
    <w:p w14:paraId="4721A9E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0AD4EFBD">
      <w:pPr>
        <w:spacing w:line="360" w:lineRule="auto"/>
        <w:ind w:firstLine="480" w:firstLineChars="200"/>
        <w:rPr>
          <w:rFonts w:hint="eastAsia" w:ascii="仿宋_GB2312" w:hAnsi="楷体" w:eastAsia="仿宋_GB2312"/>
          <w:sz w:val="24"/>
        </w:rPr>
      </w:pPr>
      <w:bookmarkStart w:id="156" w:name="_Ref467378840"/>
      <w:r>
        <w:rPr>
          <w:rFonts w:hint="eastAsia" w:ascii="仿宋_GB2312" w:hAnsi="楷体" w:eastAsia="仿宋_GB2312"/>
          <w:sz w:val="24"/>
        </w:rPr>
        <w:t>2.1.4 “甲方”系指与中标人签署合同的采购人</w:t>
      </w:r>
      <w:bookmarkEnd w:id="156"/>
      <w:r>
        <w:rPr>
          <w:rFonts w:hint="eastAsia" w:ascii="仿宋_GB2312" w:hAnsi="楷体" w:eastAsia="仿宋_GB2312"/>
          <w:sz w:val="24"/>
        </w:rPr>
        <w:t>；采购人委托采购机构代表其与乙方签订合同的，采购人的授权委托书作为合同附件。</w:t>
      </w:r>
    </w:p>
    <w:p w14:paraId="1CD8A222">
      <w:pPr>
        <w:spacing w:line="360" w:lineRule="auto"/>
        <w:ind w:firstLine="480" w:firstLineChars="200"/>
        <w:rPr>
          <w:rFonts w:hint="eastAsia" w:ascii="仿宋_GB2312" w:hAnsi="楷体" w:eastAsia="仿宋_GB2312"/>
          <w:sz w:val="24"/>
        </w:rPr>
      </w:pPr>
      <w:bookmarkStart w:id="157" w:name="_Ref467379400"/>
      <w:r>
        <w:rPr>
          <w:rFonts w:hint="eastAsia" w:ascii="仿宋_GB2312" w:hAnsi="楷体" w:eastAsia="仿宋_GB2312"/>
          <w:sz w:val="24"/>
        </w:rPr>
        <w:t>2.1.5 “乙方”系指根据合同约定交付标的物的</w:t>
      </w:r>
      <w:bookmarkEnd w:id="157"/>
      <w:r>
        <w:rPr>
          <w:rFonts w:hint="eastAsia" w:ascii="仿宋_GB2312" w:hAnsi="楷体" w:eastAsia="仿宋_GB2312"/>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5F7FA8EC">
      <w:pPr>
        <w:spacing w:line="360" w:lineRule="auto"/>
        <w:ind w:firstLine="480" w:firstLineChars="200"/>
        <w:rPr>
          <w:rFonts w:hint="eastAsia" w:ascii="仿宋_GB2312" w:hAnsi="楷体" w:eastAsia="仿宋_GB2312"/>
          <w:sz w:val="24"/>
        </w:rPr>
      </w:pPr>
      <w:bookmarkStart w:id="158" w:name="_Ref467379436"/>
      <w:r>
        <w:rPr>
          <w:rFonts w:hint="eastAsia" w:ascii="仿宋_GB2312" w:hAnsi="楷体" w:eastAsia="仿宋_GB2312"/>
          <w:sz w:val="24"/>
        </w:rPr>
        <w:t>2.1.6 “现场”系指合同约定标的物将要运至或者实施或者安装的地点。</w:t>
      </w:r>
      <w:bookmarkEnd w:id="158"/>
    </w:p>
    <w:p w14:paraId="4C3B9C47">
      <w:pPr>
        <w:spacing w:line="360" w:lineRule="auto"/>
        <w:ind w:firstLine="482" w:firstLineChars="200"/>
        <w:rPr>
          <w:rFonts w:hint="eastAsia" w:ascii="仿宋_GB2312" w:hAnsi="楷体" w:eastAsia="仿宋_GB2312"/>
          <w:b/>
          <w:sz w:val="24"/>
        </w:rPr>
      </w:pPr>
      <w:bookmarkStart w:id="159" w:name="_Toc13336"/>
      <w:bookmarkStart w:id="160" w:name="_Toc27635"/>
      <w:bookmarkStart w:id="161" w:name="_Toc279701241"/>
      <w:bookmarkStart w:id="162" w:name="_Toc487900350"/>
      <w:bookmarkStart w:id="163" w:name="_Toc32504"/>
      <w:bookmarkStart w:id="164" w:name="_Toc259093670"/>
      <w:r>
        <w:rPr>
          <w:rFonts w:hint="eastAsia" w:ascii="仿宋_GB2312" w:hAnsi="楷体" w:eastAsia="仿宋_GB2312"/>
          <w:b/>
          <w:sz w:val="24"/>
        </w:rPr>
        <w:t>2.2 技术规范</w:t>
      </w:r>
      <w:bookmarkEnd w:id="159"/>
      <w:bookmarkEnd w:id="160"/>
      <w:bookmarkEnd w:id="161"/>
      <w:bookmarkEnd w:id="162"/>
      <w:bookmarkEnd w:id="163"/>
      <w:bookmarkEnd w:id="164"/>
    </w:p>
    <w:p w14:paraId="37DD297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30FA2677">
      <w:pPr>
        <w:spacing w:line="360" w:lineRule="auto"/>
        <w:ind w:firstLine="482" w:firstLineChars="200"/>
        <w:rPr>
          <w:rFonts w:hint="eastAsia" w:ascii="仿宋_GB2312" w:hAnsi="楷体" w:eastAsia="仿宋_GB2312"/>
          <w:b/>
          <w:sz w:val="24"/>
        </w:rPr>
      </w:pPr>
      <w:bookmarkStart w:id="165" w:name="_Toc279701242"/>
      <w:bookmarkStart w:id="166" w:name="_Toc9829"/>
      <w:bookmarkStart w:id="167" w:name="_Toc487900351"/>
      <w:bookmarkStart w:id="168" w:name="_Toc27853"/>
      <w:bookmarkStart w:id="169" w:name="_Toc259093671"/>
      <w:bookmarkStart w:id="170" w:name="_Toc31634"/>
      <w:r>
        <w:rPr>
          <w:rFonts w:hint="eastAsia" w:ascii="仿宋_GB2312" w:hAnsi="楷体" w:eastAsia="仿宋_GB2312"/>
          <w:b/>
          <w:sz w:val="24"/>
        </w:rPr>
        <w:t>2.3 知识产权</w:t>
      </w:r>
      <w:bookmarkEnd w:id="165"/>
      <w:bookmarkEnd w:id="166"/>
      <w:bookmarkEnd w:id="167"/>
      <w:bookmarkEnd w:id="168"/>
      <w:bookmarkEnd w:id="169"/>
      <w:bookmarkEnd w:id="170"/>
    </w:p>
    <w:p w14:paraId="39B6E4D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649AC62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2.3.2具有知识产权的计算机软件等标的物的知识产权归属，详见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5D264BFC">
      <w:pPr>
        <w:spacing w:line="360" w:lineRule="auto"/>
        <w:ind w:firstLine="482" w:firstLineChars="200"/>
        <w:rPr>
          <w:rFonts w:hint="eastAsia" w:ascii="仿宋_GB2312" w:hAnsi="楷体" w:eastAsia="仿宋_GB2312"/>
          <w:b/>
          <w:sz w:val="24"/>
        </w:rPr>
      </w:pPr>
      <w:bookmarkStart w:id="171" w:name="_Toc29149"/>
      <w:bookmarkStart w:id="172" w:name="_Toc4194"/>
      <w:bookmarkStart w:id="173" w:name="_Toc11932"/>
      <w:r>
        <w:rPr>
          <w:rFonts w:hint="eastAsia" w:ascii="仿宋_GB2312" w:hAnsi="楷体" w:eastAsia="仿宋_GB2312"/>
          <w:b/>
          <w:sz w:val="24"/>
        </w:rPr>
        <w:t>2.4 包装和装运</w:t>
      </w:r>
      <w:bookmarkEnd w:id="171"/>
      <w:bookmarkEnd w:id="172"/>
      <w:bookmarkEnd w:id="173"/>
    </w:p>
    <w:p w14:paraId="7766DB8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2.4.1除</w:t>
      </w:r>
      <w:r>
        <w:rPr>
          <w:rFonts w:hint="eastAsia" w:ascii="仿宋_GB2312" w:hAnsi="楷体" w:eastAsia="仿宋_GB2312"/>
          <w:b/>
          <w:i/>
          <w:sz w:val="24"/>
          <w:u w:val="single"/>
        </w:rPr>
        <w:t>合同专用条款</w:t>
      </w:r>
      <w:r>
        <w:rPr>
          <w:rFonts w:hint="eastAsia" w:ascii="仿宋_GB2312" w:hAnsi="楷体" w:eastAsia="仿宋_GB2312"/>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32CAAF8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2.4.2 装运标的物的要求和通知，详见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3354591D">
      <w:pPr>
        <w:spacing w:line="360" w:lineRule="auto"/>
        <w:ind w:firstLine="482" w:firstLineChars="200"/>
        <w:rPr>
          <w:rFonts w:hint="eastAsia" w:ascii="仿宋_GB2312" w:hAnsi="楷体" w:eastAsia="仿宋_GB2312"/>
          <w:b/>
          <w:sz w:val="24"/>
        </w:rPr>
      </w:pPr>
      <w:bookmarkStart w:id="174" w:name="_Ref467378591"/>
      <w:bookmarkStart w:id="175" w:name="_Ref467379536"/>
      <w:bookmarkStart w:id="176" w:name="_Toc279701245"/>
      <w:bookmarkStart w:id="177" w:name="_Ref467379542"/>
      <w:bookmarkStart w:id="178" w:name="_Toc487900354"/>
      <w:bookmarkStart w:id="179" w:name="_Ref467378541"/>
      <w:bookmarkStart w:id="180" w:name="_Ref467379527"/>
      <w:bookmarkStart w:id="181" w:name="_Toc259093674"/>
      <w:bookmarkStart w:id="182" w:name="_Toc19074"/>
      <w:bookmarkStart w:id="183" w:name="_Toc30272"/>
      <w:bookmarkStart w:id="184" w:name="_Toc26182"/>
      <w:r>
        <w:rPr>
          <w:rFonts w:hint="eastAsia" w:ascii="仿宋_GB2312" w:hAnsi="楷体" w:eastAsia="仿宋_GB2312"/>
          <w:b/>
          <w:sz w:val="24"/>
        </w:rPr>
        <w:t>2.</w:t>
      </w:r>
      <w:bookmarkEnd w:id="174"/>
      <w:bookmarkEnd w:id="175"/>
      <w:bookmarkEnd w:id="176"/>
      <w:bookmarkEnd w:id="177"/>
      <w:bookmarkEnd w:id="178"/>
      <w:bookmarkEnd w:id="179"/>
      <w:bookmarkEnd w:id="180"/>
      <w:bookmarkEnd w:id="181"/>
      <w:r>
        <w:rPr>
          <w:rFonts w:hint="eastAsia" w:ascii="仿宋_GB2312" w:hAnsi="楷体" w:eastAsia="仿宋_GB2312"/>
          <w:b/>
          <w:sz w:val="24"/>
        </w:rPr>
        <w:t>5 履约检查和问题反馈</w:t>
      </w:r>
      <w:bookmarkEnd w:id="182"/>
      <w:bookmarkEnd w:id="183"/>
      <w:bookmarkEnd w:id="184"/>
    </w:p>
    <w:p w14:paraId="0E992316">
      <w:pPr>
        <w:spacing w:line="360" w:lineRule="auto"/>
        <w:ind w:firstLine="480" w:firstLineChars="200"/>
        <w:rPr>
          <w:rFonts w:hint="eastAsia" w:ascii="仿宋_GB2312" w:hAnsi="楷体" w:eastAsia="仿宋_GB2312"/>
          <w:sz w:val="24"/>
        </w:rPr>
      </w:pPr>
      <w:bookmarkStart w:id="185" w:name="_Ref467379657"/>
      <w:r>
        <w:rPr>
          <w:rFonts w:hint="eastAsia" w:ascii="仿宋_GB2312" w:hAnsi="楷体" w:eastAsia="仿宋_GB2312"/>
          <w:sz w:val="24"/>
        </w:rPr>
        <w:t>2.5.1</w:t>
      </w:r>
      <w:bookmarkEnd w:id="185"/>
      <w:bookmarkStart w:id="186" w:name="_Toc186431854"/>
      <w:bookmarkStart w:id="187" w:name="_Toc487900357"/>
      <w:bookmarkStart w:id="188" w:name="_Toc259093676"/>
      <w:bookmarkStart w:id="189" w:name="_Ref467379807"/>
      <w:bookmarkStart w:id="190" w:name="_Ref467379793"/>
      <w:bookmarkStart w:id="191" w:name="_Toc279701247"/>
      <w:r>
        <w:rPr>
          <w:rFonts w:hint="eastAsia" w:ascii="仿宋_GB2312" w:hAnsi="楷体" w:eastAsia="仿宋_GB2312"/>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51929EF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2.5.2 合同履行期间，甲方有权将履行过程中出现的问题反馈给乙方，双方当事人应以书面形式约定需要完善和改进的内容</w:t>
      </w:r>
      <w:bookmarkEnd w:id="186"/>
      <w:bookmarkStart w:id="192" w:name="_Toc186431855"/>
      <w:r>
        <w:rPr>
          <w:rFonts w:hint="eastAsia" w:ascii="仿宋_GB2312" w:hAnsi="楷体" w:eastAsia="仿宋_GB2312"/>
          <w:sz w:val="24"/>
        </w:rPr>
        <w:t>。</w:t>
      </w:r>
    </w:p>
    <w:bookmarkEnd w:id="192"/>
    <w:p w14:paraId="6C6159C6">
      <w:pPr>
        <w:spacing w:line="360" w:lineRule="auto"/>
        <w:ind w:firstLine="482" w:firstLineChars="200"/>
        <w:rPr>
          <w:rFonts w:hint="eastAsia" w:ascii="仿宋_GB2312" w:hAnsi="楷体" w:eastAsia="仿宋_GB2312"/>
          <w:b/>
          <w:sz w:val="24"/>
        </w:rPr>
      </w:pPr>
      <w:bookmarkStart w:id="193" w:name="_Toc28451"/>
      <w:bookmarkStart w:id="194" w:name="_Toc19219"/>
      <w:bookmarkStart w:id="195" w:name="_Toc7836"/>
      <w:r>
        <w:rPr>
          <w:rFonts w:hint="eastAsia" w:ascii="仿宋_GB2312" w:hAnsi="楷体" w:eastAsia="仿宋_GB2312"/>
          <w:b/>
          <w:sz w:val="24"/>
        </w:rPr>
        <w:t>2.6 结算方式和付款条件</w:t>
      </w:r>
      <w:bookmarkEnd w:id="187"/>
      <w:bookmarkEnd w:id="188"/>
      <w:bookmarkEnd w:id="189"/>
      <w:bookmarkEnd w:id="190"/>
      <w:bookmarkEnd w:id="191"/>
      <w:bookmarkEnd w:id="193"/>
      <w:bookmarkEnd w:id="194"/>
      <w:bookmarkEnd w:id="195"/>
    </w:p>
    <w:p w14:paraId="2DEAE12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15A9B841">
      <w:pPr>
        <w:spacing w:line="360" w:lineRule="auto"/>
        <w:ind w:firstLine="482" w:firstLineChars="200"/>
        <w:rPr>
          <w:rFonts w:hint="eastAsia" w:ascii="仿宋_GB2312" w:hAnsi="楷体" w:eastAsia="仿宋_GB2312"/>
          <w:b/>
          <w:sz w:val="24"/>
        </w:rPr>
      </w:pPr>
      <w:bookmarkStart w:id="196" w:name="_Ref467379923"/>
      <w:bookmarkStart w:id="197" w:name="_Ref467379852"/>
      <w:bookmarkStart w:id="198" w:name="_Toc259093677"/>
      <w:bookmarkStart w:id="199" w:name="_Ref467379863"/>
      <w:bookmarkStart w:id="200" w:name="_Toc279701248"/>
      <w:bookmarkStart w:id="201" w:name="_Toc487900358"/>
      <w:bookmarkStart w:id="202" w:name="_Toc774"/>
      <w:bookmarkStart w:id="203" w:name="_Toc16110"/>
      <w:bookmarkStart w:id="204" w:name="_Toc3225"/>
      <w:r>
        <w:rPr>
          <w:rFonts w:hint="eastAsia" w:ascii="仿宋_GB2312" w:hAnsi="楷体" w:eastAsia="仿宋_GB2312"/>
          <w:b/>
          <w:sz w:val="24"/>
        </w:rPr>
        <w:t>2.7 技术资料</w:t>
      </w:r>
      <w:bookmarkEnd w:id="196"/>
      <w:bookmarkEnd w:id="197"/>
      <w:bookmarkEnd w:id="198"/>
      <w:bookmarkEnd w:id="199"/>
      <w:bookmarkEnd w:id="200"/>
      <w:bookmarkEnd w:id="201"/>
      <w:r>
        <w:rPr>
          <w:rFonts w:hint="eastAsia" w:ascii="仿宋_GB2312" w:hAnsi="楷体" w:eastAsia="仿宋_GB2312"/>
          <w:b/>
          <w:sz w:val="24"/>
        </w:rPr>
        <w:t>和保密义务</w:t>
      </w:r>
      <w:bookmarkEnd w:id="202"/>
      <w:bookmarkEnd w:id="203"/>
      <w:bookmarkEnd w:id="204"/>
    </w:p>
    <w:p w14:paraId="6040294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2.7.1 乙方有权依据合同约定和项目需要，向甲方了解有关情况，调阅有关资料等，甲方应予积极配合；</w:t>
      </w:r>
    </w:p>
    <w:p w14:paraId="3D86593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2.7.2 乙方有义务妥善保管和保护由甲方提供的前款信息和资料等；</w:t>
      </w:r>
    </w:p>
    <w:p w14:paraId="1DF41D4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D5FA7CD">
      <w:pPr>
        <w:spacing w:line="360" w:lineRule="auto"/>
        <w:ind w:firstLine="482" w:firstLineChars="200"/>
        <w:rPr>
          <w:rFonts w:hint="eastAsia" w:ascii="仿宋_GB2312" w:hAnsi="楷体" w:eastAsia="仿宋_GB2312"/>
          <w:b/>
          <w:sz w:val="24"/>
        </w:rPr>
      </w:pPr>
      <w:bookmarkStart w:id="205" w:name="_Toc7860"/>
      <w:r>
        <w:rPr>
          <w:rFonts w:hint="eastAsia" w:ascii="仿宋_GB2312" w:hAnsi="楷体" w:eastAsia="仿宋_GB2312"/>
          <w:b/>
          <w:sz w:val="24"/>
        </w:rPr>
        <w:t>2.8 质量保证</w:t>
      </w:r>
      <w:bookmarkEnd w:id="205"/>
    </w:p>
    <w:p w14:paraId="7074236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2.8.1 乙方应建立和完善履行合同的内部质量保证体系，并提供相关内部规章制度给甲方，以便甲方进行监督检查；</w:t>
      </w:r>
    </w:p>
    <w:p w14:paraId="746140D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2.8.2 乙方应保证履行合同的人员数量和素质、软件和硬件设备的配置、场地、环境和设施等满足全面履行合同的要求，并应接受甲方的监督检查。</w:t>
      </w:r>
    </w:p>
    <w:p w14:paraId="375FB319">
      <w:pPr>
        <w:spacing w:line="360" w:lineRule="auto"/>
        <w:ind w:firstLine="480" w:firstLineChars="200"/>
        <w:rPr>
          <w:rFonts w:hint="eastAsia" w:ascii="仿宋_GB2312" w:hAnsi="仿宋" w:eastAsia="仿宋_GB2312" w:cs="仿宋_GB2312"/>
          <w:kern w:val="0"/>
          <w:sz w:val="24"/>
        </w:rPr>
      </w:pPr>
      <w:r>
        <w:rPr>
          <w:rFonts w:hint="eastAsia" w:ascii="仿宋_GB2312" w:hAnsi="仿宋" w:eastAsia="仿宋_GB2312"/>
          <w:sz w:val="24"/>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kern w:val="0"/>
          <w:sz w:val="24"/>
        </w:rPr>
        <w:t>甲方有权放弃或终止合同。</w:t>
      </w:r>
    </w:p>
    <w:p w14:paraId="37C5F969">
      <w:pPr>
        <w:spacing w:line="360" w:lineRule="auto"/>
        <w:ind w:firstLine="480" w:firstLineChars="200"/>
        <w:rPr>
          <w:rFonts w:hint="eastAsia" w:ascii="仿宋_GB2312" w:hAnsi="楷体" w:eastAsia="仿宋_GB2312"/>
          <w:sz w:val="24"/>
        </w:rPr>
      </w:pPr>
      <w:r>
        <w:rPr>
          <w:rFonts w:hint="eastAsia" w:ascii="仿宋_GB2312" w:hAnsi="仿宋" w:eastAsia="仿宋_GB2312"/>
          <w:sz w:val="24"/>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sz w:val="24"/>
          <w:u w:val="single"/>
        </w:rPr>
        <w:t>30%</w:t>
      </w:r>
      <w:r>
        <w:rPr>
          <w:rFonts w:hint="eastAsia" w:ascii="仿宋_GB2312" w:hAnsi="仿宋" w:eastAsia="仿宋_GB2312"/>
          <w:color w:val="FF0000"/>
          <w:sz w:val="24"/>
        </w:rPr>
        <w:t>（根据项目实际情况填写，一般为30%）</w:t>
      </w:r>
      <w:r>
        <w:rPr>
          <w:rFonts w:hint="eastAsia" w:ascii="仿宋_GB2312" w:hAnsi="仿宋" w:eastAsia="仿宋_GB2312"/>
          <w:sz w:val="24"/>
        </w:rPr>
        <w:t>。</w:t>
      </w:r>
    </w:p>
    <w:p w14:paraId="0EE6F62E">
      <w:pPr>
        <w:spacing w:line="360" w:lineRule="auto"/>
        <w:ind w:firstLine="482" w:firstLineChars="200"/>
        <w:rPr>
          <w:rFonts w:hint="eastAsia" w:ascii="仿宋_GB2312" w:hAnsi="楷体" w:eastAsia="仿宋_GB2312"/>
          <w:b/>
          <w:sz w:val="24"/>
        </w:rPr>
      </w:pPr>
      <w:bookmarkStart w:id="206" w:name="_Toc17244"/>
      <w:bookmarkStart w:id="207" w:name="_Toc259093681"/>
      <w:bookmarkStart w:id="208" w:name="_Toc487900362"/>
      <w:bookmarkStart w:id="209" w:name="_Toc279701252"/>
      <w:r>
        <w:rPr>
          <w:rFonts w:hint="eastAsia" w:ascii="仿宋_GB2312" w:hAnsi="楷体" w:eastAsia="仿宋_GB2312"/>
          <w:b/>
          <w:sz w:val="24"/>
        </w:rPr>
        <w:t>2.9 标的物的风险负担</w:t>
      </w:r>
      <w:bookmarkEnd w:id="206"/>
    </w:p>
    <w:p w14:paraId="6A7A3DE9">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标的物或者在途标的物或者交付给第一承运人后的标的物毁损、灭失的风险负担详见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7AD24F74">
      <w:pPr>
        <w:spacing w:line="360" w:lineRule="auto"/>
        <w:ind w:firstLine="482" w:firstLineChars="200"/>
        <w:rPr>
          <w:rFonts w:hint="eastAsia" w:ascii="仿宋_GB2312" w:hAnsi="楷体" w:eastAsia="仿宋_GB2312"/>
          <w:b/>
          <w:sz w:val="24"/>
        </w:rPr>
      </w:pPr>
      <w:bookmarkStart w:id="210" w:name="_Toc14055"/>
      <w:r>
        <w:rPr>
          <w:rFonts w:hint="eastAsia" w:ascii="仿宋_GB2312" w:hAnsi="楷体" w:eastAsia="仿宋_GB2312"/>
          <w:b/>
          <w:sz w:val="24"/>
        </w:rPr>
        <w:t>2.10 延迟交货</w:t>
      </w:r>
      <w:bookmarkEnd w:id="207"/>
      <w:bookmarkEnd w:id="208"/>
      <w:bookmarkEnd w:id="209"/>
      <w:bookmarkEnd w:id="210"/>
      <w:r>
        <w:rPr>
          <w:rFonts w:hint="eastAsia" w:ascii="仿宋_GB2312" w:hAnsi="楷体" w:eastAsia="仿宋_GB2312"/>
          <w:b/>
          <w:sz w:val="24"/>
        </w:rPr>
        <w:t>/交付</w:t>
      </w:r>
    </w:p>
    <w:p w14:paraId="4CFBB92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3DC18E9C">
      <w:pPr>
        <w:spacing w:line="360" w:lineRule="auto"/>
        <w:ind w:firstLine="482" w:firstLineChars="200"/>
        <w:rPr>
          <w:rFonts w:hint="eastAsia" w:ascii="仿宋_GB2312" w:hAnsi="楷体" w:eastAsia="仿宋_GB2312"/>
          <w:b/>
          <w:sz w:val="24"/>
        </w:rPr>
      </w:pPr>
      <w:bookmarkStart w:id="211" w:name="_Toc7502"/>
      <w:bookmarkStart w:id="212" w:name="_Toc279701254"/>
      <w:bookmarkStart w:id="213" w:name="_Toc487900364"/>
      <w:bookmarkStart w:id="214" w:name="_Ref467378121"/>
      <w:bookmarkStart w:id="215" w:name="_Toc259093683"/>
      <w:r>
        <w:rPr>
          <w:rFonts w:hint="eastAsia" w:ascii="仿宋_GB2312" w:hAnsi="楷体" w:eastAsia="仿宋_GB2312"/>
          <w:b/>
          <w:sz w:val="24"/>
        </w:rPr>
        <w:t>2.11 合同变更</w:t>
      </w:r>
      <w:bookmarkEnd w:id="211"/>
    </w:p>
    <w:p w14:paraId="0C7B39F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706722B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2.11.2 合同继续履行将损害国家利益和社会公共利益的，双方当事人应当以书面形式变更合同。有过错的一方应当承担赔偿责任，双方当事人都有过错的，各自承担相应的责任。</w:t>
      </w:r>
      <w:bookmarkStart w:id="216" w:name="_Toc259093688"/>
      <w:bookmarkStart w:id="217" w:name="_Toc279701259"/>
      <w:bookmarkStart w:id="218" w:name="_Toc487900369"/>
    </w:p>
    <w:p w14:paraId="07389FE6">
      <w:pPr>
        <w:spacing w:line="360" w:lineRule="auto"/>
        <w:ind w:firstLine="482" w:firstLineChars="200"/>
        <w:rPr>
          <w:rFonts w:hint="eastAsia" w:ascii="仿宋_GB2312" w:hAnsi="楷体" w:eastAsia="仿宋_GB2312"/>
          <w:b/>
          <w:sz w:val="24"/>
        </w:rPr>
      </w:pPr>
      <w:bookmarkStart w:id="219" w:name="_Toc10366"/>
      <w:bookmarkStart w:id="220" w:name="_Toc15237"/>
      <w:bookmarkStart w:id="221" w:name="_Toc22955"/>
      <w:r>
        <w:rPr>
          <w:rFonts w:hint="eastAsia" w:ascii="仿宋_GB2312" w:hAnsi="楷体" w:eastAsia="仿宋_GB2312"/>
          <w:b/>
          <w:sz w:val="24"/>
        </w:rPr>
        <w:t>2.12 合同转让</w:t>
      </w:r>
      <w:bookmarkEnd w:id="216"/>
      <w:bookmarkEnd w:id="217"/>
      <w:bookmarkEnd w:id="218"/>
      <w:r>
        <w:rPr>
          <w:rFonts w:hint="eastAsia" w:ascii="仿宋_GB2312" w:hAnsi="楷体" w:eastAsia="仿宋_GB2312"/>
          <w:b/>
          <w:sz w:val="24"/>
        </w:rPr>
        <w:t>和分包</w:t>
      </w:r>
      <w:bookmarkEnd w:id="219"/>
      <w:bookmarkEnd w:id="220"/>
      <w:bookmarkEnd w:id="221"/>
    </w:p>
    <w:p w14:paraId="7D20F8A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30615292">
      <w:pPr>
        <w:spacing w:line="360" w:lineRule="auto"/>
        <w:ind w:firstLine="482" w:firstLineChars="200"/>
        <w:rPr>
          <w:rFonts w:hint="eastAsia" w:ascii="仿宋_GB2312" w:hAnsi="楷体" w:eastAsia="仿宋_GB2312"/>
          <w:b/>
          <w:sz w:val="24"/>
        </w:rPr>
      </w:pPr>
      <w:bookmarkStart w:id="222" w:name="_Toc16508"/>
      <w:bookmarkStart w:id="223" w:name="_Toc14066"/>
      <w:bookmarkStart w:id="224" w:name="_Toc13566"/>
      <w:r>
        <w:rPr>
          <w:rFonts w:hint="eastAsia" w:ascii="仿宋_GB2312" w:hAnsi="楷体" w:eastAsia="仿宋_GB2312"/>
          <w:b/>
          <w:sz w:val="24"/>
        </w:rPr>
        <w:t>2.13 不可抗力</w:t>
      </w:r>
      <w:bookmarkEnd w:id="222"/>
      <w:bookmarkEnd w:id="223"/>
      <w:bookmarkEnd w:id="224"/>
    </w:p>
    <w:p w14:paraId="3CC547E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2.13.1如果任何一方遭遇法律规定的不可抗力，致使合同履行受阻时，履行合同的期限应予延长，延长的期限应相当于不可抗力所影响的时间；</w:t>
      </w:r>
    </w:p>
    <w:p w14:paraId="03DD45B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2.13.2受不可抗力影响的一方在不可抗力发生后，应在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约定时间内以书面形式通知对方当事人，并在</w:t>
      </w:r>
      <w:r>
        <w:rPr>
          <w:rFonts w:hint="eastAsia" w:ascii="仿宋_GB2312" w:hAnsi="楷体" w:eastAsia="仿宋_GB2312"/>
          <w:b/>
          <w:i/>
          <w:sz w:val="24"/>
          <w:u w:val="single"/>
        </w:rPr>
        <w:t>合同专用条款</w:t>
      </w:r>
      <w:r>
        <w:rPr>
          <w:rFonts w:hint="eastAsia" w:ascii="仿宋_GB2312" w:hAnsi="楷体" w:eastAsia="仿宋_GB2312"/>
          <w:sz w:val="24"/>
        </w:rPr>
        <w:t>约定时间内，将有关部门出具的证明文件送达对方当事人。</w:t>
      </w:r>
    </w:p>
    <w:p w14:paraId="2A1989B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2.13.3 因不可抗力致使不能实现合同目的的，当事人可以解除合同；</w:t>
      </w:r>
    </w:p>
    <w:p w14:paraId="549DB0C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2.13.4 因不可抗力致使合同有变更必要的，双方当事人应在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约定时间内以书面形式变更合同；</w:t>
      </w:r>
    </w:p>
    <w:p w14:paraId="395E098C">
      <w:pPr>
        <w:spacing w:line="360" w:lineRule="auto"/>
        <w:ind w:firstLine="482" w:firstLineChars="200"/>
        <w:rPr>
          <w:rFonts w:hint="eastAsia" w:ascii="仿宋_GB2312" w:hAnsi="楷体" w:eastAsia="仿宋_GB2312"/>
          <w:b/>
          <w:sz w:val="24"/>
        </w:rPr>
      </w:pPr>
      <w:bookmarkStart w:id="225" w:name="_Toc259093684"/>
      <w:bookmarkStart w:id="226" w:name="_Toc279701255"/>
      <w:bookmarkStart w:id="227" w:name="_Toc30676"/>
      <w:bookmarkStart w:id="228" w:name="_Toc487900365"/>
      <w:bookmarkStart w:id="229" w:name="_Toc689"/>
      <w:bookmarkStart w:id="230" w:name="_Toc6969"/>
      <w:r>
        <w:rPr>
          <w:rFonts w:hint="eastAsia" w:ascii="仿宋_GB2312" w:hAnsi="楷体" w:eastAsia="仿宋_GB2312"/>
          <w:b/>
          <w:sz w:val="24"/>
        </w:rPr>
        <w:t>2.14 税费</w:t>
      </w:r>
      <w:bookmarkEnd w:id="225"/>
      <w:bookmarkEnd w:id="226"/>
      <w:bookmarkEnd w:id="227"/>
      <w:bookmarkEnd w:id="228"/>
      <w:bookmarkEnd w:id="229"/>
      <w:bookmarkEnd w:id="230"/>
    </w:p>
    <w:p w14:paraId="5B48F73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与合同有关的一切税费，均按照中华人民共和国法律的相关规定执行。</w:t>
      </w:r>
    </w:p>
    <w:p w14:paraId="64BE857A">
      <w:pPr>
        <w:spacing w:line="360" w:lineRule="auto"/>
        <w:ind w:firstLine="482" w:firstLineChars="200"/>
        <w:rPr>
          <w:rFonts w:hint="eastAsia" w:ascii="仿宋_GB2312" w:hAnsi="楷体" w:eastAsia="仿宋_GB2312"/>
          <w:b/>
          <w:sz w:val="24"/>
        </w:rPr>
      </w:pPr>
      <w:bookmarkStart w:id="231" w:name="_Toc259093687"/>
      <w:bookmarkStart w:id="232" w:name="_Toc8298"/>
      <w:bookmarkStart w:id="233" w:name="_Toc7102"/>
      <w:bookmarkStart w:id="234" w:name="_Toc279701258"/>
      <w:bookmarkStart w:id="235" w:name="_Toc16959"/>
      <w:bookmarkStart w:id="236" w:name="_Toc487900368"/>
      <w:r>
        <w:rPr>
          <w:rFonts w:hint="eastAsia" w:ascii="仿宋_GB2312" w:hAnsi="楷体" w:eastAsia="仿宋_GB2312"/>
          <w:b/>
          <w:sz w:val="24"/>
        </w:rPr>
        <w:t>2.15 乙方破产</w:t>
      </w:r>
      <w:bookmarkEnd w:id="231"/>
      <w:bookmarkEnd w:id="232"/>
      <w:bookmarkEnd w:id="233"/>
      <w:bookmarkEnd w:id="234"/>
      <w:bookmarkEnd w:id="235"/>
      <w:bookmarkEnd w:id="236"/>
    </w:p>
    <w:p w14:paraId="4540EA0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2A62975">
      <w:pPr>
        <w:spacing w:line="360" w:lineRule="auto"/>
        <w:ind w:firstLine="482" w:firstLineChars="200"/>
        <w:rPr>
          <w:rFonts w:hint="eastAsia" w:ascii="仿宋_GB2312" w:hAnsi="楷体" w:eastAsia="仿宋_GB2312"/>
          <w:b/>
          <w:sz w:val="24"/>
        </w:rPr>
      </w:pPr>
      <w:bookmarkStart w:id="237" w:name="_Toc15387"/>
      <w:bookmarkStart w:id="238" w:name="_Toc29333"/>
      <w:bookmarkStart w:id="239" w:name="_Toc6134"/>
      <w:r>
        <w:rPr>
          <w:rFonts w:hint="eastAsia" w:ascii="仿宋_GB2312" w:hAnsi="楷体" w:eastAsia="仿宋_GB2312"/>
          <w:b/>
          <w:sz w:val="24"/>
        </w:rPr>
        <w:t>2.16 合同中止、终止</w:t>
      </w:r>
      <w:bookmarkEnd w:id="237"/>
      <w:bookmarkEnd w:id="238"/>
      <w:bookmarkEnd w:id="239"/>
    </w:p>
    <w:p w14:paraId="6E527E6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2.16.1 双方当事人不得擅自中止或者终止合同；</w:t>
      </w:r>
    </w:p>
    <w:p w14:paraId="7A014B2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2.16.2合同继续履行将损害国家利益和社会公共利益的，双方当事人应当中止或者终止合同。有过错的一方应当承担赔偿责任，双方当事人都有过错的，各自承担相应的责任。</w:t>
      </w:r>
    </w:p>
    <w:p w14:paraId="7B7EB314">
      <w:pPr>
        <w:spacing w:line="360" w:lineRule="auto"/>
        <w:ind w:firstLine="482" w:firstLineChars="200"/>
        <w:rPr>
          <w:rFonts w:hint="eastAsia" w:ascii="仿宋_GB2312" w:hAnsi="楷体" w:eastAsia="仿宋_GB2312"/>
          <w:b/>
          <w:sz w:val="24"/>
        </w:rPr>
      </w:pPr>
      <w:bookmarkStart w:id="240" w:name="_Toc1125"/>
      <w:bookmarkStart w:id="241" w:name="_Toc6596"/>
      <w:bookmarkStart w:id="242" w:name="_Toc14563"/>
      <w:r>
        <w:rPr>
          <w:rFonts w:hint="eastAsia" w:ascii="仿宋_GB2312" w:hAnsi="楷体" w:eastAsia="仿宋_GB2312"/>
          <w:b/>
          <w:sz w:val="24"/>
        </w:rPr>
        <w:t>2.17 检验和验收</w:t>
      </w:r>
      <w:bookmarkEnd w:id="240"/>
      <w:bookmarkEnd w:id="241"/>
      <w:bookmarkEnd w:id="242"/>
    </w:p>
    <w:p w14:paraId="0233E82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sz w:val="24"/>
          <w:u w:val="single"/>
        </w:rPr>
        <w:t>合同专用条款</w:t>
      </w:r>
      <w:r>
        <w:rPr>
          <w:rFonts w:hint="eastAsia" w:ascii="仿宋_GB2312" w:hAnsi="楷体" w:eastAsia="仿宋_GB2312"/>
          <w:sz w:val="24"/>
        </w:rPr>
        <w:t>约定时间内组织验收，并可依法邀请相关方参加，验收应出具验收书。</w:t>
      </w:r>
    </w:p>
    <w:p w14:paraId="2D12682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8823E1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2.17.3 检验和验收标准、程序等具体内容以及前述验收书的效力详见</w:t>
      </w:r>
      <w:r>
        <w:rPr>
          <w:rFonts w:hint="eastAsia" w:ascii="仿宋_GB2312" w:hAnsi="楷体" w:eastAsia="仿宋_GB2312"/>
          <w:b/>
          <w:i/>
          <w:sz w:val="24"/>
          <w:u w:val="single"/>
        </w:rPr>
        <w:t>合同专用条款</w:t>
      </w:r>
      <w:r>
        <w:rPr>
          <w:rFonts w:hint="eastAsia" w:ascii="仿宋_GB2312" w:hAnsi="楷体" w:eastAsia="仿宋_GB2312"/>
          <w:i/>
          <w:sz w:val="24"/>
        </w:rPr>
        <w:t>。</w:t>
      </w:r>
    </w:p>
    <w:bookmarkEnd w:id="212"/>
    <w:bookmarkEnd w:id="213"/>
    <w:bookmarkEnd w:id="214"/>
    <w:bookmarkEnd w:id="215"/>
    <w:p w14:paraId="50F03B23">
      <w:pPr>
        <w:spacing w:line="360" w:lineRule="auto"/>
        <w:ind w:firstLine="482" w:firstLineChars="200"/>
        <w:rPr>
          <w:rFonts w:hint="eastAsia" w:ascii="仿宋_GB2312" w:hAnsi="楷体" w:eastAsia="仿宋_GB2312"/>
          <w:b/>
          <w:sz w:val="24"/>
        </w:rPr>
      </w:pPr>
      <w:bookmarkStart w:id="243" w:name="_Toc259093690"/>
      <w:bookmarkStart w:id="244" w:name="_Toc487900371"/>
      <w:bookmarkStart w:id="245" w:name="_Toc279701261"/>
      <w:bookmarkStart w:id="246" w:name="_Toc25182"/>
      <w:bookmarkStart w:id="247" w:name="_Toc19604"/>
      <w:bookmarkStart w:id="248" w:name="_Toc11284"/>
      <w:r>
        <w:rPr>
          <w:rFonts w:hint="eastAsia" w:ascii="仿宋_GB2312" w:hAnsi="楷体" w:eastAsia="仿宋_GB2312"/>
          <w:b/>
          <w:sz w:val="24"/>
        </w:rPr>
        <w:t>2.18 通知</w:t>
      </w:r>
      <w:bookmarkEnd w:id="243"/>
      <w:bookmarkEnd w:id="244"/>
      <w:bookmarkEnd w:id="245"/>
      <w:r>
        <w:rPr>
          <w:rFonts w:hint="eastAsia" w:ascii="仿宋_GB2312" w:hAnsi="楷体" w:eastAsia="仿宋_GB2312"/>
          <w:b/>
          <w:sz w:val="24"/>
        </w:rPr>
        <w:t>和送达</w:t>
      </w:r>
      <w:bookmarkEnd w:id="246"/>
      <w:bookmarkEnd w:id="247"/>
      <w:bookmarkEnd w:id="248"/>
    </w:p>
    <w:p w14:paraId="23A63A63">
      <w:pPr>
        <w:spacing w:line="360" w:lineRule="auto"/>
        <w:ind w:firstLine="480" w:firstLineChars="200"/>
        <w:rPr>
          <w:rFonts w:hint="eastAsia" w:ascii="仿宋_GB2312" w:hAnsi="楷体" w:eastAsia="仿宋_GB2312"/>
          <w:sz w:val="24"/>
        </w:rPr>
      </w:pPr>
      <w:bookmarkStart w:id="249" w:name="_Toc3135"/>
      <w:bookmarkStart w:id="250" w:name="_Toc6698"/>
      <w:bookmarkStart w:id="251" w:name="_Toc487900372"/>
      <w:bookmarkStart w:id="252" w:name="_Toc259093691"/>
      <w:bookmarkStart w:id="253" w:name="_Toc279701262"/>
      <w:r>
        <w:rPr>
          <w:rFonts w:hint="eastAsia" w:ascii="仿宋_GB2312" w:hAnsi="楷体" w:eastAsia="仿宋_GB2312"/>
          <w:sz w:val="24"/>
        </w:rPr>
        <w:t>2.18.1 任何一方因履行合同而以合同第一部分尾部所列明的</w:t>
      </w:r>
      <w:r>
        <w:rPr>
          <w:rFonts w:hint="eastAsia" w:ascii="仿宋_GB2312" w:hAnsi="楷体" w:eastAsia="仿宋_GB2312"/>
          <w:sz w:val="24"/>
          <w:u w:val="single"/>
        </w:rPr>
        <w:t>“约定送达地址”</w:t>
      </w:r>
      <w:r>
        <w:rPr>
          <w:rFonts w:hint="eastAsia" w:ascii="仿宋_GB2312" w:hAnsi="楷体" w:eastAsia="仿宋_GB2312"/>
          <w:sz w:val="24"/>
        </w:rPr>
        <w:t>为收件地址的所有通知、文件、材料，均视为已向对方当事人送达；任何一方变更上述送达方式或者地址的，应于</w:t>
      </w:r>
      <w:r>
        <w:rPr>
          <w:rFonts w:hint="eastAsia" w:ascii="仿宋_GB2312" w:hAnsi="楷体" w:eastAsia="仿宋_GB2312"/>
          <w:sz w:val="24"/>
          <w:u w:val="single"/>
        </w:rPr>
        <w:t xml:space="preserve">    </w:t>
      </w:r>
      <w:r>
        <w:rPr>
          <w:rFonts w:hint="eastAsia" w:ascii="仿宋_GB2312" w:hAnsi="楷体" w:eastAsia="仿宋_GB2312"/>
          <w:sz w:val="24"/>
        </w:rPr>
        <w:t>个工作日内</w:t>
      </w:r>
      <w:r>
        <w:rPr>
          <w:rFonts w:hint="eastAsia" w:ascii="仿宋_GB2312" w:hAnsi="楷体" w:eastAsia="仿宋_GB2312"/>
          <w:color w:val="FF0000"/>
          <w:sz w:val="24"/>
        </w:rPr>
        <w:t>（根据项目实际填写）</w:t>
      </w:r>
      <w:r>
        <w:rPr>
          <w:rFonts w:hint="eastAsia" w:ascii="仿宋_GB2312" w:hAnsi="楷体" w:eastAsia="仿宋_GB2312"/>
          <w:sz w:val="24"/>
        </w:rPr>
        <w:t>书面通知对方当事人，在对方当事人收到有关变更通知之前，变更前的约定送达方式或者地址仍视为有效。</w:t>
      </w:r>
      <w:bookmarkEnd w:id="249"/>
      <w:bookmarkEnd w:id="250"/>
    </w:p>
    <w:p w14:paraId="01A6B125">
      <w:pPr>
        <w:spacing w:line="360" w:lineRule="auto"/>
        <w:ind w:firstLine="480" w:firstLineChars="200"/>
        <w:rPr>
          <w:rFonts w:hint="eastAsia" w:ascii="仿宋_GB2312" w:hAnsi="楷体" w:eastAsia="仿宋_GB2312"/>
          <w:sz w:val="24"/>
        </w:rPr>
      </w:pPr>
      <w:bookmarkStart w:id="254" w:name="_Toc23294"/>
      <w:bookmarkStart w:id="255" w:name="_Toc23128"/>
      <w:r>
        <w:rPr>
          <w:rFonts w:hint="eastAsia" w:ascii="仿宋_GB2312" w:hAnsi="楷体" w:eastAsia="仿宋_GB2312"/>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4"/>
      <w:bookmarkEnd w:id="255"/>
    </w:p>
    <w:p w14:paraId="249191AA">
      <w:pPr>
        <w:spacing w:line="360" w:lineRule="auto"/>
        <w:ind w:firstLine="482" w:firstLineChars="200"/>
        <w:rPr>
          <w:rFonts w:hint="eastAsia" w:ascii="仿宋_GB2312" w:hAnsi="楷体" w:eastAsia="仿宋_GB2312"/>
          <w:b/>
          <w:sz w:val="24"/>
        </w:rPr>
      </w:pPr>
      <w:bookmarkStart w:id="256" w:name="_Toc30599"/>
      <w:bookmarkStart w:id="257" w:name="_Toc4355"/>
      <w:bookmarkStart w:id="258" w:name="_Toc18540"/>
      <w:r>
        <w:rPr>
          <w:rFonts w:hint="eastAsia" w:ascii="仿宋_GB2312" w:hAnsi="楷体" w:eastAsia="仿宋_GB2312"/>
          <w:b/>
          <w:sz w:val="24"/>
        </w:rPr>
        <w:t>2.19 计量单位</w:t>
      </w:r>
      <w:bookmarkEnd w:id="251"/>
      <w:bookmarkEnd w:id="252"/>
      <w:bookmarkEnd w:id="253"/>
      <w:bookmarkEnd w:id="256"/>
      <w:bookmarkEnd w:id="257"/>
      <w:bookmarkEnd w:id="258"/>
    </w:p>
    <w:p w14:paraId="03861E5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除技术规范中另有规定外,合同的计量单位均使用国家法定计量单位。</w:t>
      </w:r>
    </w:p>
    <w:p w14:paraId="2B01DC4C">
      <w:pPr>
        <w:spacing w:line="360" w:lineRule="auto"/>
        <w:ind w:firstLine="482" w:firstLineChars="200"/>
        <w:rPr>
          <w:rFonts w:hint="eastAsia" w:ascii="仿宋_GB2312" w:hAnsi="楷体" w:eastAsia="仿宋_GB2312"/>
          <w:b/>
          <w:sz w:val="24"/>
        </w:rPr>
      </w:pPr>
      <w:bookmarkStart w:id="259" w:name="_Toc12773"/>
      <w:bookmarkStart w:id="260" w:name="_Toc279701263"/>
      <w:bookmarkStart w:id="261" w:name="_Toc487900373"/>
      <w:bookmarkStart w:id="262" w:name="_Toc18567"/>
      <w:bookmarkStart w:id="263" w:name="_Toc259093692"/>
      <w:bookmarkStart w:id="264" w:name="_Toc10330"/>
      <w:r>
        <w:rPr>
          <w:rFonts w:hint="eastAsia" w:ascii="仿宋_GB2312" w:hAnsi="楷体" w:eastAsia="仿宋_GB2312"/>
          <w:b/>
          <w:sz w:val="24"/>
        </w:rPr>
        <w:t>2.20 合同使用的文字和适用的法律</w:t>
      </w:r>
      <w:bookmarkEnd w:id="259"/>
      <w:bookmarkEnd w:id="260"/>
      <w:bookmarkEnd w:id="261"/>
      <w:bookmarkEnd w:id="262"/>
      <w:bookmarkEnd w:id="263"/>
      <w:bookmarkEnd w:id="264"/>
    </w:p>
    <w:p w14:paraId="4BE1194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2.20.1 合同使用汉语书就、变更和解释；</w:t>
      </w:r>
    </w:p>
    <w:p w14:paraId="30DA7E2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2.20.2 合同适用中华人民共和国法律。</w:t>
      </w:r>
    </w:p>
    <w:p w14:paraId="00C3564F">
      <w:pPr>
        <w:spacing w:line="360" w:lineRule="auto"/>
        <w:ind w:firstLine="482" w:firstLineChars="200"/>
        <w:rPr>
          <w:rFonts w:hint="eastAsia" w:ascii="仿宋_GB2312" w:hAnsi="楷体" w:eastAsia="仿宋_GB2312"/>
          <w:b/>
          <w:sz w:val="24"/>
        </w:rPr>
      </w:pPr>
      <w:bookmarkStart w:id="265" w:name="_Toc259093693"/>
      <w:bookmarkStart w:id="266" w:name="_Toc3148"/>
      <w:bookmarkStart w:id="267" w:name="_Toc16673"/>
      <w:bookmarkStart w:id="268" w:name="_Toc12004"/>
      <w:bookmarkStart w:id="269" w:name="_Toc279701264"/>
      <w:bookmarkStart w:id="270" w:name="_Toc487900374"/>
      <w:r>
        <w:rPr>
          <w:rFonts w:hint="eastAsia" w:ascii="仿宋_GB2312" w:hAnsi="楷体" w:eastAsia="仿宋_GB2312"/>
          <w:b/>
          <w:sz w:val="24"/>
        </w:rPr>
        <w:t>2.21 履约保证金</w:t>
      </w:r>
      <w:bookmarkEnd w:id="265"/>
      <w:bookmarkEnd w:id="266"/>
      <w:bookmarkEnd w:id="267"/>
      <w:bookmarkEnd w:id="268"/>
      <w:bookmarkEnd w:id="269"/>
    </w:p>
    <w:p w14:paraId="5E1E4D0A">
      <w:pPr>
        <w:spacing w:line="360" w:lineRule="auto"/>
        <w:ind w:firstLine="480" w:firstLineChars="200"/>
        <w:rPr>
          <w:rFonts w:hint="eastAsia" w:ascii="仿宋_GB2312" w:hAnsi="仿宋" w:eastAsia="仿宋_GB2312" w:cs="Arial"/>
          <w:snapToGrid w:val="0"/>
          <w:kern w:val="0"/>
          <w:sz w:val="24"/>
        </w:rPr>
      </w:pPr>
      <w:r>
        <w:rPr>
          <w:rFonts w:hint="eastAsia" w:ascii="仿宋_GB2312" w:hAnsi="楷体" w:eastAsia="仿宋_GB2312"/>
          <w:sz w:val="24"/>
        </w:rPr>
        <w:t>本项目不收取履约保证金</w:t>
      </w:r>
    </w:p>
    <w:p w14:paraId="0E5B7849">
      <w:pPr>
        <w:spacing w:line="360" w:lineRule="auto"/>
        <w:ind w:firstLine="482" w:firstLineChars="200"/>
        <w:rPr>
          <w:rFonts w:hint="eastAsia" w:ascii="仿宋_GB2312" w:hAnsi="仿宋" w:eastAsia="仿宋_GB2312"/>
          <w:kern w:val="0"/>
          <w:sz w:val="24"/>
          <w:lang w:val="zh-CN"/>
        </w:rPr>
      </w:pPr>
      <w:r>
        <w:rPr>
          <w:rFonts w:hint="eastAsia" w:ascii="仿宋_GB2312" w:hAnsi="楷体" w:eastAsia="仿宋_GB2312"/>
          <w:b/>
          <w:sz w:val="24"/>
        </w:rPr>
        <w:t>2.22 中小企业政策</w:t>
      </w:r>
    </w:p>
    <w:p w14:paraId="6328ADF0">
      <w:pPr>
        <w:spacing w:line="360" w:lineRule="auto"/>
        <w:ind w:firstLine="480" w:firstLineChars="200"/>
        <w:rPr>
          <w:rFonts w:hint="eastAsia" w:ascii="仿宋_GB2312" w:hAnsi="仿宋" w:eastAsia="仿宋_GB2312"/>
          <w:kern w:val="0"/>
          <w:sz w:val="24"/>
          <w:lang w:val="zh-CN"/>
        </w:rPr>
      </w:pPr>
      <w:r>
        <w:rPr>
          <w:rFonts w:hint="eastAsia" w:ascii="仿宋_GB2312" w:hAnsi="仿宋" w:eastAsia="仿宋_GB2312"/>
          <w:kern w:val="0"/>
          <w:sz w:val="24"/>
          <w:lang w:val="zh-CN"/>
        </w:rPr>
        <w:t>2.22.1本合同（□是  □否）为中小企业“政采贷”可融资合同，关于中小企业信用融资事项见采购文件“供应商须知正文”。</w:t>
      </w:r>
    </w:p>
    <w:p w14:paraId="08B62522">
      <w:pPr>
        <w:spacing w:line="360" w:lineRule="auto"/>
        <w:ind w:firstLine="480" w:firstLineChars="200"/>
        <w:rPr>
          <w:rFonts w:hint="eastAsia" w:ascii="仿宋_GB2312" w:hAnsi="仿宋" w:eastAsia="仿宋_GB2312"/>
          <w:kern w:val="0"/>
          <w:sz w:val="24"/>
          <w:lang w:val="zh-CN"/>
        </w:rPr>
      </w:pPr>
      <w:r>
        <w:rPr>
          <w:rFonts w:hint="eastAsia" w:ascii="仿宋_GB2312" w:hAnsi="仿宋" w:eastAsia="仿宋_GB2312"/>
          <w:kern w:val="0"/>
          <w:sz w:val="24"/>
          <w:lang w:val="zh-CN"/>
        </w:rPr>
        <w:t>2.22.2本合同（□是  □否）为中小企业预留合同。</w:t>
      </w:r>
    </w:p>
    <w:bookmarkEnd w:id="270"/>
    <w:p w14:paraId="0B1481C6">
      <w:pPr>
        <w:spacing w:line="360" w:lineRule="auto"/>
        <w:ind w:firstLine="482" w:firstLineChars="200"/>
        <w:rPr>
          <w:rFonts w:hint="eastAsia" w:ascii="仿宋_GB2312" w:hAnsi="楷体" w:eastAsia="仿宋_GB2312"/>
          <w:b/>
          <w:sz w:val="24"/>
        </w:rPr>
      </w:pPr>
      <w:bookmarkStart w:id="271" w:name="_Toc6885"/>
      <w:bookmarkStart w:id="272" w:name="_Toc14001"/>
      <w:bookmarkStart w:id="273" w:name="_Toc19890"/>
      <w:r>
        <w:rPr>
          <w:rFonts w:hint="eastAsia" w:ascii="仿宋_GB2312" w:hAnsi="楷体" w:eastAsia="仿宋_GB2312"/>
          <w:b/>
          <w:sz w:val="24"/>
        </w:rPr>
        <w:t>2.23 合同份数</w:t>
      </w:r>
      <w:bookmarkEnd w:id="271"/>
      <w:bookmarkEnd w:id="272"/>
      <w:bookmarkEnd w:id="273"/>
    </w:p>
    <w:p w14:paraId="52F79F66">
      <w:pPr>
        <w:spacing w:line="360" w:lineRule="auto"/>
        <w:ind w:firstLine="480" w:firstLineChars="200"/>
        <w:rPr>
          <w:rFonts w:hint="eastAsia" w:ascii="仿宋_GB2312" w:hAnsi="楷体" w:eastAsia="仿宋_GB2312"/>
          <w:sz w:val="24"/>
        </w:rPr>
      </w:pPr>
      <w:r>
        <w:rPr>
          <w:rFonts w:hint="eastAsia" w:ascii="仿宋_GB2312" w:hAnsi="宋体" w:eastAsia="仿宋_GB2312"/>
          <w:sz w:val="24"/>
        </w:rPr>
        <w:t>本合同壹式</w:t>
      </w:r>
      <w:r>
        <w:rPr>
          <w:rFonts w:hint="eastAsia" w:ascii="仿宋_GB2312" w:hAnsi="宋体" w:eastAsia="仿宋_GB2312"/>
          <w:sz w:val="24"/>
          <w:u w:val="single"/>
        </w:rPr>
        <w:t xml:space="preserve">  </w:t>
      </w:r>
      <w:r>
        <w:rPr>
          <w:rFonts w:hint="eastAsia" w:ascii="仿宋_GB2312" w:hAnsi="仿宋" w:eastAsia="仿宋_GB2312"/>
          <w:sz w:val="24"/>
          <w:u w:val="single"/>
        </w:rPr>
        <w:t xml:space="preserve"> </w:t>
      </w:r>
      <w:r>
        <w:rPr>
          <w:rFonts w:hint="eastAsia" w:ascii="仿宋_GB2312" w:hAnsi="宋体" w:eastAsia="仿宋_GB2312"/>
          <w:sz w:val="24"/>
        </w:rPr>
        <w:t>份，甲方执</w:t>
      </w:r>
      <w:r>
        <w:rPr>
          <w:rFonts w:hint="eastAsia" w:ascii="仿宋_GB2312" w:hAnsi="宋体" w:eastAsia="仿宋_GB2312"/>
          <w:sz w:val="24"/>
          <w:u w:val="single"/>
        </w:rPr>
        <w:t xml:space="preserve">  </w:t>
      </w:r>
      <w:r>
        <w:rPr>
          <w:rFonts w:hint="eastAsia" w:ascii="仿宋_GB2312" w:hAnsi="仿宋" w:eastAsia="仿宋_GB2312"/>
          <w:sz w:val="24"/>
          <w:u w:val="single"/>
        </w:rPr>
        <w:t xml:space="preserve"> </w:t>
      </w:r>
      <w:r>
        <w:rPr>
          <w:rFonts w:hint="eastAsia" w:ascii="仿宋_GB2312" w:hAnsi="宋体" w:eastAsia="仿宋_GB2312"/>
          <w:sz w:val="24"/>
        </w:rPr>
        <w:t>份，乙方执</w:t>
      </w:r>
      <w:r>
        <w:rPr>
          <w:rFonts w:hint="eastAsia" w:ascii="仿宋_GB2312" w:hAnsi="仿宋"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hAnsi="楷体" w:eastAsia="仿宋_GB2312"/>
          <w:sz w:val="24"/>
        </w:rPr>
        <w:t>每份均具有同等法律效力。</w:t>
      </w:r>
    </w:p>
    <w:p w14:paraId="4D26AE38">
      <w:pPr>
        <w:pStyle w:val="26"/>
        <w:jc w:val="center"/>
        <w:outlineLvl w:val="1"/>
        <w:rPr>
          <w:rFonts w:hint="eastAsia" w:ascii="仿宋_GB2312" w:hAnsi="楷体" w:eastAsia="仿宋_GB2312"/>
          <w:b/>
          <w:sz w:val="28"/>
          <w:szCs w:val="28"/>
        </w:rPr>
      </w:pPr>
      <w:r>
        <w:rPr>
          <w:rFonts w:hint="eastAsia" w:ascii="仿宋_GB2312" w:hAnsi="楷体" w:eastAsia="仿宋_GB2312"/>
        </w:rPr>
        <w:br w:type="page"/>
      </w:r>
      <w:bookmarkStart w:id="274" w:name="_Toc331685784"/>
      <w:bookmarkStart w:id="275" w:name="_Toc80205946"/>
      <w:bookmarkStart w:id="276" w:name="_Toc80886950"/>
      <w:r>
        <w:rPr>
          <w:rFonts w:hint="eastAsia" w:ascii="仿宋_GB2312" w:hAnsi="楷体" w:eastAsia="仿宋_GB2312"/>
          <w:b/>
          <w:sz w:val="28"/>
          <w:szCs w:val="28"/>
        </w:rPr>
        <w:t>第三部分  合同专用条款</w:t>
      </w:r>
      <w:bookmarkEnd w:id="274"/>
      <w:bookmarkEnd w:id="275"/>
      <w:bookmarkEnd w:id="276"/>
    </w:p>
    <w:p w14:paraId="1F82C90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33D5602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2.3.2具有知识产权的标的物知识产权归属：</w:t>
      </w:r>
    </w:p>
    <w:p w14:paraId="47785985">
      <w:pPr>
        <w:spacing w:line="360" w:lineRule="auto"/>
        <w:ind w:firstLine="480" w:firstLineChars="200"/>
        <w:rPr>
          <w:rFonts w:hint="eastAsia" w:ascii="仿宋_GB2312" w:hAnsi="楷体" w:eastAsia="仿宋_GB2312"/>
          <w:sz w:val="24"/>
        </w:rPr>
      </w:pPr>
      <w:r>
        <w:rPr>
          <w:rFonts w:hint="eastAsia" w:ascii="仿宋_GB2312" w:hAnsi="楷体" w:eastAsia="仿宋_GB2312"/>
          <w:sz w:val="24"/>
          <w:u w:val="single"/>
        </w:rPr>
        <w:t xml:space="preserve">                                                                 </w:t>
      </w:r>
      <w:r>
        <w:rPr>
          <w:rFonts w:hint="eastAsia" w:ascii="仿宋_GB2312" w:hAnsi="楷体" w:eastAsia="仿宋_GB2312"/>
          <w:sz w:val="24"/>
        </w:rPr>
        <w:t xml:space="preserve">           </w:t>
      </w:r>
    </w:p>
    <w:p w14:paraId="2553372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2.4.1包装和装运专用条款（如果有）：</w:t>
      </w:r>
    </w:p>
    <w:p w14:paraId="7197386D">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u w:val="single"/>
        </w:rPr>
        <w:t xml:space="preserve">                                                                     </w:t>
      </w:r>
    </w:p>
    <w:p w14:paraId="28190D7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2.4.2装运标的物的要求和通知：</w:t>
      </w:r>
    </w:p>
    <w:p w14:paraId="0F7750D0">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u w:val="single"/>
        </w:rPr>
        <w:t xml:space="preserve">                                                                     </w:t>
      </w:r>
    </w:p>
    <w:p w14:paraId="02691360">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2.6</w:t>
      </w:r>
      <w:r>
        <w:rPr>
          <w:rFonts w:hint="eastAsia" w:ascii="仿宋_GB2312" w:hAnsi="楷体" w:eastAsia="仿宋_GB2312"/>
          <w:b/>
          <w:sz w:val="24"/>
        </w:rPr>
        <w:t>结算方式和付款条件</w:t>
      </w:r>
    </w:p>
    <w:p w14:paraId="0AFF91B9">
      <w:pPr>
        <w:spacing w:line="360" w:lineRule="auto"/>
        <w:ind w:firstLine="480" w:firstLineChars="200"/>
        <w:rPr>
          <w:rFonts w:hint="eastAsia"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本次项目合同总价为大写人民币</w:t>
      </w:r>
      <w:r>
        <w:rPr>
          <w:rFonts w:hint="eastAsia" w:ascii="仿宋_GB2312" w:hAnsi="仿宋_GB2312" w:eastAsia="仿宋_GB2312" w:cs="仿宋_GB2312"/>
          <w:kern w:val="0"/>
          <w:sz w:val="24"/>
          <w:u w:val="single"/>
          <w:lang w:val="zh-CN"/>
        </w:rPr>
        <w:t xml:space="preserve">            （</w:t>
      </w:r>
      <w:r>
        <w:rPr>
          <w:rFonts w:hint="eastAsia" w:ascii="仿宋_GB2312" w:hAnsi="仿宋_GB2312" w:eastAsia="仿宋_GB2312" w:cs="仿宋_GB2312"/>
          <w:kern w:val="0"/>
          <w:sz w:val="24"/>
          <w:lang w:val="zh-CN"/>
        </w:rPr>
        <w:t>￥    元）。本项目采用以下勾选结算方式进行支付：</w:t>
      </w:r>
    </w:p>
    <w:p w14:paraId="4EBA57BD">
      <w:pPr>
        <w:spacing w:line="360" w:lineRule="auto"/>
        <w:ind w:firstLine="480" w:firstLineChars="200"/>
        <w:rPr>
          <w:rFonts w:hint="eastAsia"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□采用一次性支付方式，付款条件为：</w:t>
      </w:r>
      <w:r>
        <w:rPr>
          <w:rFonts w:hint="eastAsia" w:ascii="仿宋_GB2312" w:hAnsi="仿宋_GB2312" w:eastAsia="仿宋_GB2312" w:cs="仿宋_GB2312"/>
          <w:kern w:val="0"/>
          <w:sz w:val="24"/>
          <w:u w:val="single"/>
        </w:rPr>
        <w:t xml:space="preserve">           </w:t>
      </w:r>
    </w:p>
    <w:p w14:paraId="7BBE3742">
      <w:pPr>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zh-CN"/>
        </w:rPr>
        <w:t>□采用分期付款方式，付款条件为</w:t>
      </w:r>
      <w:r>
        <w:rPr>
          <w:rFonts w:hint="eastAsia" w:ascii="仿宋_GB2312" w:hAnsi="仿宋_GB2312" w:eastAsia="仿宋_GB2312" w:cs="仿宋_GB2312"/>
          <w:kern w:val="0"/>
          <w:sz w:val="24"/>
        </w:rPr>
        <w:t>：</w:t>
      </w:r>
    </w:p>
    <w:p w14:paraId="7565F821">
      <w:pPr>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zh-CN"/>
        </w:rPr>
        <w:t>第一期付款</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u w:val="single"/>
        </w:rPr>
        <w:t xml:space="preserve">                                        </w:t>
      </w:r>
    </w:p>
    <w:p w14:paraId="7C08E597">
      <w:pPr>
        <w:spacing w:line="360" w:lineRule="auto"/>
        <w:ind w:firstLine="480" w:firstLineChars="200"/>
        <w:rPr>
          <w:rFonts w:hint="eastAsia" w:ascii="仿宋_GB2312" w:hAnsi="仿宋_GB2312" w:eastAsia="仿宋_GB2312" w:cs="仿宋_GB2312"/>
          <w:kern w:val="0"/>
          <w:sz w:val="24"/>
          <w:u w:val="single"/>
        </w:rPr>
      </w:pPr>
      <w:r>
        <w:rPr>
          <w:rFonts w:hint="eastAsia" w:ascii="仿宋_GB2312" w:hAnsi="仿宋_GB2312" w:eastAsia="仿宋_GB2312" w:cs="仿宋_GB2312"/>
          <w:kern w:val="0"/>
          <w:sz w:val="24"/>
          <w:lang w:val="zh-CN"/>
        </w:rPr>
        <w:t>第</w:t>
      </w:r>
      <w:r>
        <w:rPr>
          <w:rFonts w:hint="eastAsia" w:ascii="仿宋_GB2312" w:hAnsi="仿宋_GB2312" w:eastAsia="仿宋_GB2312" w:cs="仿宋_GB2312"/>
          <w:kern w:val="0"/>
          <w:sz w:val="24"/>
        </w:rPr>
        <w:t>二</w:t>
      </w:r>
      <w:r>
        <w:rPr>
          <w:rFonts w:hint="eastAsia" w:ascii="仿宋_GB2312" w:hAnsi="仿宋_GB2312" w:eastAsia="仿宋_GB2312" w:cs="仿宋_GB2312"/>
          <w:kern w:val="0"/>
          <w:sz w:val="24"/>
          <w:lang w:val="zh-CN"/>
        </w:rPr>
        <w:t>期付款</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u w:val="single"/>
        </w:rPr>
        <w:t xml:space="preserve">                                        </w:t>
      </w:r>
    </w:p>
    <w:p w14:paraId="3D7A6340">
      <w:pPr>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w:t>
      </w:r>
    </w:p>
    <w:p w14:paraId="66B079E0">
      <w:pPr>
        <w:spacing w:line="360" w:lineRule="auto"/>
        <w:ind w:firstLine="480" w:firstLineChars="200"/>
        <w:rPr>
          <w:rFonts w:hint="eastAsia" w:ascii="仿宋_GB2312" w:hAnsi="仿宋" w:eastAsia="仿宋_GB2312"/>
          <w:sz w:val="24"/>
        </w:rPr>
      </w:pPr>
      <w:r>
        <w:rPr>
          <w:rFonts w:hint="eastAsia" w:ascii="仿宋_GB2312" w:hAnsi="仿宋" w:eastAsia="仿宋_GB2312"/>
          <w:sz w:val="24"/>
        </w:rPr>
        <w:t>甲方无故逾期支付服务费用的，按照每逾期一日支付欠付服务费额度的</w:t>
      </w:r>
      <w:r>
        <w:rPr>
          <w:rFonts w:hint="eastAsia" w:ascii="仿宋_GB2312" w:hAnsi="仿宋" w:eastAsia="仿宋_GB2312"/>
          <w:sz w:val="24"/>
          <w:u w:val="single"/>
        </w:rPr>
        <w:t>万分之五</w:t>
      </w:r>
      <w:r>
        <w:rPr>
          <w:rFonts w:hint="eastAsia" w:ascii="仿宋_GB2312" w:hAnsi="仿宋" w:eastAsia="仿宋_GB2312"/>
          <w:color w:val="FF0000"/>
          <w:sz w:val="24"/>
        </w:rPr>
        <w:t>（</w:t>
      </w:r>
      <w:r>
        <w:rPr>
          <w:rFonts w:hint="eastAsia" w:ascii="仿宋_GB2312" w:hAnsi="楷体" w:eastAsia="仿宋_GB2312"/>
          <w:color w:val="FF0000"/>
          <w:sz w:val="24"/>
        </w:rPr>
        <w:t>根据项目实际填写，一般为万分之五</w:t>
      </w:r>
      <w:r>
        <w:rPr>
          <w:rFonts w:hint="eastAsia" w:ascii="仿宋_GB2312" w:hAnsi="仿宋" w:eastAsia="仿宋_GB2312"/>
          <w:color w:val="FF0000"/>
          <w:sz w:val="24"/>
        </w:rPr>
        <w:t>）</w:t>
      </w:r>
      <w:r>
        <w:rPr>
          <w:rFonts w:hint="eastAsia" w:ascii="仿宋_GB2312" w:hAnsi="仿宋" w:eastAsia="仿宋_GB2312"/>
          <w:sz w:val="24"/>
        </w:rPr>
        <w:t>承担违约责任，违约金上限按照《合同书》约定执行。</w:t>
      </w:r>
    </w:p>
    <w:p w14:paraId="0F252663">
      <w:pPr>
        <w:spacing w:line="360" w:lineRule="auto"/>
        <w:ind w:firstLine="480" w:firstLineChars="200"/>
        <w:rPr>
          <w:rFonts w:hint="eastAsia" w:ascii="仿宋_GB2312" w:hAnsi="仿宋_GB2312" w:eastAsia="仿宋_GB2312" w:cs="仿宋_GB2312"/>
          <w:kern w:val="0"/>
          <w:sz w:val="24"/>
          <w:lang w:val="zh-CN"/>
        </w:rPr>
      </w:pPr>
      <w:r>
        <w:rPr>
          <w:rFonts w:hint="eastAsia" w:ascii="仿宋_GB2312" w:hAnsi="仿宋" w:eastAsia="仿宋_GB2312"/>
          <w:sz w:val="24"/>
          <w:lang w:val="zh-CN"/>
        </w:rPr>
        <w:t>（温馨提示：根据《广西壮族自治区财政厅关于进一步发挥政府采购政策功能促进企业发展的通知》（桂财采〔2022〕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6409A8F7">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2.9</w:t>
      </w:r>
      <w:r>
        <w:rPr>
          <w:rFonts w:hint="eastAsia" w:ascii="仿宋_GB2312" w:hAnsi="楷体" w:eastAsia="仿宋_GB2312"/>
          <w:b/>
          <w:sz w:val="24"/>
        </w:rPr>
        <w:t>标的物的风险负担</w:t>
      </w:r>
    </w:p>
    <w:p w14:paraId="651F07C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标的物或者在途标的物或者交付给第一承运人后的标的物毁损、灭失的风险负担：</w:t>
      </w:r>
    </w:p>
    <w:p w14:paraId="7ABBB1B8">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u w:val="single"/>
        </w:rPr>
        <w:t xml:space="preserve">乙方                                                                       </w:t>
      </w:r>
    </w:p>
    <w:p w14:paraId="1DD1223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2.13.2受不可抗力影响的一方在不可抗力发生后，应在</w:t>
      </w:r>
      <w:r>
        <w:rPr>
          <w:rFonts w:hint="eastAsia" w:ascii="仿宋_GB2312" w:hAnsi="楷体" w:eastAsia="仿宋_GB2312"/>
          <w:sz w:val="24"/>
          <w:u w:val="single"/>
        </w:rPr>
        <w:t xml:space="preserve">    </w:t>
      </w:r>
      <w:r>
        <w:rPr>
          <w:rFonts w:hint="eastAsia" w:ascii="仿宋_GB2312" w:hAnsi="楷体" w:eastAsia="仿宋_GB2312"/>
          <w:sz w:val="24"/>
        </w:rPr>
        <w:t>日内</w:t>
      </w:r>
      <w:r>
        <w:rPr>
          <w:rFonts w:hint="eastAsia" w:ascii="仿宋_GB2312" w:hAnsi="楷体" w:eastAsia="仿宋_GB2312"/>
          <w:color w:val="FF0000"/>
          <w:sz w:val="24"/>
        </w:rPr>
        <w:t>（根据项目实际填写）</w:t>
      </w:r>
      <w:r>
        <w:rPr>
          <w:rFonts w:hint="eastAsia" w:ascii="仿宋_GB2312" w:hAnsi="楷体" w:eastAsia="仿宋_GB2312"/>
          <w:sz w:val="24"/>
        </w:rPr>
        <w:t>以书面形式通知对方当事人，并在</w:t>
      </w:r>
      <w:r>
        <w:rPr>
          <w:rFonts w:hint="eastAsia" w:ascii="仿宋_GB2312" w:hAnsi="楷体" w:eastAsia="仿宋_GB2312"/>
          <w:sz w:val="24"/>
          <w:u w:val="single"/>
        </w:rPr>
        <w:t xml:space="preserve">   </w:t>
      </w:r>
      <w:r>
        <w:rPr>
          <w:rFonts w:hint="eastAsia" w:ascii="仿宋_GB2312" w:hAnsi="楷体" w:eastAsia="仿宋_GB2312"/>
          <w:sz w:val="24"/>
        </w:rPr>
        <w:t>日内</w:t>
      </w:r>
      <w:r>
        <w:rPr>
          <w:rFonts w:hint="eastAsia" w:ascii="仿宋_GB2312" w:hAnsi="楷体" w:eastAsia="仿宋_GB2312"/>
          <w:color w:val="FF0000"/>
          <w:sz w:val="24"/>
        </w:rPr>
        <w:t>（根据项目实际填写）</w:t>
      </w:r>
      <w:r>
        <w:rPr>
          <w:rFonts w:hint="eastAsia" w:ascii="仿宋_GB2312" w:hAnsi="楷体" w:eastAsia="仿宋_GB2312"/>
          <w:sz w:val="24"/>
        </w:rPr>
        <w:t>，将有关部门出具的证明文件送达对方当事人。</w:t>
      </w:r>
    </w:p>
    <w:p w14:paraId="7A7B91E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2.13.4因不可抗力致使合同有变更必要的，双方当事人应在</w:t>
      </w:r>
      <w:r>
        <w:rPr>
          <w:rFonts w:hint="eastAsia" w:ascii="仿宋_GB2312" w:hAnsi="楷体" w:eastAsia="仿宋_GB2312"/>
          <w:sz w:val="24"/>
          <w:u w:val="single"/>
        </w:rPr>
        <w:t xml:space="preserve">    </w:t>
      </w:r>
      <w:r>
        <w:rPr>
          <w:rFonts w:hint="eastAsia" w:ascii="仿宋_GB2312" w:hAnsi="楷体" w:eastAsia="仿宋_GB2312"/>
          <w:sz w:val="24"/>
        </w:rPr>
        <w:t>日内</w:t>
      </w:r>
      <w:r>
        <w:rPr>
          <w:rFonts w:hint="eastAsia" w:ascii="仿宋_GB2312" w:hAnsi="楷体" w:eastAsia="仿宋_GB2312"/>
          <w:color w:val="FF0000"/>
          <w:sz w:val="24"/>
        </w:rPr>
        <w:t>（根据项目实际填写）</w:t>
      </w:r>
      <w:r>
        <w:rPr>
          <w:rFonts w:hint="eastAsia" w:ascii="仿宋_GB2312" w:hAnsi="楷体" w:eastAsia="仿宋_GB2312"/>
          <w:sz w:val="24"/>
        </w:rPr>
        <w:t>以书面形式变更合同；</w:t>
      </w:r>
    </w:p>
    <w:p w14:paraId="61C95B9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sz w:val="24"/>
          <w:u w:val="single"/>
        </w:rPr>
        <w:t xml:space="preserve">     </w:t>
      </w:r>
      <w:r>
        <w:rPr>
          <w:rFonts w:hint="eastAsia" w:ascii="仿宋_GB2312" w:hAnsi="楷体" w:eastAsia="仿宋_GB2312"/>
          <w:sz w:val="24"/>
        </w:rPr>
        <w:t>日内</w:t>
      </w:r>
      <w:r>
        <w:rPr>
          <w:rFonts w:hint="eastAsia" w:ascii="仿宋_GB2312" w:hAnsi="楷体" w:eastAsia="仿宋_GB2312"/>
          <w:color w:val="FF0000"/>
          <w:sz w:val="24"/>
        </w:rPr>
        <w:t>（根据项目实际填写）</w:t>
      </w:r>
      <w:r>
        <w:rPr>
          <w:rFonts w:hint="eastAsia" w:ascii="仿宋_GB2312" w:hAnsi="楷体" w:eastAsia="仿宋_GB2312"/>
          <w:sz w:val="24"/>
        </w:rPr>
        <w:t>发起验收，并可依法邀请相关方参加，验收应出具验收书。</w:t>
      </w:r>
    </w:p>
    <w:p w14:paraId="6BD4567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2.17.3 检验和验收标准、程序等具体内容以及前述验收书的效力：</w:t>
      </w:r>
    </w:p>
    <w:p w14:paraId="7792A7D7">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u w:val="single"/>
        </w:rPr>
        <w:t xml:space="preserve">                                                                       </w:t>
      </w:r>
    </w:p>
    <w:p w14:paraId="13C6CB0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3.1 其他：</w:t>
      </w:r>
    </w:p>
    <w:p w14:paraId="301CC2BD">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项目验收：</w:t>
      </w:r>
    </w:p>
    <w:p w14:paraId="5791089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065FAA2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7E03CF9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4CF09F29">
      <w:pPr>
        <w:tabs>
          <w:tab w:val="left" w:pos="904"/>
        </w:tabs>
        <w:snapToGrid w:val="0"/>
        <w:spacing w:line="360" w:lineRule="auto"/>
        <w:ind w:firstLine="480" w:firstLineChars="200"/>
        <w:jc w:val="left"/>
        <w:rPr>
          <w:rFonts w:hint="eastAsia" w:ascii="仿宋_GB2312" w:hAnsi="楷体" w:eastAsia="仿宋_GB2312"/>
          <w:sz w:val="24"/>
        </w:rPr>
      </w:pPr>
      <w:r>
        <w:rPr>
          <w:rFonts w:hint="eastAsia" w:ascii="仿宋_GB2312" w:hAnsi="楷体" w:eastAsia="仿宋_GB2312"/>
          <w:sz w:val="24"/>
        </w:rPr>
        <w:t>4、验收产生的费用：首次验收费用由</w:t>
      </w:r>
      <w:r>
        <w:rPr>
          <w:rFonts w:hint="eastAsia" w:ascii="仿宋_GB2312" w:hAnsi="楷体" w:eastAsia="仿宋_GB2312"/>
          <w:sz w:val="24"/>
          <w:u w:val="single"/>
        </w:rPr>
        <w:t xml:space="preserve">      </w:t>
      </w:r>
      <w:r>
        <w:rPr>
          <w:rFonts w:hint="eastAsia" w:ascii="仿宋_GB2312" w:hAnsi="楷体" w:eastAsia="仿宋_GB2312"/>
          <w:sz w:val="24"/>
        </w:rPr>
        <w:t>承担，如首次验收不合格，后续验收费用由</w:t>
      </w:r>
      <w:r>
        <w:rPr>
          <w:rFonts w:hint="eastAsia" w:ascii="仿宋_GB2312" w:hAnsi="楷体" w:eastAsia="仿宋_GB2312"/>
          <w:sz w:val="24"/>
          <w:u w:val="single"/>
        </w:rPr>
        <w:t xml:space="preserve">     </w:t>
      </w:r>
      <w:r>
        <w:rPr>
          <w:rFonts w:hint="eastAsia" w:ascii="仿宋_GB2312" w:hAnsi="楷体" w:eastAsia="仿宋_GB2312"/>
          <w:sz w:val="24"/>
        </w:rPr>
        <w:t>支付。</w:t>
      </w:r>
    </w:p>
    <w:p w14:paraId="09C7E91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5、验收内容及资料要求：</w:t>
      </w:r>
    </w:p>
    <w:p w14:paraId="4FE58AB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根根据采购文件确定的技术指标或者服务要求确定验收指标和标准。未进行相应约定的，应当符合国家强制性规定、政策要求、安全标准、行业或企业有关标准等。</w:t>
      </w:r>
    </w:p>
    <w:p w14:paraId="0D555EA9">
      <w:pPr>
        <w:tabs>
          <w:tab w:val="left" w:pos="904"/>
        </w:tabs>
        <w:snapToGrid w:val="0"/>
        <w:spacing w:line="360" w:lineRule="auto"/>
        <w:ind w:firstLine="480" w:firstLineChars="200"/>
        <w:jc w:val="left"/>
        <w:rPr>
          <w:rFonts w:hint="eastAsia" w:ascii="仿宋_GB2312" w:hAnsi="楷体" w:eastAsia="仿宋_GB2312"/>
          <w:sz w:val="24"/>
        </w:rPr>
      </w:pPr>
      <w:r>
        <w:rPr>
          <w:rFonts w:hint="eastAsia" w:ascii="仿宋_GB2312" w:hAnsi="楷体" w:eastAsia="仿宋_GB2312"/>
          <w:sz w:val="24"/>
        </w:rPr>
        <w:t>5.1验收内容</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1B40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35218B04">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序号</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26E69B9E">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验收内容</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14C4AF42">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 xml:space="preserve"> 验收标准</w:t>
            </w:r>
          </w:p>
        </w:tc>
      </w:tr>
      <w:tr w14:paraId="5709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24A2E49E">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1</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0BB23067">
            <w:pPr>
              <w:widowControl/>
              <w:spacing w:line="360" w:lineRule="auto"/>
              <w:ind w:firstLine="200"/>
              <w:jc w:val="center"/>
              <w:rPr>
                <w:rFonts w:hint="eastAsia" w:ascii="仿宋" w:hAnsi="仿宋" w:eastAsia="仿宋" w:cs="仿宋"/>
                <w:bCs/>
                <w:kern w:val="0"/>
                <w:sz w:val="24"/>
              </w:rPr>
            </w:pPr>
          </w:p>
        </w:tc>
        <w:tc>
          <w:tcPr>
            <w:tcW w:w="5930" w:type="dxa"/>
            <w:tcBorders>
              <w:top w:val="single" w:color="auto" w:sz="4" w:space="0"/>
              <w:left w:val="single" w:color="auto" w:sz="4" w:space="0"/>
              <w:bottom w:val="single" w:color="auto" w:sz="4" w:space="0"/>
              <w:right w:val="single" w:color="auto" w:sz="4" w:space="0"/>
            </w:tcBorders>
            <w:noWrap w:val="0"/>
            <w:vAlign w:val="center"/>
          </w:tcPr>
          <w:p w14:paraId="15B815F2">
            <w:pPr>
              <w:widowControl/>
              <w:spacing w:line="360" w:lineRule="auto"/>
              <w:ind w:firstLine="200"/>
              <w:jc w:val="center"/>
              <w:rPr>
                <w:rFonts w:hint="eastAsia" w:ascii="仿宋" w:hAnsi="仿宋" w:eastAsia="仿宋" w:cs="仿宋"/>
                <w:kern w:val="0"/>
                <w:sz w:val="24"/>
              </w:rPr>
            </w:pPr>
          </w:p>
        </w:tc>
      </w:tr>
      <w:tr w14:paraId="1193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667DB745">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2</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45B5BBD8">
            <w:pPr>
              <w:widowControl/>
              <w:spacing w:line="360" w:lineRule="auto"/>
              <w:ind w:firstLine="200"/>
              <w:jc w:val="center"/>
              <w:rPr>
                <w:rFonts w:hint="eastAsia" w:ascii="仿宋" w:hAnsi="仿宋" w:eastAsia="仿宋" w:cs="仿宋"/>
                <w:bCs/>
                <w:kern w:val="0"/>
                <w:sz w:val="24"/>
              </w:rPr>
            </w:pPr>
          </w:p>
        </w:tc>
        <w:tc>
          <w:tcPr>
            <w:tcW w:w="5930" w:type="dxa"/>
            <w:tcBorders>
              <w:top w:val="single" w:color="auto" w:sz="4" w:space="0"/>
              <w:left w:val="single" w:color="auto" w:sz="4" w:space="0"/>
              <w:bottom w:val="single" w:color="auto" w:sz="4" w:space="0"/>
              <w:right w:val="single" w:color="auto" w:sz="4" w:space="0"/>
            </w:tcBorders>
            <w:noWrap w:val="0"/>
            <w:vAlign w:val="center"/>
          </w:tcPr>
          <w:p w14:paraId="48230B58">
            <w:pPr>
              <w:widowControl/>
              <w:spacing w:line="360" w:lineRule="auto"/>
              <w:ind w:firstLine="200"/>
              <w:jc w:val="center"/>
              <w:rPr>
                <w:rFonts w:hint="eastAsia" w:ascii="仿宋" w:hAnsi="仿宋" w:eastAsia="仿宋" w:cs="仿宋"/>
                <w:kern w:val="0"/>
                <w:sz w:val="24"/>
              </w:rPr>
            </w:pPr>
          </w:p>
        </w:tc>
      </w:tr>
      <w:tr w14:paraId="16C5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6A7E8D37">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4</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02452D88">
            <w:pPr>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 xml:space="preserve">交 </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3C162AF6">
            <w:pPr>
              <w:pStyle w:val="9"/>
              <w:spacing w:after="0" w:line="360" w:lineRule="auto"/>
              <w:ind w:firstLine="200"/>
              <w:jc w:val="left"/>
              <w:rPr>
                <w:rFonts w:hint="eastAsia" w:ascii="仿宋" w:hAnsi="仿宋" w:eastAsia="仿宋" w:cs="仿宋"/>
                <w:lang w:val="en-US" w:eastAsia="zh-CN"/>
              </w:rPr>
            </w:pPr>
          </w:p>
        </w:tc>
      </w:tr>
      <w:tr w14:paraId="754E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4DC086D1">
            <w:pPr>
              <w:widowControl/>
              <w:spacing w:line="360" w:lineRule="auto"/>
              <w:ind w:firstLine="200"/>
              <w:jc w:val="center"/>
              <w:rPr>
                <w:rFonts w:hint="eastAsia" w:ascii="仿宋" w:hAnsi="仿宋" w:eastAsia="仿宋" w:cs="仿宋"/>
                <w:kern w:val="0"/>
                <w:sz w:val="24"/>
              </w:rPr>
            </w:pPr>
            <w:r>
              <w:rPr>
                <w:rFonts w:hint="eastAsia" w:ascii="仿宋" w:hAnsi="仿宋" w:eastAsia="仿宋" w:cs="仿宋"/>
                <w:kern w:val="0"/>
                <w:sz w:val="24"/>
              </w:rPr>
              <w:t>5</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4588CE65">
            <w:pPr>
              <w:widowControl/>
              <w:spacing w:line="360" w:lineRule="auto"/>
              <w:ind w:firstLine="200"/>
              <w:jc w:val="center"/>
              <w:rPr>
                <w:rFonts w:hint="eastAsia" w:ascii="仿宋" w:hAnsi="仿宋" w:eastAsia="仿宋" w:cs="仿宋"/>
                <w:bCs/>
                <w:kern w:val="0"/>
                <w:sz w:val="24"/>
              </w:rPr>
            </w:pPr>
          </w:p>
        </w:tc>
        <w:tc>
          <w:tcPr>
            <w:tcW w:w="5930" w:type="dxa"/>
            <w:tcBorders>
              <w:top w:val="single" w:color="auto" w:sz="4" w:space="0"/>
              <w:left w:val="single" w:color="auto" w:sz="4" w:space="0"/>
              <w:bottom w:val="single" w:color="auto" w:sz="4" w:space="0"/>
              <w:right w:val="single" w:color="auto" w:sz="4" w:space="0"/>
            </w:tcBorders>
            <w:noWrap w:val="0"/>
            <w:vAlign w:val="center"/>
          </w:tcPr>
          <w:p w14:paraId="775757B5">
            <w:pPr>
              <w:widowControl/>
              <w:spacing w:line="360" w:lineRule="auto"/>
              <w:ind w:firstLine="200"/>
              <w:jc w:val="center"/>
              <w:rPr>
                <w:rFonts w:hint="eastAsia" w:ascii="仿宋" w:hAnsi="仿宋" w:eastAsia="仿宋" w:cs="仿宋"/>
                <w:kern w:val="0"/>
                <w:sz w:val="24"/>
              </w:rPr>
            </w:pPr>
          </w:p>
        </w:tc>
      </w:tr>
      <w:tr w14:paraId="5279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4FB51627">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433CDDB2">
            <w:pPr>
              <w:widowControl/>
              <w:spacing w:line="360" w:lineRule="auto"/>
              <w:ind w:firstLine="200"/>
              <w:jc w:val="center"/>
              <w:rPr>
                <w:rFonts w:hint="eastAsia" w:ascii="仿宋" w:hAnsi="仿宋" w:eastAsia="仿宋" w:cs="仿宋"/>
                <w:bCs/>
                <w:kern w:val="0"/>
                <w:sz w:val="24"/>
              </w:rPr>
            </w:pPr>
          </w:p>
        </w:tc>
        <w:tc>
          <w:tcPr>
            <w:tcW w:w="5930" w:type="dxa"/>
            <w:tcBorders>
              <w:top w:val="single" w:color="auto" w:sz="4" w:space="0"/>
              <w:left w:val="single" w:color="auto" w:sz="4" w:space="0"/>
              <w:bottom w:val="single" w:color="auto" w:sz="4" w:space="0"/>
              <w:right w:val="single" w:color="auto" w:sz="4" w:space="0"/>
            </w:tcBorders>
            <w:noWrap w:val="0"/>
            <w:vAlign w:val="center"/>
          </w:tcPr>
          <w:p w14:paraId="3D208A7C">
            <w:pPr>
              <w:widowControl/>
              <w:spacing w:line="360" w:lineRule="auto"/>
              <w:ind w:firstLine="200"/>
              <w:jc w:val="left"/>
              <w:rPr>
                <w:rFonts w:hint="eastAsia" w:ascii="仿宋" w:hAnsi="仿宋" w:eastAsia="仿宋" w:cs="仿宋"/>
                <w:kern w:val="0"/>
                <w:sz w:val="24"/>
              </w:rPr>
            </w:pPr>
          </w:p>
        </w:tc>
      </w:tr>
    </w:tbl>
    <w:p w14:paraId="7233C633">
      <w:pPr>
        <w:tabs>
          <w:tab w:val="left" w:pos="904"/>
        </w:tabs>
        <w:snapToGrid w:val="0"/>
        <w:spacing w:line="360" w:lineRule="auto"/>
        <w:ind w:firstLine="480" w:firstLineChars="200"/>
        <w:jc w:val="left"/>
        <w:rPr>
          <w:rFonts w:hint="eastAsia" w:ascii="仿宋" w:hAnsi="仿宋" w:eastAsia="仿宋" w:cs="仿宋"/>
          <w:sz w:val="24"/>
        </w:rPr>
      </w:pPr>
    </w:p>
    <w:p w14:paraId="56E3A47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5.2验收资料要求</w:t>
      </w:r>
    </w:p>
    <w:p w14:paraId="3EA0A7E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验收资料要求包括（不限于）以下内容：</w:t>
      </w:r>
    </w:p>
    <w:p w14:paraId="4F75D43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（1）采购文件；</w:t>
      </w:r>
    </w:p>
    <w:p w14:paraId="5ED5983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（2）响应文件；</w:t>
      </w:r>
    </w:p>
    <w:p w14:paraId="7F31647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（3）采购合同；</w:t>
      </w:r>
    </w:p>
    <w:p w14:paraId="1322C6A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（4）其他需提供的相关材料：（由业主根据实际情况填写）。</w:t>
      </w:r>
    </w:p>
    <w:p w14:paraId="616C94BD">
      <w:pPr>
        <w:widowControl/>
        <w:ind w:firstLine="720" w:firstLineChars="300"/>
        <w:jc w:val="left"/>
        <w:rPr>
          <w:rFonts w:hint="eastAsia" w:ascii="仿宋" w:hAnsi="仿宋" w:eastAsia="仿宋"/>
          <w:bCs/>
          <w:sz w:val="24"/>
        </w:rPr>
      </w:pPr>
    </w:p>
    <w:p w14:paraId="63BA821E">
      <w:pPr>
        <w:spacing w:line="360" w:lineRule="auto"/>
        <w:ind w:firstLine="480" w:firstLineChars="200"/>
        <w:rPr>
          <w:rFonts w:hint="eastAsia" w:ascii="宋体" w:hAnsi="宋体" w:cs="仿宋_GB2312"/>
          <w:b/>
          <w:sz w:val="44"/>
          <w:szCs w:val="44"/>
        </w:rPr>
      </w:pPr>
      <w:r>
        <w:rPr>
          <w:rFonts w:hint="eastAsia" w:ascii="仿宋_GB2312" w:hAnsi="楷体" w:eastAsia="仿宋_GB2312"/>
          <w:sz w:val="24"/>
          <w:u w:val="single"/>
        </w:rPr>
        <w:t xml:space="preserve">                                                                       </w:t>
      </w:r>
    </w:p>
    <w:p w14:paraId="0B0183D7">
      <w:pPr>
        <w:tabs>
          <w:tab w:val="left" w:pos="3261"/>
        </w:tabs>
        <w:spacing w:line="360" w:lineRule="auto"/>
        <w:jc w:val="center"/>
        <w:rPr>
          <w:rFonts w:hint="eastAsia" w:ascii="宋体" w:hAnsi="宋体" w:cs="仿宋_GB2312"/>
          <w:b/>
          <w:sz w:val="44"/>
          <w:szCs w:val="44"/>
        </w:rPr>
      </w:pPr>
    </w:p>
    <w:p w14:paraId="6D77DEAD">
      <w:pPr>
        <w:tabs>
          <w:tab w:val="left" w:pos="3261"/>
        </w:tabs>
        <w:spacing w:line="360" w:lineRule="auto"/>
        <w:jc w:val="center"/>
        <w:rPr>
          <w:rFonts w:hint="eastAsia" w:ascii="宋体" w:hAnsi="宋体" w:cs="仿宋_GB2312"/>
          <w:b/>
          <w:sz w:val="44"/>
          <w:szCs w:val="44"/>
        </w:rPr>
      </w:pPr>
    </w:p>
    <w:p w14:paraId="18DED580">
      <w:pPr>
        <w:tabs>
          <w:tab w:val="left" w:pos="3261"/>
        </w:tabs>
        <w:spacing w:line="360" w:lineRule="auto"/>
        <w:jc w:val="center"/>
        <w:rPr>
          <w:rFonts w:hint="eastAsia" w:ascii="宋体" w:hAnsi="宋体" w:cs="仿宋_GB2312"/>
          <w:b/>
          <w:sz w:val="44"/>
          <w:szCs w:val="44"/>
        </w:rPr>
      </w:pPr>
    </w:p>
    <w:p w14:paraId="20A469AA">
      <w:pPr>
        <w:widowControl/>
        <w:spacing w:line="360" w:lineRule="auto"/>
        <w:jc w:val="left"/>
        <w:rPr>
          <w:rFonts w:ascii="宋体" w:hAnsi="宋体"/>
          <w:b/>
          <w:bCs/>
          <w:sz w:val="44"/>
          <w:szCs w:val="44"/>
        </w:rPr>
        <w:sectPr>
          <w:pgSz w:w="11910" w:h="16840"/>
          <w:pgMar w:top="1340" w:right="1500" w:bottom="280" w:left="1680" w:header="720" w:footer="720" w:gutter="0"/>
          <w:pgNumType w:fmt="decimal"/>
          <w:cols w:space="720" w:num="1"/>
        </w:sectPr>
      </w:pPr>
    </w:p>
    <w:p w14:paraId="434E17E1">
      <w:pPr>
        <w:tabs>
          <w:tab w:val="left" w:pos="3261"/>
        </w:tabs>
        <w:spacing w:line="360" w:lineRule="auto"/>
        <w:jc w:val="center"/>
        <w:rPr>
          <w:rFonts w:hint="eastAsia" w:ascii="宋体" w:hAnsi="宋体" w:cs="仿宋_GB2312"/>
          <w:b/>
          <w:sz w:val="44"/>
          <w:szCs w:val="44"/>
        </w:rPr>
      </w:pPr>
    </w:p>
    <w:p w14:paraId="0BB5638C">
      <w:pPr>
        <w:tabs>
          <w:tab w:val="left" w:pos="3261"/>
        </w:tabs>
        <w:spacing w:line="360" w:lineRule="auto"/>
        <w:jc w:val="center"/>
        <w:rPr>
          <w:rFonts w:hint="eastAsia" w:ascii="宋体" w:hAnsi="宋体" w:cs="仿宋_GB2312"/>
          <w:b/>
          <w:sz w:val="44"/>
          <w:szCs w:val="44"/>
        </w:rPr>
      </w:pPr>
    </w:p>
    <w:p w14:paraId="265BC723">
      <w:pPr>
        <w:tabs>
          <w:tab w:val="left" w:pos="3261"/>
        </w:tabs>
        <w:spacing w:line="360" w:lineRule="auto"/>
        <w:jc w:val="center"/>
        <w:rPr>
          <w:rFonts w:hint="eastAsia" w:ascii="宋体" w:hAnsi="宋体" w:cs="仿宋_GB2312"/>
          <w:b/>
          <w:sz w:val="44"/>
          <w:szCs w:val="44"/>
        </w:rPr>
      </w:pPr>
    </w:p>
    <w:p w14:paraId="522815C8">
      <w:pPr>
        <w:tabs>
          <w:tab w:val="left" w:pos="3261"/>
        </w:tabs>
        <w:spacing w:line="360" w:lineRule="auto"/>
        <w:jc w:val="center"/>
        <w:rPr>
          <w:rFonts w:hint="eastAsia" w:ascii="宋体" w:hAnsi="宋体" w:cs="仿宋_GB2312"/>
          <w:b/>
          <w:sz w:val="44"/>
          <w:szCs w:val="44"/>
        </w:rPr>
      </w:pPr>
    </w:p>
    <w:p w14:paraId="566B6C4B">
      <w:pPr>
        <w:tabs>
          <w:tab w:val="left" w:pos="3261"/>
        </w:tabs>
        <w:spacing w:line="360" w:lineRule="auto"/>
        <w:jc w:val="center"/>
        <w:rPr>
          <w:rFonts w:hint="eastAsia" w:ascii="宋体" w:hAnsi="宋体" w:cs="仿宋_GB2312"/>
          <w:b/>
          <w:sz w:val="44"/>
          <w:szCs w:val="44"/>
        </w:rPr>
      </w:pPr>
    </w:p>
    <w:p w14:paraId="22664CBB">
      <w:pPr>
        <w:pStyle w:val="2"/>
        <w:jc w:val="center"/>
        <w:rPr>
          <w:rFonts w:hint="eastAsia" w:ascii="宋体" w:hAnsi="宋体" w:cs="仿宋_GB2312"/>
        </w:rPr>
      </w:pPr>
      <w:bookmarkStart w:id="277" w:name="_Toc80886951"/>
      <w:r>
        <w:rPr>
          <w:rFonts w:hint="eastAsia" w:ascii="宋体" w:hAnsi="宋体" w:cs="仿宋_GB2312"/>
          <w:b w:val="0"/>
        </w:rPr>
        <w:t>第七章 质疑、投诉材料格式</w:t>
      </w:r>
      <w:bookmarkEnd w:id="277"/>
    </w:p>
    <w:p w14:paraId="1A367FB4">
      <w:pPr>
        <w:widowControl/>
        <w:spacing w:line="576" w:lineRule="auto"/>
        <w:jc w:val="left"/>
        <w:rPr>
          <w:rFonts w:ascii="宋体" w:hAnsi="宋体" w:cs="仿宋_GB2312"/>
          <w:b/>
          <w:bCs/>
          <w:kern w:val="44"/>
          <w:sz w:val="44"/>
          <w:szCs w:val="44"/>
        </w:rPr>
        <w:sectPr>
          <w:pgSz w:w="11910" w:h="16840"/>
          <w:pgMar w:top="1340" w:right="1500" w:bottom="280" w:left="1680" w:header="720" w:footer="720" w:gutter="0"/>
          <w:pgNumType w:fmt="decimal"/>
          <w:cols w:space="720" w:num="1"/>
        </w:sectPr>
      </w:pPr>
    </w:p>
    <w:p w14:paraId="1A545A06">
      <w:pPr>
        <w:spacing w:line="360" w:lineRule="auto"/>
        <w:jc w:val="center"/>
        <w:rPr>
          <w:rFonts w:hint="eastAsia" w:ascii="宋体" w:hAnsi="宋体"/>
          <w:b/>
          <w:bCs/>
          <w:sz w:val="32"/>
          <w:szCs w:val="32"/>
        </w:rPr>
      </w:pPr>
      <w:r>
        <w:rPr>
          <w:rFonts w:hint="eastAsia" w:ascii="宋体" w:hAnsi="宋体"/>
          <w:b/>
          <w:bCs/>
          <w:sz w:val="32"/>
          <w:szCs w:val="32"/>
        </w:rPr>
        <w:t>质疑函（格式）</w:t>
      </w:r>
    </w:p>
    <w:p w14:paraId="1DC54F78">
      <w:pPr>
        <w:pStyle w:val="13"/>
        <w:spacing w:line="360" w:lineRule="auto"/>
        <w:ind w:firstLine="482" w:firstLineChars="200"/>
        <w:rPr>
          <w:rFonts w:hint="eastAsia" w:hAnsi="宋体"/>
          <w:b/>
          <w:bCs/>
          <w:sz w:val="24"/>
          <w:szCs w:val="24"/>
        </w:rPr>
      </w:pPr>
      <w:r>
        <w:rPr>
          <w:rFonts w:hint="eastAsia" w:hAnsi="宋体"/>
          <w:b/>
          <w:bCs/>
          <w:sz w:val="24"/>
          <w:szCs w:val="24"/>
        </w:rPr>
        <w:t>一、质疑供应商基本信息：</w:t>
      </w:r>
    </w:p>
    <w:p w14:paraId="0AFF2E4B">
      <w:pPr>
        <w:pStyle w:val="13"/>
        <w:spacing w:line="360" w:lineRule="auto"/>
        <w:ind w:firstLine="480" w:firstLineChars="200"/>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2B6520EF">
      <w:pPr>
        <w:pStyle w:val="13"/>
        <w:spacing w:line="360" w:lineRule="auto"/>
        <w:ind w:firstLine="480" w:firstLineChars="200"/>
        <w:rPr>
          <w:rFonts w:hint="eastAsia"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14:paraId="7F2BF96D">
      <w:pPr>
        <w:pStyle w:val="13"/>
        <w:spacing w:line="360" w:lineRule="auto"/>
        <w:ind w:firstLine="480" w:firstLineChars="200"/>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14:paraId="6FEF8B64">
      <w:pPr>
        <w:pStyle w:val="13"/>
        <w:spacing w:line="360" w:lineRule="auto"/>
        <w:ind w:firstLine="480" w:firstLineChars="200"/>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77AA3C03">
      <w:pPr>
        <w:pStyle w:val="13"/>
        <w:spacing w:line="360" w:lineRule="auto"/>
        <w:ind w:firstLine="480" w:firstLineChars="200"/>
        <w:rPr>
          <w:rFonts w:hint="eastAsia" w:hAnsi="宋体"/>
          <w:bCs/>
          <w:sz w:val="24"/>
          <w:szCs w:val="24"/>
          <w:u w:val="single"/>
        </w:rPr>
      </w:pPr>
      <w:r>
        <w:rPr>
          <w:rFonts w:hint="eastAsia" w:hAnsi="宋体"/>
          <w:bCs/>
          <w:sz w:val="24"/>
          <w:szCs w:val="24"/>
        </w:rPr>
        <w:t>联系电话：</w:t>
      </w:r>
      <w:r>
        <w:rPr>
          <w:rFonts w:hint="eastAsia" w:hAnsi="宋体"/>
          <w:bCs/>
          <w:sz w:val="24"/>
          <w:szCs w:val="24"/>
          <w:u w:val="single"/>
        </w:rPr>
        <w:t xml:space="preserve">                      </w:t>
      </w:r>
    </w:p>
    <w:p w14:paraId="2B10065F">
      <w:pPr>
        <w:pStyle w:val="13"/>
        <w:spacing w:line="360" w:lineRule="auto"/>
        <w:ind w:firstLine="480" w:firstLineChars="200"/>
        <w:rPr>
          <w:rFonts w:hint="eastAsia"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14:paraId="5D405256">
      <w:pPr>
        <w:pStyle w:val="13"/>
        <w:spacing w:line="360" w:lineRule="auto"/>
        <w:ind w:firstLine="482" w:firstLineChars="200"/>
        <w:rPr>
          <w:rFonts w:hint="eastAsia" w:hAnsi="宋体"/>
          <w:b/>
          <w:bCs/>
          <w:sz w:val="24"/>
          <w:szCs w:val="24"/>
        </w:rPr>
      </w:pPr>
      <w:r>
        <w:rPr>
          <w:rFonts w:hint="eastAsia" w:hAnsi="宋体"/>
          <w:b/>
          <w:bCs/>
          <w:sz w:val="24"/>
          <w:szCs w:val="24"/>
        </w:rPr>
        <w:t>二、质疑项目基本情况：</w:t>
      </w:r>
    </w:p>
    <w:p w14:paraId="6035B9BE">
      <w:pPr>
        <w:pStyle w:val="13"/>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r>
        <w:rPr>
          <w:rFonts w:hint="eastAsia" w:hAnsi="宋体"/>
          <w:bCs/>
          <w:sz w:val="24"/>
          <w:szCs w:val="24"/>
          <w:u w:val="single"/>
          <w:lang w:eastAsia="zh-CN"/>
        </w:rPr>
        <w:t>上林县委县政府机关大院物业服务项目(重)</w:t>
      </w:r>
      <w:r>
        <w:rPr>
          <w:rFonts w:hint="eastAsia" w:hAnsi="宋体"/>
          <w:bCs/>
          <w:sz w:val="24"/>
          <w:szCs w:val="24"/>
          <w:u w:val="single"/>
        </w:rPr>
        <w:t xml:space="preserve"> </w:t>
      </w:r>
    </w:p>
    <w:p w14:paraId="30EC85DD">
      <w:pPr>
        <w:pStyle w:val="13"/>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lang w:val="en-US" w:eastAsia="zh-CN"/>
        </w:rPr>
        <w:t>NNZC2026-C3-250033-SLXZ</w:t>
      </w:r>
      <w:r>
        <w:rPr>
          <w:rFonts w:hint="eastAsia" w:hAnsi="宋体"/>
          <w:bCs/>
          <w:sz w:val="24"/>
          <w:szCs w:val="24"/>
          <w:u w:val="single"/>
        </w:rPr>
        <w:t xml:space="preserve"> </w:t>
      </w:r>
    </w:p>
    <w:p w14:paraId="24620632">
      <w:pPr>
        <w:pStyle w:val="13"/>
        <w:spacing w:line="360" w:lineRule="auto"/>
        <w:ind w:left="25" w:leftChars="12" w:firstLine="472" w:firstLineChars="197"/>
        <w:contextualSpacing/>
        <w:rPr>
          <w:rFonts w:hint="eastAsia" w:hAnsi="宋体"/>
          <w:sz w:val="24"/>
          <w:szCs w:val="24"/>
        </w:rPr>
      </w:pPr>
      <w:r>
        <w:rPr>
          <w:rFonts w:hint="eastAsia" w:hAnsi="宋体"/>
          <w:sz w:val="24"/>
          <w:szCs w:val="24"/>
        </w:rPr>
        <w:t>采购人名称：</w:t>
      </w:r>
      <w:r>
        <w:rPr>
          <w:rFonts w:hint="eastAsia" w:hAnsi="宋体"/>
          <w:sz w:val="24"/>
          <w:szCs w:val="24"/>
          <w:u w:val="single"/>
          <w:lang w:eastAsia="zh-CN"/>
        </w:rPr>
        <w:t>上林县机关后勤服务中心</w:t>
      </w:r>
      <w:r>
        <w:rPr>
          <w:rFonts w:hint="eastAsia" w:hAnsi="宋体"/>
          <w:bCs/>
          <w:sz w:val="24"/>
          <w:szCs w:val="24"/>
          <w:u w:val="single"/>
        </w:rPr>
        <w:t xml:space="preserve"> </w:t>
      </w:r>
    </w:p>
    <w:p w14:paraId="200238F7">
      <w:pPr>
        <w:pStyle w:val="13"/>
        <w:spacing w:line="360" w:lineRule="auto"/>
        <w:ind w:left="25" w:leftChars="12" w:firstLine="472" w:firstLineChars="197"/>
        <w:contextualSpacing/>
        <w:rPr>
          <w:rFonts w:hint="eastAsia" w:hAnsi="宋体"/>
          <w:sz w:val="24"/>
          <w:szCs w:val="24"/>
        </w:rPr>
      </w:pPr>
      <w:r>
        <w:rPr>
          <w:rFonts w:hint="eastAsia" w:hAnsi="宋体"/>
          <w:sz w:val="24"/>
          <w:szCs w:val="24"/>
        </w:rPr>
        <w:t>质疑事项：</w:t>
      </w:r>
    </w:p>
    <w:p w14:paraId="07D35CFC">
      <w:pPr>
        <w:pStyle w:val="13"/>
        <w:spacing w:line="360" w:lineRule="auto"/>
        <w:ind w:left="25" w:leftChars="12" w:firstLine="352" w:firstLineChars="147"/>
        <w:contextualSpacing/>
        <w:rPr>
          <w:rFonts w:hint="eastAsia"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14:paraId="1EFA0A32">
      <w:pPr>
        <w:pStyle w:val="13"/>
        <w:spacing w:line="360" w:lineRule="auto"/>
        <w:ind w:left="25" w:leftChars="12" w:firstLine="352" w:firstLineChars="147"/>
        <w:contextualSpacing/>
        <w:rPr>
          <w:rFonts w:hint="eastAsia" w:hAnsi="宋体"/>
          <w:sz w:val="24"/>
          <w:szCs w:val="24"/>
        </w:rPr>
      </w:pPr>
      <w:r>
        <w:rPr>
          <w:rFonts w:hint="eastAsia" w:hAnsi="宋体"/>
          <w:sz w:val="24"/>
          <w:szCs w:val="24"/>
        </w:rPr>
        <w:t xml:space="preserve">□采购过程   </w:t>
      </w:r>
    </w:p>
    <w:p w14:paraId="269D068E">
      <w:pPr>
        <w:pStyle w:val="13"/>
        <w:spacing w:line="360" w:lineRule="auto"/>
        <w:ind w:left="25" w:leftChars="12" w:firstLine="352" w:firstLineChars="147"/>
        <w:contextualSpacing/>
        <w:rPr>
          <w:rFonts w:hint="eastAsia" w:hAnsi="宋体"/>
          <w:bCs/>
          <w:sz w:val="24"/>
          <w:szCs w:val="24"/>
          <w:u w:val="single"/>
        </w:rPr>
      </w:pPr>
      <w:r>
        <w:rPr>
          <w:rFonts w:hint="eastAsia" w:hAnsi="宋体"/>
          <w:sz w:val="24"/>
          <w:szCs w:val="24"/>
        </w:rPr>
        <w:t xml:space="preserve">□成交结果   </w:t>
      </w:r>
    </w:p>
    <w:p w14:paraId="2E209AF3">
      <w:pPr>
        <w:pStyle w:val="13"/>
        <w:spacing w:line="360" w:lineRule="auto"/>
        <w:ind w:left="25" w:leftChars="12" w:firstLine="472" w:firstLineChars="196"/>
        <w:contextualSpacing/>
        <w:rPr>
          <w:rFonts w:hint="eastAsia" w:hAnsi="宋体"/>
          <w:b/>
          <w:sz w:val="24"/>
          <w:szCs w:val="24"/>
        </w:rPr>
      </w:pPr>
      <w:r>
        <w:rPr>
          <w:rFonts w:hint="eastAsia" w:hAnsi="宋体"/>
          <w:b/>
          <w:sz w:val="24"/>
          <w:szCs w:val="24"/>
        </w:rPr>
        <w:t>三、质疑事项具体内容</w:t>
      </w:r>
    </w:p>
    <w:p w14:paraId="14733B2C">
      <w:pPr>
        <w:pStyle w:val="13"/>
        <w:spacing w:line="360" w:lineRule="auto"/>
        <w:ind w:left="25" w:leftChars="12" w:firstLine="472" w:firstLineChars="197"/>
        <w:contextualSpacing/>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41B89B03">
      <w:pPr>
        <w:pStyle w:val="13"/>
        <w:spacing w:line="360" w:lineRule="auto"/>
        <w:ind w:left="25" w:leftChars="12" w:firstLine="472" w:firstLineChars="197"/>
        <w:contextualSpacing/>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6F430878">
      <w:pPr>
        <w:pStyle w:val="13"/>
        <w:spacing w:line="360" w:lineRule="auto"/>
        <w:ind w:left="25" w:leftChars="12" w:firstLine="472" w:firstLineChars="197"/>
        <w:contextualSpacing/>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61CBB07D">
      <w:pPr>
        <w:pStyle w:val="13"/>
        <w:spacing w:line="360" w:lineRule="auto"/>
        <w:ind w:left="25" w:leftChars="12" w:firstLine="472" w:firstLineChars="197"/>
        <w:contextualSpacing/>
        <w:rPr>
          <w:rFonts w:hint="eastAsia" w:hAnsi="宋体"/>
          <w:sz w:val="24"/>
          <w:szCs w:val="24"/>
        </w:rPr>
      </w:pPr>
      <w:r>
        <w:rPr>
          <w:rFonts w:hint="eastAsia" w:hAnsi="宋体"/>
          <w:sz w:val="24"/>
          <w:szCs w:val="24"/>
        </w:rPr>
        <w:t>质疑事项2</w:t>
      </w:r>
    </w:p>
    <w:p w14:paraId="4268A8BD">
      <w:pPr>
        <w:pStyle w:val="13"/>
        <w:spacing w:line="360" w:lineRule="auto"/>
        <w:ind w:left="25" w:leftChars="12" w:firstLine="472" w:firstLineChars="197"/>
        <w:contextualSpacing/>
        <w:rPr>
          <w:rFonts w:hint="eastAsia" w:hAnsi="宋体"/>
          <w:sz w:val="24"/>
          <w:szCs w:val="24"/>
        </w:rPr>
      </w:pPr>
      <w:r>
        <w:rPr>
          <w:rFonts w:hint="eastAsia" w:hAnsi="宋体"/>
          <w:sz w:val="24"/>
          <w:szCs w:val="24"/>
        </w:rPr>
        <w:t>……</w:t>
      </w:r>
    </w:p>
    <w:p w14:paraId="0E440344">
      <w:pPr>
        <w:pStyle w:val="13"/>
        <w:spacing w:line="360" w:lineRule="auto"/>
        <w:ind w:left="25" w:leftChars="12" w:firstLine="472" w:firstLineChars="197"/>
        <w:contextualSpacing/>
        <w:rPr>
          <w:rFonts w:hint="eastAsia" w:hAnsi="宋体"/>
          <w:sz w:val="24"/>
          <w:szCs w:val="24"/>
        </w:rPr>
      </w:pPr>
      <w:r>
        <w:rPr>
          <w:rFonts w:hint="eastAsia" w:hAnsi="宋体"/>
          <w:sz w:val="24"/>
          <w:szCs w:val="24"/>
        </w:rPr>
        <w:t>四、与质疑事项相关的质疑请求：</w:t>
      </w:r>
    </w:p>
    <w:p w14:paraId="35652346">
      <w:pPr>
        <w:pStyle w:val="13"/>
        <w:spacing w:line="360" w:lineRule="auto"/>
        <w:ind w:left="25" w:leftChars="12" w:firstLine="472" w:firstLineChars="197"/>
        <w:contextualSpacing/>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001C4BAD">
      <w:pPr>
        <w:pStyle w:val="13"/>
        <w:spacing w:line="360" w:lineRule="auto"/>
        <w:ind w:left="25" w:leftChars="12" w:firstLine="352" w:firstLineChars="147"/>
        <w:contextualSpacing/>
        <w:rPr>
          <w:rFonts w:hint="eastAsia" w:hAnsi="宋体"/>
          <w:sz w:val="24"/>
          <w:szCs w:val="24"/>
        </w:rPr>
      </w:pPr>
    </w:p>
    <w:p w14:paraId="58B0C230">
      <w:pPr>
        <w:pStyle w:val="13"/>
        <w:spacing w:line="360" w:lineRule="auto"/>
        <w:ind w:left="25" w:leftChars="12" w:firstLine="472" w:firstLineChars="197"/>
        <w:contextualSpacing/>
        <w:rPr>
          <w:rFonts w:hint="eastAsia" w:hAnsi="宋体"/>
          <w:sz w:val="24"/>
          <w:szCs w:val="24"/>
        </w:rPr>
      </w:pPr>
      <w:r>
        <w:rPr>
          <w:rFonts w:hint="eastAsia" w:hAnsi="宋体"/>
          <w:sz w:val="24"/>
          <w:szCs w:val="24"/>
        </w:rPr>
        <w:t>签字（签章）：                                       公章：</w:t>
      </w:r>
    </w:p>
    <w:p w14:paraId="028FB847">
      <w:pPr>
        <w:pStyle w:val="13"/>
        <w:spacing w:line="360" w:lineRule="auto"/>
        <w:ind w:left="25" w:leftChars="12" w:firstLine="352" w:firstLineChars="147"/>
        <w:contextualSpacing/>
        <w:rPr>
          <w:rFonts w:hint="eastAsia" w:hAnsi="宋体"/>
          <w:sz w:val="24"/>
          <w:szCs w:val="24"/>
        </w:rPr>
      </w:pPr>
    </w:p>
    <w:p w14:paraId="768931E0">
      <w:pPr>
        <w:pStyle w:val="13"/>
        <w:spacing w:line="360" w:lineRule="auto"/>
        <w:ind w:left="25" w:leftChars="12" w:firstLine="472" w:firstLineChars="197"/>
        <w:contextualSpacing/>
        <w:rPr>
          <w:rFonts w:hint="eastAsia" w:hAnsi="宋体"/>
          <w:sz w:val="24"/>
          <w:szCs w:val="24"/>
        </w:rPr>
      </w:pPr>
      <w:r>
        <w:rPr>
          <w:rFonts w:hint="eastAsia" w:hAnsi="宋体"/>
          <w:sz w:val="24"/>
          <w:szCs w:val="24"/>
        </w:rPr>
        <w:t>日期：</w:t>
      </w:r>
    </w:p>
    <w:p w14:paraId="2A8C3C3B">
      <w:pPr>
        <w:pStyle w:val="13"/>
        <w:spacing w:line="360" w:lineRule="auto"/>
        <w:rPr>
          <w:rFonts w:hint="eastAsia" w:hAnsi="宋体"/>
          <w:b/>
          <w:sz w:val="24"/>
          <w:szCs w:val="24"/>
        </w:rPr>
      </w:pPr>
    </w:p>
    <w:p w14:paraId="36BC1B36">
      <w:pPr>
        <w:pStyle w:val="13"/>
        <w:spacing w:line="360" w:lineRule="auto"/>
        <w:rPr>
          <w:rFonts w:hint="eastAsia" w:hAnsi="宋体"/>
          <w:b/>
          <w:sz w:val="24"/>
          <w:szCs w:val="24"/>
        </w:rPr>
      </w:pPr>
    </w:p>
    <w:p w14:paraId="7D04613F">
      <w:pPr>
        <w:pStyle w:val="13"/>
        <w:spacing w:line="360" w:lineRule="auto"/>
        <w:rPr>
          <w:rFonts w:hint="eastAsia" w:hAnsi="宋体"/>
          <w:b/>
          <w:sz w:val="24"/>
          <w:szCs w:val="24"/>
        </w:rPr>
      </w:pPr>
      <w:r>
        <w:rPr>
          <w:rFonts w:hint="eastAsia" w:hAnsi="宋体"/>
          <w:b/>
          <w:sz w:val="24"/>
          <w:szCs w:val="24"/>
        </w:rPr>
        <w:t>说明：</w:t>
      </w:r>
    </w:p>
    <w:p w14:paraId="6CBF6A44">
      <w:pPr>
        <w:pStyle w:val="13"/>
        <w:spacing w:line="360" w:lineRule="auto"/>
        <w:ind w:left="25" w:leftChars="12" w:firstLine="354" w:firstLineChars="147"/>
        <w:contextualSpacing/>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330D1B3A">
      <w:pPr>
        <w:pStyle w:val="13"/>
        <w:spacing w:line="360" w:lineRule="auto"/>
        <w:ind w:left="25" w:leftChars="12" w:firstLine="354" w:firstLineChars="147"/>
        <w:contextualSpacing/>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01D298F">
      <w:pPr>
        <w:pStyle w:val="13"/>
        <w:spacing w:line="360" w:lineRule="auto"/>
        <w:ind w:left="25" w:leftChars="12" w:firstLine="354" w:firstLineChars="147"/>
        <w:contextualSpacing/>
        <w:rPr>
          <w:rFonts w:hint="eastAsia" w:hAnsi="宋体"/>
          <w:b/>
          <w:sz w:val="24"/>
          <w:szCs w:val="24"/>
        </w:rPr>
      </w:pPr>
      <w:r>
        <w:rPr>
          <w:rFonts w:hint="eastAsia" w:hAnsi="宋体"/>
          <w:b/>
          <w:sz w:val="24"/>
          <w:szCs w:val="24"/>
        </w:rPr>
        <w:t>3.质疑函的质疑事项应具体、明确，并有必要的事实依据和法律依据。</w:t>
      </w:r>
    </w:p>
    <w:p w14:paraId="1F3F5DDD">
      <w:pPr>
        <w:pStyle w:val="13"/>
        <w:spacing w:line="360" w:lineRule="auto"/>
        <w:ind w:left="25" w:leftChars="12" w:firstLine="354" w:firstLineChars="147"/>
        <w:contextualSpacing/>
        <w:rPr>
          <w:rFonts w:hint="eastAsia" w:hAnsi="宋体"/>
          <w:b/>
          <w:sz w:val="24"/>
          <w:szCs w:val="24"/>
        </w:rPr>
      </w:pPr>
      <w:r>
        <w:rPr>
          <w:rFonts w:hint="eastAsia" w:hAnsi="宋体"/>
          <w:b/>
          <w:sz w:val="24"/>
          <w:szCs w:val="24"/>
        </w:rPr>
        <w:t>4.质疑函的质疑请求应与质疑事项相关。</w:t>
      </w:r>
    </w:p>
    <w:p w14:paraId="51857D63">
      <w:pPr>
        <w:pStyle w:val="13"/>
        <w:spacing w:line="360" w:lineRule="auto"/>
        <w:ind w:left="25" w:leftChars="12" w:firstLine="354" w:firstLineChars="147"/>
        <w:contextualSpacing/>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2421AAA3">
      <w:pPr>
        <w:pStyle w:val="13"/>
        <w:snapToGrid w:val="0"/>
        <w:rPr>
          <w:rFonts w:hint="eastAsia"/>
          <w:b/>
          <w:sz w:val="24"/>
          <w:szCs w:val="24"/>
        </w:rPr>
      </w:pPr>
    </w:p>
    <w:p w14:paraId="58D394C2">
      <w:pPr>
        <w:spacing w:line="460" w:lineRule="exact"/>
        <w:jc w:val="center"/>
        <w:rPr>
          <w:rFonts w:hint="eastAsia" w:eastAsia="隶书"/>
          <w:sz w:val="44"/>
        </w:rPr>
      </w:pPr>
      <w:r>
        <w:rPr>
          <w:rFonts w:eastAsia="隶书"/>
          <w:sz w:val="44"/>
        </w:rPr>
        <w:br w:type="page"/>
      </w:r>
    </w:p>
    <w:p w14:paraId="7AF6ED74">
      <w:pPr>
        <w:spacing w:line="360" w:lineRule="auto"/>
        <w:jc w:val="center"/>
        <w:rPr>
          <w:rFonts w:ascii="宋体" w:hAnsi="宋体"/>
          <w:b/>
          <w:bCs/>
          <w:sz w:val="32"/>
          <w:szCs w:val="32"/>
        </w:rPr>
      </w:pPr>
      <w:r>
        <w:rPr>
          <w:rFonts w:hint="eastAsia" w:ascii="宋体" w:hAnsi="宋体"/>
          <w:b/>
          <w:bCs/>
          <w:sz w:val="32"/>
          <w:szCs w:val="32"/>
        </w:rPr>
        <w:t>投诉书（格式）</w:t>
      </w:r>
    </w:p>
    <w:p w14:paraId="552F455F">
      <w:pPr>
        <w:pStyle w:val="13"/>
        <w:snapToGrid w:val="0"/>
        <w:spacing w:line="360" w:lineRule="auto"/>
        <w:ind w:firstLine="482" w:firstLineChars="200"/>
        <w:rPr>
          <w:rFonts w:hint="eastAsia" w:hAnsi="宋体"/>
          <w:b/>
          <w:bCs/>
          <w:sz w:val="24"/>
          <w:szCs w:val="24"/>
        </w:rPr>
      </w:pPr>
      <w:r>
        <w:rPr>
          <w:rFonts w:hint="eastAsia" w:hAnsi="宋体"/>
          <w:b/>
          <w:bCs/>
          <w:sz w:val="24"/>
          <w:szCs w:val="24"/>
        </w:rPr>
        <w:t>一、投诉相关主体基本情况：</w:t>
      </w:r>
    </w:p>
    <w:p w14:paraId="4430D2DF">
      <w:pPr>
        <w:pStyle w:val="13"/>
        <w:snapToGrid w:val="0"/>
        <w:spacing w:line="360" w:lineRule="auto"/>
        <w:ind w:firstLine="480" w:firstLineChars="200"/>
        <w:rPr>
          <w:rFonts w:hint="eastAsia"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7A0BBF14">
      <w:pPr>
        <w:pStyle w:val="13"/>
        <w:snapToGrid w:val="0"/>
        <w:spacing w:line="360" w:lineRule="auto"/>
        <w:ind w:firstLine="480" w:firstLineChars="200"/>
        <w:rPr>
          <w:rFonts w:hint="eastAsia"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14:paraId="5BF03087">
      <w:pPr>
        <w:pStyle w:val="13"/>
        <w:snapToGrid w:val="0"/>
        <w:spacing w:line="360" w:lineRule="auto"/>
        <w:ind w:firstLine="480" w:firstLineChars="200"/>
        <w:rPr>
          <w:rFonts w:hint="eastAsia"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65BC8AE4">
      <w:pPr>
        <w:pStyle w:val="13"/>
        <w:snapToGrid w:val="0"/>
        <w:spacing w:line="360" w:lineRule="auto"/>
        <w:ind w:firstLine="480" w:firstLineChars="200"/>
        <w:rPr>
          <w:rFonts w:hint="eastAsia" w:hAnsi="宋体"/>
          <w:bCs/>
          <w:sz w:val="24"/>
          <w:szCs w:val="24"/>
        </w:rPr>
      </w:pPr>
      <w:r>
        <w:rPr>
          <w:rFonts w:hint="eastAsia" w:hAnsi="宋体"/>
          <w:bCs/>
          <w:sz w:val="24"/>
          <w:szCs w:val="24"/>
        </w:rPr>
        <w:t>联系电话：</w:t>
      </w:r>
      <w:r>
        <w:rPr>
          <w:rFonts w:hint="eastAsia" w:hAnsi="宋体"/>
          <w:bCs/>
          <w:sz w:val="24"/>
          <w:szCs w:val="24"/>
          <w:u w:val="single"/>
        </w:rPr>
        <w:t xml:space="preserve">                                         </w:t>
      </w:r>
    </w:p>
    <w:p w14:paraId="5FA0A1DE">
      <w:pPr>
        <w:pStyle w:val="13"/>
        <w:snapToGrid w:val="0"/>
        <w:spacing w:line="360" w:lineRule="auto"/>
        <w:ind w:firstLine="480" w:firstLineChars="200"/>
        <w:rPr>
          <w:rFonts w:hint="eastAsia"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14:paraId="27905886">
      <w:pPr>
        <w:pStyle w:val="13"/>
        <w:snapToGrid w:val="0"/>
        <w:spacing w:line="360" w:lineRule="auto"/>
        <w:ind w:firstLine="480" w:firstLineChars="200"/>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1B2FF396">
      <w:pPr>
        <w:pStyle w:val="13"/>
        <w:snapToGrid w:val="0"/>
        <w:spacing w:line="360" w:lineRule="auto"/>
        <w:ind w:firstLine="480" w:firstLineChars="200"/>
        <w:rPr>
          <w:rFonts w:hint="eastAsia" w:hAnsi="宋体"/>
          <w:bCs/>
          <w:sz w:val="24"/>
          <w:szCs w:val="24"/>
        </w:rPr>
      </w:pP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14:paraId="3C434364">
      <w:pPr>
        <w:pStyle w:val="13"/>
        <w:snapToGrid w:val="0"/>
        <w:spacing w:line="360" w:lineRule="auto"/>
        <w:ind w:firstLine="480" w:firstLineChars="200"/>
        <w:rPr>
          <w:rFonts w:hint="eastAsia" w:hAnsi="宋体"/>
          <w:bCs/>
          <w:sz w:val="24"/>
          <w:szCs w:val="24"/>
        </w:rPr>
      </w:pPr>
      <w:r>
        <w:rPr>
          <w:rFonts w:hint="eastAsia" w:hAnsi="宋体"/>
          <w:bCs/>
          <w:sz w:val="24"/>
          <w:szCs w:val="24"/>
        </w:rPr>
        <w:t>被投诉人1：</w:t>
      </w:r>
    </w:p>
    <w:p w14:paraId="4CAFA58D">
      <w:pPr>
        <w:pStyle w:val="13"/>
        <w:snapToGrid w:val="0"/>
        <w:spacing w:line="360" w:lineRule="auto"/>
        <w:ind w:firstLine="480" w:firstLineChars="200"/>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340E39C1">
      <w:pPr>
        <w:pStyle w:val="13"/>
        <w:snapToGrid w:val="0"/>
        <w:spacing w:line="360" w:lineRule="auto"/>
        <w:ind w:firstLine="480" w:firstLineChars="200"/>
        <w:rPr>
          <w:rFonts w:hint="eastAsia" w:hAnsi="宋体"/>
          <w:bCs/>
          <w:sz w:val="24"/>
          <w:szCs w:val="24"/>
        </w:rPr>
      </w:pP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14:paraId="7B2F7FDB">
      <w:pPr>
        <w:pStyle w:val="13"/>
        <w:snapToGrid w:val="0"/>
        <w:spacing w:line="360" w:lineRule="auto"/>
        <w:ind w:firstLine="480" w:firstLineChars="200"/>
        <w:rPr>
          <w:rFonts w:hint="eastAsia"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14:paraId="4F41885D">
      <w:pPr>
        <w:pStyle w:val="13"/>
        <w:snapToGrid w:val="0"/>
        <w:spacing w:line="360" w:lineRule="auto"/>
        <w:ind w:firstLine="480" w:firstLineChars="200"/>
        <w:rPr>
          <w:rFonts w:hint="eastAsia" w:hAnsi="宋体"/>
          <w:bCs/>
          <w:sz w:val="24"/>
          <w:szCs w:val="24"/>
        </w:rPr>
      </w:pPr>
      <w:r>
        <w:rPr>
          <w:rFonts w:hint="eastAsia" w:hAnsi="宋体"/>
          <w:bCs/>
          <w:sz w:val="24"/>
          <w:szCs w:val="24"/>
        </w:rPr>
        <w:t>被投诉人2：</w:t>
      </w:r>
    </w:p>
    <w:p w14:paraId="4A7398A8">
      <w:pPr>
        <w:pStyle w:val="13"/>
        <w:snapToGrid w:val="0"/>
        <w:spacing w:line="360" w:lineRule="auto"/>
        <w:ind w:firstLine="480" w:firstLineChars="200"/>
        <w:rPr>
          <w:rFonts w:hint="eastAsia" w:hAnsi="宋体"/>
          <w:bCs/>
          <w:sz w:val="24"/>
          <w:szCs w:val="24"/>
        </w:rPr>
      </w:pPr>
      <w:r>
        <w:rPr>
          <w:rFonts w:hint="eastAsia" w:hAnsi="宋体"/>
          <w:bCs/>
          <w:sz w:val="24"/>
          <w:szCs w:val="24"/>
        </w:rPr>
        <w:t>……</w:t>
      </w:r>
    </w:p>
    <w:p w14:paraId="54304E58">
      <w:pPr>
        <w:pStyle w:val="13"/>
        <w:snapToGrid w:val="0"/>
        <w:spacing w:line="360" w:lineRule="auto"/>
        <w:ind w:firstLine="480" w:firstLineChars="200"/>
        <w:rPr>
          <w:rFonts w:hint="eastAsia"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6BE76DFB">
      <w:pPr>
        <w:pStyle w:val="13"/>
        <w:snapToGrid w:val="0"/>
        <w:spacing w:line="360" w:lineRule="auto"/>
        <w:ind w:firstLine="480" w:firstLineChars="200"/>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p>
    <w:p w14:paraId="0FE2B270">
      <w:pPr>
        <w:pStyle w:val="13"/>
        <w:snapToGrid w:val="0"/>
        <w:spacing w:line="360" w:lineRule="auto"/>
        <w:ind w:firstLine="480" w:firstLineChars="200"/>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r>
        <w:rPr>
          <w:rFonts w:hint="eastAsia" w:hAnsi="宋体"/>
          <w:bCs/>
          <w:sz w:val="24"/>
          <w:szCs w:val="24"/>
        </w:rPr>
        <w:t xml:space="preserve">                </w:t>
      </w:r>
    </w:p>
    <w:p w14:paraId="54983E7D">
      <w:pPr>
        <w:pStyle w:val="13"/>
        <w:snapToGrid w:val="0"/>
        <w:spacing w:line="360" w:lineRule="auto"/>
        <w:ind w:firstLine="482" w:firstLineChars="200"/>
        <w:rPr>
          <w:rFonts w:hint="eastAsia" w:hAnsi="宋体"/>
          <w:b/>
          <w:bCs/>
          <w:sz w:val="24"/>
          <w:szCs w:val="24"/>
        </w:rPr>
      </w:pPr>
      <w:r>
        <w:rPr>
          <w:rFonts w:hint="eastAsia" w:hAnsi="宋体"/>
          <w:b/>
          <w:bCs/>
          <w:sz w:val="24"/>
          <w:szCs w:val="24"/>
        </w:rPr>
        <w:t>二、投诉项目基本情况：</w:t>
      </w:r>
    </w:p>
    <w:p w14:paraId="7E9BF516">
      <w:pPr>
        <w:pStyle w:val="13"/>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r>
        <w:rPr>
          <w:rFonts w:hint="eastAsia" w:hAnsi="宋体"/>
          <w:bCs/>
          <w:sz w:val="24"/>
          <w:szCs w:val="24"/>
          <w:u w:val="single"/>
          <w:lang w:eastAsia="zh-CN"/>
        </w:rPr>
        <w:t>上林县委县政府机关大院物业服务项目(重)</w:t>
      </w:r>
      <w:r>
        <w:rPr>
          <w:rFonts w:hint="eastAsia" w:hAnsi="宋体"/>
          <w:bCs/>
          <w:sz w:val="24"/>
          <w:szCs w:val="24"/>
          <w:u w:val="single"/>
        </w:rPr>
        <w:t xml:space="preserve">   </w:t>
      </w:r>
    </w:p>
    <w:p w14:paraId="5FCAADCE">
      <w:pPr>
        <w:pStyle w:val="13"/>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r>
        <w:rPr>
          <w:rFonts w:hint="eastAsia" w:hAnsi="宋体"/>
          <w:bCs/>
          <w:sz w:val="24"/>
          <w:szCs w:val="24"/>
          <w:u w:val="single"/>
          <w:lang w:val="en-US" w:eastAsia="zh-CN"/>
        </w:rPr>
        <w:t>NNZC2026-C3-250033-SLXZ</w:t>
      </w:r>
      <w:r>
        <w:rPr>
          <w:rFonts w:hint="eastAsia" w:hAnsi="宋体"/>
          <w:bCs/>
          <w:sz w:val="24"/>
          <w:szCs w:val="24"/>
          <w:u w:val="single"/>
        </w:rPr>
        <w:t xml:space="preserve">   </w:t>
      </w:r>
    </w:p>
    <w:p w14:paraId="4F558A62">
      <w:pPr>
        <w:pStyle w:val="13"/>
        <w:spacing w:line="360" w:lineRule="auto"/>
        <w:ind w:left="25" w:leftChars="12" w:firstLine="472" w:firstLineChars="197"/>
        <w:rPr>
          <w:rFonts w:hint="eastAsia"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r>
        <w:rPr>
          <w:rFonts w:hint="eastAsia" w:hAnsi="宋体"/>
          <w:sz w:val="24"/>
          <w:szCs w:val="24"/>
          <w:u w:val="single"/>
          <w:lang w:eastAsia="zh-CN"/>
        </w:rPr>
        <w:t>上林县机关后勤服务中心</w:t>
      </w:r>
      <w:r>
        <w:rPr>
          <w:rFonts w:hint="eastAsia" w:hAnsi="宋体"/>
          <w:bCs/>
          <w:sz w:val="24"/>
          <w:szCs w:val="24"/>
          <w:u w:val="single"/>
        </w:rPr>
        <w:t xml:space="preserve">          </w:t>
      </w:r>
    </w:p>
    <w:p w14:paraId="1A369230">
      <w:pPr>
        <w:pStyle w:val="13"/>
        <w:spacing w:line="360" w:lineRule="auto"/>
        <w:ind w:left="25" w:leftChars="12" w:firstLine="472" w:firstLineChars="197"/>
        <w:rPr>
          <w:rFonts w:hint="eastAsia"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r>
        <w:rPr>
          <w:rFonts w:hint="eastAsia" w:hAnsi="宋体"/>
          <w:bCs/>
          <w:sz w:val="24"/>
          <w:szCs w:val="24"/>
          <w:u w:val="single"/>
          <w:lang w:eastAsia="zh-CN"/>
        </w:rPr>
        <w:t>上林县政府集中采购中心</w:t>
      </w:r>
      <w:r>
        <w:rPr>
          <w:rFonts w:hint="eastAsia" w:hAnsi="宋体"/>
          <w:bCs/>
          <w:sz w:val="24"/>
          <w:szCs w:val="24"/>
          <w:u w:val="single"/>
        </w:rPr>
        <w:t xml:space="preserve">        </w:t>
      </w:r>
    </w:p>
    <w:p w14:paraId="6248FC24">
      <w:pPr>
        <w:pStyle w:val="13"/>
        <w:spacing w:line="360" w:lineRule="auto"/>
        <w:ind w:left="25" w:leftChars="12" w:firstLine="472" w:firstLineChars="197"/>
        <w:rPr>
          <w:rFonts w:hint="eastAsia" w:hAnsi="宋体"/>
          <w:bCs/>
          <w:sz w:val="24"/>
          <w:szCs w:val="24"/>
          <w:u w:val="single"/>
        </w:rPr>
      </w:pPr>
      <w:r>
        <w:rPr>
          <w:rFonts w:hint="eastAsia" w:hAnsi="宋体"/>
          <w:bCs/>
          <w:sz w:val="24"/>
          <w:szCs w:val="24"/>
        </w:rPr>
        <w:t>招标文件公告：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1858C874">
      <w:pPr>
        <w:pStyle w:val="13"/>
        <w:spacing w:line="360" w:lineRule="auto"/>
        <w:ind w:left="25" w:leftChars="12" w:firstLine="472" w:firstLineChars="197"/>
        <w:rPr>
          <w:rFonts w:hint="eastAsia"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60A1A067">
      <w:pPr>
        <w:pStyle w:val="13"/>
        <w:spacing w:line="360" w:lineRule="auto"/>
        <w:ind w:left="25" w:leftChars="12" w:firstLine="472" w:firstLineChars="196"/>
        <w:rPr>
          <w:rFonts w:hint="eastAsia" w:hAnsi="宋体"/>
          <w:b/>
          <w:sz w:val="24"/>
          <w:szCs w:val="24"/>
        </w:rPr>
      </w:pPr>
      <w:r>
        <w:rPr>
          <w:rFonts w:hint="eastAsia" w:hAnsi="宋体"/>
          <w:b/>
          <w:sz w:val="24"/>
          <w:szCs w:val="24"/>
        </w:rPr>
        <w:t>三、质疑基本情况</w:t>
      </w:r>
    </w:p>
    <w:p w14:paraId="4A85240E">
      <w:pPr>
        <w:pStyle w:val="13"/>
        <w:spacing w:line="360" w:lineRule="auto"/>
        <w:ind w:firstLine="480" w:firstLineChars="200"/>
        <w:rPr>
          <w:rFonts w:hint="eastAsia"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3C4848FF">
      <w:pPr>
        <w:pStyle w:val="13"/>
        <w:spacing w:line="360" w:lineRule="auto"/>
        <w:ind w:firstLine="241"/>
        <w:rPr>
          <w:rFonts w:hint="eastAsia"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4FC307AA">
      <w:pPr>
        <w:pStyle w:val="13"/>
        <w:spacing w:line="360" w:lineRule="auto"/>
        <w:ind w:firstLine="241"/>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2CD4E422">
      <w:pPr>
        <w:pStyle w:val="13"/>
        <w:spacing w:line="360" w:lineRule="auto"/>
        <w:ind w:firstLine="480" w:firstLineChars="200"/>
        <w:rPr>
          <w:rFonts w:hint="eastAsia"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453AD34D">
      <w:pPr>
        <w:pStyle w:val="13"/>
        <w:spacing w:line="360" w:lineRule="auto"/>
        <w:ind w:left="25" w:leftChars="12" w:firstLine="472" w:firstLineChars="196"/>
        <w:rPr>
          <w:rFonts w:hint="eastAsia" w:hAnsi="宋体"/>
          <w:b/>
          <w:sz w:val="24"/>
          <w:szCs w:val="24"/>
        </w:rPr>
      </w:pPr>
      <w:r>
        <w:rPr>
          <w:rFonts w:hint="eastAsia" w:hAnsi="宋体"/>
          <w:b/>
          <w:sz w:val="24"/>
          <w:szCs w:val="24"/>
        </w:rPr>
        <w:t>四、投诉事项具体内容</w:t>
      </w:r>
    </w:p>
    <w:p w14:paraId="3C2B928A">
      <w:pPr>
        <w:pStyle w:val="13"/>
        <w:spacing w:line="360" w:lineRule="auto"/>
        <w:ind w:left="25" w:leftChars="12" w:firstLine="472" w:firstLineChars="197"/>
        <w:rPr>
          <w:rFonts w:hint="eastAsia"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7369E59A">
      <w:pPr>
        <w:pStyle w:val="13"/>
        <w:spacing w:line="360" w:lineRule="auto"/>
        <w:ind w:firstLine="480" w:firstLineChars="200"/>
        <w:rPr>
          <w:rFonts w:hint="eastAsia"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4FA47810">
      <w:pPr>
        <w:pStyle w:val="13"/>
        <w:spacing w:line="360" w:lineRule="auto"/>
        <w:ind w:left="25" w:leftChars="12" w:firstLine="472" w:firstLineChars="197"/>
        <w:rPr>
          <w:rFonts w:hint="eastAsia" w:hAnsi="宋体"/>
          <w:sz w:val="24"/>
          <w:szCs w:val="24"/>
        </w:rPr>
      </w:pPr>
      <w:r>
        <w:rPr>
          <w:rFonts w:hint="eastAsia" w:hAnsi="宋体"/>
          <w:bCs/>
          <w:sz w:val="24"/>
          <w:szCs w:val="24"/>
          <w:u w:val="single"/>
        </w:rPr>
        <w:t xml:space="preserve">                                                                                        </w:t>
      </w:r>
    </w:p>
    <w:p w14:paraId="1B149D27">
      <w:pPr>
        <w:pStyle w:val="13"/>
        <w:spacing w:line="360" w:lineRule="auto"/>
        <w:ind w:firstLine="480" w:firstLineChars="200"/>
        <w:rPr>
          <w:rFonts w:hint="eastAsia"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62E0C470">
      <w:pPr>
        <w:pStyle w:val="13"/>
        <w:spacing w:line="360" w:lineRule="auto"/>
        <w:ind w:left="25" w:leftChars="12" w:firstLine="352" w:firstLineChars="147"/>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3DD81428">
      <w:pPr>
        <w:pStyle w:val="13"/>
        <w:spacing w:line="360" w:lineRule="auto"/>
        <w:ind w:left="25" w:leftChars="12" w:firstLine="472" w:firstLineChars="197"/>
        <w:rPr>
          <w:rFonts w:hint="eastAsia"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479679E3">
      <w:pPr>
        <w:pStyle w:val="13"/>
        <w:spacing w:line="360" w:lineRule="auto"/>
        <w:ind w:left="25" w:leftChars="12" w:firstLine="472" w:firstLineChars="197"/>
        <w:rPr>
          <w:rFonts w:hint="eastAsia" w:hAnsi="宋体"/>
          <w:bCs/>
          <w:sz w:val="24"/>
          <w:szCs w:val="24"/>
        </w:rPr>
      </w:pPr>
      <w:r>
        <w:rPr>
          <w:rFonts w:hint="eastAsia" w:hAnsi="宋体"/>
          <w:bCs/>
          <w:sz w:val="24"/>
          <w:szCs w:val="24"/>
        </w:rPr>
        <w:t>……</w:t>
      </w:r>
    </w:p>
    <w:p w14:paraId="09A71889">
      <w:pPr>
        <w:pStyle w:val="13"/>
        <w:spacing w:line="360" w:lineRule="auto"/>
        <w:ind w:left="25" w:leftChars="12" w:firstLine="472" w:firstLineChars="196"/>
        <w:rPr>
          <w:rFonts w:hint="eastAsia" w:hAnsi="宋体"/>
          <w:b/>
          <w:sz w:val="24"/>
          <w:szCs w:val="24"/>
        </w:rPr>
      </w:pPr>
      <w:r>
        <w:rPr>
          <w:rFonts w:hint="eastAsia" w:hAnsi="宋体"/>
          <w:b/>
          <w:sz w:val="24"/>
          <w:szCs w:val="24"/>
        </w:rPr>
        <w:t>五、与投诉事项相关的投诉请求：</w:t>
      </w:r>
    </w:p>
    <w:p w14:paraId="67BA4E82">
      <w:pPr>
        <w:pStyle w:val="13"/>
        <w:spacing w:line="360" w:lineRule="auto"/>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7E5B1BC7">
      <w:pPr>
        <w:pStyle w:val="13"/>
        <w:spacing w:line="360" w:lineRule="auto"/>
        <w:ind w:left="25" w:leftChars="12" w:firstLine="352" w:firstLineChars="147"/>
        <w:rPr>
          <w:rFonts w:hint="eastAsia" w:hAnsi="宋体"/>
          <w:sz w:val="24"/>
          <w:szCs w:val="24"/>
        </w:rPr>
      </w:pPr>
    </w:p>
    <w:p w14:paraId="6D268A5D">
      <w:pPr>
        <w:pStyle w:val="13"/>
        <w:spacing w:line="360" w:lineRule="auto"/>
        <w:ind w:left="25" w:leftChars="12" w:firstLine="472" w:firstLineChars="197"/>
        <w:rPr>
          <w:rFonts w:hint="eastAsia" w:hAnsi="宋体"/>
          <w:sz w:val="24"/>
          <w:szCs w:val="24"/>
        </w:rPr>
      </w:pPr>
      <w:r>
        <w:rPr>
          <w:rFonts w:hint="eastAsia" w:hAnsi="宋体"/>
          <w:sz w:val="24"/>
          <w:szCs w:val="24"/>
        </w:rPr>
        <w:t>签字（签章）：                                       公章：</w:t>
      </w:r>
    </w:p>
    <w:p w14:paraId="695A6488">
      <w:pPr>
        <w:pStyle w:val="13"/>
        <w:spacing w:line="360" w:lineRule="auto"/>
        <w:ind w:left="25" w:leftChars="12" w:firstLine="352" w:firstLineChars="147"/>
        <w:rPr>
          <w:rFonts w:hint="eastAsia" w:hAnsi="宋体"/>
          <w:sz w:val="24"/>
          <w:szCs w:val="24"/>
        </w:rPr>
      </w:pPr>
    </w:p>
    <w:p w14:paraId="3037FC0B">
      <w:pPr>
        <w:pStyle w:val="13"/>
        <w:spacing w:line="360" w:lineRule="auto"/>
        <w:ind w:left="25" w:leftChars="12" w:firstLine="472" w:firstLineChars="197"/>
        <w:rPr>
          <w:rFonts w:hint="eastAsia" w:hAnsi="宋体"/>
          <w:sz w:val="24"/>
          <w:szCs w:val="24"/>
        </w:rPr>
      </w:pPr>
      <w:r>
        <w:rPr>
          <w:rFonts w:hint="eastAsia" w:hAnsi="宋体"/>
          <w:sz w:val="24"/>
          <w:szCs w:val="24"/>
        </w:rPr>
        <w:t>日期：</w:t>
      </w:r>
    </w:p>
    <w:p w14:paraId="74B99801">
      <w:pPr>
        <w:pStyle w:val="13"/>
        <w:spacing w:line="360" w:lineRule="auto"/>
        <w:ind w:left="25" w:leftChars="12" w:firstLine="472" w:firstLineChars="197"/>
        <w:rPr>
          <w:rFonts w:hint="eastAsia" w:hAnsi="宋体"/>
          <w:sz w:val="24"/>
          <w:szCs w:val="24"/>
        </w:rPr>
      </w:pPr>
      <w:r>
        <w:rPr>
          <w:rFonts w:hint="eastAsia" w:hAnsi="宋体"/>
          <w:bCs/>
          <w:sz w:val="24"/>
          <w:szCs w:val="24"/>
        </w:rPr>
        <w:t xml:space="preserve">                                                                                 </w:t>
      </w:r>
    </w:p>
    <w:p w14:paraId="14E72397">
      <w:pPr>
        <w:pStyle w:val="13"/>
        <w:snapToGrid w:val="0"/>
        <w:spacing w:line="360" w:lineRule="auto"/>
        <w:rPr>
          <w:rFonts w:hint="eastAsia" w:hAnsi="宋体"/>
          <w:b/>
          <w:sz w:val="24"/>
          <w:szCs w:val="24"/>
        </w:rPr>
      </w:pPr>
    </w:p>
    <w:p w14:paraId="2846C312">
      <w:pPr>
        <w:pStyle w:val="13"/>
        <w:snapToGrid w:val="0"/>
        <w:spacing w:line="360" w:lineRule="auto"/>
        <w:rPr>
          <w:rFonts w:hint="eastAsia" w:hAnsi="宋体"/>
          <w:b/>
          <w:sz w:val="24"/>
          <w:szCs w:val="24"/>
        </w:rPr>
      </w:pPr>
      <w:r>
        <w:rPr>
          <w:rFonts w:hint="eastAsia" w:hAnsi="宋体"/>
          <w:b/>
          <w:sz w:val="24"/>
          <w:szCs w:val="24"/>
        </w:rPr>
        <w:t>说明：</w:t>
      </w:r>
    </w:p>
    <w:p w14:paraId="477A2B73">
      <w:pPr>
        <w:pStyle w:val="13"/>
        <w:spacing w:line="360" w:lineRule="auto"/>
        <w:ind w:left="25" w:leftChars="12" w:firstLine="354" w:firstLineChars="147"/>
        <w:rPr>
          <w:rFonts w:hint="eastAsia"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2904D2B6">
      <w:pPr>
        <w:pStyle w:val="13"/>
        <w:spacing w:line="360" w:lineRule="auto"/>
        <w:ind w:left="25" w:leftChars="12" w:firstLine="354" w:firstLineChars="147"/>
        <w:rPr>
          <w:rFonts w:hint="eastAsia"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F2FD8CB">
      <w:pPr>
        <w:pStyle w:val="13"/>
        <w:spacing w:line="360" w:lineRule="auto"/>
        <w:ind w:left="25" w:leftChars="12" w:firstLine="354" w:firstLineChars="147"/>
        <w:rPr>
          <w:rFonts w:hint="eastAsia" w:hAnsi="宋体"/>
          <w:b/>
          <w:sz w:val="24"/>
          <w:szCs w:val="24"/>
        </w:rPr>
      </w:pPr>
      <w:r>
        <w:rPr>
          <w:rFonts w:hint="eastAsia" w:hAnsi="宋体"/>
          <w:b/>
          <w:sz w:val="24"/>
          <w:szCs w:val="24"/>
        </w:rPr>
        <w:t>3.投诉书应简要列明质疑事项，质疑函、质疑答复等作为附件材料提供。</w:t>
      </w:r>
    </w:p>
    <w:p w14:paraId="04332300">
      <w:pPr>
        <w:pStyle w:val="13"/>
        <w:spacing w:line="360" w:lineRule="auto"/>
        <w:ind w:left="25" w:leftChars="12" w:firstLine="354" w:firstLineChars="147"/>
        <w:rPr>
          <w:rFonts w:hint="eastAsia" w:hAnsi="宋体"/>
          <w:b/>
          <w:sz w:val="24"/>
          <w:szCs w:val="24"/>
        </w:rPr>
      </w:pPr>
      <w:r>
        <w:rPr>
          <w:rFonts w:hint="eastAsia" w:hAnsi="宋体"/>
          <w:b/>
          <w:sz w:val="24"/>
          <w:szCs w:val="24"/>
        </w:rPr>
        <w:t>4.投诉书的投诉事项应具体、明确，并有必要的事实依据和法律依据。</w:t>
      </w:r>
    </w:p>
    <w:p w14:paraId="56E50FAE">
      <w:pPr>
        <w:pStyle w:val="13"/>
        <w:spacing w:line="360" w:lineRule="auto"/>
        <w:ind w:left="25" w:leftChars="12" w:firstLine="354" w:firstLineChars="147"/>
        <w:rPr>
          <w:rFonts w:hint="eastAsia" w:hAnsi="宋体"/>
          <w:b/>
          <w:sz w:val="24"/>
          <w:szCs w:val="24"/>
        </w:rPr>
      </w:pPr>
      <w:r>
        <w:rPr>
          <w:rFonts w:hint="eastAsia" w:hAnsi="宋体"/>
          <w:b/>
          <w:sz w:val="24"/>
          <w:szCs w:val="24"/>
        </w:rPr>
        <w:t>5.投诉书的投诉请求应与投诉事项相关。</w:t>
      </w:r>
    </w:p>
    <w:p w14:paraId="6BA39235">
      <w:pPr>
        <w:pStyle w:val="13"/>
        <w:spacing w:line="360" w:lineRule="auto"/>
        <w:ind w:left="25" w:leftChars="12" w:firstLine="354" w:firstLineChars="147"/>
        <w:rPr>
          <w:rFonts w:hint="eastAsia" w:hAnsi="宋体"/>
          <w:b/>
        </w:rPr>
      </w:pPr>
      <w:r>
        <w:rPr>
          <w:rFonts w:hint="eastAsia" w:hAnsi="宋体"/>
          <w:b/>
          <w:sz w:val="24"/>
          <w:szCs w:val="24"/>
        </w:rPr>
        <w:t>6.投诉人为法人或者其他组织的，投诉书应由法定代表人、主要负责人，或者其授权代表签字或者盖章，并加盖公章。</w:t>
      </w:r>
    </w:p>
    <w:p w14:paraId="14FC213F">
      <w:pPr>
        <w:rPr>
          <w:rFonts w:hint="eastAsia"/>
        </w:rPr>
      </w:pPr>
    </w:p>
    <w:p w14:paraId="1E7FF58F"/>
    <w:sectPr>
      <w:footerReference r:id="rId7" w:type="first"/>
      <w:footerReference r:id="rId6"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华文新魏">
    <w:panose1 w:val="02010800040101010101"/>
    <w:charset w:val="86"/>
    <w:family w:val="auto"/>
    <w:pitch w:val="default"/>
    <w:sig w:usb0="00000001" w:usb1="080F0000" w:usb2="00000000" w:usb3="00000000" w:csb0="00040000" w:csb1="00000000"/>
  </w:font>
  <w:font w:name="CESI仿宋-GB2312">
    <w:altName w:val="仿宋"/>
    <w:panose1 w:val="00000000000000000000"/>
    <w:charset w:val="86"/>
    <w:family w:val="auto"/>
    <w:pitch w:val="default"/>
    <w:sig w:usb0="00000000" w:usb1="00000000" w:usb2="00000010" w:usb3="00000000" w:csb0="0004000F"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C815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D9FEA">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3582E">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193582E">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CFBCD">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77CEB2">
                          <w:pPr>
                            <w:pStyle w:val="14"/>
                            <w:jc w:val="center"/>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0577CEB2">
                    <w:pPr>
                      <w:pStyle w:val="14"/>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751625D7">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E7A12">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5CC802">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5CC802">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0990">
    <w:pPr>
      <w:snapToGrid w:val="0"/>
      <w:spacing w:before="165" w:beforeLines="50" w:line="360" w:lineRule="auto"/>
      <w:jc w:val="center"/>
      <w:rPr>
        <w:rFonts w:hint="eastAsia" w:eastAsia="宋体"/>
        <w:sz w:val="18"/>
        <w:szCs w:val="18"/>
        <w:lang w:val="en-US" w:eastAsia="zh-CN"/>
      </w:rPr>
    </w:pPr>
    <w:r>
      <w:rPr>
        <w:rFonts w:hint="eastAsia"/>
        <w:sz w:val="18"/>
        <w:szCs w:val="18"/>
        <w:lang w:eastAsia="zh-CN"/>
      </w:rPr>
      <w:t>上林县委县政府机关大院物业服务项目(重)</w:t>
    </w:r>
    <w:r>
      <w:rPr>
        <w:rFonts w:hint="eastAsia"/>
        <w:sz w:val="18"/>
        <w:szCs w:val="18"/>
      </w:rPr>
      <w:t>采购竞争性磋商采购文件（项目编号：</w:t>
    </w:r>
    <w:r>
      <w:rPr>
        <w:rFonts w:hint="eastAsia" w:eastAsia="宋体"/>
        <w:sz w:val="18"/>
        <w:szCs w:val="18"/>
      </w:rPr>
      <w:t>NNZC2026-C3-2500</w:t>
    </w:r>
    <w:r>
      <w:rPr>
        <w:rFonts w:hint="eastAsia"/>
        <w:sz w:val="18"/>
        <w:szCs w:val="18"/>
        <w:lang w:val="en-US" w:eastAsia="zh-CN"/>
      </w:rPr>
      <w:t>33</w:t>
    </w:r>
    <w:r>
      <w:rPr>
        <w:rFonts w:hint="eastAsia" w:eastAsia="宋体"/>
        <w:sz w:val="18"/>
        <w:szCs w:val="18"/>
      </w:rPr>
      <w:t>-SLXZ</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D120A"/>
    <w:multiLevelType w:val="singleLevel"/>
    <w:tmpl w:val="8DCD120A"/>
    <w:lvl w:ilvl="0" w:tentative="0">
      <w:start w:val="1"/>
      <w:numFmt w:val="decimal"/>
      <w:suff w:val="space"/>
      <w:lvlText w:val="%1."/>
      <w:lvlJc w:val="left"/>
    </w:lvl>
  </w:abstractNum>
  <w:abstractNum w:abstractNumId="1">
    <w:nsid w:val="A1204A27"/>
    <w:multiLevelType w:val="singleLevel"/>
    <w:tmpl w:val="A1204A27"/>
    <w:lvl w:ilvl="0" w:tentative="0">
      <w:start w:val="1"/>
      <w:numFmt w:val="decimal"/>
      <w:suff w:val="nothing"/>
      <w:lvlText w:val="（%1）"/>
      <w:lvlJc w:val="left"/>
    </w:lvl>
  </w:abstractNum>
  <w:abstractNum w:abstractNumId="2">
    <w:nsid w:val="C165CEB5"/>
    <w:multiLevelType w:val="singleLevel"/>
    <w:tmpl w:val="C165CEB5"/>
    <w:lvl w:ilvl="0" w:tentative="0">
      <w:start w:val="2"/>
      <w:numFmt w:val="chineseCounting"/>
      <w:suff w:val="nothing"/>
      <w:lvlText w:val="%1、"/>
      <w:lvlJc w:val="left"/>
      <w:rPr>
        <w:rFonts w:hint="eastAsia"/>
      </w:rPr>
    </w:lvl>
  </w:abstractNum>
  <w:abstractNum w:abstractNumId="3">
    <w:nsid w:val="D7D8E088"/>
    <w:multiLevelType w:val="singleLevel"/>
    <w:tmpl w:val="D7D8E088"/>
    <w:lvl w:ilvl="0" w:tentative="0">
      <w:start w:val="1"/>
      <w:numFmt w:val="decimal"/>
      <w:suff w:val="nothing"/>
      <w:lvlText w:val="（%1）"/>
      <w:lvlJc w:val="left"/>
    </w:lvl>
  </w:abstractNum>
  <w:abstractNum w:abstractNumId="4">
    <w:nsid w:val="DC0EF2CC"/>
    <w:multiLevelType w:val="singleLevel"/>
    <w:tmpl w:val="DC0EF2CC"/>
    <w:lvl w:ilvl="0" w:tentative="0">
      <w:start w:val="1"/>
      <w:numFmt w:val="decimal"/>
      <w:suff w:val="nothing"/>
      <w:lvlText w:val="（%1）"/>
      <w:lvlJc w:val="left"/>
    </w:lvl>
  </w:abstractNum>
  <w:abstractNum w:abstractNumId="5">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2DAA387E"/>
    <w:multiLevelType w:val="singleLevel"/>
    <w:tmpl w:val="2DAA387E"/>
    <w:lvl w:ilvl="0" w:tentative="0">
      <w:start w:val="8"/>
      <w:numFmt w:val="chineseCounting"/>
      <w:suff w:val="nothing"/>
      <w:lvlText w:val="%1、"/>
      <w:lvlJc w:val="left"/>
      <w:rPr>
        <w:rFonts w:hint="eastAsia"/>
      </w:rPr>
    </w:lvl>
  </w:abstractNum>
  <w:abstractNum w:abstractNumId="7">
    <w:nsid w:val="332A5099"/>
    <w:multiLevelType w:val="singleLevel"/>
    <w:tmpl w:val="332A5099"/>
    <w:lvl w:ilvl="0" w:tentative="0">
      <w:start w:val="1"/>
      <w:numFmt w:val="decimal"/>
      <w:pStyle w:val="5"/>
      <w:lvlText w:val="%1."/>
      <w:lvlJc w:val="left"/>
      <w:pPr>
        <w:tabs>
          <w:tab w:val="left" w:pos="360"/>
        </w:tabs>
        <w:ind w:left="360" w:hanging="360"/>
      </w:pPr>
    </w:lvl>
  </w:abstractNum>
  <w:abstractNum w:abstractNumId="8">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9">
    <w:nsid w:val="508D7A92"/>
    <w:multiLevelType w:val="singleLevel"/>
    <w:tmpl w:val="508D7A92"/>
    <w:lvl w:ilvl="0" w:tentative="0">
      <w:start w:val="1"/>
      <w:numFmt w:val="decimal"/>
      <w:suff w:val="nothing"/>
      <w:lvlText w:val="（%1）"/>
      <w:lvlJc w:val="left"/>
    </w:lvl>
  </w:abstractNum>
  <w:num w:numId="1">
    <w:abstractNumId w:val="7"/>
  </w:num>
  <w:num w:numId="2">
    <w:abstractNumId w:val="0"/>
  </w:num>
  <w:num w:numId="3">
    <w:abstractNumId w:val="3"/>
  </w:num>
  <w:num w:numId="4">
    <w:abstractNumId w:val="4"/>
  </w:num>
  <w:num w:numId="5">
    <w:abstractNumId w:val="9"/>
  </w:num>
  <w:num w:numId="6">
    <w:abstractNumId w:val="1"/>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D563F"/>
    <w:rsid w:val="00A42231"/>
    <w:rsid w:val="010A29DC"/>
    <w:rsid w:val="01527EDF"/>
    <w:rsid w:val="01814321"/>
    <w:rsid w:val="01C25065"/>
    <w:rsid w:val="02E429A3"/>
    <w:rsid w:val="03630182"/>
    <w:rsid w:val="03F31506"/>
    <w:rsid w:val="045556A5"/>
    <w:rsid w:val="046310BD"/>
    <w:rsid w:val="04C42EA2"/>
    <w:rsid w:val="04D035F5"/>
    <w:rsid w:val="04E476C4"/>
    <w:rsid w:val="05137986"/>
    <w:rsid w:val="051C27FA"/>
    <w:rsid w:val="05812237"/>
    <w:rsid w:val="05B66C8F"/>
    <w:rsid w:val="062E4A77"/>
    <w:rsid w:val="07140111"/>
    <w:rsid w:val="078169A5"/>
    <w:rsid w:val="07B611C8"/>
    <w:rsid w:val="08002443"/>
    <w:rsid w:val="095962AF"/>
    <w:rsid w:val="098C7683"/>
    <w:rsid w:val="0A670558"/>
    <w:rsid w:val="0C2F32F7"/>
    <w:rsid w:val="0C4D19CF"/>
    <w:rsid w:val="0C517711"/>
    <w:rsid w:val="0D9F44AC"/>
    <w:rsid w:val="0DC91529"/>
    <w:rsid w:val="0DE545B5"/>
    <w:rsid w:val="0DF82D13"/>
    <w:rsid w:val="0E26697C"/>
    <w:rsid w:val="0FC1695C"/>
    <w:rsid w:val="0FC24482"/>
    <w:rsid w:val="0FCD5301"/>
    <w:rsid w:val="10CA1840"/>
    <w:rsid w:val="120B2110"/>
    <w:rsid w:val="12320CAD"/>
    <w:rsid w:val="124752ED"/>
    <w:rsid w:val="12480EB5"/>
    <w:rsid w:val="12647A72"/>
    <w:rsid w:val="131E5E73"/>
    <w:rsid w:val="136F0FEE"/>
    <w:rsid w:val="145F04F1"/>
    <w:rsid w:val="14A53CE6"/>
    <w:rsid w:val="14C274C9"/>
    <w:rsid w:val="1539530D"/>
    <w:rsid w:val="15455939"/>
    <w:rsid w:val="1585042C"/>
    <w:rsid w:val="17213EE3"/>
    <w:rsid w:val="1732013F"/>
    <w:rsid w:val="17DA21F2"/>
    <w:rsid w:val="18045BF1"/>
    <w:rsid w:val="1846189E"/>
    <w:rsid w:val="192B3098"/>
    <w:rsid w:val="19393A07"/>
    <w:rsid w:val="19404D95"/>
    <w:rsid w:val="19D41982"/>
    <w:rsid w:val="1A385A6D"/>
    <w:rsid w:val="1ACE62BE"/>
    <w:rsid w:val="1AE06E27"/>
    <w:rsid w:val="1B6F1962"/>
    <w:rsid w:val="1BE04C19"/>
    <w:rsid w:val="1C973C1C"/>
    <w:rsid w:val="1C9A12FE"/>
    <w:rsid w:val="1D1125A5"/>
    <w:rsid w:val="1D833E3B"/>
    <w:rsid w:val="1D8D60CF"/>
    <w:rsid w:val="1DD41F50"/>
    <w:rsid w:val="1F49071C"/>
    <w:rsid w:val="210C1A01"/>
    <w:rsid w:val="21523B17"/>
    <w:rsid w:val="21A63C04"/>
    <w:rsid w:val="21FB04CE"/>
    <w:rsid w:val="23F8626D"/>
    <w:rsid w:val="24D8255A"/>
    <w:rsid w:val="25F018F1"/>
    <w:rsid w:val="262D48F3"/>
    <w:rsid w:val="264D464E"/>
    <w:rsid w:val="2666570F"/>
    <w:rsid w:val="27117D71"/>
    <w:rsid w:val="27254743"/>
    <w:rsid w:val="27C501F9"/>
    <w:rsid w:val="282107A4"/>
    <w:rsid w:val="2936586D"/>
    <w:rsid w:val="29BF3AB4"/>
    <w:rsid w:val="2A52422E"/>
    <w:rsid w:val="2AA84549"/>
    <w:rsid w:val="2BA81518"/>
    <w:rsid w:val="2C416A03"/>
    <w:rsid w:val="2C8F33C8"/>
    <w:rsid w:val="2D2325AC"/>
    <w:rsid w:val="2ED81174"/>
    <w:rsid w:val="2F266384"/>
    <w:rsid w:val="2F8C27E2"/>
    <w:rsid w:val="2FC8743B"/>
    <w:rsid w:val="2FD47B8E"/>
    <w:rsid w:val="2FE853E7"/>
    <w:rsid w:val="30226B4B"/>
    <w:rsid w:val="304A7E50"/>
    <w:rsid w:val="31772EC7"/>
    <w:rsid w:val="31EE3E78"/>
    <w:rsid w:val="32133C80"/>
    <w:rsid w:val="32CC0FF0"/>
    <w:rsid w:val="3307027A"/>
    <w:rsid w:val="341E587B"/>
    <w:rsid w:val="34DF500B"/>
    <w:rsid w:val="351A24E7"/>
    <w:rsid w:val="352425F9"/>
    <w:rsid w:val="36B14785"/>
    <w:rsid w:val="370C40B1"/>
    <w:rsid w:val="37F825CD"/>
    <w:rsid w:val="387B14EE"/>
    <w:rsid w:val="389B749B"/>
    <w:rsid w:val="38FF3ECD"/>
    <w:rsid w:val="390E2362"/>
    <w:rsid w:val="394E275F"/>
    <w:rsid w:val="39567866"/>
    <w:rsid w:val="39BF540B"/>
    <w:rsid w:val="39E11825"/>
    <w:rsid w:val="3A59585F"/>
    <w:rsid w:val="3C4F6F1A"/>
    <w:rsid w:val="3CD218F9"/>
    <w:rsid w:val="3CDC7239"/>
    <w:rsid w:val="3D1C6CEB"/>
    <w:rsid w:val="3F6820A1"/>
    <w:rsid w:val="3FE07E89"/>
    <w:rsid w:val="400B542E"/>
    <w:rsid w:val="40EB2F89"/>
    <w:rsid w:val="41393CF5"/>
    <w:rsid w:val="41B82E6B"/>
    <w:rsid w:val="41C939C8"/>
    <w:rsid w:val="42176DFB"/>
    <w:rsid w:val="425A03C6"/>
    <w:rsid w:val="426D5897"/>
    <w:rsid w:val="427A2817"/>
    <w:rsid w:val="43120CA1"/>
    <w:rsid w:val="439B396E"/>
    <w:rsid w:val="440A39DC"/>
    <w:rsid w:val="44330ECF"/>
    <w:rsid w:val="443D5A88"/>
    <w:rsid w:val="44B738AE"/>
    <w:rsid w:val="462E5DF2"/>
    <w:rsid w:val="464A2500"/>
    <w:rsid w:val="46625A9C"/>
    <w:rsid w:val="467F664E"/>
    <w:rsid w:val="46B67B95"/>
    <w:rsid w:val="46E14C12"/>
    <w:rsid w:val="472D7E58"/>
    <w:rsid w:val="481F4A1F"/>
    <w:rsid w:val="49302ECC"/>
    <w:rsid w:val="49793828"/>
    <w:rsid w:val="49EB5DA8"/>
    <w:rsid w:val="4A8204BA"/>
    <w:rsid w:val="4AB97C54"/>
    <w:rsid w:val="4AF53B08"/>
    <w:rsid w:val="4BB24DCF"/>
    <w:rsid w:val="4BB943B0"/>
    <w:rsid w:val="4BCF5981"/>
    <w:rsid w:val="4C2B6930"/>
    <w:rsid w:val="4C4F0870"/>
    <w:rsid w:val="4CDB2104"/>
    <w:rsid w:val="4D3127CE"/>
    <w:rsid w:val="4DB43081"/>
    <w:rsid w:val="4DDC6134"/>
    <w:rsid w:val="4FD572DE"/>
    <w:rsid w:val="50394DF5"/>
    <w:rsid w:val="505428F9"/>
    <w:rsid w:val="50A62A29"/>
    <w:rsid w:val="510559A1"/>
    <w:rsid w:val="514101B0"/>
    <w:rsid w:val="51976CDE"/>
    <w:rsid w:val="52BC6534"/>
    <w:rsid w:val="52E15F9A"/>
    <w:rsid w:val="53446C55"/>
    <w:rsid w:val="534A1D91"/>
    <w:rsid w:val="54855DB6"/>
    <w:rsid w:val="54941E47"/>
    <w:rsid w:val="55935A7E"/>
    <w:rsid w:val="55EF3EF7"/>
    <w:rsid w:val="563A433F"/>
    <w:rsid w:val="56EA7B13"/>
    <w:rsid w:val="57803FD4"/>
    <w:rsid w:val="598558D1"/>
    <w:rsid w:val="59C363FA"/>
    <w:rsid w:val="5A191F5F"/>
    <w:rsid w:val="5B6D563F"/>
    <w:rsid w:val="5B70435F"/>
    <w:rsid w:val="5BAD110F"/>
    <w:rsid w:val="5DCC7F73"/>
    <w:rsid w:val="5DE352BC"/>
    <w:rsid w:val="5E447AB7"/>
    <w:rsid w:val="5F217E4A"/>
    <w:rsid w:val="5F9515B8"/>
    <w:rsid w:val="5FBB029F"/>
    <w:rsid w:val="60004C0A"/>
    <w:rsid w:val="607A3A1F"/>
    <w:rsid w:val="61526439"/>
    <w:rsid w:val="64630F05"/>
    <w:rsid w:val="64A07A63"/>
    <w:rsid w:val="65293EFC"/>
    <w:rsid w:val="658C7FE7"/>
    <w:rsid w:val="65A96DEB"/>
    <w:rsid w:val="65F71905"/>
    <w:rsid w:val="66A80E51"/>
    <w:rsid w:val="673821D5"/>
    <w:rsid w:val="68F55EA4"/>
    <w:rsid w:val="69913E1E"/>
    <w:rsid w:val="69DF102E"/>
    <w:rsid w:val="6A483455"/>
    <w:rsid w:val="6A745C1A"/>
    <w:rsid w:val="6B252A70"/>
    <w:rsid w:val="6B633598"/>
    <w:rsid w:val="6B741C4A"/>
    <w:rsid w:val="6B7457A6"/>
    <w:rsid w:val="6BA8544F"/>
    <w:rsid w:val="6BE74996"/>
    <w:rsid w:val="6C292A34"/>
    <w:rsid w:val="6C3F1694"/>
    <w:rsid w:val="6C5850C7"/>
    <w:rsid w:val="6EAF2752"/>
    <w:rsid w:val="6EC6456A"/>
    <w:rsid w:val="6ED36C87"/>
    <w:rsid w:val="70117A67"/>
    <w:rsid w:val="70211815"/>
    <w:rsid w:val="71C41919"/>
    <w:rsid w:val="7205184D"/>
    <w:rsid w:val="72062C5E"/>
    <w:rsid w:val="725B146D"/>
    <w:rsid w:val="72E27499"/>
    <w:rsid w:val="737A0B34"/>
    <w:rsid w:val="748A7DE8"/>
    <w:rsid w:val="768D3BBF"/>
    <w:rsid w:val="76B850E0"/>
    <w:rsid w:val="76EE0B02"/>
    <w:rsid w:val="78774B27"/>
    <w:rsid w:val="7A140880"/>
    <w:rsid w:val="7A747570"/>
    <w:rsid w:val="7B221D76"/>
    <w:rsid w:val="7B5B603A"/>
    <w:rsid w:val="7D8F4D8B"/>
    <w:rsid w:val="7DBD5AC6"/>
    <w:rsid w:val="7E203B02"/>
    <w:rsid w:val="7E924469"/>
    <w:rsid w:val="7F873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List Number"/>
    <w:basedOn w:val="1"/>
    <w:qFormat/>
    <w:uiPriority w:val="0"/>
    <w:pPr>
      <w:numPr>
        <w:ilvl w:val="0"/>
        <w:numId w:val="1"/>
      </w:numPr>
    </w:pPr>
  </w:style>
  <w:style w:type="paragraph" w:styleId="6">
    <w:name w:val="Normal Indent"/>
    <w:basedOn w:val="1"/>
    <w:qFormat/>
    <w:uiPriority w:val="99"/>
    <w:pPr>
      <w:ind w:firstLine="420"/>
    </w:pPr>
    <w:rPr>
      <w:szCs w:val="20"/>
    </w:rPr>
  </w:style>
  <w:style w:type="paragraph" w:styleId="7">
    <w:name w:val="annotation text"/>
    <w:basedOn w:val="1"/>
    <w:qFormat/>
    <w:uiPriority w:val="0"/>
    <w:pPr>
      <w:jc w:val="left"/>
    </w:pPr>
  </w:style>
  <w:style w:type="paragraph" w:styleId="8">
    <w:name w:val="Body Text 3"/>
    <w:basedOn w:val="1"/>
    <w:unhideWhenUsed/>
    <w:qFormat/>
    <w:uiPriority w:val="99"/>
    <w:pPr>
      <w:spacing w:after="120"/>
    </w:pPr>
    <w:rPr>
      <w:sz w:val="16"/>
      <w:szCs w:val="16"/>
    </w:rPr>
  </w:style>
  <w:style w:type="paragraph" w:styleId="9">
    <w:name w:val="Body Text"/>
    <w:basedOn w:val="1"/>
    <w:unhideWhenUsed/>
    <w:qFormat/>
    <w:uiPriority w:val="0"/>
    <w:pPr>
      <w:spacing w:after="120"/>
    </w:pPr>
  </w:style>
  <w:style w:type="paragraph" w:styleId="10">
    <w:name w:val="Body Text Indent"/>
    <w:basedOn w:val="1"/>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toc 3"/>
    <w:basedOn w:val="1"/>
    <w:next w:val="1"/>
    <w:unhideWhenUsed/>
    <w:qFormat/>
    <w:uiPriority w:val="39"/>
    <w:pPr>
      <w:ind w:left="840" w:leftChars="400"/>
    </w:pPr>
  </w:style>
  <w:style w:type="paragraph" w:styleId="13">
    <w:name w:val="Plain Text"/>
    <w:basedOn w:val="1"/>
    <w:next w:val="1"/>
    <w:qFormat/>
    <w:uiPriority w:val="0"/>
    <w:rPr>
      <w:rFonts w:ascii="宋体" w:hAnsi="Courier New"/>
      <w:kern w:val="0"/>
      <w:sz w:val="20"/>
      <w:szCs w:val="21"/>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List"/>
    <w:basedOn w:val="1"/>
    <w:unhideWhenUsed/>
    <w:qFormat/>
    <w:uiPriority w:val="99"/>
    <w:pPr>
      <w:ind w:left="200" w:hanging="200" w:hangingChars="200"/>
      <w:contextualSpacing/>
    </w:pPr>
  </w:style>
  <w:style w:type="paragraph" w:styleId="18">
    <w:name w:val="toc 2"/>
    <w:basedOn w:val="1"/>
    <w:next w:val="1"/>
    <w:unhideWhenUsed/>
    <w:qFormat/>
    <w:uiPriority w:val="39"/>
    <w:pPr>
      <w:tabs>
        <w:tab w:val="right" w:leader="dot" w:pos="8296"/>
      </w:tabs>
      <w:ind w:left="420" w:leftChars="200"/>
    </w:pPr>
  </w:style>
  <w:style w:type="character" w:styleId="21">
    <w:name w:val="Strong"/>
    <w:basedOn w:val="20"/>
    <w:qFormat/>
    <w:uiPriority w:val="0"/>
    <w:rPr>
      <w:b/>
    </w:rPr>
  </w:style>
  <w:style w:type="character" w:styleId="22">
    <w:name w:val="Hyperlink"/>
    <w:unhideWhenUsed/>
    <w:qFormat/>
    <w:uiPriority w:val="99"/>
    <w:rPr>
      <w:color w:val="0000FF"/>
      <w:u w:val="single"/>
    </w:rPr>
  </w:style>
  <w:style w:type="character" w:styleId="23">
    <w:name w:val="annotation reference"/>
    <w:qFormat/>
    <w:uiPriority w:val="99"/>
    <w:rPr>
      <w:sz w:val="21"/>
      <w:szCs w:val="21"/>
    </w:rPr>
  </w:style>
  <w:style w:type="paragraph" w:customStyle="1" w:styleId="24">
    <w:name w:val="正文2"/>
    <w:basedOn w:val="1"/>
    <w:qFormat/>
    <w:uiPriority w:val="0"/>
    <w:pPr>
      <w:adjustRightInd w:val="0"/>
      <w:spacing w:before="156" w:line="360" w:lineRule="auto"/>
      <w:ind w:firstLine="510" w:firstLineChars="200"/>
    </w:pPr>
    <w:rPr>
      <w:kern w:val="0"/>
      <w:sz w:val="24"/>
      <w:szCs w:val="20"/>
    </w:rPr>
  </w:style>
  <w:style w:type="paragraph" w:customStyle="1" w:styleId="25">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26">
    <w:name w:val="正文缩进1"/>
    <w:basedOn w:val="1"/>
    <w:next w:val="10"/>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116</Pages>
  <Words>60853</Words>
  <Characters>64464</Characters>
  <Lines>0</Lines>
  <Paragraphs>0</Paragraphs>
  <TotalTime>60</TotalTime>
  <ScaleCrop>false</ScaleCrop>
  <LinksUpToDate>false</LinksUpToDate>
  <CharactersWithSpaces>71260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2026-03-13T05:48:00Z</dcterms:created>
  <dc:creator>Administrator</dc:creator>
  <cp:lastModifiedBy>Administrator</cp:lastModifiedBy>
  <cp:lastPrinted>2026-03-16T01:35:00Z</cp:lastPrinted>
  <dcterms:modified xsi:type="dcterms:W3CDTF">2026-03-30T07:46:09Z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AF9EA56F45514F27B0A4A1A1EC284113_13</vt:lpwstr>
  </property>
  <property fmtid="{D5CDD505-2E9C-101B-9397-08002B2CF9AE}" pid="4" name="KSOTemplateDocerSaveRecord">
    <vt:lpwstr>eyJoZGlkIjoiMjM0YmRlYzcwNzZjZjUxYjRhYjk3N2YzYmUzNjI1MDgifQ==</vt:lpwstr>
  </property>
</Properties>
</file>